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left"/>
        <w:rPr>
          <w:rFonts w:hint="eastAsia" w:ascii="*FangSong-1964-Identity-H" w:hAnsi="*FangSong-1964-Identity-H" w:eastAsia="*FangSong-1964-Identity-H"/>
          <w:color w:val="151518"/>
          <w:sz w:val="28"/>
          <w:szCs w:val="24"/>
        </w:rPr>
      </w:pPr>
      <w:r>
        <w:rPr>
          <w:rFonts w:hint="eastAsia"/>
          <w:lang w:val="en-US" w:eastAsia="zh-CN"/>
        </w:rPr>
        <w:t>1.</w:t>
      </w:r>
      <w:r>
        <w:rPr>
          <w:rFonts w:hint="eastAsia" w:ascii="*FangSong-1964-Identity-H" w:hAnsi="*FangSong-1964-Identity-H" w:eastAsia="*FangSong-1964-Identity-H"/>
          <w:color w:val="151518"/>
          <w:sz w:val="28"/>
          <w:szCs w:val="24"/>
        </w:rPr>
        <w:t>五市监联席发(2022) 4号</w:t>
      </w:r>
    </w:p>
    <w:p>
      <w:pPr>
        <w:spacing w:beforeLines="0" w:afterLines="0"/>
        <w:jc w:val="left"/>
        <w:rPr>
          <w:rFonts w:hint="eastAsia" w:ascii="*SimHei-1961-Identity-H" w:hAnsi="*SimHei-1961-Identity-H" w:eastAsia="*SimHei-1961-Identity-H"/>
          <w:color w:val="090A0D"/>
          <w:sz w:val="44"/>
          <w:szCs w:val="24"/>
        </w:rPr>
      </w:pPr>
      <w:bookmarkStart w:id="0" w:name="_GoBack"/>
      <w:r>
        <w:rPr>
          <w:rFonts w:hint="eastAsia" w:ascii="*SimHei-1961-Identity-H" w:hAnsi="*SimHei-1961-Identity-H" w:eastAsia="*SimHei-1961-Identity-H"/>
          <w:color w:val="090A0D"/>
          <w:sz w:val="44"/>
          <w:szCs w:val="24"/>
        </w:rPr>
        <w:t>关</w:t>
      </w:r>
      <w:r>
        <w:rPr>
          <w:rFonts w:hint="eastAsia" w:ascii="*SimHei-1961-Identity-H" w:hAnsi="*SimHei-1961-Identity-H" w:eastAsia="*SimHei-1961-Identity-H"/>
          <w:color w:val="090A0D"/>
          <w:sz w:val="44"/>
          <w:szCs w:val="24"/>
          <w:lang w:val="en-US" w:eastAsia="zh-CN"/>
        </w:rPr>
        <w:t>于</w:t>
      </w:r>
      <w:r>
        <w:rPr>
          <w:rFonts w:hint="eastAsia" w:ascii="*SimHei-1961-Identity-H" w:hAnsi="*SimHei-1961-Identity-H" w:eastAsia="*SimHei-1961-Identity-H"/>
          <w:color w:val="090A0D"/>
          <w:sz w:val="44"/>
          <w:szCs w:val="24"/>
        </w:rPr>
        <w:t>印发《五原县公</w:t>
      </w:r>
    </w:p>
    <w:p>
      <w:pPr>
        <w:spacing w:beforeLines="0" w:afterLines="0"/>
        <w:jc w:val="left"/>
        <w:rPr>
          <w:rFonts w:hint="eastAsia" w:ascii="*SimHei-1961-Identity-H" w:hAnsi="*SimHei-1961-Identity-H" w:eastAsia="*SimHei-1961-Identity-H"/>
          <w:color w:val="08080C"/>
          <w:sz w:val="44"/>
          <w:szCs w:val="24"/>
        </w:rPr>
      </w:pPr>
      <w:r>
        <w:rPr>
          <w:rFonts w:hint="eastAsia" w:ascii="*SimHei-1961-Identity-H" w:hAnsi="*SimHei-1961-Identity-H" w:eastAsia="*SimHei-1961-Identity-H"/>
          <w:color w:val="08080C"/>
          <w:sz w:val="44"/>
          <w:szCs w:val="24"/>
        </w:rPr>
        <w:t>平竞争审查抽查检查制度》的通知</w:t>
      </w:r>
      <w:bookmarkEnd w:id="0"/>
    </w:p>
    <w:p>
      <w:pPr>
        <w:spacing w:beforeLines="0" w:afterLines="0"/>
        <w:jc w:val="left"/>
        <w:rPr>
          <w:rFonts w:hint="eastAsia" w:ascii="*FangSong-1962-Identity-H" w:hAnsi="*FangSong-1962-Identity-H" w:eastAsia="*FangSong-1962-Identity-H"/>
          <w:color w:val="16171A"/>
          <w:sz w:val="32"/>
          <w:szCs w:val="24"/>
        </w:rPr>
      </w:pPr>
      <w:r>
        <w:rPr>
          <w:rFonts w:hint="eastAsia" w:ascii="*FangSong-1962-Identity-H" w:hAnsi="*FangSong-1962-Identity-H" w:eastAsia="*FangSong-1962-Identity-H"/>
          <w:color w:val="16171A"/>
          <w:sz w:val="32"/>
          <w:szCs w:val="24"/>
        </w:rPr>
        <w:t>县公平竟争审查联席会议各成员单位：</w:t>
      </w:r>
    </w:p>
    <w:p>
      <w:pPr>
        <w:spacing w:beforeLines="0" w:afterLines="0"/>
        <w:jc w:val="left"/>
        <w:rPr>
          <w:rFonts w:hint="eastAsia" w:ascii="*FangSong-1962-Identity-H" w:hAnsi="*FangSong-1962-Identity-H" w:eastAsia="*FangSong-1962-Identity-H"/>
          <w:color w:val="151618"/>
          <w:sz w:val="32"/>
          <w:szCs w:val="24"/>
        </w:rPr>
      </w:pPr>
      <w:r>
        <w:rPr>
          <w:rFonts w:hint="eastAsia" w:ascii="*FangSong-1962-Identity-H" w:hAnsi="*FangSong-1962-Identity-H" w:eastAsia="*FangSong-1962-Identity-H"/>
          <w:color w:val="151618"/>
          <w:sz w:val="32"/>
          <w:szCs w:val="24"/>
        </w:rPr>
        <w:t>现将《五原县公平竞争审查抽查检查制度》印发给你们，</w:t>
      </w:r>
    </w:p>
    <w:p>
      <w:pPr>
        <w:rPr>
          <w:rFonts w:hint="eastAsia" w:ascii="*FangSong-1962-Identity-H" w:hAnsi="*FangSong-1962-Identity-H" w:eastAsia="*FangSong-1962-Identity-H"/>
          <w:color w:val="151618"/>
          <w:sz w:val="32"/>
          <w:szCs w:val="24"/>
        </w:rPr>
      </w:pPr>
      <w:r>
        <w:rPr>
          <w:rFonts w:hint="eastAsia" w:ascii="*FangSong-1962-Identity-H" w:hAnsi="*FangSong-1962-Identity-H" w:eastAsia="*FangSong-1962-Identity-H"/>
          <w:color w:val="151618"/>
          <w:sz w:val="32"/>
          <w:szCs w:val="24"/>
        </w:rPr>
        <w:t>请认真贯彻落实。</w:t>
      </w:r>
    </w:p>
    <w:p>
      <w:pPr>
        <w:rPr>
          <w:rFonts w:hint="eastAsia" w:ascii="*FangSong-1962-Identity-H" w:hAnsi="*FangSong-1962-Identity-H" w:eastAsia="*FangSong-1962-Identity-H"/>
          <w:color w:val="151618"/>
          <w:sz w:val="32"/>
          <w:szCs w:val="24"/>
        </w:rPr>
      </w:pP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五原县公平竞争审查抽查检查制度</w:t>
      </w:r>
    </w:p>
    <w:p>
      <w:pPr>
        <w:rPr>
          <w:rFonts w:hint="default" w:ascii="*FangSong-1962-Identity-H" w:hAnsi="*FangSong-1962-Identity-H" w:eastAsia="*FangSong-1962-Identity-H"/>
          <w:color w:val="151618"/>
          <w:sz w:val="32"/>
          <w:szCs w:val="24"/>
          <w:lang w:val="en-US" w:eastAsia="zh-CN"/>
        </w:rPr>
      </w:pPr>
      <w:r>
        <w:rPr>
          <w:rFonts w:hint="eastAsia" w:ascii="*FangSong-1962-Identity-H" w:hAnsi="*FangSong-1962-Identity-H" w:eastAsia="*FangSong-1962-Identity-H"/>
          <w:color w:val="151618"/>
          <w:sz w:val="32"/>
          <w:szCs w:val="24"/>
          <w:lang w:val="en-US" w:eastAsia="zh-CN"/>
        </w:rPr>
        <w:t>一、</w:t>
      </w:r>
      <w:r>
        <w:rPr>
          <w:rFonts w:hint="default" w:ascii="*FangSong-1962-Identity-H" w:hAnsi="*FangSong-1962-Identity-H" w:eastAsia="*FangSong-1962-Identity-H"/>
          <w:color w:val="151618"/>
          <w:sz w:val="32"/>
          <w:szCs w:val="24"/>
          <w:lang w:val="en-US" w:eastAsia="zh-CN"/>
        </w:rPr>
        <w:t>指导思想</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为进一步做好我县公平竞争审查工作，健全审查规则，完善审查机制，提高审查科学性，依据《国务院关于在市场体系建设中建立公平竞争审查制度的意见》(国发 (2016)34 号)、《市场监管总局等四部门关于进一步推进公平竞争审查工作的通知》(国市监反垄断 (2020)73号)，制定本制度。</w:t>
      </w:r>
    </w:p>
    <w:p>
      <w:pPr>
        <w:rPr>
          <w:rFonts w:hint="default" w:ascii="*FangSong-1962-Identity-H" w:hAnsi="*FangSong-1962-Identity-H" w:eastAsia="*FangSong-1962-Identity-H"/>
          <w:color w:val="151618"/>
          <w:sz w:val="32"/>
          <w:szCs w:val="24"/>
          <w:lang w:val="en-US" w:eastAsia="zh-CN"/>
        </w:rPr>
      </w:pPr>
      <w:r>
        <w:rPr>
          <w:rFonts w:hint="eastAsia" w:ascii="*FangSong-1962-Identity-H" w:hAnsi="*FangSong-1962-Identity-H" w:eastAsia="*FangSong-1962-Identity-H"/>
          <w:color w:val="151618"/>
          <w:sz w:val="32"/>
          <w:szCs w:val="24"/>
          <w:lang w:val="en-US" w:eastAsia="zh-CN"/>
        </w:rPr>
        <w:t>二、</w:t>
      </w:r>
      <w:r>
        <w:rPr>
          <w:rFonts w:hint="default" w:ascii="*FangSong-1962-Identity-H" w:hAnsi="*FangSong-1962-Identity-H" w:eastAsia="*FangSong-1962-Identity-H"/>
          <w:color w:val="151618"/>
          <w:sz w:val="32"/>
          <w:szCs w:val="24"/>
          <w:lang w:val="en-US" w:eastAsia="zh-CN"/>
        </w:rPr>
        <w:t>抽查检查范围</w:t>
      </w:r>
    </w:p>
    <w:p>
      <w:pPr>
        <w:rPr>
          <w:rFonts w:hint="eastAsia"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各单位制定市场准入、产业发展、招商引资、招标投标政府采购、经营行为规范、资质标准等涉及市场主体经济活动的规范性文件、其他政策措施，以及“一事一议”形式的具体政策措施等，均要纳入公平竞争审查。所有需要公平竞争审查的文件均纳入抽查检查范围</w:t>
      </w:r>
      <w:r>
        <w:rPr>
          <w:rFonts w:hint="eastAsia" w:ascii="*FangSong-1962-Identity-H" w:hAnsi="*FangSong-1962-Identity-H" w:eastAsia="*FangSong-1962-Identity-H"/>
          <w:color w:val="151618"/>
          <w:sz w:val="32"/>
          <w:szCs w:val="24"/>
          <w:lang w:val="en-US" w:eastAsia="zh-CN"/>
        </w:rPr>
        <w:t>。</w:t>
      </w:r>
    </w:p>
    <w:p>
      <w:pPr>
        <w:rPr>
          <w:rFonts w:hint="default" w:ascii="*FangSong-1962-Identity-H" w:hAnsi="*FangSong-1962-Identity-H" w:eastAsia="*FangSong-1962-Identity-H"/>
          <w:color w:val="151618"/>
          <w:sz w:val="32"/>
          <w:szCs w:val="24"/>
          <w:lang w:val="en-US" w:eastAsia="zh-CN"/>
        </w:rPr>
      </w:pPr>
      <w:r>
        <w:rPr>
          <w:rFonts w:hint="eastAsia" w:ascii="*FangSong-1962-Identity-H" w:hAnsi="*FangSong-1962-Identity-H" w:eastAsia="*FangSong-1962-Identity-H"/>
          <w:color w:val="151618"/>
          <w:sz w:val="32"/>
          <w:szCs w:val="24"/>
          <w:lang w:val="en-US" w:eastAsia="zh-CN"/>
        </w:rPr>
        <w:t>三、</w:t>
      </w:r>
      <w:r>
        <w:rPr>
          <w:rFonts w:hint="default" w:ascii="*FangSong-1962-Identity-H" w:hAnsi="*FangSong-1962-Identity-H" w:eastAsia="*FangSong-1962-Identity-H"/>
          <w:color w:val="151618"/>
          <w:sz w:val="32"/>
          <w:szCs w:val="24"/>
          <w:lang w:val="en-US" w:eastAsia="zh-CN"/>
        </w:rPr>
        <w:t>抽查检查的实施</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一)单位自查。政策制定机关组织专职人员对本部门起草以政府名义制定的文件和联合发文中本单位牵头的所有文件开展自查，检查有关政策措施是否履行审查程序、审查流程是否规范、审查结论是否准确等。自查每年至少一次年底前完成，并将自查情况报区联席会议办公室。(二)网上抽查。每年7月及12月，由县公平竞争审查联席会议办公室(以下简称区联席会议办公室) 抽调专职人员，组成网上抽查工作组。对全县各单位在政府官网发布的涉及公平竞争的文件进行抽查。</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(三)实地抽查。参考网上抽查结果和群众举报投诉掌握的情况，对存在问题较严重和网上公布文件较少难以抽查的单位，进行实地抽查。被查单位应提供原始发文记录和公平竞争审查工作记录。</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四)部门间互查、第三方抽查。确有必要时，县联席会议办公室组织各部门间互查或第三方抽查，互查主要在网上进行，也可抽调少量成员单位人员分组互查。组织第三方抽查时，按照《第三方评估实施方案》要求进行抽查。县联席会议办公室将抽查检查结果及时反馈被抽查单位，同时以适当方式通报或向社会公开。</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每年 11 月底前，各单位将抽查、整改情况在本单位公平竟争审查年度报告中予以体现，并上报县联席会议办公室。</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四、问题整改</w:t>
      </w:r>
    </w:p>
    <w:p>
      <w:pPr>
        <w:rPr>
          <w:rFonts w:hint="default" w:ascii="*FangSong-1962-Identity-H" w:hAnsi="*FangSong-1962-Identity-H" w:eastAsia="*FangSong-1962-Identity-H"/>
          <w:color w:val="151618"/>
          <w:sz w:val="32"/>
          <w:szCs w:val="24"/>
          <w:lang w:val="en-US" w:eastAsia="zh-CN"/>
        </w:rPr>
      </w:pPr>
      <w:r>
        <w:rPr>
          <w:rFonts w:hint="default" w:ascii="*FangSong-1962-Identity-H" w:hAnsi="*FangSong-1962-Identity-H" w:eastAsia="*FangSong-1962-Identity-H"/>
          <w:color w:val="151618"/>
          <w:sz w:val="32"/>
          <w:szCs w:val="24"/>
          <w:lang w:val="en-US" w:eastAsia="zh-CN"/>
        </w:rPr>
        <w:t>各单位自查问题自行纠正。被县联席会议办公室抽查互查或第三方抽查的问题整改后应向县联席会议办公室报告。问题所在单位应对问题文件补充公平竞争审查，审查后应当修改或废止的应按工作程序尽快实施，审查后坚持原有意见的应回函说明情况，无法解决的问题，应按工作程序报上级政府或部门请求解决。</w:t>
      </w:r>
    </w:p>
    <w:p>
      <w:pPr>
        <w:rPr>
          <w:rFonts w:hint="eastAsia" w:ascii="*FangSong-1962-Identity-H" w:hAnsi="*FangSong-1962-Identity-H" w:eastAsia="*FangSong-1962-Identity-H"/>
          <w:color w:val="151618"/>
          <w:sz w:val="32"/>
          <w:szCs w:val="24"/>
          <w:lang w:val="en-US" w:eastAsia="zh-CN"/>
        </w:rPr>
      </w:pPr>
      <w:r>
        <w:rPr>
          <w:rFonts w:hint="eastAsia" w:ascii="*FangSong-1962-Identity-H" w:hAnsi="*FangSong-1962-Identity-H" w:eastAsia="*FangSong-1962-Identity-H"/>
          <w:color w:val="151618"/>
          <w:sz w:val="32"/>
          <w:szCs w:val="24"/>
          <w:lang w:val="en-US" w:eastAsia="zh-CN"/>
        </w:rPr>
        <w:t>五、抽查内容</w:t>
      </w:r>
    </w:p>
    <w:p>
      <w:pPr>
        <w:rPr>
          <w:rFonts w:hint="default" w:ascii="*FangSong-1962-Identity-H" w:hAnsi="*FangSong-1962-Identity-H" w:eastAsia="*FangSong-1962-Identity-H"/>
          <w:color w:val="151618"/>
          <w:sz w:val="32"/>
          <w:szCs w:val="24"/>
          <w:lang w:val="en-US" w:eastAsia="zh-CN"/>
        </w:rPr>
      </w:pPr>
      <w:r>
        <w:rPr>
          <w:rFonts w:hint="eastAsia" w:ascii="*FangSong-1962-Identity-H" w:hAnsi="*FangSong-1962-Identity-H" w:eastAsia="*FangSong-1962-Identity-H"/>
          <w:color w:val="151618"/>
          <w:sz w:val="32"/>
          <w:szCs w:val="24"/>
          <w:lang w:val="en-US" w:eastAsia="zh-CN"/>
        </w:rPr>
        <w:t>有关政策措施是否履行公平竞争审查程序。1审查流程是否规范，包括《公平竞争 审查表》是否符合《公平竞争审查制度实施细则》要求，审查事项是否全覆盖，《审查表》填写是否完整，并进行存档。(三) 审查事项是否全覆盖，包括做出的审查结论和适用例外规定结论是否符合《公平竞争审查制度实施细则》要求，政策措施是否达到预期效果，政策措施出台后是否产生新的排除，限制竞争等问题。</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1964-Identity-H">
    <w:altName w:val="宋体"/>
    <w:panose1 w:val="00000000000000000000"/>
    <w:charset w:val="86"/>
    <w:family w:val="auto"/>
    <w:pitch w:val="default"/>
    <w:sig w:usb0="00000000" w:usb1="00000000" w:usb2="00000000" w:usb3="00000000" w:csb0="00040000" w:csb1="00000000"/>
  </w:font>
  <w:font w:name="*SimHei-1961-Identity-H">
    <w:altName w:val="宋体"/>
    <w:panose1 w:val="00000000000000000000"/>
    <w:charset w:val="86"/>
    <w:family w:val="auto"/>
    <w:pitch w:val="default"/>
    <w:sig w:usb0="00000000" w:usb1="00000000" w:usb2="00000000" w:usb3="00000000" w:csb0="00040000" w:csb1="00000000"/>
  </w:font>
  <w:font w:name="*FangSong-1962-Identity-H">
    <w:altName w:val="宋体"/>
    <w:panose1 w:val="00000000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0FC458FE"/>
    <w:rsid w:val="69216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2023-11-23T01:01:00Z</dcterms:created>
  <dc:creator>Administrator</dc:creator>
  <cp:lastModifiedBy>Administrator</cp:lastModifiedBy>
  <dcterms:modified xsi:type="dcterms:W3CDTF">2023-11-23T01:21:35Z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4568B27422FA47559E174DB3768CE64F_12</vt:lpwstr>
  </property>
</Properties>
</file>