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6E657">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28"/>
          <w:szCs w:val="28"/>
          <w:highlight w:val="none"/>
        </w:rPr>
      </w:pPr>
    </w:p>
    <w:p w14:paraId="0ABE7B79">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28"/>
          <w:szCs w:val="28"/>
          <w:highlight w:val="none"/>
        </w:rPr>
      </w:pPr>
    </w:p>
    <w:p w14:paraId="0C90636B">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28"/>
          <w:szCs w:val="28"/>
          <w:highlight w:val="none"/>
        </w:rPr>
      </w:pPr>
    </w:p>
    <w:p w14:paraId="2FC06051">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Cs/>
          <w:color w:val="auto"/>
          <w:sz w:val="28"/>
          <w:szCs w:val="28"/>
          <w:highlight w:val="none"/>
        </w:rPr>
      </w:pPr>
    </w:p>
    <w:p w14:paraId="557A95BC">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spacing w:val="-4"/>
          <w:sz w:val="44"/>
          <w:szCs w:val="44"/>
          <w:highlight w:val="none"/>
        </w:rPr>
      </w:pPr>
      <w:r>
        <w:rPr>
          <w:rFonts w:hint="default" w:ascii="Times New Roman" w:hAnsi="Times New Roman" w:eastAsia="宋体" w:cs="Times New Roman"/>
          <w:b/>
          <w:bCs/>
          <w:color w:val="auto"/>
          <w:spacing w:val="-4"/>
          <w:sz w:val="44"/>
          <w:szCs w:val="44"/>
          <w:highlight w:val="none"/>
          <w:lang w:eastAsia="zh-CN"/>
        </w:rPr>
        <w:t>五原县兄弟农民专业合作社肉羊育肥养殖及附属设施建设项目</w:t>
      </w:r>
    </w:p>
    <w:p w14:paraId="45DC3B2F">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sz w:val="56"/>
          <w:szCs w:val="56"/>
          <w:highlight w:val="none"/>
        </w:rPr>
      </w:pPr>
      <w:r>
        <w:rPr>
          <w:rFonts w:hint="default" w:ascii="Times New Roman" w:hAnsi="Times New Roman" w:eastAsia="宋体" w:cs="Times New Roman"/>
          <w:b/>
          <w:bCs/>
          <w:color w:val="auto"/>
          <w:spacing w:val="46"/>
          <w:sz w:val="72"/>
          <w:szCs w:val="72"/>
          <w:highlight w:val="none"/>
        </w:rPr>
        <w:t>环境影响报告书</w:t>
      </w:r>
    </w:p>
    <w:p w14:paraId="5BB6830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outlineLvl w:val="0"/>
        <w:rPr>
          <w:rFonts w:hint="default" w:ascii="Times New Roman" w:hAnsi="Times New Roman" w:eastAsia="宋体" w:cs="Times New Roman"/>
          <w:b/>
          <w:color w:val="auto"/>
          <w:sz w:val="32"/>
          <w:szCs w:val="32"/>
          <w:highlight w:val="none"/>
        </w:rPr>
      </w:pPr>
    </w:p>
    <w:p w14:paraId="5BC3AB9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30"/>
          <w:highlight w:val="none"/>
        </w:rPr>
      </w:pPr>
    </w:p>
    <w:p w14:paraId="3B049FFD">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44E432F8">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666F9518">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7D7EFC02">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2C4A7D9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10880300">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p>
    <w:p w14:paraId="160D406C">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p>
    <w:p w14:paraId="72D6A02C">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p>
    <w:p w14:paraId="3E5A9047">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p>
    <w:p w14:paraId="2EE2D4DD">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30"/>
          <w:highlight w:val="none"/>
          <w:lang w:eastAsia="zh-CN"/>
        </w:rPr>
      </w:pPr>
    </w:p>
    <w:p w14:paraId="51293CC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 w:val="30"/>
          <w:highlight w:val="none"/>
          <w:lang w:eastAsia="zh-CN"/>
        </w:rPr>
      </w:pPr>
    </w:p>
    <w:tbl>
      <w:tblPr>
        <w:tblStyle w:val="42"/>
        <w:tblW w:w="8277" w:type="dxa"/>
        <w:jc w:val="center"/>
        <w:tblLayout w:type="fixed"/>
        <w:tblCellMar>
          <w:top w:w="0" w:type="dxa"/>
          <w:left w:w="0" w:type="dxa"/>
          <w:bottom w:w="0" w:type="dxa"/>
          <w:right w:w="0" w:type="dxa"/>
        </w:tblCellMar>
      </w:tblPr>
      <w:tblGrid>
        <w:gridCol w:w="2052"/>
        <w:gridCol w:w="6225"/>
      </w:tblGrid>
      <w:tr w14:paraId="4FC5F4EF">
        <w:tblPrEx>
          <w:tblCellMar>
            <w:top w:w="0" w:type="dxa"/>
            <w:left w:w="0" w:type="dxa"/>
            <w:bottom w:w="0" w:type="dxa"/>
            <w:right w:w="0" w:type="dxa"/>
          </w:tblCellMar>
        </w:tblPrEx>
        <w:trPr>
          <w:trHeight w:val="510" w:hRule="atLeast"/>
          <w:jc w:val="center"/>
        </w:trPr>
        <w:tc>
          <w:tcPr>
            <w:tcW w:w="1670" w:type="dxa"/>
            <w:vAlign w:val="center"/>
          </w:tcPr>
          <w:p w14:paraId="0B9DCD79">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rPr>
            </w:pPr>
            <w:bookmarkStart w:id="0" w:name="_Hlk39311167"/>
            <w:r>
              <w:rPr>
                <w:rFonts w:hint="default" w:ascii="Times New Roman" w:hAnsi="Times New Roman" w:eastAsia="宋体" w:cs="Times New Roman"/>
                <w:b/>
                <w:bCs/>
                <w:color w:val="auto"/>
                <w:sz w:val="32"/>
                <w:szCs w:val="32"/>
                <w:highlight w:val="none"/>
              </w:rPr>
              <w:t>建设单位：</w:t>
            </w:r>
          </w:p>
        </w:tc>
        <w:tc>
          <w:tcPr>
            <w:tcW w:w="5065" w:type="dxa"/>
            <w:vAlign w:val="center"/>
          </w:tcPr>
          <w:p w14:paraId="5FE43C3A">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lang w:eastAsia="zh-CN"/>
              </w:rPr>
            </w:pPr>
            <w:r>
              <w:rPr>
                <w:rFonts w:hint="default" w:ascii="Times New Roman" w:hAnsi="Times New Roman" w:eastAsia="宋体" w:cs="Times New Roman"/>
                <w:b/>
                <w:bCs/>
                <w:color w:val="auto"/>
                <w:sz w:val="32"/>
                <w:szCs w:val="32"/>
                <w:highlight w:val="none"/>
                <w:lang w:eastAsia="zh-CN"/>
              </w:rPr>
              <w:t>五原县兄弟农民专业合作社</w:t>
            </w:r>
          </w:p>
        </w:tc>
      </w:tr>
      <w:bookmarkEnd w:id="0"/>
      <w:tr w14:paraId="5FD6556C">
        <w:tblPrEx>
          <w:tblCellMar>
            <w:top w:w="0" w:type="dxa"/>
            <w:left w:w="0" w:type="dxa"/>
            <w:bottom w:w="0" w:type="dxa"/>
            <w:right w:w="0" w:type="dxa"/>
          </w:tblCellMar>
        </w:tblPrEx>
        <w:trPr>
          <w:trHeight w:val="510" w:hRule="atLeast"/>
          <w:jc w:val="center"/>
        </w:trPr>
        <w:tc>
          <w:tcPr>
            <w:tcW w:w="1670" w:type="dxa"/>
            <w:vAlign w:val="center"/>
          </w:tcPr>
          <w:p w14:paraId="60CCB440">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rPr>
              <w:t>环评单位：</w:t>
            </w:r>
          </w:p>
        </w:tc>
        <w:tc>
          <w:tcPr>
            <w:tcW w:w="5065" w:type="dxa"/>
            <w:vAlign w:val="center"/>
          </w:tcPr>
          <w:p w14:paraId="6F1FA1C1">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lang w:eastAsia="zh-CN"/>
              </w:rPr>
            </w:pPr>
            <w:r>
              <w:rPr>
                <w:rFonts w:hint="default" w:ascii="Times New Roman" w:hAnsi="Times New Roman" w:eastAsia="宋体" w:cs="Times New Roman"/>
                <w:b/>
                <w:bCs/>
                <w:color w:val="auto"/>
                <w:sz w:val="32"/>
                <w:szCs w:val="32"/>
                <w:highlight w:val="none"/>
                <w:lang w:eastAsia="zh-CN"/>
              </w:rPr>
              <w:t>内蒙古百霖环保科技有限公司</w:t>
            </w:r>
          </w:p>
        </w:tc>
      </w:tr>
      <w:tr w14:paraId="1BD40187">
        <w:tblPrEx>
          <w:tblCellMar>
            <w:top w:w="0" w:type="dxa"/>
            <w:left w:w="0" w:type="dxa"/>
            <w:bottom w:w="0" w:type="dxa"/>
            <w:right w:w="0" w:type="dxa"/>
          </w:tblCellMar>
        </w:tblPrEx>
        <w:trPr>
          <w:trHeight w:val="510" w:hRule="atLeast"/>
          <w:jc w:val="center"/>
        </w:trPr>
        <w:tc>
          <w:tcPr>
            <w:tcW w:w="1670" w:type="dxa"/>
            <w:vAlign w:val="center"/>
          </w:tcPr>
          <w:p w14:paraId="47F43422">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rPr>
              <w:t>编制时间：</w:t>
            </w:r>
          </w:p>
        </w:tc>
        <w:tc>
          <w:tcPr>
            <w:tcW w:w="5065" w:type="dxa"/>
            <w:vAlign w:val="center"/>
          </w:tcPr>
          <w:p w14:paraId="5065DA81">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lang w:eastAsia="zh-CN"/>
              </w:rPr>
              <w:t>二〇二</w:t>
            </w:r>
            <w:r>
              <w:rPr>
                <w:rFonts w:hint="default" w:ascii="Times New Roman" w:hAnsi="Times New Roman" w:eastAsia="宋体" w:cs="Times New Roman"/>
                <w:b/>
                <w:bCs/>
                <w:color w:val="auto"/>
                <w:sz w:val="32"/>
                <w:szCs w:val="32"/>
                <w:highlight w:val="none"/>
                <w:lang w:val="en-US" w:eastAsia="zh-CN"/>
              </w:rPr>
              <w:t>四</w:t>
            </w:r>
            <w:r>
              <w:rPr>
                <w:rFonts w:hint="default" w:ascii="Times New Roman" w:hAnsi="Times New Roman" w:eastAsia="宋体" w:cs="Times New Roman"/>
                <w:b/>
                <w:bCs/>
                <w:color w:val="auto"/>
                <w:sz w:val="32"/>
                <w:szCs w:val="32"/>
                <w:highlight w:val="none"/>
                <w:lang w:eastAsia="zh-CN"/>
              </w:rPr>
              <w:t>年</w:t>
            </w:r>
            <w:r>
              <w:rPr>
                <w:rFonts w:hint="default" w:ascii="Times New Roman" w:hAnsi="Times New Roman" w:eastAsia="宋体" w:cs="Times New Roman"/>
                <w:b/>
                <w:bCs/>
                <w:color w:val="auto"/>
                <w:sz w:val="32"/>
                <w:szCs w:val="32"/>
                <w:highlight w:val="none"/>
                <w:lang w:val="en-US" w:eastAsia="zh-CN"/>
              </w:rPr>
              <w:t>九</w:t>
            </w:r>
            <w:r>
              <w:rPr>
                <w:rFonts w:hint="default" w:ascii="Times New Roman" w:hAnsi="Times New Roman" w:eastAsia="宋体" w:cs="Times New Roman"/>
                <w:b/>
                <w:bCs/>
                <w:color w:val="auto"/>
                <w:sz w:val="32"/>
                <w:szCs w:val="32"/>
                <w:highlight w:val="none"/>
              </w:rPr>
              <w:t>月</w:t>
            </w:r>
          </w:p>
        </w:tc>
      </w:tr>
    </w:tbl>
    <w:p w14:paraId="208FFC82">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p>
    <w:p w14:paraId="270106FC">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689D6AC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sectPr>
          <w:headerReference r:id="rId6" w:type="first"/>
          <w:footerReference r:id="rId8" w:type="first"/>
          <w:headerReference r:id="rId5"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p w14:paraId="7E582D49">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7CEEAE0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6BA67419">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4C6EBE62">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3035A549">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p w14:paraId="2A1BD59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sdt>
      <w:sdtPr>
        <w:rPr>
          <w:rFonts w:hint="default" w:ascii="Times New Roman" w:hAnsi="Times New Roman" w:eastAsia="宋体" w:cs="Times New Roman"/>
          <w:b/>
          <w:bCs/>
          <w:color w:val="auto"/>
          <w:highlight w:val="none"/>
          <w:lang w:val="zh-CN"/>
        </w:rPr>
        <w:id w:val="-1446458349"/>
        <w:docPartObj>
          <w:docPartGallery w:val="Table of Contents"/>
          <w:docPartUnique/>
        </w:docPartObj>
      </w:sdtPr>
      <w:sdtEndPr>
        <w:rPr>
          <w:rFonts w:hint="default" w:ascii="Times New Roman" w:hAnsi="Times New Roman" w:eastAsia="宋体" w:cs="Times New Roman"/>
          <w:b w:val="0"/>
          <w:bCs w:val="0"/>
          <w:color w:val="auto"/>
          <w:highlight w:val="none"/>
          <w:lang w:val="zh-CN"/>
        </w:rPr>
      </w:sdtEndPr>
      <w:sdtContent>
        <w:p w14:paraId="43B99C11">
          <w:pPr>
            <w:pageBreakBefore w:val="0"/>
            <w:shd w:val="clear"/>
            <w:tabs>
              <w:tab w:val="right" w:leader="dot" w:pos="8777"/>
            </w:tabs>
            <w:kinsoku/>
            <w:wordWrap/>
            <w:bidi w:val="0"/>
            <w:snapToGrid w:val="0"/>
            <w:spacing w:line="360" w:lineRule="auto"/>
            <w:ind w:left="0" w:leftChars="0" w:right="0" w:rightChars="0" w:firstLine="482"/>
            <w:jc w:val="center"/>
            <w:outlineLvl w:val="0"/>
            <w:rPr>
              <w:rFonts w:hint="default" w:ascii="Times New Roman" w:hAnsi="Times New Roman" w:eastAsia="宋体" w:cs="Times New Roman"/>
              <w:bCs/>
              <w:color w:val="auto"/>
              <w:kern w:val="2"/>
              <w:sz w:val="24"/>
              <w:szCs w:val="24"/>
              <w:highlight w:val="none"/>
              <w:lang w:val="zh-CN" w:eastAsia="zh-CN" w:bidi="ar-SA"/>
            </w:rPr>
          </w:pPr>
          <w:bookmarkStart w:id="1" w:name="_Toc47981267"/>
          <w:bookmarkStart w:id="2" w:name="_Toc19786707"/>
          <w:bookmarkStart w:id="3" w:name="_Toc12333"/>
          <w:bookmarkStart w:id="4" w:name="_Toc10218"/>
          <w:bookmarkStart w:id="5" w:name="_Toc13717"/>
          <w:bookmarkStart w:id="6" w:name="_Toc32436"/>
          <w:bookmarkStart w:id="7" w:name="_Toc48918340"/>
          <w:bookmarkStart w:id="8" w:name="_Toc37776788"/>
          <w:bookmarkStart w:id="9" w:name="_Toc47034171"/>
          <w:bookmarkStart w:id="10" w:name="_Toc47034409"/>
          <w:bookmarkStart w:id="11" w:name="_Toc29833"/>
          <w:bookmarkStart w:id="12" w:name="_Toc48807253"/>
          <w:bookmarkStart w:id="13" w:name="_Toc19199537"/>
          <w:bookmarkStart w:id="14" w:name="_Toc26604"/>
          <w:bookmarkStart w:id="15" w:name="_Toc20307"/>
          <w:bookmarkStart w:id="16" w:name="_Toc36734621"/>
          <w:bookmarkStart w:id="17" w:name="_Toc37774012"/>
          <w:bookmarkStart w:id="18" w:name="_Toc47974367"/>
          <w:bookmarkStart w:id="19" w:name="_Toc1742"/>
          <w:bookmarkStart w:id="20" w:name="_Toc22809926"/>
          <w:bookmarkStart w:id="21" w:name="_Toc6625"/>
          <w:bookmarkStart w:id="22" w:name="_Toc43220347"/>
          <w:bookmarkStart w:id="23" w:name="_Toc16994"/>
          <w:bookmarkStart w:id="24" w:name="_Toc19788685"/>
          <w:bookmarkStart w:id="25" w:name="_Toc22415"/>
          <w:bookmarkStart w:id="26" w:name="_Toc15464"/>
          <w:bookmarkStart w:id="27" w:name="_Toc48828684"/>
          <w:r>
            <w:rPr>
              <w:rFonts w:hint="default" w:ascii="Times New Roman" w:hAnsi="Times New Roman" w:eastAsia="宋体" w:cs="Times New Roman"/>
              <w:color w:val="auto"/>
              <w:sz w:val="36"/>
              <w:szCs w:val="36"/>
              <w:highlight w:val="none"/>
              <w:lang w:val="zh-CN"/>
            </w:rPr>
            <w:t>目录</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hint="default" w:ascii="Times New Roman" w:hAnsi="Times New Roman" w:eastAsia="宋体" w:cs="Times New Roman"/>
              <w:color w:val="auto"/>
              <w:szCs w:val="24"/>
              <w:highlight w:val="none"/>
            </w:rPr>
            <w:fldChar w:fldCharType="begin"/>
          </w:r>
          <w:r>
            <w:rPr>
              <w:rFonts w:hint="default" w:ascii="Times New Roman" w:hAnsi="Times New Roman" w:eastAsia="宋体" w:cs="Times New Roman"/>
              <w:color w:val="auto"/>
              <w:szCs w:val="24"/>
              <w:highlight w:val="none"/>
            </w:rPr>
            <w:instrText xml:space="preserve"> TOC \o "1-3" \h \z \u </w:instrText>
          </w:r>
          <w:r>
            <w:rPr>
              <w:rFonts w:hint="default" w:ascii="Times New Roman" w:hAnsi="Times New Roman" w:eastAsia="宋体" w:cs="Times New Roman"/>
              <w:color w:val="auto"/>
              <w:szCs w:val="24"/>
              <w:highlight w:val="none"/>
            </w:rPr>
            <w:fldChar w:fldCharType="separate"/>
          </w:r>
        </w:p>
        <w:p w14:paraId="455EF86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_Toc29414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bCs w:val="0"/>
              <w:szCs w:val="22"/>
              <w:highlight w:val="none"/>
            </w:rPr>
            <w:t>1概述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_Toc29414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6F34602">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bCs w:val="0"/>
              <w:szCs w:val="22"/>
              <w:highlight w:val="none"/>
            </w:rPr>
            <w:t>1.1项目建设背景</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1AACDD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_Toc996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1.2建设项目特点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_Toc996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0D4FD41">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_Toc11349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bCs w:val="0"/>
              <w:szCs w:val="22"/>
              <w:highlight w:val="none"/>
            </w:rPr>
            <w:t>1.3环境影响评价的工作过程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_Toc11349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166E3F4">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_Toc13720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bCs w:val="0"/>
              <w:szCs w:val="22"/>
              <w:highlight w:val="none"/>
            </w:rPr>
            <w:t>1.4项目可行性判定</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_Toc13720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DC94CD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_Toc11771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1.4.1产业政策符合性分析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_Toc11771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BBB85A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_Toc29820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1.4.2项目选址合理性分析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_Toc29820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7F9D26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_Toc3439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1.4.3“三线一单”符合性分析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_Toc3439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B0DC99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_Toc14481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1.5重点关注环境问题及环境影响</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_Toc14481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ED57F20">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_Toc12893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1.6环境影响评价主要结论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_Toc12893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170691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_Toc31214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2总则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_Toc31214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EB01519">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_Toc5578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2.1编制依据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_Toc5578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4DFBE5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_Toc30265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2.1.1环境保护法律法规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_Toc30265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E51468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_Toc21972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2.1.2相关产业政策</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_Toc21972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7CDD30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_Toc7546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2.1.3地方性法规及规范性文件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_Toc7546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17BFFA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_Toc6039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2.1.4技术导则和规范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_Toc6039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7E6855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_Toc26824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2.1.5其他相关文件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_Toc26824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EA241C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_Toc24202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2.2评价目的及评价重点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_Toc24202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305D8B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_Toc2423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2.2.1评价目的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192C7A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_Toc19333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2.2.2评价重点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_Toc19333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70AE31B">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_Toc18055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2.3环境影响识别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_Toc18055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598AE0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_Toc13549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2.3.1环境影响因素识别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_Toc13549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349B62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_Toc30544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bCs/>
              <w:highlight w:val="none"/>
            </w:rPr>
            <w:t>2.3.2环境影响评价因子识别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_Toc30544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D69DCC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_Toc13765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2.3.3评价因子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_Toc13765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BA2EE0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_Toc21959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2.4环境功能区划及评价标准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D9D50E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_Toc24847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2.4.1环境功能区划</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_Toc24847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245E32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_Toc17662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2.4.2环境质量标准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_Toc17662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bookmarkStart w:id="922" w:name="_GoBack"/>
          <w:bookmarkEnd w:id="922"/>
        </w:p>
        <w:p w14:paraId="5FCE4D3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_Toc28879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2.4.3污染物排放标准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_Toc28879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64D88CF">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_Toc27565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2.5评价等级及评价范围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_Toc27565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22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00420E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_Toc12432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2.5.1大气环境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_Toc12432 \h </w:instrText>
          </w:r>
          <w:r>
            <w:rPr>
              <w:rFonts w:hint="default" w:ascii="Times New Roman" w:hAnsi="Times New Roman" w:eastAsia="宋体" w:cs="Times New Roman"/>
            </w:rPr>
            <w:fldChar w:fldCharType="separate"/>
          </w:r>
          <w:r>
            <w:rPr>
              <w:rFonts w:hint="default" w:ascii="Times New Roman" w:hAnsi="Times New Roman" w:eastAsia="宋体" w:cs="Times New Roman"/>
            </w:rPr>
            <w:t>22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84B465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_Toc28706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2.5.2地表水环境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_Toc28706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3C98DC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_Toc15016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2.5.3地下水环境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_Toc15016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C3BE45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_Toc25491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lang w:val="en-GB"/>
            </w:rPr>
            <w:t>2.5.4土壤环境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_Toc25491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76656C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_Toc8905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lang w:val="en-GB"/>
            </w:rPr>
            <w:t>2.5.5声环境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_Toc8905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28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EDD939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_Toc18355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2.5.6环境风险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_Toc18355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28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B4C649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_Toc8926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2.5.7生态环境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_Toc8926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A59C99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_Toc12308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2.6环境保护目标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_Toc12308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67DDC05">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32"/>
              <w:highlight w:val="none"/>
            </w:rPr>
            <w:t>2.7项目符合性分析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B1849F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_Toc22129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32"/>
              <w:highlight w:val="none"/>
            </w:rPr>
            <w:t>2.7.1《产业结构调整指导目录（20</w:t>
          </w:r>
          <w:r>
            <w:rPr>
              <w:rFonts w:hint="default" w:ascii="Times New Roman" w:hAnsi="Times New Roman" w:eastAsia="宋体" w:cs="Times New Roman"/>
              <w:szCs w:val="32"/>
              <w:highlight w:val="none"/>
              <w:lang w:val="en-US" w:eastAsia="zh-CN"/>
            </w:rPr>
            <w:t>24</w:t>
          </w:r>
          <w:r>
            <w:rPr>
              <w:rFonts w:hint="default" w:ascii="Times New Roman" w:hAnsi="Times New Roman" w:eastAsia="宋体" w:cs="Times New Roman"/>
              <w:szCs w:val="32"/>
              <w:highlight w:val="none"/>
            </w:rPr>
            <w:t>年本）》符合性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_Toc22129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A76193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_Toc10959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32"/>
              <w:highlight w:val="none"/>
            </w:rPr>
            <w:t>2.7.2相关法律、法规的符合性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_Toc10959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9F8DAF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_Toc26531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32"/>
              <w:highlight w:val="none"/>
            </w:rPr>
            <w:t>2.7.3相关规范符合性分析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_Toc26531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C952C5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_Toc24530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32"/>
              <w:highlight w:val="none"/>
            </w:rPr>
            <w:t>2.7.4相关政策符合性分析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_Toc24530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05C4A6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_Toc31002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2.7.</w:t>
          </w:r>
          <w:r>
            <w:rPr>
              <w:rFonts w:hint="default" w:ascii="Times New Roman" w:hAnsi="Times New Roman" w:eastAsia="宋体" w:cs="Times New Roman"/>
              <w:highlight w:val="none"/>
              <w:lang w:val="en-US" w:eastAsia="zh-CN"/>
            </w:rPr>
            <w:t>5</w:t>
          </w:r>
          <w:r>
            <w:rPr>
              <w:rFonts w:hint="default" w:ascii="Times New Roman" w:hAnsi="Times New Roman" w:eastAsia="宋体" w:cs="Times New Roman"/>
              <w:highlight w:val="none"/>
            </w:rPr>
            <w:t>选址合理性分析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_Toc31002 \h </w:instrText>
          </w:r>
          <w:r>
            <w:rPr>
              <w:rFonts w:hint="default" w:ascii="Times New Roman" w:hAnsi="Times New Roman" w:eastAsia="宋体" w:cs="Times New Roman"/>
            </w:rPr>
            <w:fldChar w:fldCharType="separate"/>
          </w:r>
          <w:r>
            <w:rPr>
              <w:rFonts w:hint="default" w:ascii="Times New Roman" w:hAnsi="Times New Roman" w:eastAsia="宋体" w:cs="Times New Roman"/>
            </w:rPr>
            <w:t>43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4F83AF5">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2.8环境功能区符合性分析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_Toc141 \h </w:instrText>
          </w:r>
          <w:r>
            <w:rPr>
              <w:rFonts w:hint="default" w:ascii="Times New Roman" w:hAnsi="Times New Roman" w:eastAsia="宋体" w:cs="Times New Roman"/>
            </w:rPr>
            <w:fldChar w:fldCharType="separate"/>
          </w:r>
          <w:r>
            <w:rPr>
              <w:rFonts w:hint="default" w:ascii="Times New Roman" w:hAnsi="Times New Roman" w:eastAsia="宋体" w:cs="Times New Roman"/>
            </w:rPr>
            <w:t>47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89301A4">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_Toc28814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3工程分析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_Toc28814 \h </w:instrText>
          </w:r>
          <w:r>
            <w:rPr>
              <w:rFonts w:hint="default" w:ascii="Times New Roman" w:hAnsi="Times New Roman" w:eastAsia="宋体" w:cs="Times New Roman"/>
            </w:rPr>
            <w:fldChar w:fldCharType="separate"/>
          </w:r>
          <w:r>
            <w:rPr>
              <w:rFonts w:hint="default" w:ascii="Times New Roman" w:hAnsi="Times New Roman" w:eastAsia="宋体" w:cs="Times New Roman"/>
            </w:rPr>
            <w:t>48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E070CF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_Toc7340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3.1项目基本情况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_Toc7340 \h </w:instrText>
          </w:r>
          <w:r>
            <w:rPr>
              <w:rFonts w:hint="default" w:ascii="Times New Roman" w:hAnsi="Times New Roman" w:eastAsia="宋体" w:cs="Times New Roman"/>
            </w:rPr>
            <w:fldChar w:fldCharType="separate"/>
          </w:r>
          <w:r>
            <w:rPr>
              <w:rFonts w:hint="default" w:ascii="Times New Roman" w:hAnsi="Times New Roman" w:eastAsia="宋体" w:cs="Times New Roman"/>
            </w:rPr>
            <w:t>48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C1B115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_Toc13918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3.1.1项目基本概况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_Toc13918 \h </w:instrText>
          </w:r>
          <w:r>
            <w:rPr>
              <w:rFonts w:hint="default" w:ascii="Times New Roman" w:hAnsi="Times New Roman" w:eastAsia="宋体" w:cs="Times New Roman"/>
            </w:rPr>
            <w:fldChar w:fldCharType="separate"/>
          </w:r>
          <w:r>
            <w:rPr>
              <w:rFonts w:hint="default" w:ascii="Times New Roman" w:hAnsi="Times New Roman" w:eastAsia="宋体" w:cs="Times New Roman"/>
            </w:rPr>
            <w:t>48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7C6EB4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_Toc6103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3.1.2项目组成及建设内容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_Toc6103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51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AD8425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_Toc3498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3.1.3产品方案及技术指标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_Toc3498 \h </w:instrText>
          </w:r>
          <w:r>
            <w:rPr>
              <w:rFonts w:hint="default" w:ascii="Times New Roman" w:hAnsi="Times New Roman" w:eastAsia="宋体" w:cs="Times New Roman"/>
            </w:rPr>
            <w:fldChar w:fldCharType="separate"/>
          </w:r>
          <w:r>
            <w:rPr>
              <w:rFonts w:hint="default" w:ascii="Times New Roman" w:hAnsi="Times New Roman" w:eastAsia="宋体" w:cs="Times New Roman"/>
            </w:rPr>
            <w:t>53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07FAC1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_Toc11176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3.1.4主要原辅料消耗能源消耗</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_Toc11176 \h </w:instrText>
          </w:r>
          <w:r>
            <w:rPr>
              <w:rFonts w:hint="default" w:ascii="Times New Roman" w:hAnsi="Times New Roman" w:eastAsia="宋体" w:cs="Times New Roman"/>
            </w:rPr>
            <w:fldChar w:fldCharType="separate"/>
          </w:r>
          <w:r>
            <w:rPr>
              <w:rFonts w:hint="default" w:ascii="Times New Roman" w:hAnsi="Times New Roman" w:eastAsia="宋体" w:cs="Times New Roman"/>
            </w:rPr>
            <w:t>53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52644C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_Toc10426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3.1.5主要设备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_Toc10426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54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04856D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_Toc27664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3.1.6公用工程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_Toc27664 \h </w:instrText>
          </w:r>
          <w:r>
            <w:rPr>
              <w:rFonts w:hint="default" w:ascii="Times New Roman" w:hAnsi="Times New Roman" w:eastAsia="宋体" w:cs="Times New Roman"/>
            </w:rPr>
            <w:fldChar w:fldCharType="separate"/>
          </w:r>
          <w:r>
            <w:rPr>
              <w:rFonts w:hint="default" w:ascii="Times New Roman" w:hAnsi="Times New Roman" w:eastAsia="宋体" w:cs="Times New Roman"/>
            </w:rPr>
            <w:t>54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D0B95C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_Toc29532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w:t>
          </w:r>
          <w:r>
            <w:rPr>
              <w:rFonts w:hint="default" w:ascii="Times New Roman" w:hAnsi="Times New Roman" w:eastAsia="宋体" w:cs="Times New Roman"/>
              <w:highlight w:val="none"/>
              <w:lang w:val="en-US" w:eastAsia="zh-CN"/>
            </w:rPr>
            <w:t>7</w:t>
          </w:r>
          <w:r>
            <w:rPr>
              <w:rFonts w:hint="default" w:ascii="Times New Roman" w:hAnsi="Times New Roman" w:eastAsia="宋体" w:cs="Times New Roman"/>
              <w:highlight w:val="none"/>
            </w:rPr>
            <w:t>储运工程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_Toc29532 \h </w:instrText>
          </w:r>
          <w:r>
            <w:rPr>
              <w:rFonts w:hint="default" w:ascii="Times New Roman" w:hAnsi="Times New Roman" w:eastAsia="宋体" w:cs="Times New Roman"/>
            </w:rPr>
            <w:fldChar w:fldCharType="separate"/>
          </w:r>
          <w:r>
            <w:rPr>
              <w:rFonts w:hint="default" w:ascii="Times New Roman" w:hAnsi="Times New Roman" w:eastAsia="宋体" w:cs="Times New Roman"/>
            </w:rPr>
            <w:t>58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4DF3AA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_Toc8907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3.1.</w:t>
          </w:r>
          <w:r>
            <w:rPr>
              <w:rFonts w:hint="default" w:ascii="Times New Roman" w:hAnsi="Times New Roman" w:eastAsia="宋体" w:cs="Times New Roman"/>
              <w:highlight w:val="none"/>
              <w:lang w:val="en-US" w:eastAsia="zh-CN"/>
            </w:rPr>
            <w:t>8</w:t>
          </w:r>
          <w:r>
            <w:rPr>
              <w:rFonts w:hint="default" w:ascii="Times New Roman" w:hAnsi="Times New Roman" w:eastAsia="宋体" w:cs="Times New Roman"/>
              <w:highlight w:val="none"/>
            </w:rPr>
            <w:t>总平面布置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_Toc8907 \h </w:instrText>
          </w:r>
          <w:r>
            <w:rPr>
              <w:rFonts w:hint="default" w:ascii="Times New Roman" w:hAnsi="Times New Roman" w:eastAsia="宋体" w:cs="Times New Roman"/>
            </w:rPr>
            <w:fldChar w:fldCharType="separate"/>
          </w:r>
          <w:r>
            <w:rPr>
              <w:rFonts w:hint="default" w:ascii="Times New Roman" w:hAnsi="Times New Roman" w:eastAsia="宋体" w:cs="Times New Roman"/>
            </w:rPr>
            <w:t>58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63BEFBD">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_Toc20281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3.2项目污染影响因素分析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_Toc20281 \h </w:instrText>
          </w:r>
          <w:r>
            <w:rPr>
              <w:rFonts w:hint="default" w:ascii="Times New Roman" w:hAnsi="Times New Roman" w:eastAsia="宋体" w:cs="Times New Roman"/>
            </w:rPr>
            <w:fldChar w:fldCharType="separate"/>
          </w:r>
          <w:r>
            <w:rPr>
              <w:rFonts w:hint="default" w:ascii="Times New Roman" w:hAnsi="Times New Roman" w:eastAsia="宋体" w:cs="Times New Roman"/>
            </w:rPr>
            <w:t>61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4E4759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_Toc27202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3.2.1饲料</w:t>
          </w:r>
          <w:r>
            <w:rPr>
              <w:rFonts w:hint="default" w:ascii="Times New Roman" w:hAnsi="Times New Roman" w:eastAsia="宋体" w:cs="Times New Roman"/>
              <w:highlight w:val="none"/>
              <w:lang w:eastAsia="zh-CN"/>
            </w:rPr>
            <w:t>拌和</w:t>
          </w:r>
          <w:r>
            <w:rPr>
              <w:rFonts w:hint="default" w:ascii="Times New Roman" w:hAnsi="Times New Roman" w:eastAsia="宋体" w:cs="Times New Roman"/>
              <w:highlight w:val="none"/>
            </w:rPr>
            <w:t>工艺流程简述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_Toc27202 \h </w:instrText>
          </w:r>
          <w:r>
            <w:rPr>
              <w:rFonts w:hint="default" w:ascii="Times New Roman" w:hAnsi="Times New Roman" w:eastAsia="宋体" w:cs="Times New Roman"/>
            </w:rPr>
            <w:fldChar w:fldCharType="separate"/>
          </w:r>
          <w:r>
            <w:rPr>
              <w:rFonts w:hint="default" w:ascii="Times New Roman" w:hAnsi="Times New Roman" w:eastAsia="宋体" w:cs="Times New Roman"/>
            </w:rPr>
            <w:t>61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AD0993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_Toc21988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3.2.2</w:t>
          </w:r>
          <w:r>
            <w:rPr>
              <w:rFonts w:hint="default" w:ascii="Times New Roman" w:hAnsi="Times New Roman" w:eastAsia="宋体" w:cs="Times New Roman"/>
              <w:highlight w:val="none"/>
              <w:lang w:eastAsia="zh-CN"/>
            </w:rPr>
            <w:t>羊群</w:t>
          </w:r>
          <w:r>
            <w:rPr>
              <w:rFonts w:hint="default" w:ascii="Times New Roman" w:hAnsi="Times New Roman" w:eastAsia="宋体" w:cs="Times New Roman"/>
              <w:highlight w:val="none"/>
            </w:rPr>
            <w:t>饲养流程简述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61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5E2C67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_Toc27385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3.2.</w:t>
          </w:r>
          <w:r>
            <w:rPr>
              <w:rFonts w:hint="default" w:ascii="Times New Roman" w:hAnsi="Times New Roman" w:eastAsia="宋体" w:cs="Times New Roman"/>
              <w:highlight w:val="none"/>
              <w:lang w:val="en-US" w:eastAsia="zh-CN"/>
            </w:rPr>
            <w:t>3</w:t>
          </w:r>
          <w:r>
            <w:rPr>
              <w:rFonts w:hint="default" w:ascii="Times New Roman" w:hAnsi="Times New Roman" w:eastAsia="宋体" w:cs="Times New Roman"/>
              <w:highlight w:val="none"/>
            </w:rPr>
            <w:t>粪污清理工艺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_Toc27385 \h </w:instrText>
          </w:r>
          <w:r>
            <w:rPr>
              <w:rFonts w:hint="default" w:ascii="Times New Roman" w:hAnsi="Times New Roman" w:eastAsia="宋体" w:cs="Times New Roman"/>
            </w:rPr>
            <w:fldChar w:fldCharType="separate"/>
          </w:r>
          <w:r>
            <w:rPr>
              <w:rFonts w:hint="default" w:ascii="Times New Roman" w:hAnsi="Times New Roman" w:eastAsia="宋体" w:cs="Times New Roman"/>
            </w:rPr>
            <w:t>62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5BBF4C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_Toc4887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3.2.</w:t>
          </w:r>
          <w:r>
            <w:rPr>
              <w:rFonts w:hint="default" w:ascii="Times New Roman" w:hAnsi="Times New Roman" w:eastAsia="宋体" w:cs="Times New Roman"/>
              <w:highlight w:val="none"/>
              <w:lang w:val="en-US" w:eastAsia="zh-CN"/>
            </w:rPr>
            <w:t>4</w:t>
          </w:r>
          <w:r>
            <w:rPr>
              <w:rFonts w:hint="default" w:ascii="Times New Roman" w:hAnsi="Times New Roman" w:eastAsia="宋体" w:cs="Times New Roman"/>
              <w:highlight w:val="none"/>
              <w:lang w:eastAsia="zh-CN"/>
            </w:rPr>
            <w:t>堆肥</w:t>
          </w:r>
          <w:r>
            <w:rPr>
              <w:rFonts w:hint="default" w:ascii="Times New Roman" w:hAnsi="Times New Roman" w:eastAsia="宋体" w:cs="Times New Roman"/>
              <w:highlight w:val="none"/>
            </w:rPr>
            <w:t>工艺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_Toc4887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04BDE3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_Toc8984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24"/>
              <w:highlight w:val="none"/>
              <w:lang w:val="en-US" w:eastAsia="zh-CN"/>
            </w:rPr>
            <w:t>3</w:t>
          </w:r>
          <w:r>
            <w:rPr>
              <w:rFonts w:hint="default" w:ascii="Times New Roman" w:hAnsi="Times New Roman" w:eastAsia="宋体" w:cs="Times New Roman"/>
              <w:szCs w:val="24"/>
              <w:highlight w:val="none"/>
            </w:rPr>
            <w:t>.2.</w:t>
          </w:r>
          <w:r>
            <w:rPr>
              <w:rFonts w:hint="default" w:ascii="Times New Roman" w:hAnsi="Times New Roman" w:eastAsia="宋体" w:cs="Times New Roman"/>
              <w:szCs w:val="24"/>
              <w:highlight w:val="none"/>
              <w:lang w:val="en-US" w:eastAsia="zh-CN"/>
            </w:rPr>
            <w:t>5</w:t>
          </w:r>
          <w:r>
            <w:rPr>
              <w:rFonts w:hint="default" w:ascii="Times New Roman" w:hAnsi="Times New Roman" w:eastAsia="宋体" w:cs="Times New Roman"/>
              <w:szCs w:val="24"/>
              <w:highlight w:val="none"/>
              <w:lang w:eastAsia="zh-CN"/>
            </w:rPr>
            <w:t>羊圈、堆肥场除臭工艺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_Toc8984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6D0CBE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_Toc24249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24"/>
              <w:highlight w:val="none"/>
              <w:lang w:val="en-US" w:eastAsia="zh-CN"/>
            </w:rPr>
            <w:t>3</w:t>
          </w:r>
          <w:r>
            <w:rPr>
              <w:rFonts w:hint="default" w:ascii="Times New Roman" w:hAnsi="Times New Roman" w:eastAsia="宋体" w:cs="Times New Roman"/>
              <w:szCs w:val="24"/>
              <w:highlight w:val="none"/>
            </w:rPr>
            <w:t>.2.</w:t>
          </w:r>
          <w:r>
            <w:rPr>
              <w:rFonts w:hint="default" w:ascii="Times New Roman" w:hAnsi="Times New Roman" w:eastAsia="宋体" w:cs="Times New Roman"/>
              <w:szCs w:val="24"/>
              <w:highlight w:val="none"/>
              <w:lang w:val="en-US" w:eastAsia="zh-CN"/>
            </w:rPr>
            <w:t>6</w:t>
          </w:r>
          <w:r>
            <w:rPr>
              <w:rFonts w:hint="default" w:ascii="Times New Roman" w:hAnsi="Times New Roman" w:eastAsia="宋体" w:cs="Times New Roman"/>
              <w:szCs w:val="24"/>
              <w:highlight w:val="none"/>
              <w:lang w:eastAsia="zh-CN"/>
            </w:rPr>
            <w:t>卫生防疫系统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628857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_Toc6874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24"/>
              <w:highlight w:val="none"/>
              <w:lang w:val="en-US" w:eastAsia="zh-CN"/>
            </w:rPr>
            <w:t>3.2.</w:t>
          </w:r>
          <w:r>
            <w:rPr>
              <w:rFonts w:hint="default" w:ascii="Times New Roman" w:hAnsi="Times New Roman" w:eastAsia="宋体" w:cs="Times New Roman"/>
              <w:szCs w:val="24"/>
              <w:highlight w:val="none"/>
              <w:lang w:val="en-US" w:eastAsia="zh-CN"/>
            </w:rPr>
            <w:t>7造粒生产车间生产工艺流程简述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_Toc6874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EB5524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_Toc17306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24"/>
              <w:highlight w:val="none"/>
              <w:lang w:val="en-US" w:eastAsia="zh-CN"/>
            </w:rPr>
            <w:t>3.2.</w:t>
          </w:r>
          <w:r>
            <w:rPr>
              <w:rFonts w:hint="default" w:ascii="Times New Roman" w:hAnsi="Times New Roman" w:eastAsia="宋体" w:cs="Times New Roman"/>
              <w:szCs w:val="24"/>
              <w:highlight w:val="none"/>
              <w:lang w:val="en-US" w:eastAsia="zh-CN"/>
            </w:rPr>
            <w:t>8玉米烘干线生产工艺流程简述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_Toc17306 \h </w:instrText>
          </w:r>
          <w:r>
            <w:rPr>
              <w:rFonts w:hint="default" w:ascii="Times New Roman" w:hAnsi="Times New Roman" w:eastAsia="宋体" w:cs="Times New Roman"/>
            </w:rPr>
            <w:fldChar w:fldCharType="separate"/>
          </w:r>
          <w:r>
            <w:rPr>
              <w:rFonts w:hint="default" w:ascii="Times New Roman" w:hAnsi="Times New Roman" w:eastAsia="宋体" w:cs="Times New Roman"/>
            </w:rPr>
            <w:t>67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661770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_Toc29539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3.3项目污染源源强核算</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_Toc29539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155031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_Toc24983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3.3.1大气污染物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_Toc24983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6B06E5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_Toc27455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3.3.2水污染物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_Toc27455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76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5AC8C4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_Toc10923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3.3.3噪声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_Toc10923 \h </w:instrText>
          </w:r>
          <w:r>
            <w:rPr>
              <w:rFonts w:hint="default" w:ascii="Times New Roman" w:hAnsi="Times New Roman" w:eastAsia="宋体" w:cs="Times New Roman"/>
            </w:rPr>
            <w:fldChar w:fldCharType="separate"/>
          </w:r>
          <w:r>
            <w:rPr>
              <w:rFonts w:hint="default" w:ascii="Times New Roman" w:hAnsi="Times New Roman" w:eastAsia="宋体" w:cs="Times New Roman"/>
            </w:rPr>
            <w:t>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03E42B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_Toc2993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3.3.4固体废弃物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80F9B00">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_Toc17371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3.4粪污资源化利用综述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_Toc17371 \h </w:instrText>
          </w:r>
          <w:r>
            <w:rPr>
              <w:rFonts w:hint="default" w:ascii="Times New Roman" w:hAnsi="Times New Roman" w:eastAsia="宋体" w:cs="Times New Roman"/>
            </w:rPr>
            <w:fldChar w:fldCharType="separate"/>
          </w:r>
          <w:r>
            <w:rPr>
              <w:rFonts w:hint="default" w:ascii="Times New Roman" w:hAnsi="Times New Roman" w:eastAsia="宋体" w:cs="Times New Roman"/>
            </w:rPr>
            <w:t>80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C1E217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_Toc28857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4环境现状调查及评价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_Toc28857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81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7B8ABD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_Toc27580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4.1自然环境现状调查与评价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_Toc27580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81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5FCBB8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_Toc7468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4.1.1地理位置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_Toc7468 \h </w:instrText>
          </w:r>
          <w:r>
            <w:rPr>
              <w:rFonts w:hint="default" w:ascii="Times New Roman" w:hAnsi="Times New Roman" w:eastAsia="宋体" w:cs="Times New Roman"/>
            </w:rPr>
            <w:fldChar w:fldCharType="separate"/>
          </w:r>
          <w:r>
            <w:rPr>
              <w:rFonts w:hint="default" w:ascii="Times New Roman" w:hAnsi="Times New Roman" w:eastAsia="宋体" w:cs="Times New Roman"/>
            </w:rPr>
            <w:t>81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E1A01C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_Toc24424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4.1.2</w:t>
          </w:r>
          <w:r>
            <w:rPr>
              <w:rFonts w:hint="default" w:ascii="Times New Roman" w:hAnsi="Times New Roman" w:eastAsia="宋体" w:cs="Times New Roman"/>
              <w:szCs w:val="22"/>
              <w:highlight w:val="none"/>
            </w:rPr>
            <w:t>地形地貌</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_Toc24424 \h </w:instrText>
          </w:r>
          <w:r>
            <w:rPr>
              <w:rFonts w:hint="default" w:ascii="Times New Roman" w:hAnsi="Times New Roman" w:eastAsia="宋体" w:cs="Times New Roman"/>
            </w:rPr>
            <w:fldChar w:fldCharType="separate"/>
          </w:r>
          <w:r>
            <w:rPr>
              <w:rFonts w:hint="default" w:ascii="Times New Roman" w:hAnsi="Times New Roman" w:eastAsia="宋体" w:cs="Times New Roman"/>
            </w:rPr>
            <w:t>81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D27969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_Toc6975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4.1.3</w:t>
          </w:r>
          <w:r>
            <w:rPr>
              <w:rFonts w:hint="default" w:ascii="Times New Roman" w:hAnsi="Times New Roman" w:eastAsia="宋体" w:cs="Times New Roman"/>
              <w:szCs w:val="22"/>
              <w:highlight w:val="none"/>
            </w:rPr>
            <w:t>气候特征</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_Toc6975 \h </w:instrText>
          </w:r>
          <w:r>
            <w:rPr>
              <w:rFonts w:hint="default" w:ascii="Times New Roman" w:hAnsi="Times New Roman" w:eastAsia="宋体" w:cs="Times New Roman"/>
            </w:rPr>
            <w:fldChar w:fldCharType="separate"/>
          </w:r>
          <w:r>
            <w:rPr>
              <w:rFonts w:hint="default" w:ascii="Times New Roman" w:hAnsi="Times New Roman" w:eastAsia="宋体" w:cs="Times New Roman"/>
            </w:rPr>
            <w:t>82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CBB27C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_Toc3461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w:t>
          </w:r>
          <w:r>
            <w:rPr>
              <w:rFonts w:hint="default" w:ascii="Times New Roman" w:hAnsi="Times New Roman" w:eastAsia="宋体" w:cs="Times New Roman"/>
              <w:highlight w:val="none"/>
              <w:lang w:val="en-US" w:eastAsia="zh-CN"/>
            </w:rPr>
            <w:t>4</w:t>
          </w:r>
          <w:r>
            <w:rPr>
              <w:rFonts w:hint="default" w:ascii="Times New Roman" w:hAnsi="Times New Roman" w:eastAsia="宋体" w:cs="Times New Roman"/>
              <w:highlight w:val="none"/>
            </w:rPr>
            <w:t>水文</w:t>
          </w:r>
          <w:r>
            <w:rPr>
              <w:rFonts w:hint="default" w:ascii="Times New Roman" w:hAnsi="Times New Roman" w:eastAsia="宋体" w:cs="Times New Roman"/>
              <w:highlight w:val="none"/>
              <w:lang w:eastAsia="zh-CN"/>
            </w:rPr>
            <w:t>地质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_Toc3461 \h </w:instrText>
          </w:r>
          <w:r>
            <w:rPr>
              <w:rFonts w:hint="default" w:ascii="Times New Roman" w:hAnsi="Times New Roman" w:eastAsia="宋体" w:cs="Times New Roman"/>
            </w:rPr>
            <w:fldChar w:fldCharType="separate"/>
          </w:r>
          <w:r>
            <w:rPr>
              <w:rFonts w:hint="default" w:ascii="Times New Roman" w:hAnsi="Times New Roman" w:eastAsia="宋体" w:cs="Times New Roman"/>
            </w:rPr>
            <w:t>82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5C5238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_Toc32004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4.1.</w:t>
          </w:r>
          <w:r>
            <w:rPr>
              <w:rFonts w:hint="default" w:ascii="Times New Roman" w:hAnsi="Times New Roman" w:eastAsia="宋体" w:cs="Times New Roman"/>
              <w:highlight w:val="none"/>
              <w:lang w:val="en-US" w:eastAsia="zh-CN"/>
            </w:rPr>
            <w:t>5动植物及</w:t>
          </w:r>
          <w:r>
            <w:rPr>
              <w:rFonts w:hint="default" w:ascii="Times New Roman" w:hAnsi="Times New Roman" w:eastAsia="宋体" w:cs="Times New Roman"/>
              <w:highlight w:val="none"/>
            </w:rPr>
            <w:t>土壤</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_Toc32004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82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C2F08E0">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_Toc29826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4.2环境质量现状调查与评价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_Toc29826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83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34FF3C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_Toc12614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4.2.1环境空气质量现状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_Toc12614 \h </w:instrText>
          </w:r>
          <w:r>
            <w:rPr>
              <w:rFonts w:hint="default" w:ascii="Times New Roman" w:hAnsi="Times New Roman" w:eastAsia="宋体" w:cs="Times New Roman"/>
            </w:rPr>
            <w:fldChar w:fldCharType="separate"/>
          </w:r>
          <w:r>
            <w:rPr>
              <w:rFonts w:hint="default" w:ascii="Times New Roman" w:hAnsi="Times New Roman" w:eastAsia="宋体" w:cs="Times New Roman"/>
            </w:rPr>
            <w:t>83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E69609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_Toc29105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4.2.2地下水质量现状调查与评价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_Toc29105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86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343B74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_Toc27386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4.2.3土壤环境质量现状调查与评价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_Toc27386 \h </w:instrText>
          </w:r>
          <w:r>
            <w:rPr>
              <w:rFonts w:hint="default" w:ascii="Times New Roman" w:hAnsi="Times New Roman" w:eastAsia="宋体" w:cs="Times New Roman"/>
            </w:rPr>
            <w:fldChar w:fldCharType="separate"/>
          </w:r>
          <w:r>
            <w:rPr>
              <w:rFonts w:hint="default" w:ascii="Times New Roman" w:hAnsi="Times New Roman" w:eastAsia="宋体" w:cs="Times New Roman"/>
            </w:rPr>
            <w:t>93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CADE03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_Toc20784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4.2.4声环境质量现状调查与评价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_Toc20784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99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F5D1B5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_Toc5615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4.2.5生态环境现状调查与评价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_Toc5615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4CFB37A">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_Toc9101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w:t>
          </w:r>
          <w:r>
            <w:rPr>
              <w:rFonts w:hint="default" w:ascii="Times New Roman" w:hAnsi="Times New Roman" w:eastAsia="宋体" w:cs="Times New Roman"/>
              <w:bCs/>
              <w:highlight w:val="none"/>
              <w:lang w:val="en-US" w:eastAsia="zh-CN"/>
            </w:rPr>
            <w:t>5</w:t>
          </w:r>
          <w:r>
            <w:rPr>
              <w:rFonts w:hint="default" w:ascii="Times New Roman" w:hAnsi="Times New Roman" w:eastAsia="宋体" w:cs="Times New Roman"/>
              <w:highlight w:val="none"/>
            </w:rPr>
            <w:t>.1土地利用现状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_Toc9101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0954BD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_Toc1553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w:t>
          </w:r>
          <w:r>
            <w:rPr>
              <w:rFonts w:hint="default" w:ascii="Times New Roman" w:hAnsi="Times New Roman" w:eastAsia="宋体" w:cs="Times New Roman"/>
              <w:bCs/>
              <w:highlight w:val="none"/>
              <w:lang w:val="en-US" w:eastAsia="zh-CN"/>
            </w:rPr>
            <w:t>5</w:t>
          </w:r>
          <w:r>
            <w:rPr>
              <w:rFonts w:hint="default" w:ascii="Times New Roman" w:hAnsi="Times New Roman" w:eastAsia="宋体" w:cs="Times New Roman"/>
              <w:highlight w:val="none"/>
            </w:rPr>
            <w:t>.</w:t>
          </w:r>
          <w:r>
            <w:rPr>
              <w:rFonts w:hint="default" w:ascii="Times New Roman" w:hAnsi="Times New Roman" w:eastAsia="宋体" w:cs="Times New Roman"/>
              <w:highlight w:val="none"/>
              <w:lang w:val="en-US" w:eastAsia="zh-CN"/>
            </w:rPr>
            <w:t>2植被类型</w:t>
          </w:r>
          <w:r>
            <w:rPr>
              <w:rFonts w:hint="default" w:ascii="Times New Roman" w:hAnsi="Times New Roman" w:eastAsia="宋体" w:cs="Times New Roman"/>
              <w:highlight w:val="none"/>
            </w:rPr>
            <w:t>现状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E953A5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_Toc8088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4.2.</w:t>
          </w:r>
          <w:r>
            <w:rPr>
              <w:rFonts w:hint="default" w:ascii="Times New Roman" w:hAnsi="Times New Roman" w:eastAsia="宋体" w:cs="Times New Roman"/>
              <w:bCs/>
              <w:highlight w:val="none"/>
              <w:lang w:val="en-US" w:eastAsia="zh-CN"/>
            </w:rPr>
            <w:t>5</w:t>
          </w:r>
          <w:r>
            <w:rPr>
              <w:rFonts w:hint="default" w:ascii="Times New Roman" w:hAnsi="Times New Roman" w:eastAsia="宋体" w:cs="Times New Roman"/>
              <w:highlight w:val="none"/>
            </w:rPr>
            <w:t>.</w:t>
          </w:r>
          <w:r>
            <w:rPr>
              <w:rFonts w:hint="default" w:ascii="Times New Roman" w:hAnsi="Times New Roman" w:eastAsia="宋体" w:cs="Times New Roman"/>
              <w:highlight w:val="none"/>
              <w:lang w:val="en-US" w:eastAsia="zh-CN"/>
            </w:rPr>
            <w:t>3土壤类型</w:t>
          </w:r>
          <w:r>
            <w:rPr>
              <w:rFonts w:hint="default" w:ascii="Times New Roman" w:hAnsi="Times New Roman" w:eastAsia="宋体" w:cs="Times New Roman"/>
              <w:highlight w:val="none"/>
            </w:rPr>
            <w:t>现状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_Toc8088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A42794A">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_Toc9787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5环境影响预测与评价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_Toc9787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35B7244">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_Toc5467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5.1施工期环境影响分析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_Toc5467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2E110B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5.1.1大气环境影响分析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5DC59F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_Toc20011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5.1.2水环境影响分析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_Toc20011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E84097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_Toc14433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5.1.3施工期声环境影响分析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_Toc14433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8E2E9E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_Toc16020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5.1.4固废环境影响分析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_Toc16020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D1F5405">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_Toc17005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5.1.5施工期生态影响分析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_Toc17005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58F964F">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_Toc1092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5.2运营期大气环境影响分析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_Toc1092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34C3DD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_Toc12377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5.2.1区域气象资料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_Toc12377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F85A51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_Toc20816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5.2.2大气环境影响预测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_Toc20816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E90038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_Toc32248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5.2.3大气环境影响评价结论与建议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_Toc32248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49A31D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5.3运营期地表水环境影响分析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5CDC188">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_Toc8117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5.4运营期地下水环境影响</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_Toc8117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424491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_Toc455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5.4.1环境水文地质条件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F0924F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_Toc16435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5.4.2地下水环境影响分析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_Toc16435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87A483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_Toc19303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5.4.3预测结果分析评价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_Toc19303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989277D">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_Toc22490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5.5运营期土壤环境影响分析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_Toc22490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BC79344">
          <w:pPr>
            <w:pStyle w:val="21"/>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_Toc12669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5.5.</w:t>
          </w:r>
          <w:r>
            <w:rPr>
              <w:rFonts w:hint="default" w:ascii="Times New Roman" w:hAnsi="Times New Roman" w:eastAsia="宋体" w:cs="Times New Roman"/>
              <w:highlight w:val="none"/>
              <w:lang w:val="en-US" w:eastAsia="zh-CN"/>
            </w:rPr>
            <w:t>1</w:t>
          </w:r>
          <w:r>
            <w:rPr>
              <w:rFonts w:hint="default" w:ascii="Times New Roman" w:hAnsi="Times New Roman" w:eastAsia="宋体" w:cs="Times New Roman"/>
              <w:highlight w:val="none"/>
            </w:rPr>
            <w:t>环境影响识别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_Toc12669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82B3ED8">
          <w:pPr>
            <w:pStyle w:val="21"/>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_Toc11870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5.5.</w:t>
          </w:r>
          <w:r>
            <w:rPr>
              <w:rFonts w:hint="default" w:ascii="Times New Roman" w:hAnsi="Times New Roman" w:eastAsia="宋体" w:cs="Times New Roman"/>
              <w:highlight w:val="none"/>
              <w:lang w:val="en-US" w:eastAsia="zh-CN"/>
            </w:rPr>
            <w:t>2</w:t>
          </w:r>
          <w:r>
            <w:rPr>
              <w:rFonts w:hint="default" w:ascii="Times New Roman" w:hAnsi="Times New Roman" w:eastAsia="宋体" w:cs="Times New Roman"/>
              <w:highlight w:val="none"/>
            </w:rPr>
            <w:t>理化调查与评价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_Toc11870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6A34B89">
          <w:pPr>
            <w:pStyle w:val="21"/>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_Toc2257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5.5.</w:t>
          </w:r>
          <w:r>
            <w:rPr>
              <w:rFonts w:hint="default" w:ascii="Times New Roman" w:hAnsi="Times New Roman" w:eastAsia="宋体" w:cs="Times New Roman"/>
              <w:highlight w:val="none"/>
              <w:lang w:val="en-US" w:eastAsia="zh-CN"/>
            </w:rPr>
            <w:t>3</w:t>
          </w:r>
          <w:r>
            <w:rPr>
              <w:rFonts w:hint="default" w:ascii="Times New Roman" w:hAnsi="Times New Roman" w:eastAsia="宋体" w:cs="Times New Roman"/>
              <w:highlight w:val="none"/>
            </w:rPr>
            <w:t>土壤环境影响预测与评价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99F55BF">
          <w:pPr>
            <w:pStyle w:val="21"/>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_Toc31462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5.5.</w:t>
          </w:r>
          <w:r>
            <w:rPr>
              <w:rFonts w:hint="default" w:ascii="Times New Roman" w:hAnsi="Times New Roman" w:eastAsia="宋体" w:cs="Times New Roman"/>
              <w:highlight w:val="none"/>
              <w:lang w:val="en-US" w:eastAsia="zh-CN"/>
            </w:rPr>
            <w:t>4</w:t>
          </w:r>
          <w:r>
            <w:rPr>
              <w:rFonts w:hint="default" w:ascii="Times New Roman" w:hAnsi="Times New Roman" w:eastAsia="宋体" w:cs="Times New Roman"/>
              <w:highlight w:val="none"/>
            </w:rPr>
            <w:t>土壤影响评价结论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_Toc31462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7EAB7F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_Toc585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5.6运营期声环境影响分析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_Toc585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84BED6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_Toc28013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5.6.1主要声源源强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789B74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_Toc6537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5.6.2声环境预测方法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_Toc6537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39CBD38">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_Toc15627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5.6.3声环境预测结果及结论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_Toc15627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06BB571">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_Toc25835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5.7运营期固体废物环境影响分析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_Toc25835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51EC69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_Toc5332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5.7.1固体废物环境影响特点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_Toc5332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B8B2A3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_Toc21993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5.7.2固体废物污染途径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40DE495">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_Toc26511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5.7.3固废影响分析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_Toc26511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B023ED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_Toc19722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5.8运营期生态环境影响分析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_Toc19722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E19338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_Toc7131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5.8.1土地利用影响评价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_Toc7131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9D8C80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_Toc8079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5.8.2对动植物的影响分析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_Toc8079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0E77F1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_Toc14893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5.8.3对土壤的污染影响分析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_Toc14893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75B72E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_Toc22168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6环境风险评价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_Toc22168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0854EDD">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_Toc25651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6.1风险评价目的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_Toc25651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C784E15">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_Toc23484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6.2风险调查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_Toc23484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02AE4A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_Toc31050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6.2.1建设项目风险源调查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_Toc31050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A54355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_Toc9362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6.2.2环境敏感目标调查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_Toc9362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654D099">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_Toc9615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6.3评价等级划分及评价范围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_Toc9615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82F66B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_Toc11788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6.3.1危险物质及工艺系统危险性（P）的分级确定</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_Toc11788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881D89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_Toc30315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6.3.2环境影响评价等级及评价范围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_Toc30315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7DAEE7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_Toc11067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6.4环境风险分析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_Toc11067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0B985F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_Toc2227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6.4.1物质危险性识别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03FE70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_Toc19332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6.4.2生产系统危险性识别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_Toc19332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BF9D4E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_Toc17552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6.5风险事故情形分析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_Toc17552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1ACE3A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_Toc23394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6.6环境风险管理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_Toc23394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AFF0AC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_Toc32194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6.6.1环境风险防范措施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_Toc32194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C0652B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_Toc20965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6.6.2突发环境事件应急预案编制要求</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_Toc20965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F599AD5">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_Toc15790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6.7结论与建议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_Toc15790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8025A7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_Toc17955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6.7.1结论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_Toc17955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B7BE7B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_Toc19081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6.7.2建议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_Toc19081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B092502">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_Toc8312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7环境保护措施及其可行性论证</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_Toc8312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B9279CA">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_Toc32755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7.1施工期环境保护措施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_Toc32755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E43220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_Toc23965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7.1.1施工期大气环境保护措施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_Toc23965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69F2191">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_Toc14469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7.1.2施工期水环境保护措施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_Toc14469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775877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_Toc31217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7.1.3施工期声环境保护措施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_Toc31217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E0902B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_Toc5286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7.1.4施工期固体废物处理措施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_Toc5286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F22E77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_Toc14215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7.1.5施工期生态环境保护措施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_Toc14215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99D35C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_Toc6205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7.1.6小结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_Toc6205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5CC7809">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_Toc26719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7.2运营期大气污染防治措施及可行性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_Toc26719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58D05A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_Toc792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7.2.1恶臭污染防治措施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_Toc792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0E5DC4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_Toc31231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7.2.2饲料配置粉尘</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_Toc31231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1D701E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_Toc18116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7.2.</w:t>
          </w:r>
          <w:r>
            <w:rPr>
              <w:rFonts w:hint="default" w:ascii="Times New Roman" w:hAnsi="Times New Roman" w:eastAsia="宋体" w:cs="Times New Roman"/>
              <w:highlight w:val="none"/>
              <w:lang w:val="en-US" w:eastAsia="zh-CN"/>
            </w:rPr>
            <w:t>3热风炉废气</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_Toc18116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2A64702">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_Toc30712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7.3运营期水污染防治措施及可行性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_Toc30712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207B2D5">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_Toc23048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7.3.1</w:t>
          </w:r>
          <w:r>
            <w:rPr>
              <w:rFonts w:hint="default" w:ascii="Times New Roman" w:hAnsi="Times New Roman" w:eastAsia="宋体" w:cs="Times New Roman"/>
              <w:highlight w:val="none"/>
              <w:lang w:eastAsia="zh-CN"/>
            </w:rPr>
            <w:t>废水防治措施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_Toc23048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C24BEF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_Toc24130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7.3.2雨污分流措施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_Toc24130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20B1FA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_Toc28672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7.4运营期地下水防治措施可行性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_Toc28672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C8C59D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_Toc18032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7.4.1防治原则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_Toc18032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46F82F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_Toc11094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7.4.2污染物控制对策</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_Toc11094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4E9F63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_Toc25204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7.4.3措施可行性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_Toc25204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38C816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_Toc28758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7.5运营期土壤环境防治措施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_Toc28758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512582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_Toc16108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7.5.1源头控制措施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_Toc16108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8602F40">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_Toc29861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7.5.2过程控制措施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_Toc29861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56152D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_Toc4221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7.5.3末端控制措施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_Toc4221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460F2D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_Toc24988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7.5.</w:t>
          </w:r>
          <w:r>
            <w:rPr>
              <w:rFonts w:hint="default" w:ascii="Times New Roman" w:hAnsi="Times New Roman" w:eastAsia="宋体" w:cs="Times New Roman"/>
              <w:highlight w:val="none"/>
              <w:lang w:val="en-US" w:eastAsia="zh-CN"/>
            </w:rPr>
            <w:t>4</w:t>
          </w:r>
          <w:r>
            <w:rPr>
              <w:rFonts w:hint="default" w:ascii="Times New Roman" w:hAnsi="Times New Roman" w:eastAsia="宋体" w:cs="Times New Roman"/>
              <w:highlight w:val="none"/>
            </w:rPr>
            <w:t>应急响应措施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_Toc24988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472C752">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_Toc11578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7.6运营期声环境防治措施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_Toc11578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9BB60F8">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_Toc18075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7.7运营期固体废物污染防治措施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_Toc18075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FF24B2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_Toc6712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7.7.1固体废物处置合理性分析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_Toc6712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E52B415">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_Toc26271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7.7.2危险废物管理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_Toc26271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90999ED">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_Toc7288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7.8粪污资源化利用措施可行性分析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_Toc7288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5247465">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_Toc16337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7.8.1粪污资源化利用可行性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_Toc16337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1570527">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_Toc5257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7.8.2粪污农肥还田利用合规性分析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_Toc5257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6D68E5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_Toc29129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7.8.3粪污资源化工艺可行性分析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_Toc29129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1115D0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_Toc16573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szCs w:val="24"/>
              <w:highlight w:val="none"/>
            </w:rPr>
            <w:t>7.8.4还田利用可行性分析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_Toc16573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092A22B">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_Toc30894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7.9运营期生态环境保护措施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_Toc30894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022C001">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_Toc26757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7.1</w:t>
          </w:r>
          <w:r>
            <w:rPr>
              <w:rFonts w:hint="default" w:ascii="Times New Roman" w:hAnsi="Times New Roman" w:eastAsia="宋体" w:cs="Times New Roman"/>
              <w:highlight w:val="none"/>
              <w:lang w:val="en-US" w:eastAsia="zh-CN"/>
            </w:rPr>
            <w:t>0</w:t>
          </w:r>
          <w:r>
            <w:rPr>
              <w:rFonts w:hint="default" w:ascii="Times New Roman" w:hAnsi="Times New Roman" w:eastAsia="宋体" w:cs="Times New Roman"/>
              <w:highlight w:val="none"/>
            </w:rPr>
            <w:t>运营期污染防治对策和措施及环保投资汇总</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_Toc26757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F4CBF6F">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_Toc8940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8环境影响经济损益分析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_Toc8940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A8FCF9F">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_Toc27561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8.1经济效益分析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_Toc27561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9F22642">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_Toc10375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8.2社会效益分析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_Toc10375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243DE11">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_Toc28633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8.3环境效益分析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_Toc28633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F35E7CE">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_Toc5777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8.3.1环保投资费用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_Toc5777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1E10C9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8.3.2环保设施运行费用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DCAA8D2">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_Toc10149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8.3.3环保效益估算</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_Toc10149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193</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F84685C">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_Toc23297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8.3.4经济效益分析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_Toc23297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7EDA70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_Toc8239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8.4小结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_Toc8239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194</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2EE0E59">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_Toc31316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9环境管理与监测计划</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_Toc31316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E884475">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_Toc23365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9.1污染物总量控制分析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_Toc23365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A2B6B2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_Toc25861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9.1.1原则和目标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_Toc25861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69398F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_Toc4604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9.1.</w:t>
          </w:r>
          <w:r>
            <w:rPr>
              <w:rFonts w:hint="default" w:ascii="Times New Roman" w:hAnsi="Times New Roman" w:eastAsia="宋体" w:cs="Times New Roman"/>
              <w:highlight w:val="none"/>
              <w:lang w:val="en-US" w:eastAsia="zh-CN"/>
            </w:rPr>
            <w:t>2</w:t>
          </w:r>
          <w:r>
            <w:rPr>
              <w:rFonts w:hint="default" w:ascii="Times New Roman" w:hAnsi="Times New Roman" w:eastAsia="宋体" w:cs="Times New Roman"/>
              <w:highlight w:val="none"/>
            </w:rPr>
            <w:t>总量控制因子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_Toc4604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30089E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_Toc31907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9.1.</w:t>
          </w:r>
          <w:r>
            <w:rPr>
              <w:rFonts w:hint="default" w:ascii="Times New Roman" w:hAnsi="Times New Roman" w:eastAsia="宋体" w:cs="Times New Roman"/>
              <w:highlight w:val="none"/>
              <w:lang w:val="en-US" w:eastAsia="zh-CN"/>
            </w:rPr>
            <w:t>3</w:t>
          </w:r>
          <w:r>
            <w:rPr>
              <w:rFonts w:hint="default" w:ascii="Times New Roman" w:hAnsi="Times New Roman" w:eastAsia="宋体" w:cs="Times New Roman"/>
              <w:highlight w:val="none"/>
            </w:rPr>
            <w:t>总量核算</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_Toc31907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195</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B17C0A9">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_Toc14199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9.1.</w:t>
          </w:r>
          <w:r>
            <w:rPr>
              <w:rFonts w:hint="default" w:ascii="Times New Roman" w:hAnsi="Times New Roman" w:eastAsia="宋体" w:cs="Times New Roman"/>
              <w:highlight w:val="none"/>
              <w:lang w:val="en-US" w:eastAsia="zh-CN"/>
            </w:rPr>
            <w:t>4</w:t>
          </w:r>
          <w:r>
            <w:rPr>
              <w:rFonts w:hint="default" w:ascii="Times New Roman" w:hAnsi="Times New Roman" w:eastAsia="宋体" w:cs="Times New Roman"/>
              <w:highlight w:val="none"/>
            </w:rPr>
            <w:t>污染物总量控制指标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_Toc14199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2B2A4E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_Toc26705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9.2环境管理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_Toc26705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D03DF5B">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_Toc31921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9.2.1环境管理制度及组织机构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_Toc31921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196</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129D74A">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_Toc29994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9.2.2排污许可证申领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_Toc29994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CD6181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_Toc7883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9.2.3环保竣工验收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_Toc7883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8B05CE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_Toc7785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9.2.4排污口规范化管理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_Toc7785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DB4EA8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_Toc14784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9.2.5环境风险应急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_Toc14784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73BD80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_Toc10780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9.2.6向生态环境主管部门报告制度</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_Toc10780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CCA0A43">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_Toc7955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9.2.7企业环境信息公开</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_Toc7955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5311EB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_Toc1659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9.2.8日常环境管理台账</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FF8FB7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_Toc29707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9.3监测计划</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_Toc29707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A92CCCB">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_Toc7160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9.4环保设施“三同时”竣工验收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_Toc7160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60688A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_Toc32393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10结论及建议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_Toc32393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C0D055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_Toc830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10.1建设项目概况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_Toc830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46837E3">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_Toc32151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10.2环境可行性结论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_Toc32151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1223D9D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_Toc3090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10.2.1产业政策符合性分析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_Toc3090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A41C3A6">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_Toc25409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10.2.2选址与相关规划符合性分析结论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_Toc25409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207</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68BEA9F">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_Toc9280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10.2.3平面布局合理性分析结论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_Toc9280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460344F">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_Toc25163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10.3环境质量现状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_Toc25163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208</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3F42BCC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_Toc11850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10.4环境影响分析结论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_Toc11850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5A2D014">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_Toc22491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10.4.1施工期环境影响</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_Toc22491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7DB2D55D">
          <w:pPr>
            <w:pStyle w:val="34"/>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_Toc11558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10.4.2运营期环境影响</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_Toc11558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209</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684F5C5E">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_Toc17681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10.5污染防治措施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_Toc17681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210</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2F173A1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_Toc31083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10.6总量控制指标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_Toc31083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720DDEC">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_Toc24471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10.7环境影响经济损益分析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_Toc24471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E7FF2B9">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_Toc23816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10.8环境管理和监测计划</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_Toc23816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0009F626">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_Toc32197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10.9公众参与情况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_Toc32197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211</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5D8AC6A7">
          <w:pPr>
            <w:pStyle w:val="30"/>
            <w:tabs>
              <w:tab w:val="right" w:leader="dot" w:pos="8306"/>
            </w:tabs>
            <w:rPr>
              <w:rFonts w:hint="default" w:ascii="Times New Roman" w:hAnsi="Times New Roman" w:eastAsia="宋体" w:cs="Times New Roman"/>
            </w:rPr>
          </w:pPr>
          <w:r>
            <w:rPr>
              <w:rFonts w:hint="default" w:ascii="Times New Roman" w:hAnsi="Times New Roman" w:eastAsia="宋体" w:cs="Times New Roman"/>
              <w:bCs/>
              <w:color w:val="auto"/>
              <w:szCs w:val="24"/>
              <w:highlight w:val="none"/>
              <w:lang w:val="zh-CN"/>
            </w:rPr>
            <w:fldChar w:fldCharType="begin"/>
          </w:r>
          <w:r>
            <w:rPr>
              <w:rFonts w:hint="default" w:ascii="Times New Roman" w:hAnsi="Times New Roman" w:eastAsia="宋体" w:cs="Times New Roman"/>
              <w:bCs/>
              <w:szCs w:val="24"/>
              <w:highlight w:val="none"/>
              <w:lang w:val="zh-CN"/>
            </w:rPr>
            <w:instrText xml:space="preserve"> HYPERLINK \l _Toc5521 </w:instrText>
          </w:r>
          <w:r>
            <w:rPr>
              <w:rFonts w:hint="default" w:ascii="Times New Roman" w:hAnsi="Times New Roman" w:eastAsia="宋体" w:cs="Times New Roman"/>
              <w:bCs/>
              <w:szCs w:val="24"/>
              <w:highlight w:val="none"/>
              <w:lang w:val="zh-CN"/>
            </w:rPr>
            <w:fldChar w:fldCharType="separate"/>
          </w:r>
          <w:r>
            <w:rPr>
              <w:rFonts w:hint="default" w:ascii="Times New Roman" w:hAnsi="Times New Roman" w:eastAsia="宋体" w:cs="Times New Roman"/>
              <w:highlight w:val="none"/>
            </w:rPr>
            <w:t>10.10总结论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_Toc5521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212</w:t>
          </w:r>
          <w:r>
            <w:rPr>
              <w:rFonts w:hint="default" w:ascii="Times New Roman" w:hAnsi="Times New Roman" w:eastAsia="宋体" w:cs="Times New Roman"/>
            </w:rPr>
            <w:fldChar w:fldCharType="end"/>
          </w:r>
          <w:r>
            <w:rPr>
              <w:rFonts w:hint="default" w:ascii="Times New Roman" w:hAnsi="Times New Roman" w:eastAsia="宋体" w:cs="Times New Roman"/>
              <w:bCs/>
              <w:color w:val="auto"/>
              <w:szCs w:val="24"/>
              <w:highlight w:val="none"/>
              <w:lang w:val="zh-CN"/>
            </w:rPr>
            <w:fldChar w:fldCharType="end"/>
          </w:r>
        </w:p>
        <w:p w14:paraId="434A7B63">
          <w:pPr>
            <w:pStyle w:val="34"/>
            <w:pageBreakBefore w:val="0"/>
            <w:shd w:val="clear"/>
            <w:tabs>
              <w:tab w:val="right" w:leader="dot" w:pos="8777"/>
            </w:tabs>
            <w:kinsoku/>
            <w:wordWrap/>
            <w:bidi w:val="0"/>
            <w:snapToGrid w:val="0"/>
            <w:spacing w:line="360" w:lineRule="auto"/>
            <w:ind w:left="0" w:leftChars="0" w:right="0" w:rightChars="0" w:firstLine="480"/>
            <w:jc w:val="center"/>
            <w:outlineLvl w:val="0"/>
            <w:rPr>
              <w:rFonts w:hint="default" w:ascii="Times New Roman" w:hAnsi="Times New Roman" w:eastAsia="宋体" w:cs="Times New Roman"/>
              <w:color w:val="auto"/>
              <w:highlight w:val="none"/>
            </w:rPr>
          </w:pPr>
          <w:r>
            <w:rPr>
              <w:rFonts w:hint="default" w:ascii="Times New Roman" w:hAnsi="Times New Roman" w:eastAsia="宋体" w:cs="Times New Roman"/>
              <w:bCs/>
              <w:color w:val="auto"/>
              <w:szCs w:val="24"/>
              <w:highlight w:val="none"/>
              <w:lang w:val="zh-CN"/>
            </w:rPr>
            <w:fldChar w:fldCharType="end"/>
          </w:r>
        </w:p>
      </w:sdtContent>
    </w:sdt>
    <w:p w14:paraId="787E937A">
      <w:pPr>
        <w:keepNext w:val="0"/>
        <w:keepLines w:val="0"/>
        <w:pageBreakBefore w:val="0"/>
        <w:widowControl w:val="0"/>
        <w:shd w:val="clear"/>
        <w:kinsoku/>
        <w:wordWrap/>
        <w:topLinePunct/>
        <w:autoSpaceDN/>
        <w:bidi w:val="0"/>
        <w:adjustRightInd/>
        <w:snapToGrid w:val="0"/>
        <w:spacing w:line="360" w:lineRule="auto"/>
        <w:ind w:left="0" w:leftChars="0" w:right="0" w:rightChars="0" w:firstLine="0" w:firstLineChars="0"/>
        <w:textAlignment w:val="auto"/>
        <w:outlineLvl w:val="0"/>
        <w:rPr>
          <w:rFonts w:hint="default" w:ascii="Times New Roman" w:hAnsi="Times New Roman" w:eastAsia="宋体" w:cs="Times New Roman"/>
          <w:b/>
          <w:color w:val="auto"/>
          <w:sz w:val="32"/>
          <w:szCs w:val="32"/>
          <w:highlight w:val="none"/>
        </w:rPr>
      </w:pPr>
      <w:bookmarkStart w:id="28" w:name="_Toc23887"/>
      <w:bookmarkStart w:id="29" w:name="_Toc521341562"/>
      <w:bookmarkStart w:id="30" w:name="_Toc521342071"/>
      <w:bookmarkStart w:id="31" w:name="_Toc2808"/>
      <w:bookmarkStart w:id="32" w:name="_Toc1388"/>
      <w:bookmarkStart w:id="33" w:name="_Toc22270"/>
      <w:bookmarkStart w:id="34" w:name="_Toc523322238"/>
      <w:r>
        <w:rPr>
          <w:rFonts w:hint="default" w:ascii="Times New Roman" w:hAnsi="Times New Roman" w:eastAsia="宋体" w:cs="Times New Roman"/>
          <w:b/>
          <w:color w:val="auto"/>
          <w:sz w:val="32"/>
          <w:szCs w:val="32"/>
          <w:highlight w:val="none"/>
        </w:rPr>
        <w:t>附件：</w:t>
      </w:r>
      <w:bookmarkEnd w:id="28"/>
      <w:bookmarkEnd w:id="29"/>
      <w:bookmarkEnd w:id="30"/>
      <w:bookmarkEnd w:id="31"/>
      <w:bookmarkEnd w:id="32"/>
      <w:bookmarkEnd w:id="33"/>
      <w:bookmarkEnd w:id="34"/>
    </w:p>
    <w:p w14:paraId="06604A14">
      <w:pPr>
        <w:keepNext w:val="0"/>
        <w:keepLines w:val="0"/>
        <w:pageBreakBefore w:val="0"/>
        <w:widowControl w:val="0"/>
        <w:shd w:val="clear"/>
        <w:kinsoku/>
        <w:wordWrap/>
        <w:overflowPunct w:val="0"/>
        <w:topLinePunct/>
        <w:autoSpaceDE/>
        <w:autoSpaceDN/>
        <w:bidi w:val="0"/>
        <w:adjustRightInd/>
        <w:snapToGrid w:val="0"/>
        <w:spacing w:line="360" w:lineRule="auto"/>
        <w:ind w:left="0" w:leftChars="0" w:right="0" w:rightChars="0" w:firstLine="482" w:firstLineChars="200"/>
        <w:jc w:val="left"/>
        <w:textAlignment w:val="auto"/>
        <w:outlineLvl w:val="0"/>
        <w:rPr>
          <w:rFonts w:hint="default" w:ascii="Times New Roman" w:hAnsi="Times New Roman" w:eastAsia="宋体" w:cs="Times New Roman"/>
          <w:b/>
          <w:bCs/>
          <w:color w:val="auto"/>
          <w:szCs w:val="21"/>
          <w:highlight w:val="none"/>
        </w:rPr>
      </w:pPr>
      <w:bookmarkStart w:id="35" w:name="_Toc26498"/>
      <w:bookmarkStart w:id="36" w:name="_Toc2178"/>
      <w:bookmarkStart w:id="37" w:name="_Toc10939"/>
      <w:bookmarkStart w:id="38" w:name="_Toc18457"/>
      <w:r>
        <w:rPr>
          <w:rFonts w:hint="default" w:ascii="Times New Roman" w:hAnsi="Times New Roman" w:eastAsia="宋体" w:cs="Times New Roman"/>
          <w:b/>
          <w:bCs/>
          <w:color w:val="auto"/>
          <w:szCs w:val="24"/>
          <w:highlight w:val="none"/>
        </w:rPr>
        <w:t>附件1</w:t>
      </w:r>
      <w:r>
        <w:rPr>
          <w:rFonts w:hint="default" w:ascii="Times New Roman" w:hAnsi="Times New Roman" w:eastAsia="宋体" w:cs="Times New Roman"/>
          <w:b/>
          <w:bCs/>
          <w:color w:val="auto"/>
          <w:szCs w:val="24"/>
          <w:highlight w:val="none"/>
          <w:lang w:val="en-US" w:eastAsia="zh-CN"/>
        </w:rPr>
        <w:t xml:space="preserve"> </w:t>
      </w:r>
      <w:r>
        <w:rPr>
          <w:rFonts w:hint="default" w:ascii="Times New Roman" w:hAnsi="Times New Roman" w:eastAsia="宋体" w:cs="Times New Roman"/>
          <w:b/>
          <w:bCs/>
          <w:color w:val="auto"/>
          <w:szCs w:val="24"/>
          <w:highlight w:val="none"/>
        </w:rPr>
        <w:t>委托书</w:t>
      </w:r>
      <w:bookmarkEnd w:id="35"/>
      <w:bookmarkEnd w:id="36"/>
      <w:bookmarkEnd w:id="37"/>
      <w:bookmarkEnd w:id="38"/>
    </w:p>
    <w:p w14:paraId="1A0996C3">
      <w:pPr>
        <w:keepNext w:val="0"/>
        <w:keepLines w:val="0"/>
        <w:pageBreakBefore w:val="0"/>
        <w:widowControl w:val="0"/>
        <w:shd w:val="clear"/>
        <w:kinsoku/>
        <w:wordWrap/>
        <w:overflowPunct w:val="0"/>
        <w:topLinePunct/>
        <w:autoSpaceDE/>
        <w:autoSpaceDN/>
        <w:bidi w:val="0"/>
        <w:adjustRightInd/>
        <w:snapToGrid w:val="0"/>
        <w:spacing w:line="360" w:lineRule="auto"/>
        <w:ind w:left="0" w:leftChars="0" w:right="0" w:rightChars="0" w:firstLine="482" w:firstLineChars="200"/>
        <w:jc w:val="left"/>
        <w:textAlignment w:val="auto"/>
        <w:outlineLvl w:val="0"/>
        <w:rPr>
          <w:rFonts w:hint="default" w:ascii="Times New Roman" w:hAnsi="Times New Roman" w:eastAsia="宋体" w:cs="Times New Roman"/>
          <w:b/>
          <w:bCs/>
          <w:color w:val="auto"/>
          <w:szCs w:val="21"/>
          <w:highlight w:val="none"/>
          <w:lang w:eastAsia="zh-CN"/>
        </w:rPr>
      </w:pPr>
      <w:bookmarkStart w:id="39" w:name="_Toc13710"/>
      <w:bookmarkStart w:id="40" w:name="_Toc10966"/>
      <w:bookmarkStart w:id="41" w:name="_Toc1580"/>
      <w:bookmarkStart w:id="42" w:name="_Toc3597"/>
      <w:r>
        <w:rPr>
          <w:rFonts w:hint="default" w:ascii="Times New Roman" w:hAnsi="Times New Roman" w:eastAsia="宋体" w:cs="Times New Roman"/>
          <w:b/>
          <w:bCs/>
          <w:color w:val="auto"/>
          <w:szCs w:val="24"/>
          <w:highlight w:val="none"/>
        </w:rPr>
        <w:t>附件</w:t>
      </w:r>
      <w:r>
        <w:rPr>
          <w:rFonts w:hint="default" w:ascii="Times New Roman" w:hAnsi="Times New Roman" w:eastAsia="宋体" w:cs="Times New Roman"/>
          <w:b/>
          <w:bCs/>
          <w:color w:val="auto"/>
          <w:szCs w:val="24"/>
          <w:highlight w:val="none"/>
          <w:lang w:val="en-US" w:eastAsia="zh-CN"/>
        </w:rPr>
        <w:t>2</w:t>
      </w:r>
      <w:r>
        <w:rPr>
          <w:rFonts w:hint="default" w:ascii="Times New Roman" w:hAnsi="Times New Roman" w:eastAsia="宋体" w:cs="Times New Roman"/>
          <w:b/>
          <w:bCs/>
          <w:color w:val="auto"/>
          <w:szCs w:val="24"/>
          <w:highlight w:val="none"/>
          <w:lang w:val="en-US" w:eastAsia="zh-CN"/>
        </w:rPr>
        <w:t xml:space="preserve"> </w:t>
      </w:r>
      <w:r>
        <w:rPr>
          <w:rFonts w:hint="default" w:ascii="Times New Roman" w:hAnsi="Times New Roman" w:eastAsia="宋体" w:cs="Times New Roman"/>
          <w:b/>
          <w:bCs/>
          <w:color w:val="auto"/>
          <w:szCs w:val="24"/>
          <w:highlight w:val="none"/>
          <w:lang w:eastAsia="zh-CN"/>
        </w:rPr>
        <w:t>项目备案告知书</w:t>
      </w:r>
      <w:r>
        <w:rPr>
          <w:rFonts w:hint="default" w:ascii="Times New Roman" w:hAnsi="Times New Roman" w:eastAsia="宋体" w:cs="Times New Roman"/>
          <w:b/>
          <w:bCs/>
          <w:color w:val="auto"/>
          <w:szCs w:val="24"/>
          <w:highlight w:val="none"/>
          <w:lang w:eastAsia="zh-CN"/>
        </w:rPr>
        <w:t>（</w:t>
      </w:r>
      <w:r>
        <w:rPr>
          <w:rFonts w:hint="default" w:ascii="Times New Roman" w:hAnsi="Times New Roman" w:eastAsia="宋体" w:cs="Times New Roman"/>
          <w:b/>
          <w:bCs/>
          <w:color w:val="auto"/>
          <w:szCs w:val="24"/>
          <w:highlight w:val="none"/>
          <w:lang w:val="en-US" w:eastAsia="zh-CN"/>
        </w:rPr>
        <w:t>项目代码：2407-150821-04-01-213103</w:t>
      </w:r>
      <w:r>
        <w:rPr>
          <w:rFonts w:hint="default" w:ascii="Times New Roman" w:hAnsi="Times New Roman" w:eastAsia="宋体" w:cs="Times New Roman"/>
          <w:b/>
          <w:bCs/>
          <w:color w:val="auto"/>
          <w:szCs w:val="24"/>
          <w:highlight w:val="none"/>
          <w:lang w:eastAsia="zh-CN"/>
        </w:rPr>
        <w:t>）</w:t>
      </w:r>
      <w:bookmarkEnd w:id="39"/>
    </w:p>
    <w:p w14:paraId="44F96D77">
      <w:pPr>
        <w:keepNext w:val="0"/>
        <w:keepLines w:val="0"/>
        <w:pageBreakBefore w:val="0"/>
        <w:widowControl w:val="0"/>
        <w:shd w:val="clear"/>
        <w:kinsoku/>
        <w:wordWrap/>
        <w:overflowPunct w:val="0"/>
        <w:topLinePunct/>
        <w:autoSpaceDE/>
        <w:autoSpaceDN/>
        <w:bidi w:val="0"/>
        <w:adjustRightInd/>
        <w:snapToGrid w:val="0"/>
        <w:spacing w:line="360" w:lineRule="auto"/>
        <w:ind w:left="0" w:leftChars="0" w:right="0" w:rightChars="0" w:firstLine="482" w:firstLineChars="200"/>
        <w:jc w:val="left"/>
        <w:textAlignment w:val="auto"/>
        <w:outlineLvl w:val="0"/>
        <w:rPr>
          <w:rFonts w:hint="default" w:ascii="Times New Roman" w:hAnsi="Times New Roman" w:eastAsia="宋体" w:cs="Times New Roman"/>
          <w:b/>
          <w:bCs/>
          <w:color w:val="auto"/>
          <w:szCs w:val="24"/>
          <w:highlight w:val="none"/>
          <w:lang w:val="en-US" w:eastAsia="zh-CN"/>
        </w:rPr>
      </w:pPr>
      <w:bookmarkStart w:id="43" w:name="_Toc1838"/>
      <w:r>
        <w:rPr>
          <w:rFonts w:hint="default" w:ascii="Times New Roman" w:hAnsi="Times New Roman" w:eastAsia="宋体" w:cs="Times New Roman"/>
          <w:b/>
          <w:bCs/>
          <w:color w:val="auto"/>
          <w:szCs w:val="24"/>
          <w:highlight w:val="none"/>
        </w:rPr>
        <w:t>附件</w:t>
      </w:r>
      <w:r>
        <w:rPr>
          <w:rFonts w:hint="default" w:ascii="Times New Roman" w:hAnsi="Times New Roman" w:eastAsia="宋体" w:cs="Times New Roman"/>
          <w:b/>
          <w:bCs/>
          <w:color w:val="auto"/>
          <w:szCs w:val="24"/>
          <w:highlight w:val="none"/>
          <w:lang w:val="en-US" w:eastAsia="zh-CN"/>
        </w:rPr>
        <w:t>3 五原县胜丰镇人民政府文件（[2021]27号）</w:t>
      </w:r>
      <w:bookmarkEnd w:id="43"/>
    </w:p>
    <w:p w14:paraId="2C8ECCD1">
      <w:pPr>
        <w:keepNext w:val="0"/>
        <w:keepLines w:val="0"/>
        <w:pageBreakBefore w:val="0"/>
        <w:widowControl w:val="0"/>
        <w:shd w:val="clear"/>
        <w:kinsoku/>
        <w:wordWrap/>
        <w:overflowPunct w:val="0"/>
        <w:topLinePunct/>
        <w:autoSpaceDE/>
        <w:autoSpaceDN/>
        <w:bidi w:val="0"/>
        <w:adjustRightInd/>
        <w:snapToGrid w:val="0"/>
        <w:spacing w:line="360" w:lineRule="auto"/>
        <w:ind w:left="0" w:leftChars="0" w:right="0" w:rightChars="0" w:firstLine="482" w:firstLineChars="200"/>
        <w:jc w:val="left"/>
        <w:textAlignment w:val="auto"/>
        <w:outlineLvl w:val="0"/>
        <w:rPr>
          <w:rFonts w:hint="default" w:ascii="Times New Roman" w:hAnsi="Times New Roman" w:eastAsia="宋体" w:cs="Times New Roman"/>
          <w:b/>
          <w:bCs/>
          <w:color w:val="auto"/>
          <w:szCs w:val="24"/>
          <w:highlight w:val="none"/>
          <w:lang w:val="en-US"/>
        </w:rPr>
      </w:pPr>
      <w:bookmarkStart w:id="44" w:name="_Toc21745"/>
      <w:r>
        <w:rPr>
          <w:rFonts w:hint="default" w:ascii="Times New Roman" w:hAnsi="Times New Roman" w:eastAsia="宋体" w:cs="Times New Roman"/>
          <w:b/>
          <w:bCs/>
          <w:color w:val="auto"/>
          <w:szCs w:val="24"/>
          <w:highlight w:val="none"/>
        </w:rPr>
        <w:t>附件</w:t>
      </w:r>
      <w:r>
        <w:rPr>
          <w:rFonts w:hint="default" w:ascii="Times New Roman" w:hAnsi="Times New Roman" w:eastAsia="宋体" w:cs="Times New Roman"/>
          <w:b/>
          <w:bCs/>
          <w:color w:val="auto"/>
          <w:szCs w:val="24"/>
          <w:highlight w:val="none"/>
          <w:lang w:val="en-US" w:eastAsia="zh-CN"/>
        </w:rPr>
        <w:t>4 五原县胜丰镇人民政府文件（胜政发[〔020]〕23号）</w:t>
      </w:r>
      <w:bookmarkEnd w:id="44"/>
    </w:p>
    <w:p w14:paraId="589C2FA2">
      <w:pPr>
        <w:keepNext w:val="0"/>
        <w:keepLines w:val="0"/>
        <w:pageBreakBefore w:val="0"/>
        <w:widowControl w:val="0"/>
        <w:shd w:val="clear"/>
        <w:kinsoku/>
        <w:wordWrap/>
        <w:overflowPunct w:val="0"/>
        <w:topLinePunct/>
        <w:autoSpaceDE/>
        <w:autoSpaceDN/>
        <w:bidi w:val="0"/>
        <w:adjustRightInd/>
        <w:snapToGrid w:val="0"/>
        <w:spacing w:line="360" w:lineRule="auto"/>
        <w:ind w:left="0" w:leftChars="0" w:right="0" w:rightChars="0" w:firstLine="482" w:firstLineChars="200"/>
        <w:jc w:val="left"/>
        <w:textAlignment w:val="auto"/>
        <w:outlineLvl w:val="0"/>
        <w:rPr>
          <w:rFonts w:hint="default" w:ascii="Times New Roman" w:hAnsi="Times New Roman" w:eastAsia="宋体" w:cs="Times New Roman"/>
          <w:b/>
          <w:bCs/>
          <w:color w:val="auto"/>
          <w:szCs w:val="24"/>
          <w:highlight w:val="none"/>
          <w:lang w:val="en-US" w:eastAsia="zh-CN"/>
        </w:rPr>
      </w:pPr>
      <w:bookmarkStart w:id="45" w:name="_Toc23930"/>
      <w:r>
        <w:rPr>
          <w:rFonts w:hint="default" w:ascii="Times New Roman" w:hAnsi="Times New Roman" w:eastAsia="宋体" w:cs="Times New Roman"/>
          <w:b/>
          <w:bCs/>
          <w:color w:val="auto"/>
          <w:szCs w:val="24"/>
          <w:highlight w:val="none"/>
        </w:rPr>
        <w:t>附件</w:t>
      </w:r>
      <w:r>
        <w:rPr>
          <w:rFonts w:hint="default" w:ascii="Times New Roman" w:hAnsi="Times New Roman" w:eastAsia="宋体" w:cs="Times New Roman"/>
          <w:b/>
          <w:bCs/>
          <w:color w:val="auto"/>
          <w:szCs w:val="24"/>
          <w:highlight w:val="none"/>
          <w:lang w:val="en-US" w:eastAsia="zh-CN"/>
        </w:rPr>
        <w:t>5 内蒙古自治区设施农业用地使用协议</w:t>
      </w:r>
      <w:bookmarkEnd w:id="45"/>
    </w:p>
    <w:bookmarkEnd w:id="40"/>
    <w:bookmarkEnd w:id="41"/>
    <w:bookmarkEnd w:id="42"/>
    <w:p w14:paraId="78076D27">
      <w:pPr>
        <w:keepNext w:val="0"/>
        <w:keepLines w:val="0"/>
        <w:pageBreakBefore w:val="0"/>
        <w:widowControl/>
        <w:shd w:val="clear"/>
        <w:kinsoku/>
        <w:wordWrap/>
        <w:topLinePunct w:val="0"/>
        <w:autoSpaceDE/>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color w:val="auto"/>
          <w:highlight w:val="none"/>
        </w:rPr>
      </w:pPr>
    </w:p>
    <w:p w14:paraId="2C929440">
      <w:pPr>
        <w:pageBreakBefore w:val="0"/>
        <w:shd w:val="clear"/>
        <w:kinsoku/>
        <w:wordWrap/>
        <w:bidi w:val="0"/>
        <w:snapToGrid w:val="0"/>
        <w:spacing w:line="360" w:lineRule="auto"/>
        <w:ind w:left="0" w:leftChars="0" w:right="0" w:rightChars="0" w:firstLine="0" w:firstLineChars="0"/>
        <w:rPr>
          <w:rFonts w:hint="default" w:ascii="Times New Roman" w:hAnsi="Times New Roman" w:eastAsia="宋体" w:cs="Times New Roman"/>
          <w:color w:val="auto"/>
          <w:highlight w:val="none"/>
        </w:rPr>
      </w:pPr>
    </w:p>
    <w:p w14:paraId="5E8971A5">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rPr>
        <w:sectPr>
          <w:footerReference r:id="rId9" w:type="default"/>
          <w:pgSz w:w="11906" w:h="16838"/>
          <w:pgMar w:top="1440" w:right="1800" w:bottom="1440" w:left="1800" w:header="851" w:footer="907" w:gutter="0"/>
          <w:pgBorders>
            <w:top w:val="none" w:sz="0" w:space="0"/>
            <w:left w:val="none" w:sz="0" w:space="0"/>
            <w:bottom w:val="none" w:sz="0" w:space="0"/>
            <w:right w:val="none" w:sz="0" w:space="0"/>
          </w:pgBorders>
          <w:pgNumType w:fmt="upperRoman" w:start="1"/>
          <w:cols w:space="425" w:num="1"/>
          <w:docGrid w:linePitch="326" w:charSpace="0"/>
        </w:sectPr>
      </w:pPr>
    </w:p>
    <w:p w14:paraId="138EA509">
      <w:pPr>
        <w:pStyle w:val="3"/>
        <w:pageBreakBefore w:val="0"/>
        <w:widowControl w:val="0"/>
        <w:shd w:val="clear"/>
        <w:kinsoku/>
        <w:wordWrap/>
        <w:overflowPunct w:val="0"/>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bCs w:val="0"/>
          <w:color w:val="auto"/>
          <w:szCs w:val="22"/>
          <w:highlight w:val="none"/>
        </w:rPr>
      </w:pPr>
      <w:bookmarkStart w:id="46" w:name="_Toc29414"/>
      <w:r>
        <w:rPr>
          <w:rFonts w:hint="default" w:ascii="Times New Roman" w:hAnsi="Times New Roman" w:eastAsia="宋体" w:cs="Times New Roman"/>
          <w:bCs w:val="0"/>
          <w:color w:val="auto"/>
          <w:szCs w:val="22"/>
          <w:highlight w:val="none"/>
        </w:rPr>
        <w:t>1概述</w:t>
      </w:r>
      <w:bookmarkEnd w:id="46"/>
    </w:p>
    <w:p w14:paraId="2E917FE4">
      <w:pPr>
        <w:pStyle w:val="4"/>
        <w:pageBreakBefore w:val="0"/>
        <w:widowControl w:val="0"/>
        <w:shd w:val="clear"/>
        <w:kinsoku/>
        <w:wordWrap/>
        <w:overflowPunct w:val="0"/>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bCs w:val="0"/>
          <w:color w:val="auto"/>
          <w:szCs w:val="22"/>
          <w:highlight w:val="none"/>
        </w:rPr>
      </w:pPr>
      <w:bookmarkStart w:id="47" w:name="_Toc512871513"/>
      <w:bookmarkStart w:id="48" w:name="_Toc2965"/>
      <w:r>
        <w:rPr>
          <w:rFonts w:hint="default" w:ascii="Times New Roman" w:hAnsi="Times New Roman" w:eastAsia="宋体" w:cs="Times New Roman"/>
          <w:bCs w:val="0"/>
          <w:color w:val="auto"/>
          <w:szCs w:val="22"/>
          <w:highlight w:val="none"/>
        </w:rPr>
        <w:t>1.1项目建设背景</w:t>
      </w:r>
      <w:bookmarkEnd w:id="47"/>
      <w:bookmarkEnd w:id="48"/>
    </w:p>
    <w:p w14:paraId="04FEF26C">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畜牧业是我区农村经济的重要产业，肉羊养殖是现代畜牧业体系的重要组成部分，是现代畜牧业中产业链条最长的中轴产业，它上连加工业，下连种植业。发展肉羊生产是农民致富奔小康的有效途径。大力发展肉羊产业，既可以拓宽农村地方财税，达到富国强民的目的，也可以满足提高人民生活水平的需要。同时还能保障国家食物安全、增加农民收入、改善人们膳食结构、提高国民体质，对促进农业结构优化升级、推进农业现代化和社会主义新农村建设，具有极为重要的战略作用。</w:t>
      </w:r>
    </w:p>
    <w:p w14:paraId="47F9995F">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在“十四五”发展期间，</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政府将“加快支柱产业提质升级”作为农牧业现代化发展目标，这要求肉羊养殖业坚持公司化规模饲养与个体分散养殖相结合、种羊自繁与肉羊育肥同步推进。其中肉羊的良种繁育、规模养殖是加快肉羊产业提质升级的基础步骤，适度扩张优质种</w:t>
      </w:r>
      <w:r>
        <w:rPr>
          <w:rFonts w:hint="default" w:ascii="Times New Roman" w:hAnsi="Times New Roman" w:eastAsia="宋体" w:cs="Times New Roman"/>
          <w:color w:val="auto"/>
          <w:highlight w:val="none"/>
          <w:lang w:eastAsia="zh-CN"/>
        </w:rPr>
        <w:t>种羊</w:t>
      </w:r>
      <w:r>
        <w:rPr>
          <w:rFonts w:hint="default" w:ascii="Times New Roman" w:hAnsi="Times New Roman" w:eastAsia="宋体" w:cs="Times New Roman"/>
          <w:color w:val="auto"/>
          <w:highlight w:val="none"/>
        </w:rPr>
        <w:t>良种繁育总量规模，才能最终加快出栏周转，从而实现肉羊产业的支柱性作用。</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围绕经济社会发展主要预期目标，在农牧业工作方面要求做到“坚定不移调结构促转型，着力提升特色产业高质量发展水平”。要着力打造高原特色农牧业基地，坚持绿色兴农、科技兴农、质量兴农，高起点谋划和推进农牧业发展，加快打造高原特色现代化农牧业基地。深入推进农业供给侧结构性改革，推动品种培优、品质提升、品牌建设和标准化生产。</w:t>
      </w:r>
    </w:p>
    <w:p w14:paraId="5914E6DA">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在此背景下</w:t>
      </w:r>
      <w:r>
        <w:rPr>
          <w:rFonts w:hint="default" w:ascii="Times New Roman" w:hAnsi="Times New Roman" w:eastAsia="宋体" w:cs="Times New Roman"/>
          <w:color w:val="auto"/>
          <w:highlight w:val="none"/>
          <w:lang w:eastAsia="zh-CN"/>
        </w:rPr>
        <w:t>，五原县兄弟农民专业合作社</w:t>
      </w:r>
      <w:r>
        <w:rPr>
          <w:rFonts w:hint="default" w:ascii="Times New Roman" w:hAnsi="Times New Roman" w:eastAsia="宋体" w:cs="Times New Roman"/>
          <w:color w:val="auto"/>
          <w:highlight w:val="none"/>
        </w:rPr>
        <w:t>投资</w:t>
      </w:r>
      <w:r>
        <w:rPr>
          <w:rFonts w:hint="default" w:ascii="Times New Roman" w:hAnsi="Times New Roman" w:eastAsia="宋体" w:cs="Times New Roman"/>
          <w:color w:val="auto"/>
          <w:highlight w:val="none"/>
          <w:lang w:eastAsia="zh-CN"/>
        </w:rPr>
        <w:t>450</w:t>
      </w:r>
      <w:r>
        <w:rPr>
          <w:rFonts w:hint="default" w:ascii="Times New Roman" w:hAnsi="Times New Roman" w:eastAsia="宋体" w:cs="Times New Roman"/>
          <w:color w:val="auto"/>
          <w:highlight w:val="none"/>
        </w:rPr>
        <w:t>万元</w:t>
      </w:r>
      <w:r>
        <w:rPr>
          <w:rFonts w:hint="default" w:ascii="Times New Roman" w:hAnsi="Times New Roman" w:eastAsia="宋体" w:cs="Times New Roman"/>
          <w:color w:val="auto"/>
          <w:highlight w:val="none"/>
          <w:lang w:val="en-US" w:eastAsia="zh-CN"/>
        </w:rPr>
        <w:t>在巴彦淖尔市五原县胜丰镇新丰村三社新建</w:t>
      </w:r>
      <w:r>
        <w:rPr>
          <w:rFonts w:hint="default" w:ascii="Times New Roman" w:hAnsi="Times New Roman" w:eastAsia="宋体" w:cs="Times New Roman"/>
          <w:color w:val="auto"/>
          <w:highlight w:val="none"/>
          <w:lang w:eastAsia="zh-CN"/>
        </w:rPr>
        <w:t>肉羊育肥养殖及附属设施建设项目</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占地面积</w:t>
      </w:r>
      <w:r>
        <w:rPr>
          <w:rFonts w:hint="default" w:ascii="Times New Roman" w:hAnsi="Times New Roman" w:eastAsia="宋体" w:cs="Times New Roman"/>
          <w:color w:val="auto"/>
          <w:highlight w:val="none"/>
          <w:lang w:eastAsia="zh-CN"/>
        </w:rPr>
        <w:t>51565.18</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rPr>
        <w:t>，建设标准化羊圈13栋</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每栋</w:t>
      </w:r>
      <w:r>
        <w:rPr>
          <w:rFonts w:hint="default" w:ascii="Times New Roman" w:hAnsi="Times New Roman" w:eastAsia="宋体" w:cs="Times New Roman"/>
          <w:color w:val="auto"/>
          <w:highlight w:val="none"/>
          <w:lang w:val="en-US" w:eastAsia="zh-CN"/>
        </w:rPr>
        <w:t>占地面积为</w:t>
      </w:r>
      <w:r>
        <w:rPr>
          <w:rFonts w:hint="default" w:ascii="Times New Roman" w:hAnsi="Times New Roman" w:eastAsia="宋体" w:cs="Times New Roman"/>
          <w:color w:val="auto"/>
          <w:highlight w:val="none"/>
        </w:rPr>
        <w:t>1890.56</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，防疫药品间</w:t>
      </w:r>
      <w:r>
        <w:rPr>
          <w:rFonts w:hint="default" w:ascii="Times New Roman" w:hAnsi="Times New Roman" w:eastAsia="宋体" w:cs="Times New Roman"/>
          <w:color w:val="auto"/>
          <w:highlight w:val="none"/>
          <w:lang w:val="en-US" w:eastAsia="zh-CN"/>
        </w:rPr>
        <w:t>1座（占地面积为</w:t>
      </w:r>
      <w:r>
        <w:rPr>
          <w:rFonts w:hint="default" w:ascii="Times New Roman" w:hAnsi="Times New Roman" w:eastAsia="宋体" w:cs="Times New Roman"/>
          <w:color w:val="auto"/>
          <w:highlight w:val="none"/>
        </w:rPr>
        <w:t>56.24</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，检疫检测间</w:t>
      </w:r>
      <w:r>
        <w:rPr>
          <w:rFonts w:hint="default" w:ascii="Times New Roman" w:hAnsi="Times New Roman" w:eastAsia="宋体" w:cs="Times New Roman"/>
          <w:color w:val="auto"/>
          <w:highlight w:val="none"/>
          <w:lang w:val="en-US" w:eastAsia="zh-CN"/>
        </w:rPr>
        <w:t>1座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占地面积为</w:t>
      </w:r>
      <w:r>
        <w:rPr>
          <w:rFonts w:hint="default" w:ascii="Times New Roman" w:hAnsi="Times New Roman" w:eastAsia="宋体" w:cs="Times New Roman"/>
          <w:color w:val="auto"/>
          <w:highlight w:val="none"/>
        </w:rPr>
        <w:t>65.35</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及其他附属设施</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年出栏</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lang w:val="en-US" w:eastAsia="zh-CN"/>
        </w:rPr>
        <w:t>69000</w:t>
      </w:r>
      <w:r>
        <w:rPr>
          <w:rFonts w:hint="default" w:ascii="Times New Roman" w:hAnsi="Times New Roman" w:eastAsia="宋体" w:cs="Times New Roman"/>
          <w:color w:val="auto"/>
          <w:highlight w:val="none"/>
        </w:rPr>
        <w:t>只。项目实施基地养殖模式，养殖基地的肉羊养殖规模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逐步帮助和带动农户、养殖大户和专业合作社等提升</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的养殖技术水平和规模，从而加快</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高品质肉羊的出栏周转，逐步满足肉羊深加工供应链需求。</w:t>
      </w:r>
    </w:p>
    <w:p w14:paraId="5A49FF7A">
      <w:pPr>
        <w:pStyle w:val="4"/>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49" w:name="_Toc996"/>
      <w:bookmarkStart w:id="50" w:name="_Toc512871514"/>
      <w:r>
        <w:rPr>
          <w:rFonts w:hint="default" w:ascii="Times New Roman" w:hAnsi="Times New Roman" w:eastAsia="宋体" w:cs="Times New Roman"/>
          <w:color w:val="auto"/>
          <w:highlight w:val="none"/>
        </w:rPr>
        <w:t>1.2建设项目特点</w:t>
      </w:r>
      <w:bookmarkEnd w:id="49"/>
      <w:bookmarkEnd w:id="50"/>
    </w:p>
    <w:p w14:paraId="1C041399">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本项目对周围环境的影响主要体现在废气、噪声、废水、固体废物等对环境的影响。</w:t>
      </w:r>
    </w:p>
    <w:p w14:paraId="5C550E16">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根据《建设项目环境影响评价分类管理名录》（中华人民共和国环境保护部令第44号）及《建设项目环境影响评价分类管理名录》（2021实施），</w:t>
      </w:r>
      <w:r>
        <w:rPr>
          <w:rFonts w:hint="default" w:ascii="Times New Roman" w:hAnsi="Times New Roman" w:eastAsia="宋体" w:cs="Times New Roman"/>
          <w:color w:val="auto"/>
          <w:highlight w:val="none"/>
          <w:lang w:val="en-US" w:eastAsia="zh-CN"/>
        </w:rPr>
        <w:t>本</w:t>
      </w:r>
      <w:r>
        <w:rPr>
          <w:rFonts w:hint="default" w:ascii="Times New Roman" w:hAnsi="Times New Roman" w:eastAsia="宋体" w:cs="Times New Roman"/>
          <w:color w:val="auto"/>
          <w:highlight w:val="none"/>
        </w:rPr>
        <w:t>项目属于“二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畜牧业”“03、牲畜饲养”中“年出栏生猪5000头（</w:t>
      </w:r>
      <w:r>
        <w:rPr>
          <w:rFonts w:hint="default" w:ascii="Times New Roman" w:hAnsi="Times New Roman" w:eastAsia="宋体" w:cs="Times New Roman"/>
          <w:color w:val="auto"/>
          <w:highlight w:val="none"/>
          <w:lang w:eastAsia="zh-CN"/>
        </w:rPr>
        <w:t>其他畜禽种类折合</w:t>
      </w:r>
      <w:r>
        <w:rPr>
          <w:rFonts w:hint="default" w:ascii="Times New Roman" w:hAnsi="Times New Roman" w:eastAsia="宋体" w:cs="Times New Roman"/>
          <w:color w:val="00B050"/>
          <w:highlight w:val="none"/>
        </w:rPr>
        <w:t>生</w:t>
      </w:r>
      <w:r>
        <w:rPr>
          <w:rFonts w:hint="default" w:ascii="Times New Roman" w:hAnsi="Times New Roman" w:eastAsia="宋体" w:cs="Times New Roman"/>
          <w:color w:val="auto"/>
          <w:highlight w:val="none"/>
          <w:lang w:eastAsia="zh-CN"/>
        </w:rPr>
        <w:t>猪的养殖量</w:t>
      </w:r>
      <w:r>
        <w:rPr>
          <w:rFonts w:hint="default" w:ascii="Times New Roman" w:hAnsi="Times New Roman" w:eastAsia="宋体" w:cs="Times New Roman"/>
          <w:color w:val="auto"/>
          <w:highlight w:val="none"/>
        </w:rPr>
        <w:t>）及以上的规模化畜禽养殖；存栏生猪2500头（</w:t>
      </w:r>
      <w:r>
        <w:rPr>
          <w:rFonts w:hint="default" w:ascii="Times New Roman" w:hAnsi="Times New Roman" w:eastAsia="宋体" w:cs="Times New Roman"/>
          <w:color w:val="auto"/>
          <w:highlight w:val="none"/>
          <w:lang w:eastAsia="zh-CN"/>
        </w:rPr>
        <w:t>其他畜禽种类折合</w:t>
      </w:r>
      <w:r>
        <w:rPr>
          <w:rFonts w:hint="default" w:ascii="Times New Roman" w:hAnsi="Times New Roman" w:eastAsia="宋体" w:cs="Times New Roman"/>
          <w:color w:val="00B050"/>
          <w:highlight w:val="none"/>
        </w:rPr>
        <w:t>生</w:t>
      </w:r>
      <w:r>
        <w:rPr>
          <w:rFonts w:hint="default" w:ascii="Times New Roman" w:hAnsi="Times New Roman" w:eastAsia="宋体" w:cs="Times New Roman"/>
          <w:color w:val="auto"/>
          <w:highlight w:val="none"/>
          <w:lang w:eastAsia="zh-CN"/>
        </w:rPr>
        <w:t>猪的</w:t>
      </w:r>
      <w:r>
        <w:rPr>
          <w:rFonts w:hint="default" w:ascii="Times New Roman" w:hAnsi="Times New Roman" w:eastAsia="宋体" w:cs="Times New Roman"/>
          <w:color w:val="auto"/>
          <w:highlight w:val="none"/>
        </w:rPr>
        <w:t>养殖规模）及以上无出栏量的规模化畜禽养殖；涉及环境敏感区的规模化畜禽养殖，应编制环境影响报告书”，本项目年出栏肉羊</w:t>
      </w:r>
      <w:r>
        <w:rPr>
          <w:rFonts w:hint="default" w:ascii="Times New Roman" w:hAnsi="Times New Roman" w:eastAsia="宋体" w:cs="Times New Roman"/>
          <w:color w:val="auto"/>
          <w:highlight w:val="none"/>
          <w:lang w:val="en-US" w:eastAsia="zh-CN"/>
        </w:rPr>
        <w:t>69000</w:t>
      </w:r>
      <w:r>
        <w:rPr>
          <w:rFonts w:hint="default" w:ascii="Times New Roman" w:hAnsi="Times New Roman" w:eastAsia="宋体" w:cs="Times New Roman"/>
          <w:color w:val="auto"/>
          <w:highlight w:val="none"/>
        </w:rPr>
        <w:t>只</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按照《畜禽养殖业污染物排放标准》规定</w:t>
      </w:r>
      <w:r>
        <w:rPr>
          <w:rFonts w:hint="default" w:ascii="Times New Roman" w:hAnsi="Times New Roman" w:eastAsia="宋体" w:cs="Times New Roman"/>
          <w:color w:val="auto"/>
          <w:highlight w:val="none"/>
          <w:lang w:eastAsia="zh-CN"/>
        </w:rPr>
        <w:t>3只羊折算成1头猪，</w:t>
      </w:r>
      <w:r>
        <w:rPr>
          <w:rFonts w:hint="default" w:ascii="Times New Roman" w:hAnsi="Times New Roman" w:eastAsia="宋体" w:cs="Times New Roman"/>
          <w:color w:val="00B050"/>
          <w:highlight w:val="none"/>
          <w:lang w:val="en-US" w:eastAsia="zh-CN"/>
        </w:rPr>
        <w:t>本项目</w:t>
      </w:r>
      <w:r>
        <w:rPr>
          <w:rFonts w:hint="default" w:ascii="Times New Roman" w:hAnsi="Times New Roman" w:eastAsia="宋体" w:cs="Times New Roman"/>
          <w:color w:val="00B050"/>
          <w:highlight w:val="none"/>
        </w:rPr>
        <w:t>折合</w:t>
      </w:r>
      <w:r>
        <w:rPr>
          <w:rFonts w:hint="default" w:ascii="Times New Roman" w:hAnsi="Times New Roman" w:eastAsia="宋体" w:cs="Times New Roman"/>
          <w:color w:val="00B050"/>
          <w:highlight w:val="none"/>
          <w:lang w:val="en-US" w:eastAsia="zh-CN"/>
        </w:rPr>
        <w:t>年出栏</w:t>
      </w:r>
      <w:r>
        <w:rPr>
          <w:rFonts w:hint="default" w:ascii="Times New Roman" w:hAnsi="Times New Roman" w:eastAsia="宋体" w:cs="Times New Roman"/>
          <w:color w:val="00B050"/>
          <w:highlight w:val="none"/>
        </w:rPr>
        <w:t>生猪</w:t>
      </w:r>
      <w:r>
        <w:rPr>
          <w:rFonts w:hint="default" w:ascii="Times New Roman" w:hAnsi="Times New Roman" w:eastAsia="宋体" w:cs="Times New Roman"/>
          <w:color w:val="00B050"/>
          <w:highlight w:val="none"/>
          <w:lang w:val="en-US" w:eastAsia="zh-CN"/>
        </w:rPr>
        <w:t>23000</w:t>
      </w:r>
      <w:r>
        <w:rPr>
          <w:rFonts w:hint="default" w:ascii="Times New Roman" w:hAnsi="Times New Roman" w:eastAsia="宋体" w:cs="Times New Roman"/>
          <w:color w:val="00B050"/>
          <w:highlight w:val="none"/>
        </w:rPr>
        <w:t>头</w:t>
      </w:r>
      <w:r>
        <w:rPr>
          <w:rFonts w:hint="default" w:ascii="Times New Roman" w:hAnsi="Times New Roman" w:eastAsia="宋体" w:cs="Times New Roman"/>
          <w:color w:val="00B050"/>
          <w:highlight w:val="none"/>
          <w:lang w:eastAsia="zh-CN"/>
        </w:rPr>
        <w:t>（</w:t>
      </w:r>
      <w:r>
        <w:rPr>
          <w:rFonts w:hint="default" w:ascii="Times New Roman" w:hAnsi="Times New Roman" w:eastAsia="宋体" w:cs="Times New Roman"/>
          <w:color w:val="00B050"/>
          <w:highlight w:val="none"/>
          <w:lang w:val="en-US" w:eastAsia="zh-CN"/>
        </w:rPr>
        <w:t>大于5000头生猪</w:t>
      </w:r>
      <w:r>
        <w:rPr>
          <w:rFonts w:hint="default" w:ascii="Times New Roman" w:hAnsi="Times New Roman" w:eastAsia="宋体" w:cs="Times New Roman"/>
          <w:color w:val="00B050"/>
          <w:highlight w:val="none"/>
          <w:lang w:eastAsia="zh-CN"/>
        </w:rPr>
        <w:t>）</w:t>
      </w:r>
      <w:r>
        <w:rPr>
          <w:rFonts w:hint="default" w:ascii="Times New Roman" w:hAnsi="Times New Roman" w:eastAsia="宋体" w:cs="Times New Roman"/>
          <w:color w:val="auto"/>
          <w:highlight w:val="none"/>
        </w:rPr>
        <w:t>，应编制</w:t>
      </w:r>
      <w:r>
        <w:rPr>
          <w:rFonts w:hint="default" w:ascii="Times New Roman" w:hAnsi="Times New Roman" w:eastAsia="宋体" w:cs="Times New Roman"/>
          <w:color w:val="auto"/>
          <w:highlight w:val="none"/>
          <w:lang w:eastAsia="zh-CN"/>
        </w:rPr>
        <w:t>环境影响报告书</w:t>
      </w:r>
      <w:r>
        <w:rPr>
          <w:rFonts w:hint="default" w:ascii="Times New Roman" w:hAnsi="Times New Roman" w:eastAsia="宋体" w:cs="Times New Roman"/>
          <w:color w:val="auto"/>
          <w:highlight w:val="none"/>
        </w:rPr>
        <w:t>。对项目产生的污染和环境影响情况进行详细评价，从环境保护角度评估项目建设的可行性。</w:t>
      </w:r>
    </w:p>
    <w:p w14:paraId="079DA175">
      <w:pPr>
        <w:pStyle w:val="4"/>
        <w:pageBreakBefore w:val="0"/>
        <w:widowControl w:val="0"/>
        <w:shd w:val="clear"/>
        <w:kinsoku/>
        <w:wordWrap/>
        <w:overflowPunct w:val="0"/>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bCs w:val="0"/>
          <w:color w:val="auto"/>
          <w:szCs w:val="22"/>
          <w:highlight w:val="none"/>
        </w:rPr>
      </w:pPr>
      <w:bookmarkStart w:id="51" w:name="_Toc512871515"/>
      <w:bookmarkStart w:id="52" w:name="_Toc11349"/>
      <w:r>
        <w:rPr>
          <w:rFonts w:hint="default" w:ascii="Times New Roman" w:hAnsi="Times New Roman" w:eastAsia="宋体" w:cs="Times New Roman"/>
          <w:bCs w:val="0"/>
          <w:color w:val="auto"/>
          <w:szCs w:val="22"/>
          <w:highlight w:val="none"/>
        </w:rPr>
        <w:t>1.3环境影响评价的工作过程</w:t>
      </w:r>
      <w:bookmarkEnd w:id="51"/>
      <w:bookmarkEnd w:id="52"/>
    </w:p>
    <w:p w14:paraId="1EB8B0B4">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接</w:t>
      </w:r>
      <w:r>
        <w:rPr>
          <w:rFonts w:hint="default" w:ascii="Times New Roman" w:hAnsi="Times New Roman" w:eastAsia="宋体" w:cs="Times New Roman"/>
          <w:color w:val="auto"/>
          <w:highlight w:val="none"/>
          <w:lang w:val="en-US" w:eastAsia="zh-CN"/>
        </w:rPr>
        <w:t>受</w:t>
      </w:r>
      <w:r>
        <w:rPr>
          <w:rFonts w:hint="default" w:ascii="Times New Roman" w:hAnsi="Times New Roman" w:eastAsia="宋体" w:cs="Times New Roman"/>
          <w:color w:val="auto"/>
          <w:highlight w:val="none"/>
        </w:rPr>
        <w:t>委托后，我公司组织工程技术人员进行了现场调研、实地踏勘及进行资料收集，并依据工程有关的技术资料及《</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rPr>
        <w:t>》（HJ2.1-2016、HJ2.2-2018、HJ2.3-2018、</w:t>
      </w:r>
      <w:r>
        <w:rPr>
          <w:rFonts w:hint="default" w:ascii="Times New Roman" w:hAnsi="Times New Roman" w:eastAsia="宋体" w:cs="Times New Roman"/>
          <w:color w:val="auto"/>
          <w:highlight w:val="none"/>
          <w:lang w:eastAsia="zh-CN"/>
        </w:rPr>
        <w:t>HJ2.4-2021</w:t>
      </w:r>
      <w:r>
        <w:rPr>
          <w:rFonts w:hint="default" w:ascii="Times New Roman" w:hAnsi="Times New Roman" w:eastAsia="宋体" w:cs="Times New Roman"/>
          <w:color w:val="auto"/>
          <w:highlight w:val="none"/>
        </w:rPr>
        <w:t>、HJ610-2016和HJ169-2018）中的有关要求，编制完成了《</w:t>
      </w:r>
      <w:r>
        <w:rPr>
          <w:rFonts w:hint="default" w:ascii="Times New Roman" w:hAnsi="Times New Roman" w:eastAsia="宋体" w:cs="Times New Roman"/>
          <w:color w:val="auto"/>
          <w:highlight w:val="none"/>
          <w:lang w:eastAsia="zh-CN"/>
        </w:rPr>
        <w:t>五原县兄弟农民专业合作社肉羊育肥养殖及附属设施建设项目</w:t>
      </w:r>
      <w:r>
        <w:rPr>
          <w:rFonts w:hint="default" w:ascii="Times New Roman" w:hAnsi="Times New Roman" w:eastAsia="宋体" w:cs="Times New Roman"/>
          <w:color w:val="auto"/>
          <w:highlight w:val="none"/>
        </w:rPr>
        <w:t>环境影响报告书》。</w:t>
      </w:r>
    </w:p>
    <w:p w14:paraId="2B4C95F3">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次环境影响评价工作分为三个阶段，第一个阶段为调查分析和工作方案制定阶段，主要工作为研究有关设计资料等与项目相关的文件，进行初步的工程分析和环境现状调查，筛选重点评价因子，确定各环境要素环境影响评价的工作等级；第二阶段为分析论证和预测评价阶段，其主要工作为进一步做工程分析和环境现状调查，并进行环境影响预测和评价环境影响；第三阶段为报告书编制阶段，其主要工作为汇总、分析第二阶段工作所</w:t>
      </w:r>
      <w:r>
        <w:rPr>
          <w:rFonts w:hint="default" w:ascii="Times New Roman" w:hAnsi="Times New Roman" w:eastAsia="宋体" w:cs="Times New Roman"/>
          <w:color w:val="auto"/>
          <w:highlight w:val="none"/>
          <w:lang w:val="en-US" w:eastAsia="zh-CN"/>
        </w:rPr>
        <w:t>需</w:t>
      </w:r>
      <w:r>
        <w:rPr>
          <w:rFonts w:hint="default" w:ascii="Times New Roman" w:hAnsi="Times New Roman" w:eastAsia="宋体" w:cs="Times New Roman"/>
          <w:color w:val="auto"/>
          <w:highlight w:val="none"/>
        </w:rPr>
        <w:t>的各种资料、数据，给出结论，完成环境影响报告书的编制。具体流程如图1.3-1所示</w:t>
      </w:r>
      <w:r>
        <w:rPr>
          <w:rFonts w:hint="default" w:ascii="Times New Roman" w:hAnsi="Times New Roman" w:eastAsia="宋体" w:cs="Times New Roman"/>
          <w:color w:val="auto"/>
          <w:highlight w:val="none"/>
          <w:lang w:val="en-US" w:eastAsia="zh-CN"/>
        </w:rPr>
        <w:t>。</w:t>
      </w:r>
    </w:p>
    <w:p w14:paraId="0F205527">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lang w:val="en-US" w:eastAsia="zh-CN"/>
        </w:rPr>
      </w:pPr>
    </w:p>
    <w:p w14:paraId="477530CF">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lang w:val="en-US" w:eastAsia="zh-CN"/>
        </w:rPr>
      </w:pPr>
    </w:p>
    <w:p w14:paraId="361884FE">
      <w:pPr>
        <w:pageBreakBefore w:val="0"/>
        <w:shd w:val="clear"/>
        <w:kinsoku/>
        <w:wordWrap/>
        <w:bidi w:val="0"/>
        <w:snapToGrid w:val="0"/>
        <w:spacing w:line="360" w:lineRule="auto"/>
        <w:ind w:left="0" w:leftChars="0" w:right="0" w:rightChars="0"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drawing>
          <wp:inline distT="0" distB="0" distL="114300" distR="114300">
            <wp:extent cx="5255895" cy="5102225"/>
            <wp:effectExtent l="0" t="0" r="1905" b="3175"/>
            <wp:docPr id="11"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1"/>
                    <pic:cNvPicPr>
                      <a:picLocks noChangeAspect="1"/>
                    </pic:cNvPicPr>
                  </pic:nvPicPr>
                  <pic:blipFill>
                    <a:blip r:embed="rId12"/>
                    <a:stretch>
                      <a:fillRect/>
                    </a:stretch>
                  </pic:blipFill>
                  <pic:spPr>
                    <a:xfrm>
                      <a:off x="0" y="0"/>
                      <a:ext cx="5255895" cy="5102225"/>
                    </a:xfrm>
                    <a:prstGeom prst="rect">
                      <a:avLst/>
                    </a:prstGeom>
                  </pic:spPr>
                </pic:pic>
              </a:graphicData>
            </a:graphic>
          </wp:inline>
        </w:drawing>
      </w:r>
    </w:p>
    <w:p w14:paraId="5E5298E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图1.3-1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本项目环境影响评价工作程序图</w:t>
      </w:r>
    </w:p>
    <w:p w14:paraId="0146AF5C">
      <w:pPr>
        <w:pStyle w:val="4"/>
        <w:pageBreakBefore w:val="0"/>
        <w:widowControl w:val="0"/>
        <w:shd w:val="clear"/>
        <w:kinsoku/>
        <w:wordWrap/>
        <w:overflowPunct w:val="0"/>
        <w:topLine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bCs w:val="0"/>
          <w:color w:val="auto"/>
          <w:szCs w:val="22"/>
          <w:highlight w:val="none"/>
        </w:rPr>
      </w:pPr>
      <w:bookmarkStart w:id="53" w:name="_Toc512871516"/>
      <w:bookmarkStart w:id="54" w:name="_Toc13720"/>
      <w:r>
        <w:rPr>
          <w:rFonts w:hint="default" w:ascii="Times New Roman" w:hAnsi="Times New Roman" w:eastAsia="宋体" w:cs="Times New Roman"/>
          <w:bCs w:val="0"/>
          <w:color w:val="auto"/>
          <w:szCs w:val="22"/>
          <w:highlight w:val="none"/>
        </w:rPr>
        <w:t>1.4项目可行性判定</w:t>
      </w:r>
      <w:bookmarkEnd w:id="53"/>
      <w:bookmarkEnd w:id="54"/>
    </w:p>
    <w:p w14:paraId="39A04D98">
      <w:pPr>
        <w:pStyle w:val="6"/>
        <w:pageBreakBefore w:val="0"/>
        <w:widowControl w:val="0"/>
        <w:shd w:val="clear"/>
        <w:kinsoku/>
        <w:wordWrap/>
        <w:topLine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55" w:name="_Toc11771"/>
      <w:r>
        <w:rPr>
          <w:rFonts w:hint="default" w:ascii="Times New Roman" w:hAnsi="Times New Roman" w:eastAsia="宋体" w:cs="Times New Roman"/>
          <w:color w:val="auto"/>
          <w:highlight w:val="none"/>
        </w:rPr>
        <w:t>1.4.1产业政策符合性分析</w:t>
      </w:r>
      <w:bookmarkEnd w:id="55"/>
    </w:p>
    <w:p w14:paraId="54CB571E">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，根据</w:t>
      </w:r>
      <w:r>
        <w:rPr>
          <w:rFonts w:hint="default" w:ascii="Times New Roman" w:hAnsi="Times New Roman" w:eastAsia="宋体" w:cs="Times New Roman"/>
          <w:b w:val="0"/>
          <w:bCs w:val="0"/>
          <w:color w:val="auto"/>
          <w:sz w:val="24"/>
          <w:szCs w:val="24"/>
          <w:highlight w:val="none"/>
          <w:vertAlign w:val="baseline"/>
          <w:lang w:eastAsia="zh-CN"/>
        </w:rPr>
        <w:t>《产业结构调整指导目录（20</w:t>
      </w:r>
      <w:r>
        <w:rPr>
          <w:rFonts w:hint="default" w:ascii="Times New Roman" w:hAnsi="Times New Roman" w:eastAsia="宋体" w:cs="Times New Roman"/>
          <w:b w:val="0"/>
          <w:bCs w:val="0"/>
          <w:color w:val="auto"/>
          <w:sz w:val="24"/>
          <w:szCs w:val="24"/>
          <w:highlight w:val="none"/>
          <w:vertAlign w:val="baseline"/>
          <w:lang w:val="en-US" w:eastAsia="zh-CN"/>
        </w:rPr>
        <w:t>24</w:t>
      </w:r>
      <w:r>
        <w:rPr>
          <w:rFonts w:hint="default" w:ascii="Times New Roman" w:hAnsi="Times New Roman" w:eastAsia="宋体" w:cs="Times New Roman"/>
          <w:b w:val="0"/>
          <w:bCs w:val="0"/>
          <w:color w:val="auto"/>
          <w:sz w:val="24"/>
          <w:szCs w:val="24"/>
          <w:highlight w:val="none"/>
          <w:vertAlign w:val="baseline"/>
          <w:lang w:eastAsia="zh-CN"/>
        </w:rPr>
        <w:t>年本）》（国家发展和改革委员会令第</w:t>
      </w:r>
      <w:r>
        <w:rPr>
          <w:rFonts w:hint="default" w:ascii="Times New Roman" w:hAnsi="Times New Roman" w:eastAsia="宋体" w:cs="Times New Roman"/>
          <w:b w:val="0"/>
          <w:bCs w:val="0"/>
          <w:color w:val="auto"/>
          <w:sz w:val="24"/>
          <w:szCs w:val="24"/>
          <w:highlight w:val="none"/>
          <w:vertAlign w:val="baseline"/>
          <w:lang w:val="en-US" w:eastAsia="zh-CN"/>
        </w:rPr>
        <w:t>7</w:t>
      </w:r>
      <w:r>
        <w:rPr>
          <w:rFonts w:hint="default" w:ascii="Times New Roman" w:hAnsi="Times New Roman" w:eastAsia="宋体" w:cs="Times New Roman"/>
          <w:b w:val="0"/>
          <w:bCs w:val="0"/>
          <w:color w:val="auto"/>
          <w:sz w:val="24"/>
          <w:szCs w:val="24"/>
          <w:highlight w:val="none"/>
          <w:vertAlign w:val="baseline"/>
          <w:lang w:eastAsia="zh-CN"/>
        </w:rPr>
        <w:t>号）</w:t>
      </w:r>
      <w:r>
        <w:rPr>
          <w:rFonts w:hint="default" w:ascii="Times New Roman" w:hAnsi="Times New Roman" w:eastAsia="宋体" w:cs="Times New Roman"/>
          <w:color w:val="auto"/>
          <w:highlight w:val="none"/>
        </w:rPr>
        <w:t>，项目属于</w:t>
      </w:r>
      <w:r>
        <w:rPr>
          <w:rFonts w:hint="default" w:ascii="Times New Roman" w:hAnsi="Times New Roman" w:eastAsia="宋体" w:cs="Times New Roman"/>
          <w:color w:val="auto"/>
          <w:highlight w:val="none"/>
          <w:lang w:eastAsia="zh-CN"/>
        </w:rPr>
        <w:t>“第一类</w:t>
      </w:r>
      <w:r>
        <w:rPr>
          <w:rFonts w:hint="default" w:ascii="Times New Roman" w:hAnsi="Times New Roman" w:eastAsia="宋体" w:cs="Times New Roman"/>
          <w:color w:val="auto"/>
          <w:highlight w:val="none"/>
        </w:rPr>
        <w:t>鼓励类</w:t>
      </w:r>
      <w:r>
        <w:rPr>
          <w:rFonts w:hint="default" w:ascii="Times New Roman" w:hAnsi="Times New Roman" w:eastAsia="宋体" w:cs="Times New Roman"/>
          <w:color w:val="auto"/>
          <w:highlight w:val="none"/>
          <w:lang w:eastAsia="zh-CN"/>
        </w:rPr>
        <w:t>”中“一、农林业</w:t>
      </w:r>
      <w:r>
        <w:rPr>
          <w:rFonts w:hint="default" w:ascii="Times New Roman" w:hAnsi="Times New Roman" w:eastAsia="宋体" w:cs="Times New Roman"/>
          <w:color w:val="auto"/>
          <w:highlight w:val="none"/>
          <w:lang w:val="en-US" w:eastAsia="zh-CN"/>
        </w:rPr>
        <w:t>--14、</w:t>
      </w:r>
      <w:r>
        <w:rPr>
          <w:rFonts w:hint="default" w:ascii="Times New Roman" w:hAnsi="Times New Roman" w:eastAsia="宋体" w:cs="Times New Roman"/>
          <w:color w:val="auto"/>
          <w:highlight w:val="none"/>
        </w:rPr>
        <w:t>畜禽标准化规模养殖技术开发与应用</w:t>
      </w:r>
      <w:r>
        <w:rPr>
          <w:rFonts w:hint="default" w:ascii="Times New Roman" w:hAnsi="Times New Roman" w:eastAsia="宋体" w:cs="Times New Roman"/>
          <w:color w:val="auto"/>
          <w:highlight w:val="none"/>
          <w:lang w:eastAsia="zh-CN"/>
        </w:rPr>
        <w:t>”。</w:t>
      </w:r>
    </w:p>
    <w:p w14:paraId="10F03503">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本</w:t>
      </w:r>
      <w:r>
        <w:rPr>
          <w:rFonts w:hint="default" w:ascii="Times New Roman" w:hAnsi="Times New Roman" w:eastAsia="宋体" w:cs="Times New Roman"/>
          <w:color w:val="auto"/>
          <w:highlight w:val="none"/>
        </w:rPr>
        <w:t>项目</w:t>
      </w:r>
      <w:r>
        <w:rPr>
          <w:rFonts w:hint="default" w:ascii="Times New Roman" w:hAnsi="Times New Roman" w:eastAsia="宋体" w:cs="Times New Roman"/>
          <w:bCs/>
          <w:color w:val="auto"/>
          <w:szCs w:val="21"/>
          <w:highlight w:val="none"/>
          <w:lang w:val="en-US" w:eastAsia="zh-CN"/>
        </w:rPr>
        <w:t>于2024年7月11日</w:t>
      </w:r>
      <w:r>
        <w:rPr>
          <w:rFonts w:hint="default" w:ascii="Times New Roman" w:hAnsi="Times New Roman" w:eastAsia="宋体" w:cs="Times New Roman"/>
          <w:color w:val="auto"/>
          <w:highlight w:val="none"/>
        </w:rPr>
        <w:t>取得</w:t>
      </w:r>
      <w:r>
        <w:rPr>
          <w:rFonts w:hint="default" w:ascii="Times New Roman" w:hAnsi="Times New Roman" w:eastAsia="宋体" w:cs="Times New Roman"/>
          <w:color w:val="auto"/>
          <w:highlight w:val="none"/>
          <w:lang w:eastAsia="zh-CN"/>
        </w:rPr>
        <w:t>了五原县发展和改革委员会出具的</w:t>
      </w:r>
      <w:r>
        <w:rPr>
          <w:rFonts w:hint="default" w:ascii="Times New Roman" w:hAnsi="Times New Roman" w:eastAsia="宋体" w:cs="Times New Roman"/>
          <w:color w:val="auto"/>
          <w:highlight w:val="none"/>
        </w:rPr>
        <w:t>《项目备案告知书》</w:t>
      </w:r>
      <w:r>
        <w:rPr>
          <w:rFonts w:hint="default" w:ascii="Times New Roman" w:hAnsi="Times New Roman" w:eastAsia="宋体" w:cs="Times New Roman"/>
          <w:color w:val="auto"/>
          <w:highlight w:val="none"/>
          <w:lang w:eastAsia="zh-CN"/>
        </w:rPr>
        <w:t>，项目代码：</w:t>
      </w:r>
      <w:r>
        <w:rPr>
          <w:rFonts w:hint="default" w:ascii="Times New Roman" w:hAnsi="Times New Roman" w:eastAsia="宋体" w:cs="Times New Roman"/>
          <w:color w:val="auto"/>
          <w:highlight w:val="none"/>
          <w:lang w:val="en-US" w:eastAsia="zh-CN"/>
        </w:rPr>
        <w:t>2407-150821-04-01-213103，项目符合产业政策和市场准入标准。</w:t>
      </w:r>
    </w:p>
    <w:p w14:paraId="47B51FF0">
      <w:pPr>
        <w:pageBreakBefore w:val="0"/>
        <w:shd w:val="clear"/>
        <w:kinsoku/>
        <w:wordWrap/>
        <w:bidi w:val="0"/>
        <w:snapToGrid w:val="0"/>
        <w:spacing w:line="360" w:lineRule="auto"/>
        <w:ind w:left="0" w:leftChars="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b w:val="0"/>
          <w:bCs w:val="0"/>
          <w:color w:val="auto"/>
          <w:sz w:val="24"/>
          <w:szCs w:val="24"/>
          <w:highlight w:val="none"/>
          <w:shd w:val="clear" w:color="auto" w:fill="auto"/>
          <w:vertAlign w:val="baseline"/>
          <w:lang w:val="en-US" w:eastAsia="zh-CN"/>
        </w:rPr>
        <w:t>综上，本项目符合国家</w:t>
      </w:r>
      <w:r>
        <w:rPr>
          <w:rFonts w:hint="default" w:ascii="Times New Roman" w:hAnsi="Times New Roman" w:eastAsia="宋体" w:cs="Times New Roman"/>
          <w:b w:val="0"/>
          <w:bCs w:val="0"/>
          <w:color w:val="auto"/>
          <w:sz w:val="24"/>
          <w:szCs w:val="24"/>
          <w:highlight w:val="none"/>
          <w:shd w:val="clear" w:color="auto" w:fill="auto"/>
          <w:vertAlign w:val="baseline"/>
          <w:lang w:val="en-US" w:eastAsia="zh-CN"/>
        </w:rPr>
        <w:t>和地方</w:t>
      </w:r>
      <w:r>
        <w:rPr>
          <w:rFonts w:hint="default" w:ascii="Times New Roman" w:hAnsi="Times New Roman" w:eastAsia="宋体" w:cs="Times New Roman"/>
          <w:b w:val="0"/>
          <w:bCs w:val="0"/>
          <w:color w:val="auto"/>
          <w:sz w:val="24"/>
          <w:szCs w:val="24"/>
          <w:highlight w:val="none"/>
          <w:shd w:val="clear" w:color="auto" w:fill="auto"/>
          <w:vertAlign w:val="baseline"/>
          <w:lang w:val="en-US" w:eastAsia="zh-CN"/>
        </w:rPr>
        <w:t>产业政策</w:t>
      </w:r>
      <w:r>
        <w:rPr>
          <w:rFonts w:hint="default" w:ascii="Times New Roman" w:hAnsi="Times New Roman" w:eastAsia="宋体" w:cs="Times New Roman"/>
          <w:color w:val="auto"/>
          <w:highlight w:val="none"/>
        </w:rPr>
        <w:t>。</w:t>
      </w:r>
    </w:p>
    <w:p w14:paraId="3CF87C10">
      <w:pPr>
        <w:pStyle w:val="6"/>
        <w:pageBreakBefore w:val="0"/>
        <w:widowControl w:val="0"/>
        <w:shd w:val="clear"/>
        <w:kinsoku/>
        <w:wordWrap/>
        <w:topLine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56" w:name="_Toc29820"/>
      <w:r>
        <w:rPr>
          <w:rFonts w:hint="default" w:ascii="Times New Roman" w:hAnsi="Times New Roman" w:eastAsia="宋体" w:cs="Times New Roman"/>
          <w:color w:val="auto"/>
          <w:highlight w:val="none"/>
        </w:rPr>
        <w:t>1.4.2项目选址合理性分析</w:t>
      </w:r>
      <w:bookmarkEnd w:id="56"/>
    </w:p>
    <w:p w14:paraId="473A0A25">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本项目选址于</w:t>
      </w:r>
      <w:r>
        <w:rPr>
          <w:rFonts w:hint="default" w:ascii="Times New Roman" w:hAnsi="Times New Roman" w:eastAsia="宋体" w:cs="Times New Roman"/>
          <w:color w:val="auto"/>
          <w:sz w:val="24"/>
          <w:szCs w:val="24"/>
          <w:highlight w:val="none"/>
          <w:lang w:eastAsia="zh-CN"/>
        </w:rPr>
        <w:t>内蒙古自治区巴彦淖尔市五原县胜丰镇新丰村三社</w:t>
      </w:r>
      <w:r>
        <w:rPr>
          <w:rFonts w:hint="default" w:ascii="Times New Roman" w:hAnsi="Times New Roman" w:eastAsia="宋体" w:cs="Times New Roman"/>
          <w:color w:val="auto"/>
          <w:highlight w:val="none"/>
        </w:rPr>
        <w:t>，项目周围500m范围内无工业企业</w:t>
      </w:r>
      <w:r>
        <w:rPr>
          <w:rFonts w:hint="default" w:ascii="Times New Roman" w:hAnsi="Times New Roman" w:eastAsia="宋体" w:cs="Times New Roman"/>
          <w:color w:val="auto"/>
          <w:highlight w:val="none"/>
          <w:lang w:eastAsia="zh-CN"/>
        </w:rPr>
        <w:t>，不压覆已查明重要矿产资源</w:t>
      </w:r>
      <w:r>
        <w:rPr>
          <w:rFonts w:hint="default" w:ascii="Times New Roman" w:hAnsi="Times New Roman" w:eastAsia="宋体" w:cs="Times New Roman"/>
          <w:color w:val="auto"/>
          <w:highlight w:val="none"/>
        </w:rPr>
        <w:t>，区域环境质量良好，有利于畜禽的生长，并可以保持良好的健康状态。</w:t>
      </w:r>
    </w:p>
    <w:p w14:paraId="7ADC7D7B">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根据调查，项目周边主要为</w:t>
      </w:r>
      <w:r>
        <w:rPr>
          <w:rFonts w:hint="default" w:ascii="Times New Roman" w:hAnsi="Times New Roman" w:eastAsia="宋体" w:cs="Times New Roman"/>
          <w:color w:val="auto"/>
          <w:highlight w:val="none"/>
          <w:lang w:val="en-US" w:eastAsia="zh-CN"/>
        </w:rPr>
        <w:t>耕地</w:t>
      </w:r>
      <w:r>
        <w:rPr>
          <w:rFonts w:hint="default" w:ascii="Times New Roman" w:hAnsi="Times New Roman" w:eastAsia="宋体" w:cs="Times New Roman"/>
          <w:color w:val="auto"/>
          <w:highlight w:val="none"/>
        </w:rPr>
        <w:t>，项目周围500m范围内无学校、医院、</w:t>
      </w:r>
      <w:r>
        <w:rPr>
          <w:rFonts w:hint="default" w:ascii="Times New Roman" w:hAnsi="Times New Roman" w:eastAsia="宋体" w:cs="Times New Roman"/>
          <w:color w:val="auto"/>
          <w:highlight w:val="none"/>
          <w:lang w:eastAsia="zh-CN"/>
        </w:rPr>
        <w:t>行政办公室</w:t>
      </w:r>
      <w:r>
        <w:rPr>
          <w:rFonts w:hint="default" w:ascii="Times New Roman" w:hAnsi="Times New Roman" w:eastAsia="宋体" w:cs="Times New Roman"/>
          <w:color w:val="auto"/>
          <w:highlight w:val="none"/>
        </w:rPr>
        <w:t>等敏感目标</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根据估算模式预测结果，本项目厂界外无超标点，且敏感点预测值能够满足环境功能区划要求，</w:t>
      </w:r>
      <w:r>
        <w:rPr>
          <w:rFonts w:hint="default" w:ascii="Times New Roman" w:hAnsi="Times New Roman" w:eastAsia="宋体" w:cs="Times New Roman"/>
          <w:color w:val="auto"/>
          <w:highlight w:val="none"/>
          <w:lang w:val="en-US" w:eastAsia="zh-CN"/>
        </w:rPr>
        <w:t>不</w:t>
      </w:r>
      <w:r>
        <w:rPr>
          <w:rFonts w:hint="default" w:ascii="Times New Roman" w:hAnsi="Times New Roman" w:eastAsia="宋体" w:cs="Times New Roman"/>
          <w:color w:val="auto"/>
          <w:highlight w:val="none"/>
        </w:rPr>
        <w:t>设置大气环境防护距离</w:t>
      </w:r>
      <w:r>
        <w:rPr>
          <w:rFonts w:hint="default" w:ascii="Times New Roman" w:hAnsi="Times New Roman" w:eastAsia="宋体" w:cs="Times New Roman"/>
          <w:color w:val="auto"/>
          <w:highlight w:val="none"/>
          <w:lang w:eastAsia="zh-CN"/>
        </w:rPr>
        <w:t>。</w:t>
      </w:r>
    </w:p>
    <w:p w14:paraId="43739B54">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本项目不在《畜禽养殖业污染防治技术规范》（HJ/T81-2001）中3.1规定的禁建区域（a.生活饮用水水源保护区、风景名胜区、自然保护区的核心区和缓冲区；b.城市和城镇居民区，包括文教科研区、医疗区、商业区、工业区、旅游区等人口集中地区；c.县级人民政府依法规定的禁养区域；d.国家或地方法律、法规规定需要特殊保</w:t>
      </w:r>
      <w:r>
        <w:rPr>
          <w:rFonts w:hint="default" w:ascii="Times New Roman" w:hAnsi="Times New Roman" w:eastAsia="宋体" w:cs="Times New Roman"/>
          <w:color w:val="auto"/>
          <w:highlight w:val="none"/>
          <w:lang w:eastAsia="zh-CN"/>
        </w:rPr>
        <w:t>护的</w:t>
      </w:r>
      <w:r>
        <w:rPr>
          <w:rFonts w:hint="default" w:ascii="Times New Roman" w:hAnsi="Times New Roman" w:eastAsia="宋体" w:cs="Times New Roman"/>
          <w:color w:val="auto"/>
          <w:highlight w:val="none"/>
          <w:lang w:eastAsia="zh-CN"/>
        </w:rPr>
        <w:t>其它区域）</w:t>
      </w:r>
      <w:r>
        <w:rPr>
          <w:rFonts w:hint="default" w:ascii="Times New Roman" w:hAnsi="Times New Roman" w:eastAsia="宋体" w:cs="Times New Roman"/>
          <w:color w:val="auto"/>
          <w:highlight w:val="none"/>
          <w:lang w:val="en-US" w:eastAsia="zh-CN"/>
        </w:rPr>
        <w:t>。</w:t>
      </w:r>
    </w:p>
    <w:p w14:paraId="53E3EBEF">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Cs/>
          <w:color w:val="auto"/>
          <w:szCs w:val="21"/>
          <w:highlight w:val="none"/>
          <w:lang w:val="en-US" w:eastAsia="zh-CN"/>
        </w:rPr>
        <w:t>本</w:t>
      </w:r>
      <w:r>
        <w:rPr>
          <w:rFonts w:hint="default" w:ascii="Times New Roman" w:hAnsi="Times New Roman" w:eastAsia="宋体" w:cs="Times New Roman"/>
          <w:color w:val="auto"/>
          <w:highlight w:val="none"/>
        </w:rPr>
        <w:t>项目选址符合《关于做好畜禽规模养殖项目环境影响评价管理工作的通知》（环办环评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31号）、《畜禽规模养殖污染防治条例》国务院令第643号、《畜禽养殖业污染防治技术规范》（HJ-T81-2001）、《畜禽场场区设计技术规范》（NY-T682-2003）等法律法规和行业规范的选址要求</w:t>
      </w:r>
      <w:r>
        <w:rPr>
          <w:rFonts w:hint="default" w:ascii="Times New Roman" w:hAnsi="Times New Roman" w:eastAsia="宋体" w:cs="Times New Roman"/>
          <w:color w:val="auto"/>
          <w:highlight w:val="none"/>
          <w:lang w:eastAsia="zh-CN"/>
        </w:rPr>
        <w:t>。</w:t>
      </w:r>
    </w:p>
    <w:p w14:paraId="69F384F0">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综上，本项目选址合理</w:t>
      </w:r>
      <w:r>
        <w:rPr>
          <w:rFonts w:hint="default" w:ascii="Times New Roman" w:hAnsi="Times New Roman" w:eastAsia="宋体" w:cs="Times New Roman"/>
          <w:color w:val="auto"/>
          <w:highlight w:val="none"/>
        </w:rPr>
        <w:t>。</w:t>
      </w:r>
    </w:p>
    <w:p w14:paraId="7961F571">
      <w:pPr>
        <w:pageBreakBefore w:val="0"/>
        <w:widowControl w:val="0"/>
        <w:shd w:val="clear"/>
        <w:kinsoku/>
        <w:wordWrap/>
        <w:overflowPunct w:val="0"/>
        <w:topLinePunct/>
        <w:autoSpaceDE/>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sz w:val="24"/>
        </w:rPr>
        <mc:AlternateContent>
          <mc:Choice Requires="wps">
            <w:drawing>
              <wp:anchor distT="0" distB="0" distL="114300" distR="114300" simplePos="0" relativeHeight="251739136" behindDoc="0" locked="0" layoutInCell="1" allowOverlap="1">
                <wp:simplePos x="0" y="0"/>
                <wp:positionH relativeFrom="column">
                  <wp:posOffset>3745865</wp:posOffset>
                </wp:positionH>
                <wp:positionV relativeFrom="paragraph">
                  <wp:posOffset>1245870</wp:posOffset>
                </wp:positionV>
                <wp:extent cx="982980" cy="343535"/>
                <wp:effectExtent l="12700" t="12700" r="13970" b="253365"/>
                <wp:wrapNone/>
                <wp:docPr id="106" name="矩形标注 106"/>
                <wp:cNvGraphicFramePr/>
                <a:graphic xmlns:a="http://schemas.openxmlformats.org/drawingml/2006/main">
                  <a:graphicData uri="http://schemas.microsoft.com/office/word/2010/wordprocessingShape">
                    <wps:wsp>
                      <wps:cNvSpPr/>
                      <wps:spPr>
                        <a:xfrm>
                          <a:off x="4865370" y="6389370"/>
                          <a:ext cx="982980" cy="343535"/>
                        </a:xfrm>
                        <a:prstGeom prst="wedgeRectCallout">
                          <a:avLst>
                            <a:gd name="adj1" fmla="val -28311"/>
                            <a:gd name="adj2" fmla="val 118479"/>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7EAC0B5">
                            <w:pPr>
                              <w:spacing w:line="240" w:lineRule="auto"/>
                              <w:ind w:left="0" w:leftChars="0" w:firstLine="0" w:firstLineChars="0"/>
                              <w:jc w:val="both"/>
                              <w:rPr>
                                <w:rFonts w:hint="default" w:eastAsia="宋体"/>
                                <w:b/>
                                <w:bCs/>
                                <w:color w:val="FF000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FF000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4.95pt;margin-top:98.1pt;height:27.05pt;width:77.4pt;z-index:251739136;v-text-anchor:middle;mso-width-relative:page;mso-height-relative:page;" filled="f" stroked="t" coordsize="21600,21600" o:gfxdata="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rtzAO1gAAAAsBAAAPAAAAAAAAAAEAIAAAACIAAABkcnMvZG93bnJl&#10;di54bWxQSwECFAAUAAAACACHTuJA2pqt5aoCAAAzBQAADgAAAAAAAAABACAAAAAlAQAAZHJzL2Uy&#10;b0RvYy54bWxQSwUGAAAAAAYABgBZAQAAQQYAAAAA&#10;" adj="4685,36391">
                <v:fill on="f" focussize="0,0"/>
                <v:stroke weight="2pt" color="#000000 [3213]" joinstyle="round"/>
                <v:imagedata o:title=""/>
                <o:lock v:ext="edit" aspectratio="f"/>
                <v:textbox>
                  <w:txbxContent>
                    <w:p w14:paraId="77EAC0B5">
                      <w:pPr>
                        <w:spacing w:line="240" w:lineRule="auto"/>
                        <w:ind w:left="0" w:leftChars="0" w:firstLine="0" w:firstLineChars="0"/>
                        <w:jc w:val="both"/>
                        <w:rPr>
                          <w:rFonts w:hint="default" w:eastAsia="宋体"/>
                          <w:b/>
                          <w:bCs/>
                          <w:color w:val="FF000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FF000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本项目位置</w:t>
                      </w:r>
                    </w:p>
                  </w:txbxContent>
                </v:textbox>
              </v:shape>
            </w:pict>
          </mc:Fallback>
        </mc:AlternateContent>
      </w:r>
      <w:r>
        <w:rPr>
          <w:rFonts w:hint="default" w:ascii="Times New Roman" w:hAnsi="Times New Roman" w:eastAsia="宋体" w:cs="Times New Roman"/>
          <w:sz w:val="24"/>
        </w:rPr>
        <mc:AlternateContent>
          <mc:Choice Requires="wps">
            <w:drawing>
              <wp:anchor distT="0" distB="0" distL="114300" distR="114300" simplePos="0" relativeHeight="251738112" behindDoc="0" locked="0" layoutInCell="1" allowOverlap="1">
                <wp:simplePos x="0" y="0"/>
                <wp:positionH relativeFrom="column">
                  <wp:posOffset>3923030</wp:posOffset>
                </wp:positionH>
                <wp:positionV relativeFrom="paragraph">
                  <wp:posOffset>1813560</wp:posOffset>
                </wp:positionV>
                <wp:extent cx="75565" cy="75565"/>
                <wp:effectExtent l="12700" t="12700" r="26035" b="26035"/>
                <wp:wrapNone/>
                <wp:docPr id="105" name="椭圆 105"/>
                <wp:cNvGraphicFramePr/>
                <a:graphic xmlns:a="http://schemas.openxmlformats.org/drawingml/2006/main">
                  <a:graphicData uri="http://schemas.microsoft.com/office/word/2010/wordprocessingShape">
                    <wps:wsp>
                      <wps:cNvSpPr/>
                      <wps:spPr>
                        <a:xfrm>
                          <a:off x="5083175" y="7082790"/>
                          <a:ext cx="75565" cy="75565"/>
                        </a:xfrm>
                        <a:prstGeom prst="ellipse">
                          <a:avLst/>
                        </a:prstGeom>
                        <a:solidFill>
                          <a:srgbClr val="FF00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08.9pt;margin-top:142.8pt;height:5.95pt;width:5.95pt;z-index:251738112;v-text-anchor:middle;mso-width-relative:page;mso-height-relative:page;" fillcolor="#FF0000" filled="t" stroked="t" coordsize="21600,21600" o:gfxdata="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6s7sf2gAAAAsBAAAPAAAAAAAAAAEAIAAAACIAAABkcnMvZG93&#10;bnJldi54bWxQSwECFAAUAAAACACHTuJAwxOQ0XACAADtBAAADgAAAAAAAAABACAAAAApAQAAZHJz&#10;L2Uyb0RvYy54bWxQSwUGAAAAAAYABgBZAQAACwYAAAAA&#1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highlight w:val="none"/>
          <w:lang w:eastAsia="zh-CN"/>
        </w:rPr>
        <w:drawing>
          <wp:inline distT="0" distB="0" distL="114300" distR="114300">
            <wp:extent cx="5255895" cy="3863975"/>
            <wp:effectExtent l="0" t="0" r="1905" b="3175"/>
            <wp:docPr id="103" name="图片 103" descr="3e173f80cbea5d3a2318e47754c8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3e173f80cbea5d3a2318e47754c8d10"/>
                    <pic:cNvPicPr>
                      <a:picLocks noChangeAspect="1"/>
                    </pic:cNvPicPr>
                  </pic:nvPicPr>
                  <pic:blipFill>
                    <a:blip r:embed="rId13"/>
                    <a:srcRect l="6927" t="5785" r="6927" b="4659"/>
                    <a:stretch>
                      <a:fillRect/>
                    </a:stretch>
                  </pic:blipFill>
                  <pic:spPr>
                    <a:xfrm>
                      <a:off x="0" y="0"/>
                      <a:ext cx="5255895" cy="3863975"/>
                    </a:xfrm>
                    <a:prstGeom prst="rect">
                      <a:avLst/>
                    </a:prstGeom>
                  </pic:spPr>
                </pic:pic>
              </a:graphicData>
            </a:graphic>
          </wp:inline>
        </w:drawing>
      </w:r>
    </w:p>
    <w:p w14:paraId="61C188FA">
      <w:pPr>
        <w:pageBreakBefore w:val="0"/>
        <w:widowControl w:val="0"/>
        <w:shd w:val="clear"/>
        <w:kinsoku/>
        <w:wordWrap/>
        <w:overflowPunct w:val="0"/>
        <w:topLinePunct/>
        <w:autoSpaceDE/>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图1.</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rPr>
        <w:t>-1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本项目与五原县禁养区</w:t>
      </w:r>
      <w:r>
        <w:rPr>
          <w:rFonts w:hint="default" w:ascii="Times New Roman" w:hAnsi="Times New Roman" w:eastAsia="宋体" w:cs="Times New Roman"/>
          <w:b/>
          <w:bCs/>
          <w:color w:val="auto"/>
          <w:highlight w:val="none"/>
          <w:lang w:val="en-US" w:eastAsia="zh-CN"/>
        </w:rPr>
        <w:t>位置关系图</w:t>
      </w:r>
    </w:p>
    <w:p w14:paraId="469A5F91">
      <w:pPr>
        <w:pStyle w:val="6"/>
        <w:pageBreakBefore w:val="0"/>
        <w:widowControl w:val="0"/>
        <w:shd w:val="clear"/>
        <w:kinsoku/>
        <w:wordWrap/>
        <w:topLine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57" w:name="_Toc3439"/>
      <w:r>
        <w:rPr>
          <w:rFonts w:hint="default" w:ascii="Times New Roman" w:hAnsi="Times New Roman" w:eastAsia="宋体" w:cs="Times New Roman"/>
          <w:color w:val="auto"/>
          <w:highlight w:val="none"/>
        </w:rPr>
        <w:t>1.4.3</w:t>
      </w:r>
      <w:bookmarkStart w:id="58" w:name="_Toc521342110"/>
      <w:r>
        <w:rPr>
          <w:rFonts w:hint="default" w:ascii="Times New Roman" w:hAnsi="Times New Roman" w:eastAsia="宋体" w:cs="Times New Roman"/>
          <w:color w:val="auto"/>
          <w:highlight w:val="none"/>
        </w:rPr>
        <w:t>“三线一单”符合性分析</w:t>
      </w:r>
      <w:bookmarkEnd w:id="57"/>
      <w:bookmarkEnd w:id="58"/>
    </w:p>
    <w:p w14:paraId="6D4D5CEB">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根据实际情况，本项目“三线一单”分析如下：</w:t>
      </w:r>
    </w:p>
    <w:p w14:paraId="0552865F">
      <w:pPr>
        <w:pageBreakBefore w:val="0"/>
        <w:widowControl w:val="0"/>
        <w:shd w:val="clear"/>
        <w:kinsoku/>
        <w:wordWrap/>
        <w:topLinePunct/>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59" w:name="_Toc16754"/>
      <w:bookmarkStart w:id="60" w:name="_Toc15806"/>
      <w:bookmarkStart w:id="61" w:name="_Toc7382"/>
      <w:bookmarkStart w:id="62" w:name="_Toc19167"/>
      <w:bookmarkStart w:id="63" w:name="_Toc512871517"/>
      <w:r>
        <w:rPr>
          <w:rFonts w:hint="default" w:ascii="Times New Roman" w:hAnsi="Times New Roman" w:eastAsia="宋体" w:cs="Times New Roman"/>
          <w:color w:val="auto"/>
          <w:highlight w:val="none"/>
        </w:rPr>
        <w:t>（1）生态保护红线</w:t>
      </w:r>
      <w:bookmarkEnd w:id="59"/>
      <w:bookmarkEnd w:id="60"/>
      <w:bookmarkEnd w:id="61"/>
      <w:bookmarkEnd w:id="62"/>
    </w:p>
    <w:p w14:paraId="17687560">
      <w:pPr>
        <w:pageBreakBefore w:val="0"/>
        <w:widowControl w:val="0"/>
        <w:shd w:val="clear"/>
        <w:kinsoku/>
        <w:wordWrap/>
        <w:topLinePunct/>
        <w:autoSpaceDN/>
        <w:bidi w:val="0"/>
        <w:spacing w:line="360" w:lineRule="auto"/>
        <w:ind w:left="0" w:leftChars="0" w:firstLine="480"/>
        <w:textAlignment w:val="auto"/>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根据《巴彦淖尔市人民政府办公室关于巴彦淖尔市2023年生态环境分区管控成果动态更新的通知》（巴政办字〔2023〕106号），巴彦淖尔市全市共划定环境管控单元256个，包括优先保护单元、重点管控单元、一般管控单元三类，实施分类管控。</w:t>
      </w:r>
    </w:p>
    <w:p w14:paraId="195134E8">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本项目位于内蒙古自治区巴彦淖尔市五原县胜丰镇新丰村三社，厂区评价范围内无生态保护红线、自然保护地、集中式饮用水水源保护区等生态功能重要区和生态环境敏感区，不在巴彦淖尔市生态保护红线范围内。项目投产后落实报告提出的各项防治措施及风险防治措施后不会对生态环境造成影响，满足生态保护红线要求</w:t>
      </w:r>
      <w:r>
        <w:rPr>
          <w:rFonts w:hint="default" w:ascii="Times New Roman" w:hAnsi="Times New Roman" w:eastAsia="宋体" w:cs="Times New Roman"/>
          <w:color w:val="auto"/>
          <w:highlight w:val="none"/>
        </w:rPr>
        <w:t>。</w:t>
      </w:r>
    </w:p>
    <w:p w14:paraId="60228EE2">
      <w:pPr>
        <w:pageBreakBefore w:val="0"/>
        <w:widowControl w:val="0"/>
        <w:shd w:val="clear"/>
        <w:kinsoku/>
        <w:wordWrap/>
        <w:topLinePunct/>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4" w:name="_Toc6425"/>
      <w:bookmarkStart w:id="65" w:name="_Toc20645"/>
      <w:bookmarkStart w:id="66" w:name="_Toc6542"/>
      <w:bookmarkStart w:id="67" w:name="_Toc22169"/>
      <w:r>
        <w:rPr>
          <w:rFonts w:hint="default" w:ascii="Times New Roman" w:hAnsi="Times New Roman" w:eastAsia="宋体" w:cs="Times New Roman"/>
          <w:color w:val="auto"/>
          <w:highlight w:val="none"/>
        </w:rPr>
        <w:t>（2）环境质量底线</w:t>
      </w:r>
      <w:bookmarkEnd w:id="64"/>
      <w:bookmarkEnd w:id="65"/>
      <w:bookmarkEnd w:id="66"/>
      <w:bookmarkEnd w:id="67"/>
    </w:p>
    <w:p w14:paraId="5CCE763E">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kern w:val="0"/>
          <w:sz w:val="24"/>
          <w:szCs w:val="24"/>
          <w:highlight w:val="none"/>
          <w:lang w:eastAsia="zh-CN"/>
        </w:rPr>
        <w:t>《巴彦淖尔市环境质量状况公报（2023年）》，本项目所在地巴彦淖尔市</w:t>
      </w:r>
      <w:r>
        <w:rPr>
          <w:rFonts w:hint="default" w:ascii="Times New Roman" w:hAnsi="Times New Roman" w:eastAsia="宋体" w:cs="Times New Roman"/>
          <w:color w:val="auto"/>
          <w:sz w:val="24"/>
          <w:szCs w:val="24"/>
          <w:highlight w:val="none"/>
          <w:lang w:eastAsia="zh-CN"/>
        </w:rPr>
        <w:t>五原县</w:t>
      </w:r>
      <w:r>
        <w:rPr>
          <w:rFonts w:hint="default" w:ascii="Times New Roman" w:hAnsi="Times New Roman" w:eastAsia="宋体" w:cs="Times New Roman"/>
          <w:color w:val="auto"/>
          <w:kern w:val="0"/>
          <w:sz w:val="24"/>
          <w:szCs w:val="24"/>
          <w:highlight w:val="none"/>
          <w:lang w:val="en-US" w:eastAsia="zh-CN"/>
        </w:rPr>
        <w:t>2023年大气环境中6项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w:t>
      </w:r>
      <w:r>
        <w:rPr>
          <w:rFonts w:hint="default" w:ascii="Times New Roman" w:hAnsi="Times New Roman" w:eastAsia="宋体" w:cs="Times New Roman"/>
          <w:color w:val="auto"/>
          <w:kern w:val="0"/>
          <w:sz w:val="24"/>
          <w:szCs w:val="24"/>
          <w:highlight w:val="none"/>
          <w:lang w:eastAsia="zh-CN"/>
        </w:rPr>
        <w:t>本项目所在地为</w:t>
      </w:r>
      <w:r>
        <w:rPr>
          <w:rFonts w:hint="default" w:ascii="Times New Roman" w:hAnsi="Times New Roman" w:eastAsia="宋体" w:cs="Times New Roman"/>
          <w:color w:val="auto"/>
          <w:kern w:val="0"/>
          <w:sz w:val="24"/>
          <w:szCs w:val="24"/>
          <w:highlight w:val="none"/>
        </w:rPr>
        <w:t>达标区</w:t>
      </w:r>
      <w:r>
        <w:rPr>
          <w:rFonts w:hint="default" w:ascii="Times New Roman" w:hAnsi="Times New Roman" w:eastAsia="宋体" w:cs="Times New Roman"/>
          <w:color w:val="auto"/>
          <w:kern w:val="0"/>
          <w:sz w:val="24"/>
          <w:szCs w:val="24"/>
          <w:highlight w:val="none"/>
          <w:lang w:eastAsia="zh-CN"/>
        </w:rPr>
        <w:t>；根据</w:t>
      </w:r>
      <w:r>
        <w:rPr>
          <w:rFonts w:hint="default" w:ascii="Times New Roman" w:hAnsi="Times New Roman" w:eastAsia="宋体" w:cs="Times New Roman"/>
          <w:color w:val="auto"/>
          <w:sz w:val="24"/>
          <w:highlight w:val="none"/>
        </w:rPr>
        <w:t>特征因子</w:t>
      </w:r>
      <w:r>
        <w:rPr>
          <w:rFonts w:hint="default" w:ascii="Times New Roman" w:hAnsi="Times New Roman" w:eastAsia="宋体" w:cs="Times New Roman"/>
          <w:color w:val="auto"/>
          <w:kern w:val="0"/>
          <w:sz w:val="24"/>
          <w:szCs w:val="24"/>
          <w:highlight w:val="none"/>
          <w:lang w:eastAsia="zh-CN"/>
        </w:rPr>
        <w:t>监测结果可知，</w:t>
      </w:r>
      <w:r>
        <w:rPr>
          <w:rFonts w:hint="default" w:ascii="Times New Roman" w:hAnsi="Times New Roman" w:eastAsia="宋体" w:cs="Times New Roman"/>
          <w:color w:val="auto"/>
          <w:kern w:val="0"/>
          <w:sz w:val="24"/>
          <w:szCs w:val="24"/>
          <w:highlight w:val="none"/>
          <w:lang w:val="en-US" w:eastAsia="zh-CN"/>
        </w:rPr>
        <w:t>TSP</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vertAlign w:val="baseline"/>
          <w:lang w:eastAsia="zh-CN"/>
        </w:rPr>
        <w:t>；</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S、NH</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满足</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环境影响评价技术导则 大气环境</w:t>
      </w:r>
      <w:r>
        <w:rPr>
          <w:rFonts w:hint="default" w:ascii="Times New Roman" w:hAnsi="Times New Roman" w:eastAsia="宋体" w:cs="Times New Roman"/>
          <w:color w:val="auto"/>
          <w:kern w:val="0"/>
          <w:sz w:val="24"/>
          <w:szCs w:val="24"/>
          <w:highlight w:val="none"/>
        </w:rPr>
        <w:t>》（HJ2.2-2018）附录D</w:t>
      </w:r>
      <w:r>
        <w:rPr>
          <w:rFonts w:hint="default" w:ascii="Times New Roman" w:hAnsi="Times New Roman" w:eastAsia="宋体" w:cs="Times New Roman"/>
          <w:color w:val="auto"/>
          <w:kern w:val="0"/>
          <w:sz w:val="24"/>
          <w:szCs w:val="24"/>
          <w:highlight w:val="none"/>
          <w:lang w:eastAsia="zh-CN"/>
        </w:rPr>
        <w:t>其他污染物空气质量浓度参考限值</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szCs w:val="24"/>
          <w:highlight w:val="none"/>
          <w:lang w:eastAsia="zh-CN"/>
        </w:rPr>
        <w:t>根据</w:t>
      </w:r>
      <w:r>
        <w:rPr>
          <w:rFonts w:hint="default" w:ascii="Times New Roman" w:hAnsi="Times New Roman" w:eastAsia="宋体" w:cs="Times New Roman"/>
          <w:color w:val="auto"/>
          <w:sz w:val="24"/>
          <w:highlight w:val="none"/>
          <w:lang w:eastAsia="zh-CN"/>
        </w:rPr>
        <w:t>土壤环境</w:t>
      </w:r>
      <w:r>
        <w:rPr>
          <w:rFonts w:hint="default" w:ascii="Times New Roman" w:hAnsi="Times New Roman" w:eastAsia="宋体" w:cs="Times New Roman"/>
          <w:color w:val="auto"/>
          <w:kern w:val="0"/>
          <w:sz w:val="24"/>
          <w:szCs w:val="24"/>
          <w:highlight w:val="none"/>
          <w:lang w:eastAsia="zh-CN"/>
        </w:rPr>
        <w:t>监测结果可知，</w:t>
      </w:r>
      <w:r>
        <w:rPr>
          <w:rFonts w:hint="default" w:ascii="Times New Roman" w:hAnsi="Times New Roman" w:eastAsia="宋体" w:cs="Times New Roman"/>
          <w:color w:val="auto"/>
          <w:kern w:val="0"/>
          <w:sz w:val="24"/>
          <w:szCs w:val="24"/>
          <w:highlight w:val="none"/>
          <w:lang w:val="en-US" w:eastAsia="zh-CN"/>
        </w:rPr>
        <w:t>厂区内</w:t>
      </w:r>
      <w:r>
        <w:rPr>
          <w:rFonts w:hint="default" w:ascii="Times New Roman" w:hAnsi="Times New Roman" w:eastAsia="宋体" w:cs="Times New Roman"/>
          <w:color w:val="auto"/>
          <w:sz w:val="24"/>
          <w:highlight w:val="none"/>
        </w:rPr>
        <w:t>各</w:t>
      </w:r>
      <w:r>
        <w:rPr>
          <w:rFonts w:hint="default" w:ascii="Times New Roman" w:hAnsi="Times New Roman" w:eastAsia="宋体" w:cs="Times New Roman"/>
          <w:color w:val="auto"/>
          <w:sz w:val="24"/>
          <w:highlight w:val="none"/>
          <w:lang w:eastAsia="zh-CN"/>
        </w:rPr>
        <w:t>监测</w:t>
      </w:r>
      <w:r>
        <w:rPr>
          <w:rFonts w:hint="default" w:ascii="Times New Roman" w:hAnsi="Times New Roman" w:eastAsia="宋体" w:cs="Times New Roman"/>
          <w:color w:val="auto"/>
          <w:sz w:val="24"/>
          <w:highlight w:val="none"/>
        </w:rPr>
        <w:t>因子均满足土壤环境质量满足《</w:t>
      </w:r>
      <w:r>
        <w:rPr>
          <w:rFonts w:hint="default" w:ascii="Times New Roman" w:hAnsi="Times New Roman" w:eastAsia="宋体" w:cs="Times New Roman"/>
          <w:color w:val="auto"/>
          <w:sz w:val="24"/>
          <w:highlight w:val="none"/>
          <w:lang w:eastAsia="zh-CN"/>
        </w:rPr>
        <w:t>土壤环境质量 建设用地土壤污染风险管控标准</w:t>
      </w:r>
      <w:r>
        <w:rPr>
          <w:rFonts w:hint="default" w:ascii="Times New Roman" w:hAnsi="Times New Roman" w:eastAsia="宋体" w:cs="Times New Roman"/>
          <w:color w:val="auto"/>
          <w:sz w:val="24"/>
          <w:highlight w:val="none"/>
        </w:rPr>
        <w:t>（试行）》（GB36600-2018）第二类用地筛选值的限值要求</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eastAsia="zh-CN"/>
        </w:rPr>
        <w:t>项目区域声环境检测值均满足《声环境质量标准》（GB3096-2008）2类标准要求</w:t>
      </w:r>
      <w:r>
        <w:rPr>
          <w:rFonts w:hint="default" w:ascii="Times New Roman" w:hAnsi="Times New Roman" w:eastAsia="宋体" w:cs="Times New Roman"/>
          <w:color w:val="auto"/>
          <w:highlight w:val="none"/>
        </w:rPr>
        <w:t>。</w:t>
      </w:r>
    </w:p>
    <w:p w14:paraId="3ED366B7">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实施后，</w:t>
      </w:r>
      <w:r>
        <w:rPr>
          <w:rFonts w:hint="default" w:ascii="Times New Roman" w:hAnsi="Times New Roman" w:eastAsia="宋体" w:cs="Times New Roman"/>
          <w:color w:val="auto"/>
          <w:highlight w:val="none"/>
        </w:rPr>
        <w:t>在严格落实本次评价中提出的各项环保措施后，对</w:t>
      </w:r>
      <w:r>
        <w:rPr>
          <w:rFonts w:hint="default" w:ascii="Times New Roman" w:hAnsi="Times New Roman" w:eastAsia="宋体" w:cs="Times New Roman"/>
          <w:color w:val="auto"/>
          <w:highlight w:val="none"/>
          <w:lang w:eastAsia="zh-CN"/>
        </w:rPr>
        <w:t>周围</w:t>
      </w:r>
      <w:r>
        <w:rPr>
          <w:rFonts w:hint="default" w:ascii="Times New Roman" w:hAnsi="Times New Roman" w:eastAsia="宋体" w:cs="Times New Roman"/>
          <w:color w:val="auto"/>
          <w:highlight w:val="none"/>
        </w:rPr>
        <w:t>各环境要素的影响较小，不会改变各环境要素的环境质量现状级别，因此</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本项目符合环境质量底线要求。</w:t>
      </w:r>
    </w:p>
    <w:p w14:paraId="0FBB1C34">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8" w:name="_Toc7393"/>
      <w:bookmarkStart w:id="69" w:name="_Toc23534"/>
      <w:bookmarkStart w:id="70" w:name="_Toc16451"/>
      <w:bookmarkStart w:id="71" w:name="_Toc2124"/>
      <w:r>
        <w:rPr>
          <w:rFonts w:hint="default" w:ascii="Times New Roman" w:hAnsi="Times New Roman" w:eastAsia="宋体" w:cs="Times New Roman"/>
          <w:color w:val="auto"/>
          <w:highlight w:val="none"/>
        </w:rPr>
        <w:t>（3）资源利用上线</w:t>
      </w:r>
      <w:bookmarkEnd w:id="68"/>
      <w:bookmarkEnd w:id="69"/>
      <w:bookmarkEnd w:id="70"/>
      <w:bookmarkEnd w:id="71"/>
    </w:p>
    <w:p w14:paraId="2E68D76B">
      <w:pPr>
        <w:keepNext w:val="0"/>
        <w:keepLines w:val="0"/>
        <w:pageBreakBefore w:val="0"/>
        <w:widowControl w:val="0"/>
        <w:shd w:val="clear"/>
        <w:kinsoku/>
        <w:wordWrap/>
        <w:overflowPunct/>
        <w:topLinePunct/>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本项目不属于高能耗、高污染、</w:t>
      </w:r>
      <w:r>
        <w:rPr>
          <w:rFonts w:hint="default" w:ascii="Times New Roman" w:hAnsi="Times New Roman" w:eastAsia="宋体" w:cs="Times New Roman"/>
          <w:color w:val="auto"/>
          <w:sz w:val="24"/>
          <w:highlight w:val="none"/>
          <w:lang w:eastAsia="zh-CN"/>
        </w:rPr>
        <w:t>资源型</w:t>
      </w:r>
      <w:r>
        <w:rPr>
          <w:rFonts w:hint="default" w:ascii="Times New Roman" w:hAnsi="Times New Roman" w:eastAsia="宋体" w:cs="Times New Roman"/>
          <w:color w:val="auto"/>
          <w:sz w:val="24"/>
          <w:highlight w:val="none"/>
        </w:rPr>
        <w:t>项目，用水来源为</w:t>
      </w:r>
      <w:r>
        <w:rPr>
          <w:rFonts w:hint="default" w:ascii="Times New Roman" w:hAnsi="Times New Roman" w:eastAsia="宋体" w:cs="Times New Roman"/>
          <w:color w:val="auto"/>
          <w:sz w:val="24"/>
          <w:highlight w:val="none"/>
          <w:lang w:eastAsia="zh-CN"/>
        </w:rPr>
        <w:t>村庄自来水管网</w:t>
      </w:r>
      <w:r>
        <w:rPr>
          <w:rFonts w:hint="default" w:ascii="Times New Roman" w:hAnsi="Times New Roman" w:eastAsia="宋体" w:cs="Times New Roman"/>
          <w:color w:val="auto"/>
          <w:sz w:val="24"/>
          <w:highlight w:val="none"/>
        </w:rPr>
        <w:t>，主要用水环节为</w:t>
      </w:r>
      <w:r>
        <w:rPr>
          <w:rFonts w:hint="default" w:ascii="Times New Roman" w:hAnsi="Times New Roman" w:eastAsia="宋体" w:cs="Times New Roman"/>
          <w:color w:val="auto"/>
          <w:sz w:val="24"/>
          <w:highlight w:val="none"/>
          <w:lang w:eastAsia="zh-CN"/>
        </w:rPr>
        <w:t>职工生活用水</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羊群</w:t>
      </w:r>
      <w:r>
        <w:rPr>
          <w:rFonts w:hint="default" w:ascii="Times New Roman" w:hAnsi="Times New Roman" w:eastAsia="宋体" w:cs="Times New Roman"/>
          <w:color w:val="auto"/>
          <w:sz w:val="24"/>
          <w:highlight w:val="none"/>
        </w:rPr>
        <w:t>饮用水</w:t>
      </w:r>
      <w:r>
        <w:rPr>
          <w:rFonts w:hint="default" w:ascii="Times New Roman" w:hAnsi="Times New Roman" w:eastAsia="宋体" w:cs="Times New Roman"/>
          <w:color w:val="auto"/>
          <w:sz w:val="24"/>
          <w:highlight w:val="none"/>
          <w:lang w:eastAsia="zh-CN"/>
        </w:rPr>
        <w:t>、绿化用水</w:t>
      </w:r>
      <w:r>
        <w:rPr>
          <w:rFonts w:hint="default" w:ascii="Times New Roman" w:hAnsi="Times New Roman" w:eastAsia="宋体" w:cs="Times New Roman"/>
          <w:color w:val="auto"/>
          <w:sz w:val="24"/>
          <w:highlight w:val="none"/>
        </w:rPr>
        <w:t>等，新鲜用水量较少，能够满足本项目的新鲜水使用要求。本项目用电由市政电网供应，能够满足本项目的用电要求。项目产生的粪污经堆肥后，</w:t>
      </w:r>
      <w:r>
        <w:rPr>
          <w:rFonts w:hint="default" w:ascii="Times New Roman" w:hAnsi="Times New Roman" w:eastAsia="宋体" w:cs="Times New Roman"/>
          <w:color w:val="auto"/>
          <w:sz w:val="24"/>
          <w:highlight w:val="none"/>
          <w:lang w:eastAsia="zh-CN"/>
        </w:rPr>
        <w:t>作为有机肥用于农田施肥</w:t>
      </w:r>
      <w:r>
        <w:rPr>
          <w:rFonts w:hint="default" w:ascii="Times New Roman" w:hAnsi="Times New Roman" w:eastAsia="宋体" w:cs="Times New Roman"/>
          <w:color w:val="auto"/>
          <w:sz w:val="24"/>
          <w:highlight w:val="none"/>
        </w:rPr>
        <w:t>，全部资源利用。</w:t>
      </w:r>
    </w:p>
    <w:p w14:paraId="56844F4D">
      <w:pPr>
        <w:keepNext w:val="0"/>
        <w:keepLines w:val="0"/>
        <w:pageBreakBefore w:val="0"/>
        <w:widowControl w:val="0"/>
        <w:shd w:val="clear"/>
        <w:kinsoku/>
        <w:wordWrap/>
        <w:overflowPunct/>
        <w:topLinePunct/>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项目建设和营运过程中采用节能材料和节能设备，能源消耗较低，符合资源利用上线不能突破的原则。</w:t>
      </w:r>
    </w:p>
    <w:p w14:paraId="4AFAA4BE">
      <w:pPr>
        <w:keepNext w:val="0"/>
        <w:keepLines w:val="0"/>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72" w:name="_Toc5566"/>
      <w:bookmarkStart w:id="73" w:name="_Toc32008"/>
      <w:bookmarkStart w:id="74" w:name="_Toc3830"/>
      <w:bookmarkStart w:id="75" w:name="_Toc28263"/>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eastAsia="zh-CN"/>
        </w:rPr>
        <w:t>生态环境准入清单</w:t>
      </w:r>
      <w:bookmarkEnd w:id="72"/>
      <w:bookmarkEnd w:id="73"/>
      <w:bookmarkEnd w:id="74"/>
      <w:bookmarkEnd w:id="75"/>
    </w:p>
    <w:p w14:paraId="2C68DBA5">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 w:val="24"/>
          <w:szCs w:val="24"/>
          <w:highlight w:val="none"/>
          <w:shd w:val="clear" w:color="auto" w:fill="auto"/>
          <w:lang w:eastAsia="zh-CN"/>
        </w:rPr>
      </w:pPr>
      <w:r>
        <w:rPr>
          <w:rFonts w:hint="default" w:ascii="Times New Roman" w:hAnsi="Times New Roman" w:eastAsia="宋体" w:cs="Times New Roman"/>
          <w:color w:val="auto"/>
          <w:sz w:val="24"/>
          <w:szCs w:val="24"/>
          <w:highlight w:val="none"/>
          <w:shd w:val="clear" w:color="auto" w:fill="auto"/>
          <w:lang w:eastAsia="zh-CN"/>
        </w:rPr>
        <w:t>本项目厂区位于巴彦淖尔市五原县胜丰镇新丰村三社，根据《巴彦淖尔市人民政府办公室关于巴彦淖尔市2023年生态环境分区管控成果动态更新的通知》（巴政办字〔2023〕106号），巴彦淖尔市全市共划定环境管控单元256个，包括优先保护单元、重点管控单元、一般管控单元三类，实施分类管控。</w:t>
      </w:r>
    </w:p>
    <w:p w14:paraId="1FDA42FE">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lang w:eastAsia="zh-CN"/>
        </w:rPr>
        <w:t>根据查阅巴彦淖尔市环境管控单元图，本项目位于五原县一般生态空间-水土保持环境管控单元，管控单元类别为优先保护单元，</w:t>
      </w:r>
      <w:r>
        <w:rPr>
          <w:rFonts w:hint="default" w:ascii="Times New Roman" w:hAnsi="Times New Roman" w:eastAsia="宋体" w:cs="Times New Roman"/>
          <w:color w:val="auto"/>
          <w:highlight w:val="none"/>
          <w:lang w:eastAsia="zh-CN"/>
        </w:rPr>
        <w:t>环境管控单元编码ZH15082110016</w:t>
      </w:r>
      <w:r>
        <w:rPr>
          <w:rFonts w:hint="default" w:ascii="Times New Roman" w:hAnsi="Times New Roman" w:eastAsia="宋体" w:cs="Times New Roman"/>
          <w:color w:val="auto"/>
          <w:highlight w:val="none"/>
          <w:lang w:eastAsia="zh-CN"/>
        </w:rPr>
        <w:t>。</w:t>
      </w:r>
    </w:p>
    <w:p w14:paraId="31644372">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本项目生态环境准入清单符合性见下表。</w:t>
      </w:r>
    </w:p>
    <w:p w14:paraId="230F38A1">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drawing>
          <wp:inline distT="0" distB="0" distL="114300" distR="114300">
            <wp:extent cx="5255895" cy="3246755"/>
            <wp:effectExtent l="0" t="0" r="1905" b="10795"/>
            <wp:docPr id="134" name="图片 134" descr="6b39614a1fd5a527092508c2658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6b39614a1fd5a527092508c26589767"/>
                    <pic:cNvPicPr>
                      <a:picLocks noChangeAspect="1"/>
                    </pic:cNvPicPr>
                  </pic:nvPicPr>
                  <pic:blipFill>
                    <a:blip r:embed="rId14"/>
                    <a:stretch>
                      <a:fillRect/>
                    </a:stretch>
                  </pic:blipFill>
                  <pic:spPr>
                    <a:xfrm>
                      <a:off x="0" y="0"/>
                      <a:ext cx="5255895" cy="3246755"/>
                    </a:xfrm>
                    <a:prstGeom prst="rect">
                      <a:avLst/>
                    </a:prstGeom>
                  </pic:spPr>
                </pic:pic>
              </a:graphicData>
            </a:graphic>
          </wp:inline>
        </w:drawing>
      </w:r>
    </w:p>
    <w:p w14:paraId="31BEA2BE">
      <w:pPr>
        <w:keepNext w:val="0"/>
        <w:keepLines w:val="0"/>
        <w:pageBreakBefore w:val="0"/>
        <w:widowControl w:val="0"/>
        <w:shd w:val="clear"/>
        <w:tabs>
          <w:tab w:val="left" w:pos="4252"/>
          <w:tab w:val="left" w:pos="6271"/>
        </w:tabs>
        <w:kinsoku/>
        <w:wordWrap/>
        <w:overflowPunct/>
        <w:topLinePunct w:val="0"/>
        <w:autoSpaceDE/>
        <w:autoSpaceDN/>
        <w:bidi w:val="0"/>
        <w:adjustRightInd/>
        <w:snapToGrid w:val="0"/>
        <w:spacing w:line="360" w:lineRule="auto"/>
        <w:ind w:left="0" w:leftChars="0" w:right="0" w:right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highlight w:val="none"/>
        </w:rPr>
        <w:t>图1.</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rPr>
        <w:t>-</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本项目与</w:t>
      </w:r>
      <w:r>
        <w:rPr>
          <w:rFonts w:hint="default" w:ascii="Times New Roman" w:hAnsi="Times New Roman" w:eastAsia="宋体" w:cs="Times New Roman"/>
          <w:b/>
          <w:bCs/>
          <w:color w:val="auto"/>
          <w:highlight w:val="none"/>
          <w:lang w:val="en-US" w:eastAsia="zh-CN"/>
        </w:rPr>
        <w:t>环境管控单元位置关系图</w:t>
      </w:r>
    </w:p>
    <w:p w14:paraId="6EF087B0">
      <w:pPr>
        <w:keepNext w:val="0"/>
        <w:keepLines w:val="0"/>
        <w:pageBreakBefore w:val="0"/>
        <w:widowControl w:val="0"/>
        <w:shd w:val="clear"/>
        <w:tabs>
          <w:tab w:val="left" w:pos="4252"/>
          <w:tab w:val="left" w:pos="6271"/>
        </w:tabs>
        <w:kinsoku/>
        <w:wordWrap/>
        <w:overflowPunct/>
        <w:topLinePunct w:val="0"/>
        <w:autoSpaceDE/>
        <w:autoSpaceDN/>
        <w:bidi w:val="0"/>
        <w:adjustRightInd/>
        <w:snapToGrid w:val="0"/>
        <w:spacing w:line="360" w:lineRule="auto"/>
        <w:ind w:left="0" w:leftChars="0" w:right="0" w:right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1.4-1</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巴彦淖尔市总体准入要求</w:t>
      </w:r>
      <w:r>
        <w:rPr>
          <w:rFonts w:hint="default" w:ascii="Times New Roman" w:hAnsi="Times New Roman" w:eastAsia="宋体" w:cs="Times New Roman"/>
          <w:b/>
          <w:bCs/>
          <w:color w:val="auto"/>
          <w:sz w:val="24"/>
          <w:szCs w:val="24"/>
          <w:highlight w:val="none"/>
          <w:lang w:eastAsia="zh-CN"/>
        </w:rPr>
        <w:t>符合性分析</w:t>
      </w:r>
      <w:r>
        <w:rPr>
          <w:rFonts w:hint="default" w:ascii="Times New Roman" w:hAnsi="Times New Roman" w:eastAsia="宋体" w:cs="Times New Roman"/>
          <w:b/>
          <w:bCs/>
          <w:color w:val="auto"/>
          <w:sz w:val="24"/>
          <w:szCs w:val="24"/>
          <w:highlight w:val="none"/>
        </w:rPr>
        <w:t>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4423"/>
        <w:gridCol w:w="2497"/>
        <w:gridCol w:w="679"/>
      </w:tblGrid>
      <w:tr w14:paraId="3BFE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noWrap w:val="0"/>
            <w:vAlign w:val="center"/>
          </w:tcPr>
          <w:p w14:paraId="4FC70D6C">
            <w:pPr>
              <w:keepNext w:val="0"/>
              <w:keepLines w:val="0"/>
              <w:pageBreakBefore w:val="0"/>
              <w:widowControl/>
              <w:suppressLineNumbers w:val="0"/>
              <w:shd w:val="clea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管控类型</w:t>
            </w:r>
          </w:p>
        </w:tc>
        <w:tc>
          <w:tcPr>
            <w:tcW w:w="4423" w:type="dxa"/>
            <w:noWrap w:val="0"/>
            <w:vAlign w:val="center"/>
          </w:tcPr>
          <w:p w14:paraId="14A90087">
            <w:pPr>
              <w:keepNext w:val="0"/>
              <w:keepLines w:val="0"/>
              <w:pageBreakBefore w:val="0"/>
              <w:widowControl/>
              <w:suppressLineNumbers w:val="0"/>
              <w:shd w:val="clea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管控要求</w:t>
            </w:r>
          </w:p>
        </w:tc>
        <w:tc>
          <w:tcPr>
            <w:tcW w:w="2497" w:type="dxa"/>
            <w:noWrap w:val="0"/>
            <w:vAlign w:val="center"/>
          </w:tcPr>
          <w:p w14:paraId="20E4F603">
            <w:pPr>
              <w:keepNext w:val="0"/>
              <w:keepLines w:val="0"/>
              <w:pageBreakBefore w:val="0"/>
              <w:widowControl/>
              <w:suppressLineNumbers w:val="0"/>
              <w:shd w:val="clea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本项目情况</w:t>
            </w:r>
          </w:p>
        </w:tc>
        <w:tc>
          <w:tcPr>
            <w:tcW w:w="679" w:type="dxa"/>
            <w:noWrap w:val="0"/>
            <w:vAlign w:val="center"/>
          </w:tcPr>
          <w:p w14:paraId="65D8442D">
            <w:pPr>
              <w:keepNext w:val="0"/>
              <w:keepLines w:val="0"/>
              <w:pageBreakBefore w:val="0"/>
              <w:widowControl/>
              <w:suppressLineNumbers w:val="0"/>
              <w:shd w:val="clea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符合性</w:t>
            </w:r>
          </w:p>
        </w:tc>
      </w:tr>
      <w:tr w14:paraId="6E09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noWrap w:val="0"/>
            <w:vAlign w:val="center"/>
          </w:tcPr>
          <w:p w14:paraId="5FEE795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总体要求</w:t>
            </w:r>
          </w:p>
        </w:tc>
        <w:tc>
          <w:tcPr>
            <w:tcW w:w="4423" w:type="dxa"/>
            <w:noWrap w:val="0"/>
            <w:vAlign w:val="center"/>
          </w:tcPr>
          <w:p w14:paraId="21BA356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1、根据《内蒙古自治区进一步规范化工行业项目建设的若干规定》，现有园区扩大面积的，要与黄河中上游流域巴彦淖尔段及主要支流岸线至少保持1公里距离。</w:t>
            </w:r>
          </w:p>
          <w:p w14:paraId="7C18328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2、新建、改建、扩建“两高”项目须符合生态环境保护法律法规和相关法定规划，满足重点污染物排放总量控制、碳排放达峰目标、生态环境准入清单、相关规划环评和相应行业建设项目环境准入条件、环评文件审批要求。新建、扩建石化、化工、焦化、有色金属冶炼、平板玻璃项目应布设在依法合规设立并经规划环评的产业园区。化工园区（集中区）外已认定为化工重点监控点的企业，在项目审批、建设和管理方面参照化工园区内企业执行。企业可按照化工项目建设管理有关规定，依法依规在厂区内或紧邻厂区新建、改扩建现有装备同类产品、产业链延链补链、循环经济利用、安全环保节能项目，但原则上不能新建上游产业。</w:t>
            </w:r>
          </w:p>
          <w:p w14:paraId="31DD400B">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3、为改善区域环境质量，严格控制“两高”项目新增主要污染物排放，确保环境影响报告书及其批复文件要求的主要污染物排放量区域削减措施落实到位。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14:paraId="15A7B24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4、各类园区及建设项目选址应当符合当地国土空间规划。</w:t>
            </w:r>
          </w:p>
          <w:p w14:paraId="59693CF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5、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GB18596）的限值要求，并符合污染物排放总量控制要求。禁养区范围内的已建成的畜禽养殖场（小区）和养殖专业户，由所在地人民政府负责责令限期搬迁、关闭或取缔。</w:t>
            </w:r>
          </w:p>
          <w:p w14:paraId="20418C8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6、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p w14:paraId="12219FE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7、入园项目需符合园区产业定位、布局、规划环评等；根据《内蒙古自治区“十四五”危险废物集中处置设施建设规划》，原则上限制新建、扩建危险废物焚烧、填埋、水泥窑协同等集中处置设施。</w:t>
            </w:r>
          </w:p>
        </w:tc>
        <w:tc>
          <w:tcPr>
            <w:tcW w:w="2497" w:type="dxa"/>
            <w:noWrap w:val="0"/>
            <w:vAlign w:val="center"/>
          </w:tcPr>
          <w:p w14:paraId="3118EC3C">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1、本项目为规模化肉羊养殖项目，不在化工园区范围内，同时也不涉及新化工园区的布局。</w:t>
            </w:r>
          </w:p>
          <w:p w14:paraId="7282AD91">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2、本项目为规模化肉羊养殖项目，不属于“两高”项目；不属于石化、化工、焦化、有色金属冶炼、平板玻璃项目。</w:t>
            </w:r>
          </w:p>
          <w:p w14:paraId="31232B85">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3、根据《巴彦淖尔市环境质量状况公报（2023年）》，本项目所在地巴彦淖尔市五原县为达标区；各污染物排放量较小，并且在采取相应环保措施后，各污染物均可达标排放，不会造成区域环境质量恶化。</w:t>
            </w:r>
          </w:p>
          <w:p w14:paraId="3763D27E">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4、本项目位于内蒙古自治区巴彦淖尔市五原县胜丰镇新丰村三社，</w:t>
            </w:r>
            <w:r>
              <w:rPr>
                <w:rFonts w:hint="default" w:ascii="Times New Roman" w:hAnsi="Times New Roman" w:eastAsia="宋体" w:cs="Times New Roman"/>
                <w:b w:val="0"/>
                <w:bCs w:val="0"/>
                <w:color w:val="0000FF"/>
                <w:kern w:val="0"/>
                <w:sz w:val="21"/>
                <w:szCs w:val="21"/>
                <w:highlight w:val="none"/>
                <w:lang w:val="en-US" w:eastAsia="zh-CN"/>
              </w:rPr>
              <w:t>项目用地性质为设施农用地和建设用地，</w:t>
            </w:r>
            <w:r>
              <w:rPr>
                <w:rFonts w:hint="default" w:ascii="Times New Roman" w:hAnsi="Times New Roman" w:eastAsia="宋体" w:cs="Times New Roman"/>
                <w:b w:val="0"/>
                <w:bCs w:val="0"/>
                <w:color w:val="auto"/>
                <w:kern w:val="0"/>
                <w:sz w:val="21"/>
                <w:szCs w:val="21"/>
                <w:highlight w:val="none"/>
                <w:lang w:val="en-US" w:eastAsia="zh-CN"/>
              </w:rPr>
              <w:t>不占用基本农田。</w:t>
            </w:r>
          </w:p>
          <w:p w14:paraId="3E7A8937">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5、本项目不在五原县限养区和禁养区范围内；项目拟定的各项环保措施可行有效，项目所产生的污染物均能合规利用或达标排放并满足总量控制要求，对周边环境影响较小。</w:t>
            </w:r>
          </w:p>
          <w:p w14:paraId="1606785B">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6、根据《建设项目环境影响评价分类管理名录（2021年版）》，本项目应编制环境影响报告书，根据预测，本项目各污染物均可达标排放。</w:t>
            </w:r>
          </w:p>
          <w:p w14:paraId="78C1DDB1">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7、本项目不在工业园区范围内。</w:t>
            </w:r>
          </w:p>
        </w:tc>
        <w:tc>
          <w:tcPr>
            <w:tcW w:w="679" w:type="dxa"/>
            <w:noWrap w:val="0"/>
            <w:vAlign w:val="center"/>
          </w:tcPr>
          <w:p w14:paraId="026E469C">
            <w:pPr>
              <w:keepNext w:val="0"/>
              <w:keepLines w:val="0"/>
              <w:pageBreakBefore w:val="0"/>
              <w:widowControl/>
              <w:suppressLineNumbers w:val="0"/>
              <w:shd w:val="clea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符合</w:t>
            </w:r>
          </w:p>
        </w:tc>
      </w:tr>
    </w:tbl>
    <w:p w14:paraId="1FF44ADE">
      <w:pPr>
        <w:keepNext w:val="0"/>
        <w:keepLines w:val="0"/>
        <w:pageBreakBefore w:val="0"/>
        <w:widowControl w:val="0"/>
        <w:shd w:val="clear"/>
        <w:tabs>
          <w:tab w:val="left" w:pos="4252"/>
          <w:tab w:val="left" w:pos="6271"/>
        </w:tabs>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1.4-2</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val="en-US" w:eastAsia="zh-CN"/>
        </w:rPr>
        <w:t>五原县一般生态空间-水土保持环境管控单元</w:t>
      </w:r>
      <w:r>
        <w:rPr>
          <w:rFonts w:hint="default" w:ascii="Times New Roman" w:hAnsi="Times New Roman" w:eastAsia="宋体" w:cs="Times New Roman"/>
          <w:b/>
          <w:bCs/>
          <w:color w:val="auto"/>
          <w:sz w:val="24"/>
          <w:szCs w:val="24"/>
          <w:highlight w:val="none"/>
        </w:rPr>
        <w:t>生态环境准入清单</w:t>
      </w:r>
      <w:r>
        <w:rPr>
          <w:rFonts w:hint="default" w:ascii="Times New Roman" w:hAnsi="Times New Roman" w:eastAsia="宋体" w:cs="Times New Roman"/>
          <w:b/>
          <w:bCs/>
          <w:color w:val="auto"/>
          <w:sz w:val="24"/>
          <w:szCs w:val="24"/>
          <w:highlight w:val="none"/>
          <w:lang w:eastAsia="zh-CN"/>
        </w:rPr>
        <w:t>符合性分析</w:t>
      </w:r>
      <w:r>
        <w:rPr>
          <w:rFonts w:hint="default" w:ascii="Times New Roman" w:hAnsi="Times New Roman" w:eastAsia="宋体" w:cs="Times New Roman"/>
          <w:b/>
          <w:bCs/>
          <w:color w:val="auto"/>
          <w:sz w:val="24"/>
          <w:szCs w:val="24"/>
          <w:highlight w:val="none"/>
        </w:rPr>
        <w:t>表</w:t>
      </w:r>
    </w:p>
    <w:tbl>
      <w:tblPr>
        <w:tblStyle w:val="42"/>
        <w:tblW w:w="8277" w:type="dxa"/>
        <w:jc w:val="center"/>
        <w:tblLayout w:type="fixed"/>
        <w:tblCellMar>
          <w:top w:w="0" w:type="dxa"/>
          <w:left w:w="108" w:type="dxa"/>
          <w:bottom w:w="0" w:type="dxa"/>
          <w:right w:w="108" w:type="dxa"/>
        </w:tblCellMar>
      </w:tblPr>
      <w:tblGrid>
        <w:gridCol w:w="597"/>
        <w:gridCol w:w="597"/>
        <w:gridCol w:w="598"/>
        <w:gridCol w:w="598"/>
        <w:gridCol w:w="571"/>
        <w:gridCol w:w="3036"/>
        <w:gridCol w:w="1682"/>
        <w:gridCol w:w="598"/>
      </w:tblGrid>
      <w:tr w14:paraId="44C6D556">
        <w:tblPrEx>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right w:val="single" w:color="000000" w:sz="4" w:space="0"/>
            </w:tcBorders>
            <w:noWrap w:val="0"/>
            <w:vAlign w:val="center"/>
          </w:tcPr>
          <w:p w14:paraId="2F11CBD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环境管控单元编码</w:t>
            </w:r>
          </w:p>
        </w:tc>
        <w:tc>
          <w:tcPr>
            <w:tcW w:w="597" w:type="dxa"/>
            <w:tcBorders>
              <w:top w:val="single" w:color="auto" w:sz="4" w:space="0"/>
              <w:left w:val="single" w:color="000000" w:sz="4" w:space="0"/>
              <w:right w:val="single" w:color="000000" w:sz="4" w:space="0"/>
            </w:tcBorders>
            <w:noWrap w:val="0"/>
            <w:vAlign w:val="center"/>
          </w:tcPr>
          <w:p w14:paraId="1B422A5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rPr>
              <w:t>环境管控单元名称</w:t>
            </w:r>
          </w:p>
        </w:tc>
        <w:tc>
          <w:tcPr>
            <w:tcW w:w="598" w:type="dxa"/>
            <w:tcBorders>
              <w:top w:val="single" w:color="auto" w:sz="4" w:space="0"/>
              <w:left w:val="single" w:color="000000" w:sz="4" w:space="0"/>
              <w:right w:val="single" w:color="000000" w:sz="4" w:space="0"/>
            </w:tcBorders>
            <w:noWrap w:val="0"/>
            <w:vAlign w:val="center"/>
          </w:tcPr>
          <w:p w14:paraId="618E6B9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rPr>
              <w:t>管控单元类别</w:t>
            </w:r>
          </w:p>
        </w:tc>
        <w:tc>
          <w:tcPr>
            <w:tcW w:w="598" w:type="dxa"/>
            <w:tcBorders>
              <w:top w:val="single" w:color="auto" w:sz="4" w:space="0"/>
              <w:left w:val="single" w:color="000000" w:sz="4" w:space="0"/>
              <w:right w:val="single" w:color="000000" w:sz="4" w:space="0"/>
            </w:tcBorders>
            <w:noWrap w:val="0"/>
            <w:vAlign w:val="center"/>
          </w:tcPr>
          <w:p w14:paraId="2B6392B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生态保护重点</w:t>
            </w:r>
          </w:p>
        </w:tc>
        <w:tc>
          <w:tcPr>
            <w:tcW w:w="3607" w:type="dxa"/>
            <w:gridSpan w:val="2"/>
            <w:tcBorders>
              <w:top w:val="single" w:color="auto" w:sz="4" w:space="0"/>
              <w:left w:val="single" w:color="000000" w:sz="4" w:space="0"/>
              <w:right w:val="single" w:color="000000" w:sz="4" w:space="0"/>
            </w:tcBorders>
            <w:noWrap w:val="0"/>
            <w:vAlign w:val="center"/>
          </w:tcPr>
          <w:p w14:paraId="51C48681">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环境管控要求</w:t>
            </w:r>
          </w:p>
        </w:tc>
        <w:tc>
          <w:tcPr>
            <w:tcW w:w="1682" w:type="dxa"/>
            <w:tcBorders>
              <w:top w:val="single" w:color="auto" w:sz="4" w:space="0"/>
              <w:left w:val="single" w:color="000000" w:sz="4" w:space="0"/>
              <w:right w:val="single" w:color="000000" w:sz="4" w:space="0"/>
            </w:tcBorders>
            <w:noWrap w:val="0"/>
            <w:vAlign w:val="center"/>
          </w:tcPr>
          <w:p w14:paraId="24F8AA41">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本项目情况</w:t>
            </w:r>
          </w:p>
        </w:tc>
        <w:tc>
          <w:tcPr>
            <w:tcW w:w="598" w:type="dxa"/>
            <w:tcBorders>
              <w:top w:val="single" w:color="auto" w:sz="4" w:space="0"/>
              <w:left w:val="single" w:color="000000" w:sz="4" w:space="0"/>
              <w:right w:val="single" w:color="auto" w:sz="4" w:space="0"/>
            </w:tcBorders>
            <w:noWrap w:val="0"/>
            <w:vAlign w:val="center"/>
          </w:tcPr>
          <w:p w14:paraId="41F824B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符合性</w:t>
            </w:r>
          </w:p>
        </w:tc>
      </w:tr>
      <w:tr w14:paraId="0C7078F9">
        <w:tblPrEx>
          <w:tblCellMar>
            <w:top w:w="0" w:type="dxa"/>
            <w:left w:w="108" w:type="dxa"/>
            <w:bottom w:w="0" w:type="dxa"/>
            <w:right w:w="108" w:type="dxa"/>
          </w:tblCellMar>
        </w:tblPrEx>
        <w:trPr>
          <w:trHeight w:val="340" w:hRule="atLeast"/>
          <w:jc w:val="center"/>
        </w:trPr>
        <w:tc>
          <w:tcPr>
            <w:tcW w:w="597" w:type="dxa"/>
            <w:tcBorders>
              <w:top w:val="single" w:color="000000" w:sz="4" w:space="0"/>
              <w:left w:val="single" w:color="auto" w:sz="4" w:space="0"/>
              <w:bottom w:val="single" w:color="auto" w:sz="4" w:space="0"/>
              <w:right w:val="single" w:color="000000" w:sz="4" w:space="0"/>
            </w:tcBorders>
            <w:noWrap w:val="0"/>
            <w:vAlign w:val="center"/>
          </w:tcPr>
          <w:p w14:paraId="5110FCAC">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ZH15082110016</w:t>
            </w:r>
          </w:p>
        </w:tc>
        <w:tc>
          <w:tcPr>
            <w:tcW w:w="597" w:type="dxa"/>
            <w:tcBorders>
              <w:top w:val="single" w:color="000000" w:sz="4" w:space="0"/>
              <w:left w:val="single" w:color="000000" w:sz="4" w:space="0"/>
              <w:bottom w:val="single" w:color="auto" w:sz="4" w:space="0"/>
              <w:right w:val="single" w:color="000000" w:sz="4" w:space="0"/>
            </w:tcBorders>
            <w:noWrap w:val="0"/>
            <w:vAlign w:val="center"/>
          </w:tcPr>
          <w:p w14:paraId="04078B6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五原县一般生态空间-水土保持</w:t>
            </w:r>
          </w:p>
        </w:tc>
        <w:tc>
          <w:tcPr>
            <w:tcW w:w="598" w:type="dxa"/>
            <w:tcBorders>
              <w:top w:val="single" w:color="000000" w:sz="4" w:space="0"/>
              <w:left w:val="single" w:color="000000" w:sz="4" w:space="0"/>
              <w:bottom w:val="single" w:color="auto" w:sz="4" w:space="0"/>
              <w:right w:val="single" w:color="000000" w:sz="4" w:space="0"/>
            </w:tcBorders>
            <w:noWrap w:val="0"/>
            <w:vAlign w:val="center"/>
          </w:tcPr>
          <w:p w14:paraId="64504244">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优先保护单元</w:t>
            </w:r>
          </w:p>
        </w:tc>
        <w:tc>
          <w:tcPr>
            <w:tcW w:w="598" w:type="dxa"/>
            <w:tcBorders>
              <w:top w:val="single" w:color="000000" w:sz="4" w:space="0"/>
              <w:left w:val="single" w:color="000000" w:sz="4" w:space="0"/>
              <w:bottom w:val="single" w:color="auto" w:sz="4" w:space="0"/>
              <w:right w:val="single" w:color="000000" w:sz="4" w:space="0"/>
            </w:tcBorders>
            <w:noWrap w:val="0"/>
            <w:vAlign w:val="center"/>
          </w:tcPr>
          <w:p w14:paraId="7B795C8C">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一般生态空间</w:t>
            </w:r>
          </w:p>
        </w:tc>
        <w:tc>
          <w:tcPr>
            <w:tcW w:w="571" w:type="dxa"/>
            <w:tcBorders>
              <w:top w:val="single" w:color="000000" w:sz="4" w:space="0"/>
              <w:left w:val="single" w:color="000000" w:sz="4" w:space="0"/>
              <w:bottom w:val="single" w:color="auto" w:sz="4" w:space="0"/>
              <w:right w:val="single" w:color="000000" w:sz="4" w:space="0"/>
            </w:tcBorders>
            <w:noWrap w:val="0"/>
            <w:vAlign w:val="center"/>
          </w:tcPr>
          <w:p w14:paraId="4CF1D40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空间布局约束</w:t>
            </w:r>
          </w:p>
        </w:tc>
        <w:tc>
          <w:tcPr>
            <w:tcW w:w="3036" w:type="dxa"/>
            <w:tcBorders>
              <w:top w:val="single" w:color="000000" w:sz="4" w:space="0"/>
              <w:left w:val="single" w:color="000000" w:sz="4" w:space="0"/>
              <w:bottom w:val="single" w:color="auto" w:sz="4" w:space="0"/>
              <w:right w:val="single" w:color="000000" w:sz="4" w:space="0"/>
            </w:tcBorders>
            <w:noWrap w:val="0"/>
            <w:vAlign w:val="center"/>
          </w:tcPr>
          <w:p w14:paraId="21E88E0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全面实施保护天然林、退耕还林还牧工程，严禁陡坡垦殖，禁止在二十五度以上陡坡地开垦种植农作物，禁止开垦的范围由旗县级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预防区和重点治理区铲草皮、挖树兜等。</w:t>
            </w:r>
          </w:p>
        </w:tc>
        <w:tc>
          <w:tcPr>
            <w:tcW w:w="1682" w:type="dxa"/>
            <w:tcBorders>
              <w:top w:val="single" w:color="000000" w:sz="4" w:space="0"/>
              <w:left w:val="single" w:color="000000" w:sz="4" w:space="0"/>
              <w:bottom w:val="single" w:color="auto" w:sz="4" w:space="0"/>
              <w:right w:val="single" w:color="000000" w:sz="4" w:space="0"/>
            </w:tcBorders>
            <w:noWrap w:val="0"/>
            <w:vAlign w:val="center"/>
          </w:tcPr>
          <w:p w14:paraId="1CC56BAC">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本项目位于</w:t>
            </w:r>
            <w:r>
              <w:rPr>
                <w:rFonts w:hint="default" w:ascii="Times New Roman" w:hAnsi="Times New Roman" w:eastAsia="宋体" w:cs="Times New Roman"/>
                <w:b w:val="0"/>
                <w:bCs w:val="0"/>
                <w:color w:val="auto"/>
                <w:kern w:val="0"/>
                <w:sz w:val="21"/>
                <w:szCs w:val="21"/>
                <w:highlight w:val="none"/>
                <w:lang w:val="en-US" w:eastAsia="zh-CN"/>
              </w:rPr>
              <w:t>内蒙古自治区巴彦淖尔市五原县胜丰镇新丰村三社</w:t>
            </w:r>
            <w:r>
              <w:rPr>
                <w:rFonts w:hint="default" w:ascii="Times New Roman" w:hAnsi="Times New Roman" w:eastAsia="宋体" w:cs="Times New Roman"/>
                <w:color w:val="auto"/>
                <w:kern w:val="0"/>
                <w:sz w:val="21"/>
                <w:szCs w:val="21"/>
                <w:highlight w:val="none"/>
                <w:lang w:val="en-US" w:eastAsia="zh-CN" w:bidi="ar-SA"/>
              </w:rPr>
              <w:t>，用地性质为设施农用地</w:t>
            </w:r>
            <w:r>
              <w:rPr>
                <w:rFonts w:hint="default" w:ascii="Times New Roman" w:hAnsi="Times New Roman" w:eastAsia="宋体" w:cs="Times New Roman"/>
                <w:color w:val="auto"/>
                <w:kern w:val="0"/>
                <w:sz w:val="21"/>
                <w:szCs w:val="21"/>
                <w:highlight w:val="none"/>
                <w:lang w:val="en-US" w:eastAsia="zh-CN" w:bidi="ar-SA"/>
              </w:rPr>
              <w:t>和建设用地</w:t>
            </w:r>
            <w:r>
              <w:rPr>
                <w:rFonts w:hint="default" w:ascii="Times New Roman" w:hAnsi="Times New Roman" w:eastAsia="宋体" w:cs="Times New Roman"/>
                <w:color w:val="auto"/>
                <w:kern w:val="0"/>
                <w:sz w:val="21"/>
                <w:szCs w:val="21"/>
                <w:highlight w:val="none"/>
                <w:lang w:val="en-US" w:eastAsia="zh-CN" w:bidi="ar-SA"/>
              </w:rPr>
              <w:t>，不涉及天然林、退耕还林还牧工程、陡坡垦殖等；本项目不占用耕地、不涉及退耕等，无需采取相应的水土保持措施；不涉及毁林开荒、烧山开荒等；不位于崩塌、滑坡危险区和泥石流易发区，不涉及取土、挖砂、采石等；不涉及铲草皮、挖树等工程。</w:t>
            </w:r>
          </w:p>
        </w:tc>
        <w:tc>
          <w:tcPr>
            <w:tcW w:w="598" w:type="dxa"/>
            <w:tcBorders>
              <w:top w:val="single" w:color="000000" w:sz="4" w:space="0"/>
              <w:left w:val="single" w:color="000000" w:sz="4" w:space="0"/>
              <w:bottom w:val="single" w:color="auto" w:sz="4" w:space="0"/>
              <w:right w:val="single" w:color="auto" w:sz="4" w:space="0"/>
            </w:tcBorders>
            <w:noWrap w:val="0"/>
            <w:vAlign w:val="center"/>
          </w:tcPr>
          <w:p w14:paraId="2F0BC87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符合</w:t>
            </w:r>
          </w:p>
        </w:tc>
      </w:tr>
    </w:tbl>
    <w:p w14:paraId="06C6D01B">
      <w:pPr>
        <w:keepNext w:val="0"/>
        <w:keepLines w:val="0"/>
        <w:pageBreakBefore w:val="0"/>
        <w:widowControl w:val="0"/>
        <w:shd w:val="clear"/>
        <w:tabs>
          <w:tab w:val="left" w:pos="4252"/>
          <w:tab w:val="left" w:pos="6271"/>
        </w:tabs>
        <w:kinsoku/>
        <w:wordWrap/>
        <w:overflowPunct/>
        <w:topLinePunct w:val="0"/>
        <w:autoSpaceDE/>
        <w:autoSpaceDN/>
        <w:bidi w:val="0"/>
        <w:adjustRightInd/>
        <w:snapToGrid w:val="0"/>
        <w:spacing w:line="360" w:lineRule="auto"/>
        <w:ind w:left="0" w:leftChars="0" w:right="0" w:righ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default" w:ascii="Times New Roman" w:hAnsi="Times New Roman" w:eastAsia="宋体" w:cs="Times New Roman"/>
          <w:color w:val="auto"/>
          <w:sz w:val="24"/>
          <w:szCs w:val="24"/>
          <w:highlight w:val="none"/>
          <w:lang w:eastAsia="zh-CN"/>
        </w:rPr>
        <w:t>五原县一般生态空间-水土保持</w:t>
      </w:r>
      <w:r>
        <w:rPr>
          <w:rFonts w:hint="default" w:ascii="Times New Roman" w:hAnsi="Times New Roman" w:eastAsia="宋体" w:cs="Times New Roman"/>
          <w:color w:val="auto"/>
          <w:sz w:val="24"/>
          <w:szCs w:val="24"/>
          <w:highlight w:val="none"/>
        </w:rPr>
        <w:t>环境管控单元，环境管控单元编码</w:t>
      </w:r>
      <w:r>
        <w:rPr>
          <w:rFonts w:hint="default" w:ascii="Times New Roman" w:hAnsi="Times New Roman" w:eastAsia="宋体" w:cs="Times New Roman"/>
          <w:color w:val="auto"/>
          <w:sz w:val="24"/>
          <w:szCs w:val="24"/>
          <w:highlight w:val="none"/>
          <w:lang w:eastAsia="zh-CN"/>
        </w:rPr>
        <w:t>ZH15082110016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FF0000"/>
          <w:sz w:val="24"/>
          <w:szCs w:val="24"/>
          <w:highlight w:val="none"/>
        </w:rPr>
        <w:t>属于优先保护单元，</w:t>
      </w:r>
      <w:r>
        <w:rPr>
          <w:rFonts w:hint="default" w:ascii="Times New Roman" w:hAnsi="Times New Roman" w:eastAsia="宋体" w:cs="Times New Roman"/>
          <w:color w:val="auto"/>
          <w:sz w:val="24"/>
          <w:szCs w:val="24"/>
          <w:highlight w:val="none"/>
        </w:rPr>
        <w:t>从空间布局约束方面分析，本项目配套设置环保措施，环境影响及环境风险可控。</w:t>
      </w:r>
    </w:p>
    <w:p w14:paraId="22AC2B9D">
      <w:pPr>
        <w:keepNext w:val="0"/>
        <w:keepLines w:val="0"/>
        <w:pageBreakBefore w:val="0"/>
        <w:widowControl w:val="0"/>
        <w:shd w:val="clear"/>
        <w:tabs>
          <w:tab w:val="left" w:pos="4252"/>
          <w:tab w:val="left" w:pos="6271"/>
        </w:tabs>
        <w:kinsoku/>
        <w:wordWrap/>
        <w:overflowPunct/>
        <w:topLinePunct w:val="0"/>
        <w:autoSpaceDE/>
        <w:autoSpaceDN/>
        <w:bidi w:val="0"/>
        <w:adjustRightInd/>
        <w:snapToGrid w:val="0"/>
        <w:spacing w:line="360" w:lineRule="auto"/>
        <w:ind w:left="0" w:leftChars="0" w:right="0" w:rightChars="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因此，本项目符合三线一单管控要求</w:t>
      </w:r>
      <w:r>
        <w:rPr>
          <w:rFonts w:hint="default" w:ascii="Times New Roman" w:hAnsi="Times New Roman" w:eastAsia="宋体" w:cs="Times New Roman"/>
          <w:color w:val="auto"/>
          <w:highlight w:val="none"/>
        </w:rPr>
        <w:t>。</w:t>
      </w:r>
    </w:p>
    <w:p w14:paraId="207655E4">
      <w:pPr>
        <w:pStyle w:val="4"/>
        <w:pageBreakBefore w:val="0"/>
        <w:widowControl w:val="0"/>
        <w:shd w:val="clear"/>
        <w:kinsoku/>
        <w:wordWrap/>
        <w:overflowPunct/>
        <w:topLine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76" w:name="_Toc14481"/>
      <w:r>
        <w:rPr>
          <w:rFonts w:hint="default" w:ascii="Times New Roman" w:hAnsi="Times New Roman" w:eastAsia="宋体" w:cs="Times New Roman"/>
          <w:color w:val="auto"/>
          <w:highlight w:val="none"/>
        </w:rPr>
        <w:t>1.5重点关注环境问题及环境影响</w:t>
      </w:r>
      <w:bookmarkEnd w:id="63"/>
      <w:bookmarkEnd w:id="76"/>
    </w:p>
    <w:p w14:paraId="01E31F4C">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根据项目的产排污特点，本次评价重点关注的主要环境问题及环境影响：本项目为规模化肉羊养殖项目，全部按照标准化畜禽养殖进行设计和饲养管理，同时对周边地区肉羊养殖起到示范作用，因此重点分析项目选址的合理性；项目</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经处理后实现资源化利用的可靠性；项目运营过程中养殖区、粪污处理区产生的恶臭气体对周围环境空气的影响，养殖区、粪污处理区粪污对地下水、土壤的影响等。通过上述工作，论证项目在环境方面的可行性，提出环境影响评价结论，为管理部门决策、设计部门优化设计、建设单位环境管理提供科学依据</w:t>
      </w:r>
      <w:r>
        <w:rPr>
          <w:rFonts w:hint="default" w:ascii="Times New Roman" w:hAnsi="Times New Roman" w:eastAsia="宋体" w:cs="Times New Roman"/>
          <w:color w:val="auto"/>
          <w:highlight w:val="none"/>
          <w:lang w:eastAsia="zh-CN"/>
        </w:rPr>
        <w:t>。</w:t>
      </w:r>
    </w:p>
    <w:p w14:paraId="5B25D5BF">
      <w:pPr>
        <w:pStyle w:val="4"/>
        <w:pageBreakBefore w:val="0"/>
        <w:widowControl w:val="0"/>
        <w:shd w:val="clear"/>
        <w:kinsoku/>
        <w:wordWrap/>
        <w:overflowPunct/>
        <w:topLine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77" w:name="_Toc12893"/>
      <w:r>
        <w:rPr>
          <w:rFonts w:hint="default" w:ascii="Times New Roman" w:hAnsi="Times New Roman" w:eastAsia="宋体" w:cs="Times New Roman"/>
          <w:color w:val="auto"/>
          <w:highlight w:val="none"/>
        </w:rPr>
        <w:t>1.6环境影响评价主要结论</w:t>
      </w:r>
      <w:bookmarkEnd w:id="77"/>
    </w:p>
    <w:p w14:paraId="5F5EFF32">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，采用农业循环经济发展模式进行</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养殖</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粪污</w:t>
      </w:r>
      <w:r>
        <w:rPr>
          <w:rFonts w:hint="default" w:ascii="Times New Roman" w:hAnsi="Times New Roman" w:eastAsia="宋体" w:cs="Times New Roman"/>
          <w:color w:val="auto"/>
          <w:highlight w:val="none"/>
          <w:lang w:val="en-US" w:eastAsia="zh-CN"/>
        </w:rPr>
        <w:t>进行</w:t>
      </w:r>
      <w:r>
        <w:rPr>
          <w:rFonts w:hint="default" w:ascii="Times New Roman" w:hAnsi="Times New Roman" w:eastAsia="宋体" w:cs="Times New Roman"/>
          <w:color w:val="auto"/>
          <w:highlight w:val="none"/>
        </w:rPr>
        <w:t>资源化利用，符合国家当前产业政策及内蒙古自治区发展规划要求，其选址不属于禁养区和限养区范围内，场址选址可行，具有良好的社会经济效益。</w:t>
      </w:r>
    </w:p>
    <w:p w14:paraId="495908BA">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建设符合国家“三线一单”的管控原则，拟定的各项环保措施有效、可行，各类污染物可实现稳定达标排放及资源化利用，对周边环境影响较小；项目发生环境风险事故的概率较低，其潜在的风险水平可以接受；公众参与调查阶段，未收到对项目</w:t>
      </w:r>
      <w:r>
        <w:rPr>
          <w:rFonts w:hint="default" w:ascii="Times New Roman" w:hAnsi="Times New Roman" w:eastAsia="宋体" w:cs="Times New Roman"/>
          <w:color w:val="auto"/>
          <w:highlight w:val="none"/>
          <w:lang w:val="en-US" w:eastAsia="zh-CN"/>
        </w:rPr>
        <w:t>的</w:t>
      </w:r>
      <w:r>
        <w:rPr>
          <w:rFonts w:hint="default" w:ascii="Times New Roman" w:hAnsi="Times New Roman" w:eastAsia="宋体" w:cs="Times New Roman"/>
          <w:color w:val="auto"/>
          <w:highlight w:val="none"/>
        </w:rPr>
        <w:t>反对意见。因此，只要该项目在下一步的建设和运行中，认真落实本报告提出的各项环保措施，并严格执行环保“三同时”制度，本次评价认为：从环境保护角度分析，项目建设是可行的</w:t>
      </w:r>
      <w:r>
        <w:rPr>
          <w:rFonts w:hint="default" w:ascii="Times New Roman" w:hAnsi="Times New Roman" w:eastAsia="宋体" w:cs="Times New Roman"/>
          <w:color w:val="auto"/>
          <w:highlight w:val="none"/>
          <w:lang w:eastAsia="zh-CN"/>
        </w:rPr>
        <w:t>。</w:t>
      </w:r>
    </w:p>
    <w:p w14:paraId="1C6C8757">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1DBAF791">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24B8B439">
      <w:pPr>
        <w:pageBreakBefore w:val="0"/>
        <w:widowControl w:val="0"/>
        <w:shd w:val="clear"/>
        <w:kinsoku/>
        <w:wordWrap/>
        <w:overflowPunct/>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p>
    <w:p w14:paraId="108F4B8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793C1C3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footerReference r:id="rId10" w:type="default"/>
          <w:pgSz w:w="11906" w:h="16838"/>
          <w:pgMar w:top="1440" w:right="1800" w:bottom="1440" w:left="1800" w:header="851" w:footer="1134" w:gutter="0"/>
          <w:pgBorders>
            <w:top w:val="none" w:sz="0" w:space="0"/>
            <w:left w:val="none" w:sz="0" w:space="0"/>
            <w:bottom w:val="none" w:sz="0" w:space="0"/>
            <w:right w:val="none" w:sz="0" w:space="0"/>
          </w:pgBorders>
          <w:pgNumType w:fmt="decimal" w:start="1"/>
          <w:cols w:space="425" w:num="1"/>
          <w:docGrid w:linePitch="326" w:charSpace="0"/>
        </w:sectPr>
      </w:pPr>
    </w:p>
    <w:p w14:paraId="049473C9">
      <w:pPr>
        <w:pStyle w:val="3"/>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78" w:name="_Toc31214"/>
      <w:r>
        <w:rPr>
          <w:rFonts w:hint="default" w:ascii="Times New Roman" w:hAnsi="Times New Roman" w:eastAsia="宋体" w:cs="Times New Roman"/>
          <w:color w:val="auto"/>
          <w:highlight w:val="none"/>
        </w:rPr>
        <w:t>2总则</w:t>
      </w:r>
      <w:bookmarkEnd w:id="78"/>
    </w:p>
    <w:p w14:paraId="7DB7F9E8">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79" w:name="_Toc5578"/>
      <w:r>
        <w:rPr>
          <w:rFonts w:hint="default" w:ascii="Times New Roman" w:hAnsi="Times New Roman" w:eastAsia="宋体" w:cs="Times New Roman"/>
          <w:color w:val="auto"/>
          <w:highlight w:val="none"/>
        </w:rPr>
        <w:t>2.1编制依据</w:t>
      </w:r>
      <w:bookmarkEnd w:id="79"/>
    </w:p>
    <w:p w14:paraId="5CEEDE24">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80" w:name="_Toc30265"/>
      <w:r>
        <w:rPr>
          <w:rFonts w:hint="default" w:ascii="Times New Roman" w:hAnsi="Times New Roman" w:eastAsia="宋体" w:cs="Times New Roman"/>
          <w:color w:val="auto"/>
          <w:highlight w:val="none"/>
        </w:rPr>
        <w:t>2.1.1环境保护法律法规</w:t>
      </w:r>
      <w:bookmarkEnd w:id="80"/>
    </w:p>
    <w:p w14:paraId="1B37E79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（1）《中华人民共和国环境保护法》，2015.1.1施行；</w:t>
      </w:r>
    </w:p>
    <w:p w14:paraId="440A350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（2）《中华人民共和国环境影响评价法》，2018.12.29修订并施行；</w:t>
      </w:r>
    </w:p>
    <w:p w14:paraId="7CD2184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（3）《中华人民共和国大气污染防治法》，2018.10.26修订并施行；</w:t>
      </w:r>
    </w:p>
    <w:p w14:paraId="79E7179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（4）《中华人民共和国水污染防治法》，2018.1.1施行；</w:t>
      </w:r>
    </w:p>
    <w:p w14:paraId="11A77A8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（5）《中华人民共和国固体废物污染</w:t>
      </w:r>
      <w:r>
        <w:rPr>
          <w:rFonts w:hint="default" w:ascii="Times New Roman" w:hAnsi="Times New Roman" w:eastAsia="宋体" w:cs="Times New Roman"/>
          <w:color w:val="auto"/>
          <w:highlight w:val="none"/>
          <w:lang w:eastAsia="zh-CN"/>
        </w:rPr>
        <w:t>环境</w:t>
      </w:r>
      <w:r>
        <w:rPr>
          <w:rFonts w:hint="default" w:ascii="Times New Roman" w:hAnsi="Times New Roman" w:eastAsia="宋体" w:cs="Times New Roman"/>
          <w:color w:val="auto"/>
          <w:highlight w:val="none"/>
        </w:rPr>
        <w:t>防治法》，20</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施行；</w:t>
      </w:r>
    </w:p>
    <w:p w14:paraId="5AA73A1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w:t>
      </w:r>
      <w:r>
        <w:rPr>
          <w:rFonts w:hint="default" w:ascii="Times New Roman" w:hAnsi="Times New Roman" w:eastAsia="宋体" w:cs="Times New Roman"/>
          <w:color w:val="auto"/>
          <w:highlight w:val="none"/>
          <w:lang w:eastAsia="zh-CN"/>
        </w:rPr>
        <w:t>中华人民共和国噪声污染防治法</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2022.6.5起</w:t>
      </w:r>
      <w:r>
        <w:rPr>
          <w:rFonts w:hint="default" w:ascii="Times New Roman" w:hAnsi="Times New Roman" w:eastAsia="宋体" w:cs="Times New Roman"/>
          <w:color w:val="auto"/>
          <w:highlight w:val="none"/>
        </w:rPr>
        <w:t>施行；</w:t>
      </w:r>
    </w:p>
    <w:p w14:paraId="2CDF7E6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（7）《中华人民共和国土壤污染防治法》2019.1.1日施行；</w:t>
      </w:r>
    </w:p>
    <w:p w14:paraId="5D5AFE2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（8）《建设项目环境保护管理条例》（国务院令第682号），2017.10.1施行；</w:t>
      </w:r>
    </w:p>
    <w:p w14:paraId="16DF287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（9）《中华人民共和国循环经济促进法》，2018.10.26修订并施行；</w:t>
      </w:r>
    </w:p>
    <w:p w14:paraId="6090D37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（10）《中华人民共和国节约能源法》，2018.10.26修订并施行；</w:t>
      </w:r>
    </w:p>
    <w:p w14:paraId="27F78BA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（11）《中华人民共和国畜牧法》，2015.4.24修订并施行；</w:t>
      </w:r>
    </w:p>
    <w:p w14:paraId="76F12BC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（12）《中华人民共和国农业法》2013.1.1施行；</w:t>
      </w:r>
    </w:p>
    <w:p w14:paraId="718C027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（13）《建设项目环境影响评价分类管理名录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2021年版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》（生态环境部令第1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号），20</w:t>
      </w:r>
      <w:r>
        <w:rPr>
          <w:rFonts w:hint="default" w:ascii="Times New Roman" w:hAnsi="Times New Roman" w:eastAsia="宋体" w:cs="Times New Roman"/>
          <w:color w:val="auto"/>
          <w:highlight w:val="none"/>
          <w:lang w:val="en-US" w:eastAsia="zh-CN"/>
        </w:rPr>
        <w:t>21.1.1施行</w:t>
      </w:r>
      <w:r>
        <w:rPr>
          <w:rFonts w:hint="default" w:ascii="Times New Roman" w:hAnsi="Times New Roman" w:eastAsia="宋体" w:cs="Times New Roman"/>
          <w:color w:val="auto"/>
          <w:highlight w:val="none"/>
        </w:rPr>
        <w:t>；</w:t>
      </w:r>
    </w:p>
    <w:p w14:paraId="2102113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（14）《国家危险废物名录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2021年版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21.1</w:t>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val="en-US" w:eastAsia="zh-CN"/>
        </w:rPr>
        <w:t>施行</w:t>
      </w:r>
      <w:r>
        <w:rPr>
          <w:rFonts w:hint="default" w:ascii="Times New Roman" w:hAnsi="Times New Roman" w:eastAsia="宋体" w:cs="Times New Roman"/>
          <w:color w:val="auto"/>
          <w:highlight w:val="none"/>
        </w:rPr>
        <w:t>；</w:t>
      </w:r>
    </w:p>
    <w:p w14:paraId="059F646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（15）《危险废物污染防治技术政策》（环发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199号），2001.12.17</w:t>
      </w:r>
      <w:r>
        <w:rPr>
          <w:rFonts w:hint="default" w:ascii="Times New Roman" w:hAnsi="Times New Roman" w:eastAsia="宋体" w:cs="Times New Roman"/>
          <w:color w:val="auto"/>
          <w:highlight w:val="none"/>
          <w:lang w:val="en-US" w:eastAsia="zh-CN"/>
        </w:rPr>
        <w:t>施行</w:t>
      </w:r>
      <w:r>
        <w:rPr>
          <w:rFonts w:hint="default" w:ascii="Times New Roman" w:hAnsi="Times New Roman" w:eastAsia="宋体" w:cs="Times New Roman"/>
          <w:color w:val="auto"/>
          <w:highlight w:val="none"/>
        </w:rPr>
        <w:t>；</w:t>
      </w:r>
    </w:p>
    <w:p w14:paraId="0FFF664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）《关于做好环境影响评价制度与排污许可制衔接相关工作的通知》（环办环评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84号），2017年11月15日实施；</w:t>
      </w:r>
    </w:p>
    <w:p w14:paraId="3311D6D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17</w:t>
      </w:r>
      <w:r>
        <w:rPr>
          <w:rFonts w:hint="default" w:ascii="Times New Roman" w:hAnsi="Times New Roman" w:eastAsia="宋体" w:cs="Times New Roman"/>
          <w:color w:val="auto"/>
          <w:highlight w:val="none"/>
        </w:rPr>
        <w:t>）《土壤污染防治行动计划》（国务院，国发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31号）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2016.5.28施行</w:t>
      </w:r>
      <w:r>
        <w:rPr>
          <w:rFonts w:hint="default" w:ascii="Times New Roman" w:hAnsi="Times New Roman" w:eastAsia="宋体" w:cs="Times New Roman"/>
          <w:color w:val="auto"/>
          <w:highlight w:val="none"/>
        </w:rPr>
        <w:t>；</w:t>
      </w:r>
    </w:p>
    <w:p w14:paraId="51D1026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18</w:t>
      </w:r>
      <w:r>
        <w:rPr>
          <w:rFonts w:hint="default" w:ascii="Times New Roman" w:hAnsi="Times New Roman" w:eastAsia="宋体" w:cs="Times New Roman"/>
          <w:color w:val="auto"/>
          <w:highlight w:val="none"/>
        </w:rPr>
        <w:t>）《环境影响评价公众参与办法》（生态环境部令第4号）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2019.1.1施行</w:t>
      </w:r>
      <w:r>
        <w:rPr>
          <w:rFonts w:hint="default" w:ascii="Times New Roman" w:hAnsi="Times New Roman" w:eastAsia="宋体" w:cs="Times New Roman"/>
          <w:color w:val="auto"/>
          <w:highlight w:val="none"/>
        </w:rPr>
        <w:t>；</w:t>
      </w:r>
    </w:p>
    <w:p w14:paraId="4AB2697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19</w:t>
      </w:r>
      <w:r>
        <w:rPr>
          <w:rFonts w:hint="default" w:ascii="Times New Roman" w:hAnsi="Times New Roman" w:eastAsia="宋体" w:cs="Times New Roman"/>
          <w:color w:val="auto"/>
          <w:highlight w:val="none"/>
        </w:rPr>
        <w:t>）《国务院关于促进节约集约用地的通知》（国发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2008.1.7施行</w:t>
      </w:r>
      <w:r>
        <w:rPr>
          <w:rFonts w:hint="default" w:ascii="Times New Roman" w:hAnsi="Times New Roman" w:eastAsia="宋体" w:cs="Times New Roman"/>
          <w:color w:val="auto"/>
          <w:highlight w:val="none"/>
        </w:rPr>
        <w:t>；</w:t>
      </w:r>
    </w:p>
    <w:p w14:paraId="0F79565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）国土资源部、国家</w:t>
      </w:r>
      <w:r>
        <w:rPr>
          <w:rFonts w:hint="default" w:ascii="Times New Roman" w:hAnsi="Times New Roman" w:eastAsia="宋体" w:cs="Times New Roman"/>
          <w:color w:val="auto"/>
          <w:highlight w:val="none"/>
          <w:lang w:eastAsia="zh-CN"/>
        </w:rPr>
        <w:t>发展和改革委员会</w:t>
      </w:r>
      <w:r>
        <w:rPr>
          <w:rFonts w:hint="default" w:ascii="Times New Roman" w:hAnsi="Times New Roman" w:eastAsia="宋体" w:cs="Times New Roman"/>
          <w:color w:val="auto"/>
          <w:highlight w:val="none"/>
        </w:rPr>
        <w:t>关于发布实施《限制用地项目目录（2012年本）》和《禁止用地目录（2012年本）》的通知</w:t>
      </w:r>
      <w:r>
        <w:rPr>
          <w:rFonts w:hint="default" w:ascii="Times New Roman" w:hAnsi="Times New Roman" w:eastAsia="宋体" w:cs="Times New Roman"/>
          <w:color w:val="auto"/>
          <w:highlight w:val="none"/>
          <w:lang w:eastAsia="zh-CN"/>
        </w:rPr>
        <w:t>（国土资发</w:t>
      </w:r>
      <w:r>
        <w:rPr>
          <w:rFonts w:hint="default" w:ascii="Times New Roman" w:hAnsi="Times New Roman" w:eastAsia="宋体" w:cs="Times New Roman"/>
          <w:color w:val="auto"/>
          <w:highlight w:val="none"/>
          <w:lang w:val="en-US" w:eastAsia="zh-CN"/>
        </w:rPr>
        <w:t>〔2012〕98号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2012.6.18施行</w:t>
      </w:r>
      <w:r>
        <w:rPr>
          <w:rFonts w:hint="default" w:ascii="Times New Roman" w:hAnsi="Times New Roman" w:eastAsia="宋体" w:cs="Times New Roman"/>
          <w:color w:val="auto"/>
          <w:highlight w:val="none"/>
        </w:rPr>
        <w:t>；</w:t>
      </w:r>
    </w:p>
    <w:p w14:paraId="04A8CC1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）《畜禽规模养殖污染防治条例》（国务院令第643号）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2014.1.1施行</w:t>
      </w:r>
      <w:r>
        <w:rPr>
          <w:rFonts w:hint="default" w:ascii="Times New Roman" w:hAnsi="Times New Roman" w:eastAsia="宋体" w:cs="Times New Roman"/>
          <w:color w:val="auto"/>
          <w:highlight w:val="none"/>
        </w:rPr>
        <w:t>；</w:t>
      </w:r>
    </w:p>
    <w:p w14:paraId="4ECE03E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）《国务院办公厅关于建立病死畜禽无害化处理机制的意见》（国办发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47号）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2014.10.31施行</w:t>
      </w:r>
      <w:r>
        <w:rPr>
          <w:rFonts w:hint="default" w:ascii="Times New Roman" w:hAnsi="Times New Roman" w:eastAsia="宋体" w:cs="Times New Roman"/>
          <w:color w:val="auto"/>
          <w:highlight w:val="none"/>
        </w:rPr>
        <w:t>；</w:t>
      </w:r>
    </w:p>
    <w:p w14:paraId="3505CE1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23</w:t>
      </w:r>
      <w:r>
        <w:rPr>
          <w:rFonts w:hint="default" w:ascii="Times New Roman" w:hAnsi="Times New Roman" w:eastAsia="宋体" w:cs="Times New Roman"/>
          <w:color w:val="auto"/>
          <w:highlight w:val="none"/>
        </w:rPr>
        <w:t>）《国务院关于加快推进畜禽养殖废弃物资源化利用的意见》（国办发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48号）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2017.6.12施行</w:t>
      </w:r>
      <w:r>
        <w:rPr>
          <w:rFonts w:hint="default" w:ascii="Times New Roman" w:hAnsi="Times New Roman" w:eastAsia="宋体" w:cs="Times New Roman"/>
          <w:color w:val="auto"/>
          <w:highlight w:val="none"/>
        </w:rPr>
        <w:t>；</w:t>
      </w:r>
    </w:p>
    <w:p w14:paraId="6B33F19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）《关于做好畜禽规模养殖项目环境影响评价管理工作的通知》（环办环评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31号）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2018.10.12施行</w:t>
      </w:r>
      <w:r>
        <w:rPr>
          <w:rFonts w:hint="default" w:ascii="Times New Roman" w:hAnsi="Times New Roman" w:eastAsia="宋体" w:cs="Times New Roman"/>
          <w:color w:val="auto"/>
          <w:highlight w:val="none"/>
        </w:rPr>
        <w:t>；</w:t>
      </w:r>
    </w:p>
    <w:p w14:paraId="7759E3F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25</w:t>
      </w:r>
      <w:r>
        <w:rPr>
          <w:rFonts w:hint="default" w:ascii="Times New Roman" w:hAnsi="Times New Roman" w:eastAsia="宋体" w:cs="Times New Roman"/>
          <w:color w:val="auto"/>
          <w:highlight w:val="none"/>
        </w:rPr>
        <w:t>）《农业部关于印发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畜禽粪污资源化利用行动方案（2017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2020年）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》（农牧发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11号）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2017.7.7施行</w:t>
      </w:r>
      <w:r>
        <w:rPr>
          <w:rFonts w:hint="default" w:ascii="Times New Roman" w:hAnsi="Times New Roman" w:eastAsia="宋体" w:cs="Times New Roman"/>
          <w:color w:val="auto"/>
          <w:highlight w:val="none"/>
        </w:rPr>
        <w:t>；</w:t>
      </w:r>
    </w:p>
    <w:p w14:paraId="65322F3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26</w:t>
      </w:r>
      <w:r>
        <w:rPr>
          <w:rFonts w:hint="default" w:ascii="Times New Roman" w:hAnsi="Times New Roman" w:eastAsia="宋体" w:cs="Times New Roman"/>
          <w:color w:val="auto"/>
          <w:highlight w:val="none"/>
        </w:rPr>
        <w:t>）《农业部办公厅关于印发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畜禽规模养殖场粪污资源化利用设施建设规范（试行）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的通知》（农办牧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2018.1.5施行</w:t>
      </w:r>
      <w:r>
        <w:rPr>
          <w:rFonts w:hint="default" w:ascii="Times New Roman" w:hAnsi="Times New Roman" w:eastAsia="宋体" w:cs="Times New Roman"/>
          <w:color w:val="auto"/>
          <w:highlight w:val="none"/>
        </w:rPr>
        <w:t>；</w:t>
      </w:r>
    </w:p>
    <w:p w14:paraId="43B1EB8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27</w:t>
      </w:r>
      <w:r>
        <w:rPr>
          <w:rFonts w:hint="default" w:ascii="Times New Roman" w:hAnsi="Times New Roman" w:eastAsia="宋体" w:cs="Times New Roman"/>
          <w:color w:val="auto"/>
          <w:highlight w:val="none"/>
        </w:rPr>
        <w:t>）《农业部关于印发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病死及病害动物无害化处理技术规范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的通知》（农医发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25号）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2017.7.3施行</w:t>
      </w:r>
      <w:r>
        <w:rPr>
          <w:rFonts w:hint="default" w:ascii="Times New Roman" w:hAnsi="Times New Roman" w:eastAsia="宋体" w:cs="Times New Roman"/>
          <w:color w:val="auto"/>
          <w:highlight w:val="none"/>
        </w:rPr>
        <w:t>；</w:t>
      </w:r>
    </w:p>
    <w:p w14:paraId="586F2E9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28</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shd w:val="clear" w:color="auto" w:fill="FFFFFF"/>
        </w:rPr>
        <w:t>《国务院办公厅关于加快推进畜禽养殖废弃物资源化利用的意见》（国办发</w:t>
      </w:r>
      <w:r>
        <w:rPr>
          <w:rFonts w:hint="default" w:ascii="Times New Roman" w:hAnsi="Times New Roman" w:eastAsia="宋体" w:cs="Times New Roman"/>
          <w:color w:val="auto"/>
          <w:highlight w:val="none"/>
          <w:shd w:val="clear" w:color="auto" w:fill="FFFFFF"/>
          <w:lang w:eastAsia="zh-CN"/>
        </w:rPr>
        <w:t>〔</w:t>
      </w:r>
      <w:r>
        <w:rPr>
          <w:rFonts w:hint="default" w:ascii="Times New Roman" w:hAnsi="Times New Roman" w:eastAsia="宋体" w:cs="Times New Roman"/>
          <w:color w:val="auto"/>
          <w:highlight w:val="none"/>
          <w:shd w:val="clear" w:color="auto" w:fill="FFFFFF"/>
        </w:rPr>
        <w:t>2017</w:t>
      </w:r>
      <w:r>
        <w:rPr>
          <w:rFonts w:hint="default" w:ascii="Times New Roman" w:hAnsi="Times New Roman" w:eastAsia="宋体" w:cs="Times New Roman"/>
          <w:color w:val="auto"/>
          <w:highlight w:val="none"/>
          <w:shd w:val="clear" w:color="auto" w:fill="FFFFFF"/>
          <w:lang w:eastAsia="zh-CN"/>
        </w:rPr>
        <w:t>〕</w:t>
      </w:r>
      <w:r>
        <w:rPr>
          <w:rFonts w:hint="default" w:ascii="Times New Roman" w:hAnsi="Times New Roman" w:eastAsia="宋体" w:cs="Times New Roman"/>
          <w:color w:val="auto"/>
          <w:highlight w:val="none"/>
          <w:shd w:val="clear" w:color="auto" w:fill="FFFFFF"/>
        </w:rPr>
        <w:t>48号）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2017.6.12施行</w:t>
      </w:r>
      <w:r>
        <w:rPr>
          <w:rFonts w:hint="default" w:ascii="Times New Roman" w:hAnsi="Times New Roman" w:eastAsia="宋体" w:cs="Times New Roman"/>
          <w:color w:val="auto"/>
          <w:highlight w:val="none"/>
        </w:rPr>
        <w:t>；</w:t>
      </w:r>
    </w:p>
    <w:p w14:paraId="330D14A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29</w:t>
      </w:r>
      <w:r>
        <w:rPr>
          <w:rFonts w:hint="default" w:ascii="Times New Roman" w:hAnsi="Times New Roman" w:eastAsia="宋体" w:cs="Times New Roman"/>
          <w:color w:val="auto"/>
          <w:highlight w:val="none"/>
        </w:rPr>
        <w:t>）《农业部关于印发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种养结合循环农业示范工程建设规划（2017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2020年）</w:t>
      </w:r>
      <w:r>
        <w:rPr>
          <w:rFonts w:hint="default" w:ascii="Times New Roman" w:hAnsi="Times New Roman" w:eastAsia="宋体" w:cs="Times New Roman"/>
          <w:color w:val="auto"/>
          <w:highlight w:val="none"/>
          <w:lang w:eastAsia="zh-CN"/>
        </w:rPr>
        <w:t>〉的通知</w:t>
      </w:r>
      <w:r>
        <w:rPr>
          <w:rFonts w:hint="default" w:ascii="Times New Roman" w:hAnsi="Times New Roman" w:eastAsia="宋体" w:cs="Times New Roman"/>
          <w:color w:val="auto"/>
          <w:highlight w:val="none"/>
        </w:rPr>
        <w:t>》（农计发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106号）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2017.8.15施行</w:t>
      </w:r>
      <w:r>
        <w:rPr>
          <w:rFonts w:hint="default" w:ascii="Times New Roman" w:hAnsi="Times New Roman" w:eastAsia="宋体" w:cs="Times New Roman"/>
          <w:color w:val="auto"/>
          <w:highlight w:val="none"/>
        </w:rPr>
        <w:t>；</w:t>
      </w:r>
    </w:p>
    <w:p w14:paraId="16D16E9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国土资源部农业部</w:t>
      </w:r>
      <w:r>
        <w:rPr>
          <w:rFonts w:hint="default" w:ascii="Times New Roman" w:hAnsi="Times New Roman" w:eastAsia="宋体" w:cs="Times New Roman"/>
          <w:color w:val="auto"/>
          <w:highlight w:val="none"/>
        </w:rPr>
        <w:t>关于促进规模化畜禽养殖有关用地政策的通知》（国土资发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220号）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2012.9.5施行</w:t>
      </w:r>
      <w:r>
        <w:rPr>
          <w:rFonts w:hint="default" w:ascii="Times New Roman" w:hAnsi="Times New Roman" w:eastAsia="宋体" w:cs="Times New Roman"/>
          <w:color w:val="auto"/>
          <w:highlight w:val="none"/>
        </w:rPr>
        <w:t>；</w:t>
      </w:r>
    </w:p>
    <w:p w14:paraId="59792BB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31</w:t>
      </w:r>
      <w:r>
        <w:rPr>
          <w:rFonts w:hint="default" w:ascii="Times New Roman" w:hAnsi="Times New Roman" w:eastAsia="宋体" w:cs="Times New Roman"/>
          <w:color w:val="auto"/>
          <w:highlight w:val="none"/>
        </w:rPr>
        <w:t>）《农业农村部</w:t>
      </w:r>
      <w:r>
        <w:rPr>
          <w:rFonts w:hint="default" w:ascii="Times New Roman" w:hAnsi="Times New Roman" w:eastAsia="宋体" w:cs="Times New Roman"/>
          <w:color w:val="auto"/>
          <w:highlight w:val="none"/>
          <w:lang w:eastAsia="zh-CN"/>
        </w:rPr>
        <w:t>办公厅</w:t>
      </w:r>
      <w:r>
        <w:rPr>
          <w:rFonts w:hint="default" w:ascii="Times New Roman" w:hAnsi="Times New Roman" w:eastAsia="宋体" w:cs="Times New Roman"/>
          <w:color w:val="auto"/>
          <w:highlight w:val="none"/>
        </w:rPr>
        <w:t>、生态环境部</w:t>
      </w:r>
      <w:r>
        <w:rPr>
          <w:rFonts w:hint="default" w:ascii="Times New Roman" w:hAnsi="Times New Roman" w:eastAsia="宋体" w:cs="Times New Roman"/>
          <w:color w:val="auto"/>
          <w:highlight w:val="none"/>
          <w:lang w:eastAsia="zh-CN"/>
        </w:rPr>
        <w:t>办公厅</w:t>
      </w:r>
      <w:r>
        <w:rPr>
          <w:rFonts w:hint="default" w:ascii="Times New Roman" w:hAnsi="Times New Roman" w:eastAsia="宋体" w:cs="Times New Roman"/>
          <w:color w:val="auto"/>
          <w:highlight w:val="none"/>
        </w:rPr>
        <w:t>关于进一步明确畜禽粪污还田利用要求强化养殖污染监管的通知》（农办牧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2020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23号）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2020.6.4施行；</w:t>
      </w:r>
    </w:p>
    <w:p w14:paraId="0E2EBFD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rPr>
        <w:t>）《农业农村部办公厅生态环境部办公厅关于印发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畜禽养殖场（户）粪污处理设施建设技术指南</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的通知》</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农办牧〔2022〕19号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highlight w:val="none"/>
          <w:lang w:eastAsia="zh-CN"/>
        </w:rPr>
        <w:t>，2022年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月</w:t>
      </w:r>
      <w:r>
        <w:rPr>
          <w:rFonts w:hint="default" w:ascii="Times New Roman" w:hAnsi="Times New Roman" w:eastAsia="宋体" w:cs="Times New Roman"/>
          <w:color w:val="auto"/>
          <w:highlight w:val="none"/>
          <w:lang w:val="en-US" w:eastAsia="zh-CN"/>
        </w:rPr>
        <w:t>12</w:t>
      </w:r>
      <w:r>
        <w:rPr>
          <w:rFonts w:hint="default" w:ascii="Times New Roman" w:hAnsi="Times New Roman" w:eastAsia="宋体" w:cs="Times New Roman"/>
          <w:color w:val="auto"/>
          <w:highlight w:val="none"/>
          <w:lang w:eastAsia="zh-CN"/>
        </w:rPr>
        <w:t>日</w:t>
      </w:r>
      <w:r>
        <w:rPr>
          <w:rFonts w:hint="default" w:ascii="Times New Roman" w:hAnsi="Times New Roman" w:eastAsia="宋体" w:cs="Times New Roman"/>
          <w:color w:val="auto"/>
          <w:highlight w:val="none"/>
          <w:lang w:val="en-US" w:eastAsia="zh-CN"/>
        </w:rPr>
        <w:t>发布</w:t>
      </w:r>
      <w:r>
        <w:rPr>
          <w:rFonts w:hint="default" w:ascii="Times New Roman" w:hAnsi="Times New Roman" w:eastAsia="宋体" w:cs="Times New Roman"/>
          <w:color w:val="auto"/>
          <w:highlight w:val="none"/>
        </w:rPr>
        <w:t>。</w:t>
      </w:r>
    </w:p>
    <w:p w14:paraId="66365E23">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81" w:name="_Toc21972"/>
      <w:r>
        <w:rPr>
          <w:rFonts w:hint="default" w:ascii="Times New Roman" w:hAnsi="Times New Roman" w:eastAsia="宋体" w:cs="Times New Roman"/>
          <w:color w:val="auto"/>
          <w:highlight w:val="none"/>
        </w:rPr>
        <w:t>2.1.2相关产业政策</w:t>
      </w:r>
      <w:bookmarkEnd w:id="81"/>
    </w:p>
    <w:p w14:paraId="021216C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w:t>
      </w:r>
      <w:r>
        <w:rPr>
          <w:rFonts w:hint="default" w:ascii="Times New Roman" w:hAnsi="Times New Roman" w:eastAsia="宋体" w:cs="Times New Roman"/>
          <w:color w:val="auto"/>
          <w:highlight w:val="none"/>
          <w:lang w:eastAsia="zh-CN"/>
        </w:rPr>
        <w:t>中华人民共和国国家发展和改革委员会令第</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eastAsia="zh-CN"/>
        </w:rPr>
        <w:t>号</w:t>
      </w: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起</w:t>
      </w:r>
      <w:r>
        <w:rPr>
          <w:rFonts w:hint="default" w:ascii="Times New Roman" w:hAnsi="Times New Roman" w:eastAsia="宋体" w:cs="Times New Roman"/>
          <w:color w:val="auto"/>
          <w:highlight w:val="none"/>
        </w:rPr>
        <w:t>施行</w:t>
      </w:r>
      <w:r>
        <w:rPr>
          <w:rFonts w:hint="default" w:ascii="Times New Roman" w:hAnsi="Times New Roman" w:eastAsia="宋体" w:cs="Times New Roman"/>
          <w:color w:val="auto"/>
          <w:highlight w:val="none"/>
          <w:lang w:eastAsia="zh-CN"/>
        </w:rPr>
        <w:t>；</w:t>
      </w:r>
    </w:p>
    <w:p w14:paraId="09A47D31">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82" w:name="_Toc7546"/>
      <w:r>
        <w:rPr>
          <w:rFonts w:hint="default" w:ascii="Times New Roman" w:hAnsi="Times New Roman" w:eastAsia="宋体" w:cs="Times New Roman"/>
          <w:color w:val="auto"/>
          <w:highlight w:val="none"/>
        </w:rPr>
        <w:t>2.1.3地方性法规及规范性文件</w:t>
      </w:r>
      <w:bookmarkEnd w:id="82"/>
    </w:p>
    <w:p w14:paraId="0E028CD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（1）《内蒙古自治区限制开发区域限制类和禁止类产业指导目录（2016年本）》（内政办发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127号），2016.9.14；</w:t>
      </w:r>
    </w:p>
    <w:p w14:paraId="5C34D95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）《内蒙古自治区贯彻国务院〈建设项目环境保护管理条例〉实施意见》，2009.11.10；</w:t>
      </w:r>
    </w:p>
    <w:p w14:paraId="2A37E2B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）《内蒙古自治区环境保护条例》（2018年修正）；</w:t>
      </w:r>
    </w:p>
    <w:p w14:paraId="59864B8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）《内蒙古自治区人民政府关于印发自治区国家重点生态功能区产业准入负面清单（试行）》（内政发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11号），2018.3.12；</w:t>
      </w:r>
    </w:p>
    <w:p w14:paraId="3E0EF1E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）《关于进一步贯彻落实《畜禽规模养殖污染防治条例》促进养殖废弃物综合利用加强污染防治的通知》（内农牧畜发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228号）；</w:t>
      </w:r>
    </w:p>
    <w:p w14:paraId="3B28F50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）《关于病死畜禽无害化处理工作的实施意见》（内政办发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54号）；</w:t>
      </w:r>
    </w:p>
    <w:p w14:paraId="5826043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）《内蒙古自治区畜禽养殖主要污染物减排工程项目建设技术指南（试行）》（内环发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83号）；</w:t>
      </w:r>
    </w:p>
    <w:p w14:paraId="31CA583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）《内蒙古自治区人民政府办公厅关于印发畜禽粪污资源化利用工作方案（2017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2020年）的通知》（内政办字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179号）；</w:t>
      </w:r>
    </w:p>
    <w:p w14:paraId="7E69EFF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jc w:val="both"/>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）《巴彦淖尔市大气污染防治条例》，2019年10月1日</w:t>
      </w:r>
      <w:r>
        <w:rPr>
          <w:rFonts w:hint="default" w:ascii="Times New Roman" w:hAnsi="Times New Roman" w:eastAsia="宋体" w:cs="Times New Roman"/>
          <w:color w:val="auto"/>
          <w:szCs w:val="24"/>
          <w:highlight w:val="none"/>
        </w:rPr>
        <w:t>。</w:t>
      </w:r>
    </w:p>
    <w:p w14:paraId="74D39C25">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83" w:name="_Toc6039"/>
      <w:r>
        <w:rPr>
          <w:rFonts w:hint="default" w:ascii="Times New Roman" w:hAnsi="Times New Roman" w:eastAsia="宋体" w:cs="Times New Roman"/>
          <w:color w:val="auto"/>
          <w:highlight w:val="none"/>
        </w:rPr>
        <w:t>2.1.4</w:t>
      </w:r>
      <w:bookmarkStart w:id="84" w:name="_Toc512871522"/>
      <w:r>
        <w:rPr>
          <w:rFonts w:hint="default" w:ascii="Times New Roman" w:hAnsi="Times New Roman" w:eastAsia="宋体" w:cs="Times New Roman"/>
          <w:color w:val="auto"/>
          <w:highlight w:val="none"/>
        </w:rPr>
        <w:t>技术</w:t>
      </w:r>
      <w:bookmarkEnd w:id="84"/>
      <w:r>
        <w:rPr>
          <w:rFonts w:hint="default" w:ascii="Times New Roman" w:hAnsi="Times New Roman" w:eastAsia="宋体" w:cs="Times New Roman"/>
          <w:color w:val="auto"/>
          <w:highlight w:val="none"/>
        </w:rPr>
        <w:t>导则和规范</w:t>
      </w:r>
      <w:bookmarkEnd w:id="83"/>
    </w:p>
    <w:p w14:paraId="4DCF7B7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85" w:name="_Toc512871523"/>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建设项目环境影响评价技术导则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总纲》（HJ2.1-2016）；</w:t>
      </w:r>
    </w:p>
    <w:p w14:paraId="754B83E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w:t>
      </w:r>
    </w:p>
    <w:p w14:paraId="40EB04F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声环境》（</w:t>
      </w:r>
      <w:r>
        <w:rPr>
          <w:rFonts w:hint="default" w:ascii="Times New Roman" w:hAnsi="Times New Roman" w:eastAsia="宋体" w:cs="Times New Roman"/>
          <w:color w:val="auto"/>
          <w:highlight w:val="none"/>
          <w:lang w:eastAsia="zh-CN"/>
        </w:rPr>
        <w:t>HJ2.4-2021</w:t>
      </w:r>
      <w:r>
        <w:rPr>
          <w:rFonts w:hint="default" w:ascii="Times New Roman" w:hAnsi="Times New Roman" w:eastAsia="宋体" w:cs="Times New Roman"/>
          <w:color w:val="auto"/>
          <w:highlight w:val="none"/>
        </w:rPr>
        <w:t>）；</w:t>
      </w:r>
    </w:p>
    <w:p w14:paraId="0C2F402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地下水环境》（HJ610-2016）；</w:t>
      </w:r>
    </w:p>
    <w:p w14:paraId="07CB205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地表水环境》（HJ2.3-2018）</w:t>
      </w:r>
    </w:p>
    <w:p w14:paraId="421F6C7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（6）《</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土壤环境（试行）》（HJ964</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2018）；</w:t>
      </w:r>
    </w:p>
    <w:p w14:paraId="5945D9E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生态影响》（</w:t>
      </w:r>
      <w:r>
        <w:rPr>
          <w:rFonts w:hint="default" w:ascii="Times New Roman" w:hAnsi="Times New Roman" w:eastAsia="宋体" w:cs="Times New Roman"/>
          <w:color w:val="auto"/>
          <w:highlight w:val="none"/>
          <w:lang w:eastAsia="zh-CN"/>
        </w:rPr>
        <w:t>HJ19-2022</w:t>
      </w:r>
      <w:r>
        <w:rPr>
          <w:rFonts w:hint="default" w:ascii="Times New Roman" w:hAnsi="Times New Roman" w:eastAsia="宋体" w:cs="Times New Roman"/>
          <w:color w:val="auto"/>
          <w:highlight w:val="none"/>
        </w:rPr>
        <w:t>）；</w:t>
      </w:r>
    </w:p>
    <w:p w14:paraId="2A337EB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（8）《建设项目环境风险评价技术导则》</w:t>
      </w:r>
      <w:bookmarkStart w:id="86" w:name="OLE_LINK8"/>
      <w:bookmarkStart w:id="87" w:name="OLE_LINK7"/>
      <w:r>
        <w:rPr>
          <w:rFonts w:hint="default" w:ascii="Times New Roman" w:hAnsi="Times New Roman" w:eastAsia="宋体" w:cs="Times New Roman"/>
          <w:color w:val="auto"/>
          <w:highlight w:val="none"/>
        </w:rPr>
        <w:t>（HJ169-20</w:t>
      </w:r>
      <w:bookmarkEnd w:id="86"/>
      <w:bookmarkEnd w:id="87"/>
      <w:r>
        <w:rPr>
          <w:rFonts w:hint="default" w:ascii="Times New Roman" w:hAnsi="Times New Roman" w:eastAsia="宋体" w:cs="Times New Roman"/>
          <w:color w:val="auto"/>
          <w:highlight w:val="none"/>
        </w:rPr>
        <w:t>18）；</w:t>
      </w:r>
    </w:p>
    <w:p w14:paraId="5D2FFC7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w:t>
      </w:r>
      <w:r>
        <w:rPr>
          <w:rFonts w:hint="default" w:ascii="Times New Roman" w:hAnsi="Times New Roman" w:eastAsia="宋体" w:cs="Times New Roman"/>
          <w:color w:val="auto"/>
          <w:highlight w:val="none"/>
          <w:lang w:eastAsia="zh-CN"/>
        </w:rPr>
        <w:t>排污许可证申请与核发技术规范</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畜禽养殖行业</w:t>
      </w:r>
      <w:r>
        <w:rPr>
          <w:rFonts w:hint="default" w:ascii="Times New Roman" w:hAnsi="Times New Roman" w:eastAsia="宋体" w:cs="Times New Roman"/>
          <w:color w:val="auto"/>
          <w:highlight w:val="none"/>
        </w:rPr>
        <w:t>》（HJ1029-2019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1636088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w:t>
      </w:r>
      <w:r>
        <w:rPr>
          <w:rFonts w:hint="default" w:ascii="Times New Roman" w:hAnsi="Times New Roman" w:eastAsia="宋体" w:cs="Times New Roman"/>
          <w:color w:val="auto"/>
          <w:highlight w:val="none"/>
          <w:lang w:eastAsia="zh-CN"/>
        </w:rPr>
        <w:t>污染源源强核算技术指南</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准则</w:t>
      </w:r>
      <w:r>
        <w:rPr>
          <w:rFonts w:hint="default" w:ascii="Times New Roman" w:hAnsi="Times New Roman" w:eastAsia="宋体" w:cs="Times New Roman"/>
          <w:color w:val="auto"/>
          <w:highlight w:val="none"/>
        </w:rPr>
        <w:t>》（HJ884-2018）；</w:t>
      </w:r>
    </w:p>
    <w:p w14:paraId="000808D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w:t>
      </w:r>
      <w:r>
        <w:rPr>
          <w:rFonts w:hint="default" w:ascii="Times New Roman" w:hAnsi="Times New Roman" w:eastAsia="宋体" w:cs="Times New Roman"/>
          <w:color w:val="auto"/>
          <w:highlight w:val="none"/>
          <w:lang w:eastAsia="zh-CN"/>
        </w:rPr>
        <w:t>排污单位自行监测技术指南</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总则</w:t>
      </w:r>
      <w:r>
        <w:rPr>
          <w:rFonts w:hint="default" w:ascii="Times New Roman" w:hAnsi="Times New Roman" w:eastAsia="宋体" w:cs="Times New Roman"/>
          <w:color w:val="auto"/>
          <w:highlight w:val="none"/>
        </w:rPr>
        <w:t>》（HJ819-2017）；</w:t>
      </w:r>
    </w:p>
    <w:p w14:paraId="5E178BA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（12）《畜禽养殖业污染防治技术规范》（HJ/T81-2001）；</w:t>
      </w:r>
    </w:p>
    <w:p w14:paraId="22FFD8F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（13）《畜禽养殖业污染治理工程技术规范》（HJ497-2009）；</w:t>
      </w:r>
    </w:p>
    <w:p w14:paraId="017012D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（14）《病害动物和病害动物产品生物安全处理规程》（GB16548-2006）；</w:t>
      </w:r>
    </w:p>
    <w:p w14:paraId="7C63C43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（15）《高致病性禽流感疫情处置技术规范》（农业部2004.11.14）；</w:t>
      </w:r>
    </w:p>
    <w:p w14:paraId="2474502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（16）《病死及病害动物无害化处理技术规范》（农医发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25号）；</w:t>
      </w:r>
    </w:p>
    <w:p w14:paraId="6E575C0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（17）《畜禽粪便无害化处理技术规范》（NY/T1168-2006）；</w:t>
      </w:r>
    </w:p>
    <w:p w14:paraId="25B6AD8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（18）《粪便无害化卫生要求》（GB7959-2012）；</w:t>
      </w:r>
    </w:p>
    <w:p w14:paraId="5BBC46A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（19）《沼肥施用技术规范》（NY/T2065-2011）；</w:t>
      </w:r>
    </w:p>
    <w:p w14:paraId="378FAAA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（20）《畜禽粪污土地承载力测算技术指南》（农办牧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1号）；</w:t>
      </w:r>
    </w:p>
    <w:p w14:paraId="680AC8F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（21）《畜禽粪便还田技术规范》（GB/T25246-2010）；</w:t>
      </w:r>
    </w:p>
    <w:p w14:paraId="7595E54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（22）《畜禽粪便农田利用环境影响评价准则》（GB/T26622-2011）；</w:t>
      </w:r>
    </w:p>
    <w:p w14:paraId="0C0FED2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（23）《畜禽场场区设计技术规范》（NY/T682-2003）；</w:t>
      </w:r>
    </w:p>
    <w:p w14:paraId="389A467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）《病害动物和病害动物产品生物安全处理规程》（GB16548-2006）；</w:t>
      </w:r>
    </w:p>
    <w:p w14:paraId="1A83B36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）《畜禽规模化养殖场资源化利用设施建设规范（试行）》（农办牧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2号）；</w:t>
      </w:r>
    </w:p>
    <w:p w14:paraId="5146C86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）内蒙古自治区</w:t>
      </w:r>
      <w:r>
        <w:rPr>
          <w:rFonts w:hint="default" w:ascii="Times New Roman" w:hAnsi="Times New Roman" w:eastAsia="宋体" w:cs="Times New Roman"/>
          <w:color w:val="auto"/>
          <w:highlight w:val="none"/>
          <w:lang w:val="en-US" w:eastAsia="zh-CN"/>
        </w:rPr>
        <w:t>地方标准</w:t>
      </w:r>
      <w:r>
        <w:rPr>
          <w:rFonts w:hint="default" w:ascii="Times New Roman" w:hAnsi="Times New Roman" w:eastAsia="宋体" w:cs="Times New Roman"/>
          <w:color w:val="auto"/>
          <w:highlight w:val="none"/>
        </w:rPr>
        <w:t>《行业用水定额》（</w:t>
      </w:r>
      <w:r>
        <w:rPr>
          <w:rFonts w:hint="default" w:ascii="Times New Roman" w:hAnsi="Times New Roman" w:eastAsia="宋体" w:cs="Times New Roman"/>
          <w:color w:val="auto"/>
          <w:highlight w:val="none"/>
          <w:lang w:eastAsia="zh-CN"/>
        </w:rPr>
        <w:t>DB15/T385-2020</w:t>
      </w:r>
      <w:r>
        <w:rPr>
          <w:rFonts w:hint="default" w:ascii="Times New Roman" w:hAnsi="Times New Roman" w:eastAsia="宋体" w:cs="Times New Roman"/>
          <w:color w:val="auto"/>
          <w:highlight w:val="none"/>
        </w:rPr>
        <w:t>）。</w:t>
      </w:r>
    </w:p>
    <w:p w14:paraId="3C24A30D">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88" w:name="_Toc26824"/>
      <w:r>
        <w:rPr>
          <w:rFonts w:hint="default" w:ascii="Times New Roman" w:hAnsi="Times New Roman" w:eastAsia="宋体" w:cs="Times New Roman"/>
          <w:color w:val="auto"/>
          <w:highlight w:val="none"/>
        </w:rPr>
        <w:t>2.1.5其他相关文件</w:t>
      </w:r>
      <w:bookmarkEnd w:id="85"/>
      <w:bookmarkEnd w:id="88"/>
    </w:p>
    <w:p w14:paraId="6FD3ECC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五原县兄弟农民专业合作社肉羊育肥养殖及附属设施建设项目</w:t>
      </w:r>
      <w:r>
        <w:rPr>
          <w:rFonts w:hint="default" w:ascii="Times New Roman" w:hAnsi="Times New Roman" w:eastAsia="宋体" w:cs="Times New Roman"/>
          <w:color w:val="auto"/>
          <w:highlight w:val="none"/>
        </w:rPr>
        <w:t>环境影响评价委托书》，202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月；</w:t>
      </w:r>
    </w:p>
    <w:p w14:paraId="151A6B2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）建设单位提供的其他技术资料。</w:t>
      </w:r>
    </w:p>
    <w:p w14:paraId="37D0103C">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89" w:name="_Toc24202"/>
      <w:r>
        <w:rPr>
          <w:rFonts w:hint="default" w:ascii="Times New Roman" w:hAnsi="Times New Roman" w:eastAsia="宋体" w:cs="Times New Roman"/>
          <w:color w:val="auto"/>
          <w:highlight w:val="none"/>
        </w:rPr>
        <w:t>2.2评价目的及评价重点</w:t>
      </w:r>
      <w:bookmarkEnd w:id="89"/>
    </w:p>
    <w:p w14:paraId="10A1FFBC">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90" w:name="_Toc2423"/>
      <w:r>
        <w:rPr>
          <w:rFonts w:hint="default" w:ascii="Times New Roman" w:hAnsi="Times New Roman" w:eastAsia="宋体" w:cs="Times New Roman"/>
          <w:color w:val="auto"/>
          <w:highlight w:val="none"/>
        </w:rPr>
        <w:t>2.2.1评价目的</w:t>
      </w:r>
      <w:bookmarkEnd w:id="90"/>
    </w:p>
    <w:p w14:paraId="4F6FA07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（1）从本项目的养殖工艺、养殖规模、环保设施、</w:t>
      </w:r>
      <w:r>
        <w:rPr>
          <w:rFonts w:hint="default" w:ascii="Times New Roman" w:hAnsi="Times New Roman" w:eastAsia="宋体" w:cs="Times New Roman"/>
          <w:color w:val="auto"/>
          <w:highlight w:val="none"/>
          <w:lang w:eastAsia="zh-CN"/>
        </w:rPr>
        <w:t>场址</w:t>
      </w:r>
      <w:r>
        <w:rPr>
          <w:rFonts w:hint="default" w:ascii="Times New Roman" w:hAnsi="Times New Roman" w:eastAsia="宋体" w:cs="Times New Roman"/>
          <w:color w:val="auto"/>
          <w:highlight w:val="none"/>
        </w:rPr>
        <w:t>选择及污染物排放控制等方面进行分析，并对照国家、自治区相关产业政策，以及当地环境质量底线、资源利用上线、生态保护红线及</w:t>
      </w:r>
      <w:r>
        <w:rPr>
          <w:rFonts w:hint="default" w:ascii="Times New Roman" w:hAnsi="Times New Roman" w:eastAsia="宋体" w:cs="Times New Roman"/>
          <w:color w:val="auto"/>
          <w:highlight w:val="none"/>
          <w:lang w:eastAsia="zh-CN"/>
        </w:rPr>
        <w:t>生态环境准入清单</w:t>
      </w:r>
      <w:r>
        <w:rPr>
          <w:rFonts w:hint="default" w:ascii="Times New Roman" w:hAnsi="Times New Roman" w:eastAsia="宋体" w:cs="Times New Roman"/>
          <w:color w:val="auto"/>
          <w:highlight w:val="none"/>
        </w:rPr>
        <w:t>，明确回答本项目是否符合国家、自治区及当地相关产业政策要求。</w:t>
      </w:r>
    </w:p>
    <w:p w14:paraId="56F9CC6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14:paraId="5CEE84D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（3）本次评价将根据产业政策、评价区域环境质量底线要求、生态保护红线、区域城市建设规划管理部门要求等情况进行综合分析，明确回答厂址选择可行性。</w:t>
      </w:r>
    </w:p>
    <w:p w14:paraId="7A31AA7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（4）综合产业政策、当地社会经济发展规划、环境质量底线、生态保护红线、资源利用上线、</w:t>
      </w:r>
      <w:r>
        <w:rPr>
          <w:rFonts w:hint="default" w:ascii="Times New Roman" w:hAnsi="Times New Roman" w:eastAsia="宋体" w:cs="Times New Roman"/>
          <w:color w:val="auto"/>
          <w:highlight w:val="none"/>
          <w:lang w:eastAsia="zh-CN"/>
        </w:rPr>
        <w:t>生态环境准入清单</w:t>
      </w:r>
      <w:r>
        <w:rPr>
          <w:rFonts w:hint="default" w:ascii="Times New Roman" w:hAnsi="Times New Roman" w:eastAsia="宋体" w:cs="Times New Roman"/>
          <w:color w:val="auto"/>
          <w:highlight w:val="none"/>
        </w:rPr>
        <w:t>等部分的分析结论，从环保角度明确回答本项目建设可行性，为项目建设审批、环境保护、工程设计、建设管理、生产运行等提供科学依据。</w:t>
      </w:r>
    </w:p>
    <w:p w14:paraId="15F9832C">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91" w:name="_Toc19333"/>
      <w:r>
        <w:rPr>
          <w:rFonts w:hint="default" w:ascii="Times New Roman" w:hAnsi="Times New Roman" w:eastAsia="宋体" w:cs="Times New Roman"/>
          <w:color w:val="auto"/>
          <w:highlight w:val="none"/>
        </w:rPr>
        <w:t>2.2.2评价重点</w:t>
      </w:r>
      <w:bookmarkEnd w:id="91"/>
    </w:p>
    <w:p w14:paraId="2260352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本项目关注的主要环境问题为项目选址的合理性，建成后产生的</w:t>
      </w:r>
      <w:r>
        <w:rPr>
          <w:rFonts w:hint="default" w:ascii="Times New Roman" w:hAnsi="Times New Roman" w:eastAsia="宋体" w:cs="Times New Roman"/>
          <w:color w:val="auto"/>
          <w:highlight w:val="none"/>
          <w:lang w:eastAsia="zh-CN"/>
        </w:rPr>
        <w:t>恶臭气体</w:t>
      </w:r>
      <w:r>
        <w:rPr>
          <w:rFonts w:hint="default" w:ascii="Times New Roman" w:hAnsi="Times New Roman" w:eastAsia="宋体" w:cs="Times New Roman"/>
          <w:color w:val="auto"/>
          <w:highlight w:val="none"/>
        </w:rPr>
        <w:t>采取措施后能否达标排放，养殖粪污作为有机肥能否合理还田，对满足资源化利用的可行性进行分析论证。</w:t>
      </w:r>
    </w:p>
    <w:p w14:paraId="08AEFF15">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92" w:name="_Toc512871524"/>
      <w:bookmarkStart w:id="93" w:name="_Toc18055"/>
      <w:r>
        <w:rPr>
          <w:rFonts w:hint="default" w:ascii="Times New Roman" w:hAnsi="Times New Roman" w:eastAsia="宋体" w:cs="Times New Roman"/>
          <w:color w:val="auto"/>
          <w:highlight w:val="none"/>
        </w:rPr>
        <w:t>2.3</w:t>
      </w:r>
      <w:bookmarkEnd w:id="92"/>
      <w:r>
        <w:rPr>
          <w:rFonts w:hint="default" w:ascii="Times New Roman" w:hAnsi="Times New Roman" w:eastAsia="宋体" w:cs="Times New Roman"/>
          <w:color w:val="auto"/>
          <w:highlight w:val="none"/>
        </w:rPr>
        <w:t>环境影响识别</w:t>
      </w:r>
      <w:bookmarkEnd w:id="93"/>
    </w:p>
    <w:p w14:paraId="40AD69DD">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94" w:name="_Toc143066313"/>
      <w:bookmarkStart w:id="95" w:name="_Toc258943957"/>
      <w:bookmarkStart w:id="96" w:name="_Toc158435276"/>
      <w:bookmarkStart w:id="97" w:name="_Toc295196530"/>
      <w:bookmarkStart w:id="98" w:name="_Toc13549"/>
      <w:bookmarkStart w:id="99" w:name="_Toc512871525"/>
      <w:bookmarkStart w:id="100" w:name="_Toc494206271"/>
      <w:r>
        <w:rPr>
          <w:rFonts w:hint="default" w:ascii="Times New Roman" w:hAnsi="Times New Roman" w:eastAsia="宋体" w:cs="Times New Roman"/>
          <w:color w:val="auto"/>
          <w:highlight w:val="none"/>
        </w:rPr>
        <w:t>2.3.1</w:t>
      </w:r>
      <w:bookmarkEnd w:id="94"/>
      <w:bookmarkEnd w:id="95"/>
      <w:bookmarkEnd w:id="96"/>
      <w:bookmarkEnd w:id="97"/>
      <w:r>
        <w:rPr>
          <w:rFonts w:hint="default" w:ascii="Times New Roman" w:hAnsi="Times New Roman" w:eastAsia="宋体" w:cs="Times New Roman"/>
          <w:color w:val="auto"/>
          <w:highlight w:val="none"/>
        </w:rPr>
        <w:t>环境影响因素识别</w:t>
      </w:r>
      <w:bookmarkEnd w:id="98"/>
      <w:bookmarkEnd w:id="99"/>
      <w:bookmarkEnd w:id="100"/>
    </w:p>
    <w:p w14:paraId="57245EB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评价根据该工程建设特征、项目区域环境现状，识别本工程项目建设的环境影响因素及环境影响效果见表2.3-1、2.3-2。</w:t>
      </w:r>
    </w:p>
    <w:p w14:paraId="16586EC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outlineLvl w:val="2"/>
        <w:rPr>
          <w:rFonts w:hint="default" w:ascii="Times New Roman" w:hAnsi="Times New Roman" w:eastAsia="宋体" w:cs="Times New Roman"/>
          <w:color w:val="auto"/>
          <w:sz w:val="24"/>
          <w:szCs w:val="24"/>
          <w:highlight w:val="none"/>
        </w:rPr>
      </w:pPr>
      <w:bookmarkStart w:id="101" w:name="_Toc13417"/>
      <w:bookmarkStart w:id="102" w:name="_Toc8871"/>
      <w:bookmarkStart w:id="103" w:name="_Toc19880"/>
      <w:bookmarkStart w:id="104" w:name="_Toc19169"/>
      <w:r>
        <w:rPr>
          <w:rFonts w:hint="default" w:ascii="Times New Roman" w:hAnsi="Times New Roman" w:eastAsia="宋体" w:cs="Times New Roman"/>
          <w:color w:val="auto"/>
          <w:sz w:val="24"/>
          <w:szCs w:val="24"/>
          <w:highlight w:val="none"/>
        </w:rPr>
        <w:t>表2.3-1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工程建设的环境影响要素分析</w:t>
      </w:r>
      <w:bookmarkEnd w:id="101"/>
      <w:bookmarkEnd w:id="102"/>
      <w:bookmarkEnd w:id="103"/>
      <w:bookmarkEnd w:id="104"/>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78"/>
        <w:gridCol w:w="2610"/>
        <w:gridCol w:w="1744"/>
        <w:gridCol w:w="1745"/>
      </w:tblGrid>
      <w:tr w14:paraId="6D3346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15" w:type="dxa"/>
            <w:gridSpan w:val="2"/>
            <w:tcBorders>
              <w:top w:val="single" w:color="auto" w:sz="4" w:space="0"/>
              <w:left w:val="single" w:color="auto" w:sz="4" w:space="0"/>
              <w:bottom w:val="single" w:color="auto" w:sz="4" w:space="0"/>
              <w:right w:val="single" w:color="auto" w:sz="4" w:space="0"/>
            </w:tcBorders>
            <w:vAlign w:val="center"/>
          </w:tcPr>
          <w:p w14:paraId="6E8A6E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环境影响要素</w:t>
            </w:r>
          </w:p>
        </w:tc>
        <w:tc>
          <w:tcPr>
            <w:tcW w:w="1894" w:type="dxa"/>
            <w:tcBorders>
              <w:top w:val="single" w:color="auto" w:sz="4" w:space="0"/>
              <w:left w:val="single" w:color="auto" w:sz="4" w:space="0"/>
              <w:bottom w:val="single" w:color="auto" w:sz="4" w:space="0"/>
              <w:right w:val="single" w:color="auto" w:sz="4" w:space="0"/>
            </w:tcBorders>
            <w:vAlign w:val="center"/>
          </w:tcPr>
          <w:p w14:paraId="70235F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施工期</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14:paraId="68F06D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营运期</w:t>
            </w:r>
          </w:p>
        </w:tc>
      </w:tr>
      <w:tr w14:paraId="02F42F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restart"/>
            <w:tcBorders>
              <w:top w:val="single" w:color="auto" w:sz="4" w:space="0"/>
              <w:left w:val="single" w:color="auto" w:sz="4" w:space="0"/>
              <w:bottom w:val="single" w:color="auto" w:sz="4" w:space="0"/>
              <w:right w:val="single" w:color="auto" w:sz="4" w:space="0"/>
            </w:tcBorders>
            <w:vAlign w:val="center"/>
          </w:tcPr>
          <w:p w14:paraId="0FCC4E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自然环境</w:t>
            </w:r>
          </w:p>
        </w:tc>
        <w:tc>
          <w:tcPr>
            <w:tcW w:w="2845" w:type="dxa"/>
            <w:tcBorders>
              <w:top w:val="single" w:color="auto" w:sz="4" w:space="0"/>
              <w:left w:val="single" w:color="auto" w:sz="4" w:space="0"/>
              <w:bottom w:val="single" w:color="auto" w:sz="4" w:space="0"/>
              <w:right w:val="single" w:color="auto" w:sz="4" w:space="0"/>
            </w:tcBorders>
            <w:vAlign w:val="center"/>
          </w:tcPr>
          <w:p w14:paraId="26D0BD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1894" w:type="dxa"/>
            <w:tcBorders>
              <w:top w:val="single" w:color="auto" w:sz="4" w:space="0"/>
              <w:left w:val="single" w:color="auto" w:sz="4" w:space="0"/>
              <w:bottom w:val="single" w:color="auto" w:sz="4" w:space="0"/>
              <w:right w:val="single" w:color="auto" w:sz="4" w:space="0"/>
            </w:tcBorders>
            <w:vAlign w:val="center"/>
          </w:tcPr>
          <w:p w14:paraId="71F5C1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3DE7AF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7C8A18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43BF54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360B95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地表水水质</w:t>
            </w:r>
          </w:p>
        </w:tc>
        <w:tc>
          <w:tcPr>
            <w:tcW w:w="1894" w:type="dxa"/>
            <w:tcBorders>
              <w:top w:val="single" w:color="auto" w:sz="4" w:space="0"/>
              <w:left w:val="single" w:color="auto" w:sz="4" w:space="0"/>
              <w:bottom w:val="single" w:color="auto" w:sz="4" w:space="0"/>
              <w:right w:val="single" w:color="auto" w:sz="4" w:space="0"/>
            </w:tcBorders>
            <w:vAlign w:val="center"/>
          </w:tcPr>
          <w:p w14:paraId="6F5B05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1894" w:type="dxa"/>
            <w:tcBorders>
              <w:top w:val="single" w:color="auto" w:sz="4" w:space="0"/>
              <w:left w:val="single" w:color="auto" w:sz="4" w:space="0"/>
              <w:bottom w:val="single" w:color="auto" w:sz="4" w:space="0"/>
              <w:right w:val="single" w:color="auto" w:sz="4" w:space="0"/>
            </w:tcBorders>
            <w:vAlign w:val="center"/>
          </w:tcPr>
          <w:p w14:paraId="4188EE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r>
      <w:tr w14:paraId="68D9AD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5DF698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3B023C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环境噪声</w:t>
            </w:r>
          </w:p>
        </w:tc>
        <w:tc>
          <w:tcPr>
            <w:tcW w:w="1894" w:type="dxa"/>
            <w:tcBorders>
              <w:top w:val="single" w:color="auto" w:sz="4" w:space="0"/>
              <w:left w:val="single" w:color="auto" w:sz="4" w:space="0"/>
              <w:bottom w:val="single" w:color="auto" w:sz="4" w:space="0"/>
              <w:right w:val="single" w:color="auto" w:sz="4" w:space="0"/>
            </w:tcBorders>
            <w:vAlign w:val="center"/>
          </w:tcPr>
          <w:p w14:paraId="07FA36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1A8F9C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18E49F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66FDB3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17B316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w:t>
            </w:r>
          </w:p>
        </w:tc>
        <w:tc>
          <w:tcPr>
            <w:tcW w:w="1894" w:type="dxa"/>
            <w:tcBorders>
              <w:top w:val="single" w:color="auto" w:sz="4" w:space="0"/>
              <w:left w:val="single" w:color="auto" w:sz="4" w:space="0"/>
              <w:bottom w:val="single" w:color="auto" w:sz="4" w:space="0"/>
              <w:right w:val="single" w:color="auto" w:sz="4" w:space="0"/>
            </w:tcBorders>
            <w:vAlign w:val="center"/>
          </w:tcPr>
          <w:p w14:paraId="27BD92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58ADFF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5905A6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restart"/>
            <w:tcBorders>
              <w:top w:val="single" w:color="auto" w:sz="4" w:space="0"/>
              <w:left w:val="single" w:color="auto" w:sz="4" w:space="0"/>
              <w:bottom w:val="single" w:color="auto" w:sz="4" w:space="0"/>
              <w:right w:val="single" w:color="auto" w:sz="4" w:space="0"/>
            </w:tcBorders>
            <w:vAlign w:val="center"/>
          </w:tcPr>
          <w:p w14:paraId="0B951D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生态环境</w:t>
            </w:r>
          </w:p>
        </w:tc>
        <w:tc>
          <w:tcPr>
            <w:tcW w:w="2845" w:type="dxa"/>
            <w:tcBorders>
              <w:top w:val="single" w:color="auto" w:sz="4" w:space="0"/>
              <w:left w:val="single" w:color="auto" w:sz="4" w:space="0"/>
              <w:bottom w:val="single" w:color="auto" w:sz="4" w:space="0"/>
              <w:right w:val="single" w:color="auto" w:sz="4" w:space="0"/>
            </w:tcBorders>
            <w:vAlign w:val="center"/>
          </w:tcPr>
          <w:p w14:paraId="11F3EE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植被</w:t>
            </w:r>
          </w:p>
        </w:tc>
        <w:tc>
          <w:tcPr>
            <w:tcW w:w="1894" w:type="dxa"/>
            <w:tcBorders>
              <w:top w:val="single" w:color="auto" w:sz="4" w:space="0"/>
              <w:left w:val="single" w:color="auto" w:sz="4" w:space="0"/>
              <w:bottom w:val="single" w:color="auto" w:sz="4" w:space="0"/>
              <w:right w:val="single" w:color="auto" w:sz="4" w:space="0"/>
            </w:tcBorders>
            <w:vAlign w:val="center"/>
          </w:tcPr>
          <w:p w14:paraId="367A0E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7B3923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r>
      <w:tr w14:paraId="412296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40C72A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26A72F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水土流失</w:t>
            </w:r>
          </w:p>
        </w:tc>
        <w:tc>
          <w:tcPr>
            <w:tcW w:w="1894" w:type="dxa"/>
            <w:tcBorders>
              <w:top w:val="single" w:color="auto" w:sz="4" w:space="0"/>
              <w:left w:val="single" w:color="auto" w:sz="4" w:space="0"/>
              <w:bottom w:val="single" w:color="auto" w:sz="4" w:space="0"/>
              <w:right w:val="single" w:color="auto" w:sz="4" w:space="0"/>
            </w:tcBorders>
            <w:vAlign w:val="center"/>
          </w:tcPr>
          <w:p w14:paraId="01F0A5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2B93C7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709CA2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restart"/>
            <w:tcBorders>
              <w:top w:val="single" w:color="auto" w:sz="4" w:space="0"/>
              <w:left w:val="single" w:color="auto" w:sz="4" w:space="0"/>
              <w:bottom w:val="single" w:color="auto" w:sz="4" w:space="0"/>
              <w:right w:val="single" w:color="auto" w:sz="4" w:space="0"/>
            </w:tcBorders>
            <w:vAlign w:val="center"/>
          </w:tcPr>
          <w:p w14:paraId="3AE479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社会环境</w:t>
            </w:r>
          </w:p>
        </w:tc>
        <w:tc>
          <w:tcPr>
            <w:tcW w:w="2845" w:type="dxa"/>
            <w:tcBorders>
              <w:top w:val="single" w:color="auto" w:sz="4" w:space="0"/>
              <w:left w:val="single" w:color="auto" w:sz="4" w:space="0"/>
              <w:bottom w:val="single" w:color="auto" w:sz="4" w:space="0"/>
              <w:right w:val="single" w:color="auto" w:sz="4" w:space="0"/>
            </w:tcBorders>
            <w:vAlign w:val="center"/>
          </w:tcPr>
          <w:p w14:paraId="1456EA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交通</w:t>
            </w:r>
          </w:p>
        </w:tc>
        <w:tc>
          <w:tcPr>
            <w:tcW w:w="1894" w:type="dxa"/>
            <w:tcBorders>
              <w:top w:val="single" w:color="auto" w:sz="4" w:space="0"/>
              <w:left w:val="single" w:color="auto" w:sz="4" w:space="0"/>
              <w:bottom w:val="single" w:color="auto" w:sz="4" w:space="0"/>
              <w:right w:val="single" w:color="auto" w:sz="4" w:space="0"/>
            </w:tcBorders>
            <w:vAlign w:val="center"/>
          </w:tcPr>
          <w:p w14:paraId="4315A7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23B4BD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06608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19FF32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367031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就业</w:t>
            </w:r>
          </w:p>
        </w:tc>
        <w:tc>
          <w:tcPr>
            <w:tcW w:w="1894" w:type="dxa"/>
            <w:tcBorders>
              <w:top w:val="single" w:color="auto" w:sz="4" w:space="0"/>
              <w:left w:val="single" w:color="auto" w:sz="4" w:space="0"/>
              <w:bottom w:val="single" w:color="auto" w:sz="4" w:space="0"/>
              <w:right w:val="single" w:color="auto" w:sz="4" w:space="0"/>
            </w:tcBorders>
            <w:vAlign w:val="center"/>
          </w:tcPr>
          <w:p w14:paraId="40127B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24EDF3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532092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0" w:type="dxa"/>
            <w:vMerge w:val="continue"/>
            <w:tcBorders>
              <w:top w:val="single" w:color="auto" w:sz="4" w:space="0"/>
              <w:left w:val="single" w:color="auto" w:sz="4" w:space="0"/>
              <w:bottom w:val="single" w:color="auto" w:sz="4" w:space="0"/>
              <w:right w:val="single" w:color="auto" w:sz="4" w:space="0"/>
            </w:tcBorders>
            <w:vAlign w:val="center"/>
          </w:tcPr>
          <w:p w14:paraId="7F9ADD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45" w:type="dxa"/>
            <w:tcBorders>
              <w:top w:val="single" w:color="auto" w:sz="4" w:space="0"/>
              <w:left w:val="single" w:color="auto" w:sz="4" w:space="0"/>
              <w:bottom w:val="single" w:color="auto" w:sz="4" w:space="0"/>
              <w:right w:val="single" w:color="auto" w:sz="4" w:space="0"/>
            </w:tcBorders>
            <w:vAlign w:val="center"/>
          </w:tcPr>
          <w:p w14:paraId="7BBE36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社会经济</w:t>
            </w:r>
          </w:p>
        </w:tc>
        <w:tc>
          <w:tcPr>
            <w:tcW w:w="1894" w:type="dxa"/>
            <w:tcBorders>
              <w:top w:val="single" w:color="auto" w:sz="4" w:space="0"/>
              <w:left w:val="single" w:color="auto" w:sz="4" w:space="0"/>
              <w:bottom w:val="single" w:color="auto" w:sz="4" w:space="0"/>
              <w:right w:val="single" w:color="auto" w:sz="4" w:space="0"/>
            </w:tcBorders>
            <w:vAlign w:val="center"/>
          </w:tcPr>
          <w:p w14:paraId="750F38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94" w:type="dxa"/>
            <w:tcBorders>
              <w:top w:val="single" w:color="auto" w:sz="4" w:space="0"/>
              <w:left w:val="single" w:color="auto" w:sz="4" w:space="0"/>
              <w:bottom w:val="single" w:color="auto" w:sz="4" w:space="0"/>
              <w:right w:val="single" w:color="auto" w:sz="4" w:space="0"/>
            </w:tcBorders>
            <w:vAlign w:val="center"/>
          </w:tcPr>
          <w:p w14:paraId="687254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372E51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03" w:type="dxa"/>
            <w:gridSpan w:val="4"/>
            <w:tcBorders>
              <w:top w:val="single" w:color="auto" w:sz="4" w:space="0"/>
              <w:left w:val="single" w:color="auto" w:sz="4" w:space="0"/>
              <w:bottom w:val="single" w:color="auto" w:sz="4" w:space="0"/>
              <w:right w:val="single" w:color="auto" w:sz="4" w:space="0"/>
            </w:tcBorders>
            <w:vAlign w:val="center"/>
          </w:tcPr>
          <w:p w14:paraId="6C97AA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注：“-”表示不利影响，“+”表示有利影响，数字大小表示影响程度；1—轻度影响；2—中度影响；3—重度影响。</w:t>
            </w:r>
          </w:p>
        </w:tc>
      </w:tr>
    </w:tbl>
    <w:p w14:paraId="398E580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outlineLvl w:val="2"/>
        <w:rPr>
          <w:rFonts w:hint="default" w:ascii="Times New Roman" w:hAnsi="Times New Roman" w:eastAsia="宋体" w:cs="Times New Roman"/>
          <w:color w:val="auto"/>
          <w:sz w:val="24"/>
          <w:szCs w:val="24"/>
          <w:highlight w:val="none"/>
        </w:rPr>
      </w:pPr>
      <w:bookmarkStart w:id="105" w:name="_Toc3100"/>
      <w:bookmarkStart w:id="106" w:name="_Toc26919"/>
      <w:bookmarkStart w:id="107" w:name="_Toc2937"/>
      <w:bookmarkStart w:id="108" w:name="_Toc23611"/>
      <w:r>
        <w:rPr>
          <w:rFonts w:hint="default" w:ascii="Times New Roman" w:hAnsi="Times New Roman" w:eastAsia="宋体" w:cs="Times New Roman"/>
          <w:color w:val="auto"/>
          <w:sz w:val="24"/>
          <w:szCs w:val="24"/>
          <w:highlight w:val="none"/>
        </w:rPr>
        <w:t>表2.3-2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各环境要素影响类型及程度</w:t>
      </w:r>
      <w:bookmarkEnd w:id="105"/>
      <w:bookmarkEnd w:id="106"/>
      <w:bookmarkEnd w:id="107"/>
      <w:bookmarkEnd w:id="108"/>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52"/>
        <w:gridCol w:w="1183"/>
        <w:gridCol w:w="1182"/>
        <w:gridCol w:w="1875"/>
        <w:gridCol w:w="1182"/>
        <w:gridCol w:w="1182"/>
        <w:gridCol w:w="721"/>
      </w:tblGrid>
      <w:tr w14:paraId="348B6E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2318" w:type="dxa"/>
            <w:gridSpan w:val="2"/>
            <w:tcBorders>
              <w:top w:val="single" w:color="auto" w:sz="4" w:space="0"/>
              <w:left w:val="single" w:color="auto" w:sz="4" w:space="0"/>
              <w:bottom w:val="single" w:color="auto" w:sz="4" w:space="0"/>
              <w:right w:val="single" w:color="auto" w:sz="4" w:space="0"/>
            </w:tcBorders>
            <w:vAlign w:val="center"/>
          </w:tcPr>
          <w:p w14:paraId="2CCE48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要素</w:t>
            </w:r>
          </w:p>
        </w:tc>
        <w:tc>
          <w:tcPr>
            <w:tcW w:w="1286" w:type="dxa"/>
            <w:tcBorders>
              <w:top w:val="single" w:color="auto" w:sz="4" w:space="0"/>
              <w:left w:val="single" w:color="auto" w:sz="4" w:space="0"/>
              <w:bottom w:val="single" w:color="auto" w:sz="4" w:space="0"/>
              <w:right w:val="single" w:color="auto" w:sz="4" w:space="0"/>
            </w:tcBorders>
            <w:vAlign w:val="center"/>
          </w:tcPr>
          <w:p w14:paraId="435F15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影响程度</w:t>
            </w:r>
          </w:p>
        </w:tc>
        <w:tc>
          <w:tcPr>
            <w:tcW w:w="2053" w:type="dxa"/>
            <w:tcBorders>
              <w:top w:val="single" w:color="auto" w:sz="4" w:space="0"/>
              <w:left w:val="single" w:color="auto" w:sz="4" w:space="0"/>
              <w:bottom w:val="single" w:color="auto" w:sz="4" w:space="0"/>
              <w:right w:val="single" w:color="auto" w:sz="4" w:space="0"/>
            </w:tcBorders>
            <w:vAlign w:val="center"/>
          </w:tcPr>
          <w:p w14:paraId="6FFDA7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类型</w:t>
            </w:r>
          </w:p>
        </w:tc>
        <w:tc>
          <w:tcPr>
            <w:tcW w:w="1286" w:type="dxa"/>
            <w:tcBorders>
              <w:top w:val="single" w:color="auto" w:sz="4" w:space="0"/>
              <w:left w:val="single" w:color="auto" w:sz="4" w:space="0"/>
              <w:bottom w:val="single" w:color="auto" w:sz="4" w:space="0"/>
              <w:right w:val="single" w:color="auto" w:sz="4" w:space="0"/>
            </w:tcBorders>
            <w:vAlign w:val="center"/>
          </w:tcPr>
          <w:p w14:paraId="2F2552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可逆性</w:t>
            </w:r>
          </w:p>
        </w:tc>
        <w:tc>
          <w:tcPr>
            <w:tcW w:w="1286" w:type="dxa"/>
            <w:tcBorders>
              <w:top w:val="single" w:color="auto" w:sz="4" w:space="0"/>
              <w:left w:val="single" w:color="auto" w:sz="4" w:space="0"/>
              <w:bottom w:val="single" w:color="auto" w:sz="4" w:space="0"/>
              <w:right w:val="single" w:color="auto" w:sz="4" w:space="0"/>
            </w:tcBorders>
            <w:vAlign w:val="center"/>
          </w:tcPr>
          <w:p w14:paraId="73F1C9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范围</w:t>
            </w:r>
          </w:p>
        </w:tc>
        <w:tc>
          <w:tcPr>
            <w:tcW w:w="774" w:type="dxa"/>
            <w:tcBorders>
              <w:top w:val="single" w:color="auto" w:sz="4" w:space="0"/>
              <w:left w:val="single" w:color="auto" w:sz="4" w:space="0"/>
              <w:bottom w:val="single" w:color="auto" w:sz="4" w:space="0"/>
              <w:right w:val="single" w:color="auto" w:sz="4" w:space="0"/>
            </w:tcBorders>
          </w:tcPr>
          <w:p w14:paraId="278183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时限</w:t>
            </w:r>
          </w:p>
        </w:tc>
      </w:tr>
      <w:tr w14:paraId="7BAAE4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restart"/>
            <w:tcBorders>
              <w:top w:val="single" w:color="auto" w:sz="4" w:space="0"/>
              <w:left w:val="single" w:color="auto" w:sz="4" w:space="0"/>
              <w:bottom w:val="single" w:color="auto" w:sz="4" w:space="0"/>
              <w:right w:val="single" w:color="auto" w:sz="4" w:space="0"/>
            </w:tcBorders>
            <w:vAlign w:val="center"/>
          </w:tcPr>
          <w:p w14:paraId="387797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营运期</w:t>
            </w:r>
          </w:p>
        </w:tc>
        <w:tc>
          <w:tcPr>
            <w:tcW w:w="1287" w:type="dxa"/>
            <w:tcBorders>
              <w:top w:val="single" w:color="auto" w:sz="4" w:space="0"/>
              <w:left w:val="single" w:color="auto" w:sz="4" w:space="0"/>
              <w:bottom w:val="single" w:color="auto" w:sz="4" w:space="0"/>
              <w:right w:val="single" w:color="auto" w:sz="4" w:space="0"/>
            </w:tcBorders>
            <w:vAlign w:val="center"/>
          </w:tcPr>
          <w:p w14:paraId="277AA1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1286" w:type="dxa"/>
            <w:tcBorders>
              <w:top w:val="single" w:color="auto" w:sz="4" w:space="0"/>
              <w:left w:val="single" w:color="auto" w:sz="4" w:space="0"/>
              <w:bottom w:val="single" w:color="auto" w:sz="4" w:space="0"/>
              <w:right w:val="single" w:color="auto" w:sz="4" w:space="0"/>
            </w:tcBorders>
            <w:vAlign w:val="center"/>
          </w:tcPr>
          <w:p w14:paraId="2FFEC6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明显</w:t>
            </w:r>
          </w:p>
        </w:tc>
        <w:tc>
          <w:tcPr>
            <w:tcW w:w="2053" w:type="dxa"/>
            <w:tcBorders>
              <w:top w:val="single" w:color="auto" w:sz="4" w:space="0"/>
              <w:left w:val="single" w:color="auto" w:sz="4" w:space="0"/>
              <w:bottom w:val="single" w:color="auto" w:sz="4" w:space="0"/>
              <w:right w:val="single" w:color="auto" w:sz="4" w:space="0"/>
            </w:tcBorders>
            <w:vAlign w:val="center"/>
          </w:tcPr>
          <w:p w14:paraId="544FD6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有后续影响</w:t>
            </w:r>
          </w:p>
        </w:tc>
        <w:tc>
          <w:tcPr>
            <w:tcW w:w="1286" w:type="dxa"/>
            <w:tcBorders>
              <w:top w:val="single" w:color="auto" w:sz="4" w:space="0"/>
              <w:left w:val="single" w:color="auto" w:sz="4" w:space="0"/>
              <w:bottom w:val="single" w:color="auto" w:sz="4" w:space="0"/>
              <w:right w:val="single" w:color="auto" w:sz="4" w:space="0"/>
            </w:tcBorders>
            <w:vAlign w:val="center"/>
          </w:tcPr>
          <w:p w14:paraId="15B102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基本可逆</w:t>
            </w:r>
          </w:p>
        </w:tc>
        <w:tc>
          <w:tcPr>
            <w:tcW w:w="1286" w:type="dxa"/>
            <w:tcBorders>
              <w:top w:val="single" w:color="auto" w:sz="4" w:space="0"/>
              <w:left w:val="single" w:color="auto" w:sz="4" w:space="0"/>
              <w:bottom w:val="single" w:color="auto" w:sz="4" w:space="0"/>
              <w:right w:val="single" w:color="auto" w:sz="4" w:space="0"/>
            </w:tcBorders>
            <w:vAlign w:val="center"/>
          </w:tcPr>
          <w:p w14:paraId="43311F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49105D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w:t>
            </w:r>
          </w:p>
        </w:tc>
      </w:tr>
      <w:tr w14:paraId="44A42E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continue"/>
            <w:tcBorders>
              <w:top w:val="single" w:color="auto" w:sz="4" w:space="0"/>
              <w:left w:val="single" w:color="auto" w:sz="4" w:space="0"/>
              <w:bottom w:val="single" w:color="auto" w:sz="4" w:space="0"/>
              <w:right w:val="single" w:color="auto" w:sz="4" w:space="0"/>
            </w:tcBorders>
            <w:vAlign w:val="center"/>
          </w:tcPr>
          <w:p w14:paraId="37BF4E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05CA8A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水环境</w:t>
            </w:r>
          </w:p>
        </w:tc>
        <w:tc>
          <w:tcPr>
            <w:tcW w:w="1286" w:type="dxa"/>
            <w:tcBorders>
              <w:top w:val="single" w:color="auto" w:sz="4" w:space="0"/>
              <w:left w:val="single" w:color="auto" w:sz="4" w:space="0"/>
              <w:bottom w:val="single" w:color="auto" w:sz="4" w:space="0"/>
              <w:right w:val="single" w:color="auto" w:sz="4" w:space="0"/>
            </w:tcBorders>
            <w:vAlign w:val="center"/>
          </w:tcPr>
          <w:p w14:paraId="3AB76E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不明显</w:t>
            </w:r>
          </w:p>
        </w:tc>
        <w:tc>
          <w:tcPr>
            <w:tcW w:w="2053" w:type="dxa"/>
            <w:tcBorders>
              <w:top w:val="single" w:color="auto" w:sz="4" w:space="0"/>
              <w:left w:val="single" w:color="auto" w:sz="4" w:space="0"/>
              <w:bottom w:val="single" w:color="auto" w:sz="4" w:space="0"/>
              <w:right w:val="single" w:color="auto" w:sz="4" w:space="0"/>
            </w:tcBorders>
            <w:vAlign w:val="center"/>
          </w:tcPr>
          <w:p w14:paraId="675D89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有后续影响</w:t>
            </w:r>
          </w:p>
        </w:tc>
        <w:tc>
          <w:tcPr>
            <w:tcW w:w="1286" w:type="dxa"/>
            <w:tcBorders>
              <w:top w:val="single" w:color="auto" w:sz="4" w:space="0"/>
              <w:left w:val="single" w:color="auto" w:sz="4" w:space="0"/>
              <w:bottom w:val="single" w:color="auto" w:sz="4" w:space="0"/>
              <w:right w:val="single" w:color="auto" w:sz="4" w:space="0"/>
            </w:tcBorders>
            <w:vAlign w:val="center"/>
          </w:tcPr>
          <w:p w14:paraId="1FBA84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基本可逆</w:t>
            </w:r>
          </w:p>
        </w:tc>
        <w:tc>
          <w:tcPr>
            <w:tcW w:w="1286" w:type="dxa"/>
            <w:tcBorders>
              <w:top w:val="single" w:color="auto" w:sz="4" w:space="0"/>
              <w:left w:val="single" w:color="auto" w:sz="4" w:space="0"/>
              <w:bottom w:val="single" w:color="auto" w:sz="4" w:space="0"/>
              <w:right w:val="single" w:color="auto" w:sz="4" w:space="0"/>
            </w:tcBorders>
            <w:vAlign w:val="center"/>
          </w:tcPr>
          <w:p w14:paraId="19DCB4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39E430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w:t>
            </w:r>
          </w:p>
        </w:tc>
      </w:tr>
      <w:tr w14:paraId="65DE95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continue"/>
            <w:tcBorders>
              <w:top w:val="single" w:color="auto" w:sz="4" w:space="0"/>
              <w:left w:val="single" w:color="auto" w:sz="4" w:space="0"/>
              <w:bottom w:val="single" w:color="auto" w:sz="4" w:space="0"/>
              <w:right w:val="single" w:color="auto" w:sz="4" w:space="0"/>
            </w:tcBorders>
            <w:vAlign w:val="center"/>
          </w:tcPr>
          <w:p w14:paraId="6D841D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31907C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土壤环境</w:t>
            </w:r>
          </w:p>
        </w:tc>
        <w:tc>
          <w:tcPr>
            <w:tcW w:w="1286" w:type="dxa"/>
            <w:tcBorders>
              <w:top w:val="single" w:color="auto" w:sz="4" w:space="0"/>
              <w:left w:val="single" w:color="auto" w:sz="4" w:space="0"/>
              <w:bottom w:val="single" w:color="auto" w:sz="4" w:space="0"/>
              <w:right w:val="single" w:color="auto" w:sz="4" w:space="0"/>
            </w:tcBorders>
            <w:vAlign w:val="center"/>
          </w:tcPr>
          <w:p w14:paraId="278F72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不明显</w:t>
            </w:r>
          </w:p>
        </w:tc>
        <w:tc>
          <w:tcPr>
            <w:tcW w:w="2053" w:type="dxa"/>
            <w:tcBorders>
              <w:top w:val="single" w:color="auto" w:sz="4" w:space="0"/>
              <w:left w:val="single" w:color="auto" w:sz="4" w:space="0"/>
              <w:bottom w:val="single" w:color="auto" w:sz="4" w:space="0"/>
              <w:right w:val="single" w:color="auto" w:sz="4" w:space="0"/>
            </w:tcBorders>
            <w:vAlign w:val="center"/>
          </w:tcPr>
          <w:p w14:paraId="3B92CA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有后续影响</w:t>
            </w:r>
          </w:p>
        </w:tc>
        <w:tc>
          <w:tcPr>
            <w:tcW w:w="1286" w:type="dxa"/>
            <w:tcBorders>
              <w:top w:val="single" w:color="auto" w:sz="4" w:space="0"/>
              <w:left w:val="single" w:color="auto" w:sz="4" w:space="0"/>
              <w:bottom w:val="single" w:color="auto" w:sz="4" w:space="0"/>
              <w:right w:val="single" w:color="auto" w:sz="4" w:space="0"/>
            </w:tcBorders>
            <w:vAlign w:val="center"/>
          </w:tcPr>
          <w:p w14:paraId="1BCF29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基本可逆</w:t>
            </w:r>
          </w:p>
        </w:tc>
        <w:tc>
          <w:tcPr>
            <w:tcW w:w="1286" w:type="dxa"/>
            <w:tcBorders>
              <w:top w:val="single" w:color="auto" w:sz="4" w:space="0"/>
              <w:left w:val="single" w:color="auto" w:sz="4" w:space="0"/>
              <w:bottom w:val="single" w:color="auto" w:sz="4" w:space="0"/>
              <w:right w:val="single" w:color="auto" w:sz="4" w:space="0"/>
            </w:tcBorders>
            <w:vAlign w:val="center"/>
          </w:tcPr>
          <w:p w14:paraId="2A76B7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6C3A30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w:t>
            </w:r>
          </w:p>
        </w:tc>
      </w:tr>
      <w:tr w14:paraId="274084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continue"/>
            <w:tcBorders>
              <w:top w:val="single" w:color="auto" w:sz="4" w:space="0"/>
              <w:left w:val="single" w:color="auto" w:sz="4" w:space="0"/>
              <w:bottom w:val="single" w:color="auto" w:sz="4" w:space="0"/>
              <w:right w:val="single" w:color="auto" w:sz="4" w:space="0"/>
            </w:tcBorders>
            <w:vAlign w:val="center"/>
          </w:tcPr>
          <w:p w14:paraId="2B6057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04F8B9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286" w:type="dxa"/>
            <w:tcBorders>
              <w:top w:val="single" w:color="auto" w:sz="4" w:space="0"/>
              <w:left w:val="single" w:color="auto" w:sz="4" w:space="0"/>
              <w:bottom w:val="single" w:color="auto" w:sz="4" w:space="0"/>
              <w:right w:val="single" w:color="auto" w:sz="4" w:space="0"/>
            </w:tcBorders>
            <w:vAlign w:val="center"/>
          </w:tcPr>
          <w:p w14:paraId="443536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较明显</w:t>
            </w:r>
          </w:p>
        </w:tc>
        <w:tc>
          <w:tcPr>
            <w:tcW w:w="2053" w:type="dxa"/>
            <w:tcBorders>
              <w:top w:val="single" w:color="auto" w:sz="4" w:space="0"/>
              <w:left w:val="single" w:color="auto" w:sz="4" w:space="0"/>
              <w:bottom w:val="single" w:color="auto" w:sz="4" w:space="0"/>
              <w:right w:val="single" w:color="auto" w:sz="4" w:space="0"/>
            </w:tcBorders>
            <w:vAlign w:val="center"/>
          </w:tcPr>
          <w:p w14:paraId="1C4AFF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与声源同时存在</w:t>
            </w:r>
          </w:p>
        </w:tc>
        <w:tc>
          <w:tcPr>
            <w:tcW w:w="1286" w:type="dxa"/>
            <w:tcBorders>
              <w:top w:val="single" w:color="auto" w:sz="4" w:space="0"/>
              <w:left w:val="single" w:color="auto" w:sz="4" w:space="0"/>
              <w:bottom w:val="single" w:color="auto" w:sz="4" w:space="0"/>
              <w:right w:val="single" w:color="auto" w:sz="4" w:space="0"/>
            </w:tcBorders>
            <w:vAlign w:val="center"/>
          </w:tcPr>
          <w:p w14:paraId="1C0A3E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可逆</w:t>
            </w:r>
          </w:p>
        </w:tc>
        <w:tc>
          <w:tcPr>
            <w:tcW w:w="1286" w:type="dxa"/>
            <w:tcBorders>
              <w:top w:val="single" w:color="auto" w:sz="4" w:space="0"/>
              <w:left w:val="single" w:color="auto" w:sz="4" w:space="0"/>
              <w:bottom w:val="single" w:color="auto" w:sz="4" w:space="0"/>
              <w:right w:val="single" w:color="auto" w:sz="4" w:space="0"/>
            </w:tcBorders>
            <w:vAlign w:val="center"/>
          </w:tcPr>
          <w:p w14:paraId="14349E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25C2AE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w:t>
            </w:r>
          </w:p>
        </w:tc>
      </w:tr>
      <w:tr w14:paraId="596165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continue"/>
            <w:tcBorders>
              <w:top w:val="single" w:color="auto" w:sz="4" w:space="0"/>
              <w:left w:val="single" w:color="auto" w:sz="4" w:space="0"/>
              <w:bottom w:val="single" w:color="auto" w:sz="4" w:space="0"/>
              <w:right w:val="single" w:color="auto" w:sz="4" w:space="0"/>
            </w:tcBorders>
            <w:vAlign w:val="center"/>
          </w:tcPr>
          <w:p w14:paraId="040EA9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7141BD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1286" w:type="dxa"/>
            <w:tcBorders>
              <w:top w:val="single" w:color="auto" w:sz="4" w:space="0"/>
              <w:left w:val="single" w:color="auto" w:sz="4" w:space="0"/>
              <w:bottom w:val="single" w:color="auto" w:sz="4" w:space="0"/>
              <w:right w:val="single" w:color="auto" w:sz="4" w:space="0"/>
            </w:tcBorders>
            <w:vAlign w:val="center"/>
          </w:tcPr>
          <w:p w14:paraId="4AB8B5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不明显</w:t>
            </w:r>
          </w:p>
        </w:tc>
        <w:tc>
          <w:tcPr>
            <w:tcW w:w="2053" w:type="dxa"/>
            <w:tcBorders>
              <w:top w:val="single" w:color="auto" w:sz="4" w:space="0"/>
              <w:left w:val="single" w:color="auto" w:sz="4" w:space="0"/>
              <w:bottom w:val="single" w:color="auto" w:sz="4" w:space="0"/>
              <w:right w:val="single" w:color="auto" w:sz="4" w:space="0"/>
            </w:tcBorders>
            <w:vAlign w:val="center"/>
          </w:tcPr>
          <w:p w14:paraId="227D3F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86" w:type="dxa"/>
            <w:tcBorders>
              <w:top w:val="single" w:color="auto" w:sz="4" w:space="0"/>
              <w:left w:val="single" w:color="auto" w:sz="4" w:space="0"/>
              <w:bottom w:val="single" w:color="auto" w:sz="4" w:space="0"/>
              <w:right w:val="single" w:color="auto" w:sz="4" w:space="0"/>
            </w:tcBorders>
            <w:vAlign w:val="center"/>
          </w:tcPr>
          <w:p w14:paraId="1129C8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基本可逆</w:t>
            </w:r>
          </w:p>
        </w:tc>
        <w:tc>
          <w:tcPr>
            <w:tcW w:w="1286" w:type="dxa"/>
            <w:tcBorders>
              <w:top w:val="single" w:color="auto" w:sz="4" w:space="0"/>
              <w:left w:val="single" w:color="auto" w:sz="4" w:space="0"/>
              <w:bottom w:val="single" w:color="auto" w:sz="4" w:space="0"/>
              <w:right w:val="single" w:color="auto" w:sz="4" w:space="0"/>
            </w:tcBorders>
            <w:vAlign w:val="center"/>
          </w:tcPr>
          <w:p w14:paraId="30F6CF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45C117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短期</w:t>
            </w:r>
          </w:p>
        </w:tc>
      </w:tr>
      <w:tr w14:paraId="5DCDEA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31" w:type="dxa"/>
            <w:vMerge w:val="continue"/>
            <w:tcBorders>
              <w:top w:val="single" w:color="auto" w:sz="4" w:space="0"/>
              <w:left w:val="single" w:color="auto" w:sz="4" w:space="0"/>
              <w:bottom w:val="single" w:color="auto" w:sz="4" w:space="0"/>
              <w:right w:val="single" w:color="auto" w:sz="4" w:space="0"/>
            </w:tcBorders>
            <w:vAlign w:val="center"/>
          </w:tcPr>
          <w:p w14:paraId="7D34DF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0BEF4D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tc>
        <w:tc>
          <w:tcPr>
            <w:tcW w:w="1286" w:type="dxa"/>
            <w:tcBorders>
              <w:top w:val="single" w:color="auto" w:sz="4" w:space="0"/>
              <w:left w:val="single" w:color="auto" w:sz="4" w:space="0"/>
              <w:bottom w:val="single" w:color="auto" w:sz="4" w:space="0"/>
              <w:right w:val="single" w:color="auto" w:sz="4" w:space="0"/>
            </w:tcBorders>
            <w:vAlign w:val="center"/>
          </w:tcPr>
          <w:p w14:paraId="74C0D5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不明显</w:t>
            </w:r>
          </w:p>
        </w:tc>
        <w:tc>
          <w:tcPr>
            <w:tcW w:w="2053" w:type="dxa"/>
            <w:tcBorders>
              <w:top w:val="single" w:color="auto" w:sz="4" w:space="0"/>
              <w:left w:val="single" w:color="auto" w:sz="4" w:space="0"/>
              <w:bottom w:val="single" w:color="auto" w:sz="4" w:space="0"/>
              <w:right w:val="single" w:color="auto" w:sz="4" w:space="0"/>
            </w:tcBorders>
            <w:vAlign w:val="center"/>
          </w:tcPr>
          <w:p w14:paraId="03ACC4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有后续影响</w:t>
            </w:r>
          </w:p>
        </w:tc>
        <w:tc>
          <w:tcPr>
            <w:tcW w:w="1286" w:type="dxa"/>
            <w:tcBorders>
              <w:top w:val="single" w:color="auto" w:sz="4" w:space="0"/>
              <w:left w:val="single" w:color="auto" w:sz="4" w:space="0"/>
              <w:bottom w:val="single" w:color="auto" w:sz="4" w:space="0"/>
              <w:right w:val="single" w:color="auto" w:sz="4" w:space="0"/>
            </w:tcBorders>
            <w:vAlign w:val="center"/>
          </w:tcPr>
          <w:p w14:paraId="720CA3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基本可逆</w:t>
            </w:r>
          </w:p>
        </w:tc>
        <w:tc>
          <w:tcPr>
            <w:tcW w:w="1286" w:type="dxa"/>
            <w:tcBorders>
              <w:top w:val="single" w:color="auto" w:sz="4" w:space="0"/>
              <w:left w:val="single" w:color="auto" w:sz="4" w:space="0"/>
              <w:bottom w:val="single" w:color="auto" w:sz="4" w:space="0"/>
              <w:right w:val="single" w:color="auto" w:sz="4" w:space="0"/>
            </w:tcBorders>
            <w:vAlign w:val="center"/>
          </w:tcPr>
          <w:p w14:paraId="2F0399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局部</w:t>
            </w:r>
          </w:p>
        </w:tc>
        <w:tc>
          <w:tcPr>
            <w:tcW w:w="774" w:type="dxa"/>
            <w:tcBorders>
              <w:top w:val="single" w:color="auto" w:sz="4" w:space="0"/>
              <w:left w:val="single" w:color="auto" w:sz="4" w:space="0"/>
              <w:bottom w:val="single" w:color="auto" w:sz="4" w:space="0"/>
              <w:right w:val="single" w:color="auto" w:sz="4" w:space="0"/>
            </w:tcBorders>
            <w:vAlign w:val="center"/>
          </w:tcPr>
          <w:p w14:paraId="5DE539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短期</w:t>
            </w:r>
          </w:p>
        </w:tc>
      </w:tr>
    </w:tbl>
    <w:p w14:paraId="5FD9CB33">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Style w:val="55"/>
          <w:rFonts w:hint="default" w:ascii="Times New Roman" w:hAnsi="Times New Roman" w:eastAsia="宋体" w:cs="Times New Roman"/>
          <w:b/>
          <w:bCs/>
          <w:color w:val="auto"/>
          <w:highlight w:val="none"/>
        </w:rPr>
      </w:pPr>
      <w:bookmarkStart w:id="109" w:name="_Toc30544"/>
      <w:r>
        <w:rPr>
          <w:rStyle w:val="55"/>
          <w:rFonts w:hint="default" w:ascii="Times New Roman" w:hAnsi="Times New Roman" w:eastAsia="宋体" w:cs="Times New Roman"/>
          <w:b/>
          <w:bCs/>
          <w:color w:val="auto"/>
          <w:highlight w:val="none"/>
        </w:rPr>
        <w:t>2.3.2环境影响评价因子识别</w:t>
      </w:r>
      <w:bookmarkEnd w:id="109"/>
    </w:p>
    <w:p w14:paraId="5DE02AC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根据项目建设内容，主要环境问题为恶臭污染防治问题。工程建设对环境的影响要素及因子见表2.3-3。</w:t>
      </w:r>
    </w:p>
    <w:p w14:paraId="5E53223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表2.3-3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环境要素及污染因子分析</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45"/>
        <w:gridCol w:w="3587"/>
        <w:gridCol w:w="2345"/>
      </w:tblGrid>
      <w:tr w14:paraId="6BC2FB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l2br w:val="single" w:color="auto" w:sz="6" w:space="0"/>
            </w:tcBorders>
            <w:vAlign w:val="center"/>
          </w:tcPr>
          <w:p w14:paraId="32DF65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主要产生环节</w:t>
            </w:r>
          </w:p>
          <w:p w14:paraId="6AE682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环境要素</w:t>
            </w:r>
          </w:p>
        </w:tc>
        <w:tc>
          <w:tcPr>
            <w:tcW w:w="3470" w:type="dxa"/>
            <w:tcBorders>
              <w:top w:val="single" w:color="auto" w:sz="4" w:space="0"/>
              <w:left w:val="single" w:color="auto" w:sz="4" w:space="0"/>
              <w:bottom w:val="single" w:color="auto" w:sz="4" w:space="0"/>
              <w:right w:val="single" w:color="auto" w:sz="4" w:space="0"/>
            </w:tcBorders>
            <w:vAlign w:val="center"/>
          </w:tcPr>
          <w:p w14:paraId="445DE1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畜禽养殖</w:t>
            </w:r>
          </w:p>
        </w:tc>
        <w:tc>
          <w:tcPr>
            <w:tcW w:w="2268" w:type="dxa"/>
            <w:tcBorders>
              <w:top w:val="single" w:color="auto" w:sz="4" w:space="0"/>
              <w:left w:val="single" w:color="auto" w:sz="4" w:space="0"/>
              <w:bottom w:val="single" w:color="auto" w:sz="4" w:space="0"/>
              <w:right w:val="single" w:color="auto" w:sz="4" w:space="0"/>
            </w:tcBorders>
            <w:vAlign w:val="center"/>
          </w:tcPr>
          <w:p w14:paraId="7249C1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办公、生活</w:t>
            </w:r>
          </w:p>
        </w:tc>
      </w:tr>
      <w:tr w14:paraId="06224A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635744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w:t>
            </w:r>
          </w:p>
        </w:tc>
        <w:tc>
          <w:tcPr>
            <w:tcW w:w="3470" w:type="dxa"/>
            <w:tcBorders>
              <w:top w:val="single" w:color="auto" w:sz="4" w:space="0"/>
              <w:left w:val="single" w:color="auto" w:sz="4" w:space="0"/>
              <w:bottom w:val="single" w:color="auto" w:sz="4" w:space="0"/>
              <w:right w:val="single" w:color="auto" w:sz="4" w:space="0"/>
            </w:tcBorders>
            <w:vAlign w:val="center"/>
          </w:tcPr>
          <w:p w14:paraId="6309A1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S、臭气浓度、颗粒物</w:t>
            </w:r>
          </w:p>
        </w:tc>
        <w:tc>
          <w:tcPr>
            <w:tcW w:w="2268" w:type="dxa"/>
            <w:tcBorders>
              <w:top w:val="single" w:color="auto" w:sz="4" w:space="0"/>
              <w:left w:val="single" w:color="auto" w:sz="4" w:space="0"/>
              <w:bottom w:val="single" w:color="auto" w:sz="4" w:space="0"/>
              <w:right w:val="single" w:color="auto" w:sz="4" w:space="0"/>
            </w:tcBorders>
            <w:vAlign w:val="center"/>
          </w:tcPr>
          <w:p w14:paraId="7B300F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5C63A8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459B87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水环境</w:t>
            </w:r>
          </w:p>
        </w:tc>
        <w:tc>
          <w:tcPr>
            <w:tcW w:w="3470" w:type="dxa"/>
            <w:tcBorders>
              <w:top w:val="single" w:color="auto" w:sz="4" w:space="0"/>
              <w:left w:val="single" w:color="auto" w:sz="4" w:space="0"/>
              <w:bottom w:val="single" w:color="auto" w:sz="4" w:space="0"/>
              <w:right w:val="single" w:color="auto" w:sz="4" w:space="0"/>
            </w:tcBorders>
            <w:vAlign w:val="center"/>
          </w:tcPr>
          <w:p w14:paraId="6181FF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rPr>
              <w:t>、氨氮、SS</w:t>
            </w:r>
          </w:p>
        </w:tc>
        <w:tc>
          <w:tcPr>
            <w:tcW w:w="2268" w:type="dxa"/>
            <w:tcBorders>
              <w:top w:val="single" w:color="auto" w:sz="4" w:space="0"/>
              <w:left w:val="single" w:color="auto" w:sz="4" w:space="0"/>
              <w:bottom w:val="single" w:color="auto" w:sz="4" w:space="0"/>
              <w:right w:val="single" w:color="auto" w:sz="4" w:space="0"/>
            </w:tcBorders>
            <w:vAlign w:val="center"/>
          </w:tcPr>
          <w:p w14:paraId="3A1A1B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182160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233BF5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土壤环境</w:t>
            </w:r>
          </w:p>
        </w:tc>
        <w:tc>
          <w:tcPr>
            <w:tcW w:w="3470" w:type="dxa"/>
            <w:tcBorders>
              <w:top w:val="single" w:color="auto" w:sz="4" w:space="0"/>
              <w:left w:val="single" w:color="auto" w:sz="4" w:space="0"/>
              <w:bottom w:val="single" w:color="auto" w:sz="4" w:space="0"/>
              <w:right w:val="single" w:color="auto" w:sz="4" w:space="0"/>
            </w:tcBorders>
            <w:vAlign w:val="center"/>
          </w:tcPr>
          <w:p w14:paraId="7F3AE2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2268" w:type="dxa"/>
            <w:tcBorders>
              <w:top w:val="single" w:color="auto" w:sz="4" w:space="0"/>
              <w:left w:val="single" w:color="auto" w:sz="4" w:space="0"/>
              <w:bottom w:val="single" w:color="auto" w:sz="4" w:space="0"/>
              <w:right w:val="single" w:color="auto" w:sz="4" w:space="0"/>
            </w:tcBorders>
            <w:vAlign w:val="center"/>
          </w:tcPr>
          <w:p w14:paraId="0C3F38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EA7F6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786267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3470" w:type="dxa"/>
            <w:tcBorders>
              <w:top w:val="single" w:color="auto" w:sz="4" w:space="0"/>
              <w:left w:val="single" w:color="auto" w:sz="4" w:space="0"/>
              <w:bottom w:val="single" w:color="auto" w:sz="4" w:space="0"/>
              <w:right w:val="single" w:color="auto" w:sz="4" w:space="0"/>
            </w:tcBorders>
            <w:vAlign w:val="center"/>
          </w:tcPr>
          <w:p w14:paraId="4A3C55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w:t>
            </w:r>
          </w:p>
        </w:tc>
        <w:tc>
          <w:tcPr>
            <w:tcW w:w="2268" w:type="dxa"/>
            <w:tcBorders>
              <w:top w:val="single" w:color="auto" w:sz="4" w:space="0"/>
              <w:left w:val="single" w:color="auto" w:sz="4" w:space="0"/>
              <w:bottom w:val="single" w:color="auto" w:sz="4" w:space="0"/>
              <w:right w:val="single" w:color="auto" w:sz="4" w:space="0"/>
            </w:tcBorders>
            <w:vAlign w:val="center"/>
          </w:tcPr>
          <w:p w14:paraId="45F038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70E24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5F4398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3470" w:type="dxa"/>
            <w:tcBorders>
              <w:top w:val="single" w:color="auto" w:sz="4" w:space="0"/>
              <w:left w:val="single" w:color="auto" w:sz="4" w:space="0"/>
              <w:bottom w:val="single" w:color="auto" w:sz="4" w:space="0"/>
              <w:right w:val="single" w:color="auto" w:sz="4" w:space="0"/>
            </w:tcBorders>
            <w:vAlign w:val="center"/>
          </w:tcPr>
          <w:p w14:paraId="79F9BE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一般工业固废、危险废物</w:t>
            </w:r>
          </w:p>
        </w:tc>
        <w:tc>
          <w:tcPr>
            <w:tcW w:w="2268" w:type="dxa"/>
            <w:tcBorders>
              <w:top w:val="single" w:color="auto" w:sz="4" w:space="0"/>
              <w:left w:val="single" w:color="auto" w:sz="4" w:space="0"/>
              <w:bottom w:val="single" w:color="auto" w:sz="4" w:space="0"/>
              <w:right w:val="single" w:color="auto" w:sz="4" w:space="0"/>
            </w:tcBorders>
            <w:vAlign w:val="center"/>
          </w:tcPr>
          <w:p w14:paraId="74C764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r>
      <w:tr w14:paraId="65812C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2EA39E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tc>
        <w:tc>
          <w:tcPr>
            <w:tcW w:w="3470" w:type="dxa"/>
            <w:tcBorders>
              <w:top w:val="single" w:color="auto" w:sz="4" w:space="0"/>
              <w:left w:val="single" w:color="auto" w:sz="4" w:space="0"/>
              <w:bottom w:val="single" w:color="auto" w:sz="4" w:space="0"/>
              <w:right w:val="single" w:color="auto" w:sz="4" w:space="0"/>
            </w:tcBorders>
            <w:vAlign w:val="center"/>
          </w:tcPr>
          <w:p w14:paraId="7F4BB4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268" w:type="dxa"/>
            <w:tcBorders>
              <w:top w:val="single" w:color="auto" w:sz="4" w:space="0"/>
              <w:left w:val="single" w:color="auto" w:sz="4" w:space="0"/>
              <w:bottom w:val="single" w:color="auto" w:sz="4" w:space="0"/>
              <w:right w:val="single" w:color="auto" w:sz="4" w:space="0"/>
            </w:tcBorders>
            <w:vAlign w:val="center"/>
          </w:tcPr>
          <w:p w14:paraId="4D5A59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E3C0E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14:paraId="2245B8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bookmarkStart w:id="110" w:name="_Toc494206272"/>
            <w:bookmarkStart w:id="111" w:name="_Toc512871526"/>
            <w:r>
              <w:rPr>
                <w:rFonts w:hint="default" w:ascii="Times New Roman" w:hAnsi="Times New Roman" w:eastAsia="宋体" w:cs="Times New Roman"/>
                <w:color w:val="FF0000"/>
                <w:sz w:val="21"/>
                <w:szCs w:val="21"/>
                <w:highlight w:val="none"/>
                <w:lang w:val="en-US" w:eastAsia="zh-CN"/>
              </w:rPr>
              <w:t>生态环境</w:t>
            </w:r>
          </w:p>
        </w:tc>
        <w:tc>
          <w:tcPr>
            <w:tcW w:w="3470" w:type="dxa"/>
            <w:tcBorders>
              <w:top w:val="single" w:color="auto" w:sz="4" w:space="0"/>
              <w:left w:val="single" w:color="auto" w:sz="4" w:space="0"/>
              <w:bottom w:val="single" w:color="auto" w:sz="4" w:space="0"/>
              <w:right w:val="single" w:color="auto" w:sz="4" w:space="0"/>
            </w:tcBorders>
            <w:vAlign w:val="center"/>
          </w:tcPr>
          <w:p w14:paraId="3EEC95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土地占用、破坏植被</w:t>
            </w:r>
          </w:p>
        </w:tc>
        <w:tc>
          <w:tcPr>
            <w:tcW w:w="2268" w:type="dxa"/>
            <w:tcBorders>
              <w:top w:val="single" w:color="auto" w:sz="4" w:space="0"/>
              <w:left w:val="single" w:color="auto" w:sz="4" w:space="0"/>
              <w:bottom w:val="single" w:color="auto" w:sz="4" w:space="0"/>
              <w:right w:val="single" w:color="auto" w:sz="4" w:space="0"/>
            </w:tcBorders>
            <w:vAlign w:val="center"/>
          </w:tcPr>
          <w:p w14:paraId="5DD2EE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auto"/>
                <w:sz w:val="21"/>
                <w:szCs w:val="21"/>
                <w:highlight w:val="none"/>
              </w:rPr>
              <w:t>/</w:t>
            </w:r>
          </w:p>
        </w:tc>
      </w:tr>
    </w:tbl>
    <w:p w14:paraId="6F3B5688">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112" w:name="_Toc13765"/>
      <w:r>
        <w:rPr>
          <w:rFonts w:hint="default" w:ascii="Times New Roman" w:hAnsi="Times New Roman" w:eastAsia="宋体" w:cs="Times New Roman"/>
          <w:color w:val="auto"/>
          <w:highlight w:val="none"/>
        </w:rPr>
        <w:t>2.3.3评价因子</w:t>
      </w:r>
      <w:bookmarkEnd w:id="110"/>
      <w:bookmarkEnd w:id="111"/>
      <w:bookmarkEnd w:id="112"/>
    </w:p>
    <w:p w14:paraId="4D0E7D3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113" w:name="_Toc100136974"/>
      <w:bookmarkStart w:id="114" w:name="_Toc108232570"/>
      <w:bookmarkStart w:id="115" w:name="_Toc99463669"/>
      <w:bookmarkStart w:id="116" w:name="_Toc99462105"/>
      <w:bookmarkStart w:id="117" w:name="_Toc99521747"/>
      <w:bookmarkStart w:id="118" w:name="_Toc100371799"/>
      <w:bookmarkStart w:id="119" w:name="_Toc99528910"/>
      <w:bookmarkStart w:id="120" w:name="_Toc130886257"/>
      <w:bookmarkStart w:id="121" w:name="_Toc107018065"/>
      <w:bookmarkStart w:id="122" w:name="_Toc107623018"/>
      <w:bookmarkStart w:id="123" w:name="_Toc100387936"/>
      <w:bookmarkStart w:id="124" w:name="_Toc99464344"/>
      <w:bookmarkStart w:id="125" w:name="_Toc99464074"/>
      <w:bookmarkStart w:id="126" w:name="_Toc138133774"/>
      <w:bookmarkStart w:id="127" w:name="_Toc107198581"/>
      <w:bookmarkStart w:id="128" w:name="_Toc130883552"/>
      <w:bookmarkStart w:id="129" w:name="_Toc99515895"/>
      <w:bookmarkStart w:id="130" w:name="_Toc99515320"/>
      <w:bookmarkStart w:id="131" w:name="_Toc99463834"/>
      <w:bookmarkStart w:id="132" w:name="_Toc107017650"/>
      <w:bookmarkStart w:id="133" w:name="_Toc108866877"/>
      <w:bookmarkStart w:id="134" w:name="_Toc107198790"/>
      <w:bookmarkStart w:id="135" w:name="_Toc99522956"/>
      <w:bookmarkStart w:id="136" w:name="_Toc107018164"/>
      <w:bookmarkStart w:id="137" w:name="_Toc130812435"/>
      <w:bookmarkStart w:id="138" w:name="_Toc100021404"/>
      <w:bookmarkStart w:id="139" w:name="_Toc107017967"/>
      <w:bookmarkStart w:id="140" w:name="_Toc107994824"/>
      <w:bookmarkStart w:id="141" w:name="_Toc137911603"/>
      <w:bookmarkStart w:id="142" w:name="_Toc99522804"/>
      <w:bookmarkStart w:id="143" w:name="_Toc107017772"/>
      <w:bookmarkStart w:id="144" w:name="_Toc99464213"/>
      <w:bookmarkStart w:id="145" w:name="_Toc99521441"/>
      <w:bookmarkStart w:id="146" w:name="_Toc140304616"/>
      <w:bookmarkStart w:id="147" w:name="_Toc99525759"/>
      <w:bookmarkStart w:id="148" w:name="_Toc99502178"/>
      <w:r>
        <w:rPr>
          <w:rFonts w:hint="default" w:ascii="Times New Roman" w:hAnsi="Times New Roman" w:eastAsia="宋体" w:cs="Times New Roman"/>
          <w:color w:val="auto"/>
          <w:highlight w:val="none"/>
        </w:rPr>
        <w:t>根据环境影响要素识别结果，结合建设项目工程特征、排污种类、排污去向及周围地区环境质量概况，确定本次评价因子包括现状评价因子、环境影响评价因子，评价因子见表2.3-4。</w:t>
      </w:r>
    </w:p>
    <w:p w14:paraId="40DA77D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表2.3-4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评价因子一览表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45"/>
        <w:gridCol w:w="1110"/>
        <w:gridCol w:w="1110"/>
        <w:gridCol w:w="5112"/>
      </w:tblGrid>
      <w:tr w14:paraId="5ECE4B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3D9B24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阶段</w:t>
            </w:r>
          </w:p>
        </w:tc>
        <w:tc>
          <w:tcPr>
            <w:tcW w:w="1110" w:type="dxa"/>
            <w:tcBorders>
              <w:top w:val="single" w:color="auto" w:sz="4" w:space="0"/>
              <w:left w:val="single" w:color="auto" w:sz="4" w:space="0"/>
              <w:bottom w:val="single" w:color="auto" w:sz="4" w:space="0"/>
              <w:right w:val="single" w:color="auto" w:sz="4" w:space="0"/>
            </w:tcBorders>
            <w:vAlign w:val="center"/>
          </w:tcPr>
          <w:p w14:paraId="6F2479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环境要素</w:t>
            </w:r>
          </w:p>
        </w:tc>
        <w:tc>
          <w:tcPr>
            <w:tcW w:w="1110" w:type="dxa"/>
            <w:tcBorders>
              <w:top w:val="single" w:color="auto" w:sz="4" w:space="0"/>
              <w:left w:val="single" w:color="auto" w:sz="4" w:space="0"/>
              <w:bottom w:val="single" w:color="auto" w:sz="4" w:space="0"/>
              <w:right w:val="single" w:color="auto" w:sz="4" w:space="0"/>
            </w:tcBorders>
            <w:vAlign w:val="center"/>
          </w:tcPr>
          <w:p w14:paraId="7A39D5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评价类别</w:t>
            </w:r>
          </w:p>
        </w:tc>
        <w:tc>
          <w:tcPr>
            <w:tcW w:w="5112" w:type="dxa"/>
            <w:tcBorders>
              <w:top w:val="single" w:color="auto" w:sz="4" w:space="0"/>
              <w:left w:val="single" w:color="auto" w:sz="4" w:space="0"/>
              <w:bottom w:val="single" w:color="auto" w:sz="4" w:space="0"/>
              <w:right w:val="single" w:color="auto" w:sz="4" w:space="0"/>
            </w:tcBorders>
            <w:vAlign w:val="center"/>
          </w:tcPr>
          <w:p w14:paraId="0260D1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评价因子</w:t>
            </w:r>
          </w:p>
        </w:tc>
      </w:tr>
      <w:tr w14:paraId="1682C1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14:paraId="61D2DC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施工期</w:t>
            </w:r>
          </w:p>
        </w:tc>
        <w:tc>
          <w:tcPr>
            <w:tcW w:w="1110" w:type="dxa"/>
            <w:tcBorders>
              <w:top w:val="single" w:color="auto" w:sz="4" w:space="0"/>
              <w:left w:val="single" w:color="auto" w:sz="4" w:space="0"/>
              <w:bottom w:val="single" w:color="auto" w:sz="4" w:space="0"/>
              <w:right w:val="single" w:color="auto" w:sz="4" w:space="0"/>
            </w:tcBorders>
            <w:vAlign w:val="center"/>
          </w:tcPr>
          <w:p w14:paraId="4599E3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5419BB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影响分析</w:t>
            </w:r>
          </w:p>
        </w:tc>
        <w:tc>
          <w:tcPr>
            <w:tcW w:w="5112" w:type="dxa"/>
            <w:tcBorders>
              <w:top w:val="single" w:color="auto" w:sz="4" w:space="0"/>
              <w:left w:val="single" w:color="auto" w:sz="4" w:space="0"/>
              <w:bottom w:val="single" w:color="auto" w:sz="4" w:space="0"/>
              <w:right w:val="single" w:color="auto" w:sz="4" w:space="0"/>
            </w:tcBorders>
            <w:vAlign w:val="center"/>
          </w:tcPr>
          <w:p w14:paraId="6E6C31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施工扬尘</w:t>
            </w:r>
            <w:r>
              <w:rPr>
                <w:rFonts w:hint="default" w:ascii="Times New Roman" w:hAnsi="Times New Roman" w:eastAsia="宋体" w:cs="Times New Roman"/>
                <w:color w:val="auto"/>
                <w:sz w:val="21"/>
                <w:szCs w:val="21"/>
                <w:highlight w:val="none"/>
                <w:lang w:eastAsia="zh-CN"/>
              </w:rPr>
              <w:t>、焊接烟尘、机械废气</w:t>
            </w:r>
          </w:p>
        </w:tc>
      </w:tr>
      <w:tr w14:paraId="007674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14:paraId="3B0E95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518C61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19B80B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5112" w:type="dxa"/>
            <w:tcBorders>
              <w:top w:val="single" w:color="auto" w:sz="4" w:space="0"/>
              <w:left w:val="single" w:color="auto" w:sz="4" w:space="0"/>
              <w:bottom w:val="single" w:color="auto" w:sz="4" w:space="0"/>
              <w:right w:val="single" w:color="auto" w:sz="4" w:space="0"/>
            </w:tcBorders>
            <w:vAlign w:val="center"/>
          </w:tcPr>
          <w:p w14:paraId="322DE9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建筑施工噪声和交通运输噪声</w:t>
            </w:r>
          </w:p>
        </w:tc>
      </w:tr>
      <w:tr w14:paraId="4D1A16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14:paraId="672BF8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235C24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水环境</w:t>
            </w: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4FA83C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5112" w:type="dxa"/>
            <w:tcBorders>
              <w:top w:val="single" w:color="auto" w:sz="4" w:space="0"/>
              <w:left w:val="single" w:color="auto" w:sz="4" w:space="0"/>
              <w:bottom w:val="single" w:color="auto" w:sz="4" w:space="0"/>
              <w:right w:val="single" w:color="auto" w:sz="4" w:space="0"/>
            </w:tcBorders>
            <w:vAlign w:val="center"/>
          </w:tcPr>
          <w:p w14:paraId="4518C3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施工废水、</w:t>
            </w:r>
            <w:r>
              <w:rPr>
                <w:rFonts w:hint="default" w:ascii="Times New Roman" w:hAnsi="Times New Roman" w:eastAsia="宋体" w:cs="Times New Roman"/>
                <w:color w:val="auto"/>
                <w:sz w:val="21"/>
                <w:szCs w:val="21"/>
                <w:highlight w:val="none"/>
                <w:lang w:eastAsia="zh-CN"/>
              </w:rPr>
              <w:t>生活污水</w:t>
            </w:r>
          </w:p>
        </w:tc>
      </w:tr>
      <w:tr w14:paraId="7E4556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14:paraId="0D68EE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29C403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20820E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5112" w:type="dxa"/>
            <w:tcBorders>
              <w:top w:val="single" w:color="auto" w:sz="4" w:space="0"/>
              <w:left w:val="single" w:color="auto" w:sz="4" w:space="0"/>
              <w:bottom w:val="single" w:color="auto" w:sz="4" w:space="0"/>
              <w:right w:val="single" w:color="auto" w:sz="4" w:space="0"/>
            </w:tcBorders>
            <w:vAlign w:val="center"/>
          </w:tcPr>
          <w:p w14:paraId="47151B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建筑垃圾、生活垃圾</w:t>
            </w:r>
          </w:p>
        </w:tc>
      </w:tr>
      <w:tr w14:paraId="3085F2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14:paraId="3F88C3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bookmarkStart w:id="149" w:name="_Toc107018069"/>
            <w:bookmarkStart w:id="150" w:name="_Toc107994828"/>
            <w:bookmarkStart w:id="151" w:name="_Toc107198794"/>
            <w:bookmarkStart w:id="152" w:name="_Toc107018168"/>
            <w:bookmarkStart w:id="153" w:name="_Toc108232574"/>
            <w:bookmarkStart w:id="154" w:name="_Toc130883558"/>
            <w:bookmarkStart w:id="155" w:name="_Toc107623022"/>
            <w:bookmarkStart w:id="156" w:name="_Toc140304622"/>
            <w:bookmarkStart w:id="157" w:name="_Toc138133780"/>
            <w:bookmarkStart w:id="158" w:name="_Toc130812439"/>
            <w:bookmarkStart w:id="159" w:name="_Toc137911609"/>
            <w:bookmarkStart w:id="160" w:name="_Toc107017776"/>
            <w:bookmarkStart w:id="161" w:name="_Toc107017654"/>
            <w:bookmarkStart w:id="162" w:name="_Toc108866881"/>
            <w:bookmarkStart w:id="163" w:name="_Toc130886263"/>
            <w:bookmarkStart w:id="164" w:name="_Toc107198585"/>
            <w:bookmarkStart w:id="165" w:name="_Toc107017971"/>
            <w:r>
              <w:rPr>
                <w:rFonts w:hint="default" w:ascii="Times New Roman" w:hAnsi="Times New Roman" w:eastAsia="宋体" w:cs="Times New Roman"/>
                <w:color w:val="auto"/>
                <w:sz w:val="21"/>
                <w:szCs w:val="21"/>
                <w:highlight w:val="none"/>
              </w:rPr>
              <w:t>运营期</w:t>
            </w: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74DB16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110" w:type="dxa"/>
            <w:tcBorders>
              <w:top w:val="single" w:color="auto" w:sz="4" w:space="0"/>
              <w:left w:val="single" w:color="auto" w:sz="4" w:space="0"/>
              <w:bottom w:val="single" w:color="auto" w:sz="4" w:space="0"/>
              <w:right w:val="single" w:color="auto" w:sz="4" w:space="0"/>
            </w:tcBorders>
            <w:vAlign w:val="center"/>
          </w:tcPr>
          <w:p w14:paraId="0E0CC9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112" w:type="dxa"/>
            <w:tcBorders>
              <w:top w:val="single" w:color="auto" w:sz="4" w:space="0"/>
              <w:left w:val="single" w:color="auto" w:sz="4" w:space="0"/>
              <w:bottom w:val="single" w:color="auto" w:sz="4" w:space="0"/>
              <w:right w:val="single" w:color="auto" w:sz="4" w:space="0"/>
            </w:tcBorders>
            <w:vAlign w:val="center"/>
          </w:tcPr>
          <w:p w14:paraId="7BCF19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val="0"/>
                <w:color w:val="auto"/>
                <w:sz w:val="21"/>
                <w:szCs w:val="21"/>
                <w:highlight w:val="none"/>
              </w:rPr>
              <w:t>基本污染物：</w:t>
            </w:r>
            <w:r>
              <w:rPr>
                <w:rFonts w:hint="default" w:ascii="Times New Roman" w:hAnsi="Times New Roman" w:eastAsia="宋体" w:cs="Times New Roman"/>
                <w:bCs/>
                <w:color w:val="auto"/>
                <w:sz w:val="21"/>
                <w:szCs w:val="21"/>
                <w:highlight w:val="none"/>
              </w:rPr>
              <w:t>NO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CO</w:t>
            </w: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w:t>
            </w:r>
          </w:p>
          <w:p w14:paraId="2D16E4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其他污染物：</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TSP</w:t>
            </w:r>
          </w:p>
        </w:tc>
      </w:tr>
      <w:tr w14:paraId="57D418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5FA8AB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758D2E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62887C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影响评价</w:t>
            </w:r>
          </w:p>
        </w:tc>
        <w:tc>
          <w:tcPr>
            <w:tcW w:w="5112" w:type="dxa"/>
            <w:tcBorders>
              <w:top w:val="single" w:color="auto" w:sz="4" w:space="0"/>
              <w:left w:val="single" w:color="auto" w:sz="4" w:space="0"/>
              <w:bottom w:val="single" w:color="auto" w:sz="4" w:space="0"/>
              <w:right w:val="single" w:color="auto" w:sz="4" w:space="0"/>
            </w:tcBorders>
            <w:vAlign w:val="center"/>
          </w:tcPr>
          <w:p w14:paraId="6559EF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TSP</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NO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eastAsia="zh-CN"/>
              </w:rPr>
              <w:t>臭气浓度</w:t>
            </w:r>
          </w:p>
        </w:tc>
      </w:tr>
      <w:tr w14:paraId="0C6669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17283B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7909FB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地下水环境</w:t>
            </w:r>
          </w:p>
        </w:tc>
        <w:tc>
          <w:tcPr>
            <w:tcW w:w="1110" w:type="dxa"/>
            <w:tcBorders>
              <w:top w:val="single" w:color="auto" w:sz="4" w:space="0"/>
              <w:left w:val="single" w:color="auto" w:sz="4" w:space="0"/>
              <w:bottom w:val="single" w:color="auto" w:sz="4" w:space="0"/>
              <w:right w:val="single" w:color="auto" w:sz="4" w:space="0"/>
            </w:tcBorders>
            <w:vAlign w:val="center"/>
          </w:tcPr>
          <w:p w14:paraId="69A97D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112" w:type="dxa"/>
            <w:tcBorders>
              <w:top w:val="single" w:color="auto" w:sz="4" w:space="0"/>
              <w:left w:val="single" w:color="auto" w:sz="4" w:space="0"/>
              <w:bottom w:val="single" w:color="auto" w:sz="4" w:space="0"/>
              <w:right w:val="single" w:color="auto" w:sz="4" w:space="0"/>
            </w:tcBorders>
            <w:vAlign w:val="center"/>
          </w:tcPr>
          <w:p w14:paraId="4B5DDB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pH、总硬度、溶解性总固体、氨氮、六价铬、亚硝酸盐、硝酸盐、氟化物、耗氧量、挥发性酚类、氰化物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铅、镉、铁、锰、砷、汞、氯化物、硫酸盐、总大肠菌群、</w:t>
            </w:r>
            <w:r>
              <w:rPr>
                <w:rFonts w:hint="default" w:ascii="Times New Roman" w:hAnsi="Times New Roman" w:eastAsia="宋体" w:cs="Times New Roman"/>
                <w:color w:val="auto"/>
                <w:sz w:val="21"/>
                <w:szCs w:val="21"/>
                <w:highlight w:val="none"/>
                <w:lang w:eastAsia="zh-CN"/>
              </w:rPr>
              <w:t>菌落总数、碳酸盐、重碳酸盐、色度、肉眼可见物、浑浊度、臭、硫化物、铜、锌、</w:t>
            </w:r>
            <w:r>
              <w:rPr>
                <w:rFonts w:hint="default" w:ascii="Times New Roman" w:hAnsi="Times New Roman" w:eastAsia="宋体" w:cs="Times New Roman"/>
                <w:color w:val="auto"/>
                <w:sz w:val="21"/>
                <w:szCs w:val="21"/>
                <w:highlight w:val="none"/>
                <w:lang w:val="en-US" w:eastAsia="zh-CN"/>
              </w:rPr>
              <w:t>阴离子表面活性剂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甲苯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硒、铝</w:t>
            </w:r>
            <w:r>
              <w:rPr>
                <w:rFonts w:hint="default" w:ascii="Times New Roman" w:hAnsi="Times New Roman" w:eastAsia="宋体" w:cs="Times New Roman"/>
                <w:color w:val="auto"/>
                <w:sz w:val="21"/>
                <w:szCs w:val="21"/>
                <w:highlight w:val="none"/>
                <w:lang w:eastAsia="zh-CN"/>
              </w:rPr>
              <w:t>、钠、</w:t>
            </w:r>
            <w:r>
              <w:rPr>
                <w:rFonts w:hint="default" w:ascii="Times New Roman" w:hAnsi="Times New Roman" w:eastAsia="宋体" w:cs="Times New Roman"/>
                <w:color w:val="auto"/>
                <w:sz w:val="21"/>
                <w:szCs w:val="21"/>
                <w:highlight w:val="none"/>
                <w:lang w:val="en-US" w:eastAsia="zh-CN"/>
              </w:rPr>
              <w:t>碘化物、三氯甲烷、四氯化碳、</w:t>
            </w: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rPr>
              <w:t>SO</w:t>
            </w:r>
            <w:r>
              <w:rPr>
                <w:rFonts w:hint="default" w:ascii="Times New Roman" w:hAnsi="Times New Roman" w:eastAsia="宋体" w:cs="Times New Roman"/>
                <w:color w:val="auto"/>
                <w:sz w:val="21"/>
                <w:szCs w:val="21"/>
                <w:highlight w:val="none"/>
                <w:vertAlign w:val="subscript"/>
                <w:lang w:val="en-US"/>
              </w:rPr>
              <w:t>4</w:t>
            </w:r>
            <w:r>
              <w:rPr>
                <w:rFonts w:hint="default" w:ascii="Times New Roman" w:hAnsi="Times New Roman" w:eastAsia="宋体" w:cs="Times New Roman"/>
                <w:color w:val="auto"/>
                <w:sz w:val="21"/>
                <w:szCs w:val="21"/>
                <w:highlight w:val="none"/>
                <w:vertAlign w:val="superscript"/>
                <w:lang w:val="en-US"/>
              </w:rPr>
              <w:t>2-</w:t>
            </w:r>
          </w:p>
        </w:tc>
      </w:tr>
      <w:tr w14:paraId="1E767D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4EACEC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62FA5D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5C2287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5112" w:type="dxa"/>
            <w:tcBorders>
              <w:top w:val="single" w:color="auto" w:sz="4" w:space="0"/>
              <w:left w:val="single" w:color="auto" w:sz="4" w:space="0"/>
              <w:bottom w:val="single" w:color="auto" w:sz="4" w:space="0"/>
              <w:right w:val="single" w:color="auto" w:sz="4" w:space="0"/>
            </w:tcBorders>
            <w:vAlign w:val="center"/>
          </w:tcPr>
          <w:p w14:paraId="624DA3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分析地下水的影响途径和防渗措施可行性、有效性</w:t>
            </w:r>
          </w:p>
        </w:tc>
      </w:tr>
      <w:tr w14:paraId="58029C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5A13D0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4A50D0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土壤环境</w:t>
            </w:r>
          </w:p>
        </w:tc>
        <w:tc>
          <w:tcPr>
            <w:tcW w:w="1110" w:type="dxa"/>
            <w:tcBorders>
              <w:top w:val="single" w:color="auto" w:sz="4" w:space="0"/>
              <w:left w:val="single" w:color="auto" w:sz="4" w:space="0"/>
              <w:bottom w:val="single" w:color="auto" w:sz="4" w:space="0"/>
              <w:right w:val="single" w:color="auto" w:sz="4" w:space="0"/>
            </w:tcBorders>
            <w:vAlign w:val="center"/>
          </w:tcPr>
          <w:p w14:paraId="33DE75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112" w:type="dxa"/>
            <w:tcBorders>
              <w:top w:val="single" w:color="auto" w:sz="4" w:space="0"/>
              <w:left w:val="single" w:color="auto" w:sz="4" w:space="0"/>
              <w:bottom w:val="single" w:color="auto" w:sz="4" w:space="0"/>
              <w:right w:val="single" w:color="auto" w:sz="4" w:space="0"/>
            </w:tcBorders>
            <w:vAlign w:val="center"/>
          </w:tcPr>
          <w:p w14:paraId="7CF0E2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重金属和无机物：</w:t>
            </w:r>
            <w:r>
              <w:rPr>
                <w:rFonts w:hint="default" w:ascii="Times New Roman" w:hAnsi="Times New Roman" w:eastAsia="宋体" w:cs="Times New Roman"/>
                <w:color w:val="auto"/>
                <w:kern w:val="2"/>
                <w:sz w:val="21"/>
                <w:szCs w:val="21"/>
                <w:highlight w:val="none"/>
                <w:lang w:val="en-US" w:eastAsia="zh-CN" w:bidi="ar-SA"/>
              </w:rPr>
              <w:t>砷、镉、铬（六价）、铜、铅、汞、镍；</w:t>
            </w:r>
          </w:p>
          <w:p w14:paraId="4F476E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挥发性有机物：</w:t>
            </w:r>
            <w:r>
              <w:rPr>
                <w:rFonts w:hint="default" w:ascii="Times New Roman" w:hAnsi="Times New Roman" w:eastAsia="宋体" w:cs="Times New Roman"/>
                <w:color w:val="auto"/>
                <w:kern w:val="2"/>
                <w:sz w:val="21"/>
                <w:szCs w:val="21"/>
                <w:highlight w:val="none"/>
                <w:lang w:val="en-US" w:eastAsia="zh-CN" w:bidi="ar-SA"/>
              </w:rPr>
              <w:t>四氯化碳、氯仿、氯甲烷、1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1-二氯乙烷、1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2-二氯乙烷、1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1-二氯乙烯、顺-1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2-二氯乙烯、反-1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2-二氯乙烯、二氯甲烷、1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2-二氯丙烷、1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2-四氯乙烷、1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2-四氯乙烷、四氯乙烯、1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1-三氯乙烷、1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2-三氯乙烷、三氯乙烯、1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3-三氯丙烷、氯乙烯、苯、氯苯、1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2-二氯苯、1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4-二氯苯、乙苯、苯乙烯、甲苯、间二甲苯+对二甲苯、邻二甲苯；</w:t>
            </w:r>
          </w:p>
          <w:p w14:paraId="46B42A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半挥发性有机物：</w:t>
            </w:r>
            <w:r>
              <w:rPr>
                <w:rFonts w:hint="default" w:ascii="Times New Roman" w:hAnsi="Times New Roman" w:eastAsia="宋体" w:cs="Times New Roman"/>
                <w:color w:val="auto"/>
                <w:kern w:val="2"/>
                <w:sz w:val="21"/>
                <w:szCs w:val="21"/>
                <w:highlight w:val="none"/>
                <w:lang w:val="en-US" w:eastAsia="zh-CN" w:bidi="ar-SA"/>
              </w:rPr>
              <w:t>硝基苯、苯胺、2-氯酚、苯并[a]蒽、苯并[a]芘、苯并[b]荧蒽、苯并[k]荧蒽、䓛、二苯并[a</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h]蒽、茚并[1</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3-cd]芘、萘</w:t>
            </w:r>
          </w:p>
        </w:tc>
      </w:tr>
      <w:tr w14:paraId="7564F5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540285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3D1C91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1EE07C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w:t>
            </w:r>
          </w:p>
        </w:tc>
        <w:tc>
          <w:tcPr>
            <w:tcW w:w="5112" w:type="dxa"/>
            <w:tcBorders>
              <w:top w:val="single" w:color="auto" w:sz="4" w:space="0"/>
              <w:left w:val="single" w:color="auto" w:sz="4" w:space="0"/>
              <w:bottom w:val="single" w:color="auto" w:sz="4" w:space="0"/>
              <w:right w:val="single" w:color="auto" w:sz="4" w:space="0"/>
            </w:tcBorders>
            <w:vAlign w:val="center"/>
          </w:tcPr>
          <w:p w14:paraId="5C6520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提出污染防治措施</w:t>
            </w:r>
          </w:p>
        </w:tc>
      </w:tr>
      <w:tr w14:paraId="4346B2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3EB863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6F8A2A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110" w:type="dxa"/>
            <w:tcBorders>
              <w:top w:val="single" w:color="auto" w:sz="4" w:space="0"/>
              <w:left w:val="single" w:color="auto" w:sz="4" w:space="0"/>
              <w:bottom w:val="single" w:color="auto" w:sz="4" w:space="0"/>
              <w:right w:val="single" w:color="auto" w:sz="4" w:space="0"/>
            </w:tcBorders>
            <w:vAlign w:val="center"/>
          </w:tcPr>
          <w:p w14:paraId="22737A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112" w:type="dxa"/>
            <w:tcBorders>
              <w:top w:val="single" w:color="auto" w:sz="4" w:space="0"/>
              <w:left w:val="single" w:color="auto" w:sz="4" w:space="0"/>
              <w:bottom w:val="single" w:color="auto" w:sz="4" w:space="0"/>
              <w:right w:val="single" w:color="auto" w:sz="4" w:space="0"/>
            </w:tcBorders>
            <w:vAlign w:val="center"/>
          </w:tcPr>
          <w:p w14:paraId="12C24E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w:t>
            </w:r>
          </w:p>
        </w:tc>
      </w:tr>
      <w:tr w14:paraId="47D53F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4A6BC4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1A4FBE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1652CF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影响评价</w:t>
            </w:r>
          </w:p>
        </w:tc>
        <w:tc>
          <w:tcPr>
            <w:tcW w:w="5112" w:type="dxa"/>
            <w:tcBorders>
              <w:top w:val="single" w:color="auto" w:sz="4" w:space="0"/>
              <w:left w:val="single" w:color="auto" w:sz="4" w:space="0"/>
              <w:bottom w:val="single" w:color="auto" w:sz="4" w:space="0"/>
              <w:right w:val="single" w:color="auto" w:sz="4" w:space="0"/>
            </w:tcBorders>
            <w:vAlign w:val="center"/>
          </w:tcPr>
          <w:p w14:paraId="319E2B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w:t>
            </w:r>
          </w:p>
        </w:tc>
      </w:tr>
      <w:tr w14:paraId="3381FC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14C5E5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54E567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生态环境</w:t>
            </w:r>
          </w:p>
        </w:tc>
        <w:tc>
          <w:tcPr>
            <w:tcW w:w="1110" w:type="dxa"/>
            <w:tcBorders>
              <w:top w:val="single" w:color="auto" w:sz="4" w:space="0"/>
              <w:left w:val="single" w:color="auto" w:sz="4" w:space="0"/>
              <w:bottom w:val="single" w:color="auto" w:sz="4" w:space="0"/>
              <w:right w:val="single" w:color="auto" w:sz="4" w:space="0"/>
            </w:tcBorders>
            <w:vAlign w:val="center"/>
          </w:tcPr>
          <w:p w14:paraId="0C9BB2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112" w:type="dxa"/>
            <w:tcBorders>
              <w:top w:val="single" w:color="auto" w:sz="4" w:space="0"/>
              <w:left w:val="single" w:color="auto" w:sz="4" w:space="0"/>
              <w:bottom w:val="single" w:color="auto" w:sz="4" w:space="0"/>
              <w:right w:val="single" w:color="auto" w:sz="4" w:space="0"/>
            </w:tcBorders>
            <w:vAlign w:val="center"/>
          </w:tcPr>
          <w:p w14:paraId="22ED2E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占地、植被破坏、水土流失等</w:t>
            </w:r>
          </w:p>
        </w:tc>
      </w:tr>
      <w:tr w14:paraId="21DE1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23208D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1AD89A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6D3882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bCs/>
                <w:color w:val="auto"/>
                <w:sz w:val="21"/>
                <w:szCs w:val="21"/>
                <w:highlight w:val="none"/>
                <w:lang w:val="pt-BR"/>
              </w:rPr>
              <w:t>影响预测</w:t>
            </w:r>
          </w:p>
        </w:tc>
        <w:tc>
          <w:tcPr>
            <w:tcW w:w="5112" w:type="dxa"/>
            <w:tcBorders>
              <w:top w:val="single" w:color="auto" w:sz="4" w:space="0"/>
              <w:left w:val="single" w:color="auto" w:sz="4" w:space="0"/>
              <w:bottom w:val="single" w:color="auto" w:sz="4" w:space="0"/>
              <w:right w:val="single" w:color="auto" w:sz="4" w:space="0"/>
            </w:tcBorders>
            <w:vAlign w:val="center"/>
          </w:tcPr>
          <w:p w14:paraId="2BA72F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bCs/>
                <w:color w:val="auto"/>
                <w:sz w:val="21"/>
                <w:szCs w:val="21"/>
                <w:highlight w:val="none"/>
                <w:lang w:val="pt-BR"/>
              </w:rPr>
              <w:t>土地利用、植被破坏</w:t>
            </w:r>
          </w:p>
        </w:tc>
      </w:tr>
      <w:tr w14:paraId="590615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453D16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7EA912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风险环境</w:t>
            </w:r>
          </w:p>
        </w:tc>
        <w:tc>
          <w:tcPr>
            <w:tcW w:w="1110" w:type="dxa"/>
            <w:tcBorders>
              <w:top w:val="single" w:color="auto" w:sz="4" w:space="0"/>
              <w:left w:val="single" w:color="auto" w:sz="4" w:space="0"/>
              <w:bottom w:val="single" w:color="auto" w:sz="4" w:space="0"/>
              <w:right w:val="single" w:color="auto" w:sz="4" w:space="0"/>
            </w:tcBorders>
            <w:vAlign w:val="center"/>
          </w:tcPr>
          <w:p w14:paraId="177210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color w:val="auto"/>
                <w:sz w:val="21"/>
                <w:szCs w:val="21"/>
                <w:highlight w:val="none"/>
              </w:rPr>
              <w:t>影响评价</w:t>
            </w:r>
          </w:p>
        </w:tc>
        <w:tc>
          <w:tcPr>
            <w:tcW w:w="5112" w:type="dxa"/>
            <w:tcBorders>
              <w:top w:val="single" w:color="auto" w:sz="4" w:space="0"/>
              <w:left w:val="single" w:color="auto" w:sz="4" w:space="0"/>
              <w:bottom w:val="single" w:color="auto" w:sz="4" w:space="0"/>
              <w:right w:val="single" w:color="auto" w:sz="4" w:space="0"/>
            </w:tcBorders>
            <w:vAlign w:val="center"/>
          </w:tcPr>
          <w:p w14:paraId="1E1944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val="pt-BR"/>
              </w:rPr>
            </w:pPr>
            <w:r>
              <w:rPr>
                <w:rFonts w:hint="default" w:ascii="Times New Roman" w:hAnsi="Times New Roman" w:eastAsia="宋体" w:cs="Times New Roman"/>
                <w:bCs/>
                <w:color w:val="auto"/>
                <w:sz w:val="21"/>
                <w:szCs w:val="21"/>
                <w:highlight w:val="none"/>
                <w:lang w:val="pt-BR"/>
              </w:rPr>
              <w:t>简单分析</w:t>
            </w:r>
          </w:p>
        </w:tc>
      </w:tr>
      <w:tr w14:paraId="36BDE4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45" w:type="dxa"/>
            <w:vMerge w:val="continue"/>
            <w:tcBorders>
              <w:top w:val="single" w:color="auto" w:sz="4" w:space="0"/>
              <w:left w:val="single" w:color="auto" w:sz="4" w:space="0"/>
              <w:bottom w:val="single" w:color="auto" w:sz="4" w:space="0"/>
              <w:right w:val="single" w:color="auto" w:sz="4" w:space="0"/>
            </w:tcBorders>
          </w:tcPr>
          <w:p w14:paraId="3AD1E8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2D3CCC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110" w:type="dxa"/>
            <w:tcBorders>
              <w:top w:val="single" w:color="auto" w:sz="4" w:space="0"/>
              <w:left w:val="single" w:color="auto" w:sz="4" w:space="0"/>
              <w:bottom w:val="single" w:color="auto" w:sz="4" w:space="0"/>
              <w:right w:val="single" w:color="auto" w:sz="4" w:space="0"/>
            </w:tcBorders>
            <w:vAlign w:val="center"/>
          </w:tcPr>
          <w:p w14:paraId="30C2F8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影响评价</w:t>
            </w:r>
          </w:p>
        </w:tc>
        <w:tc>
          <w:tcPr>
            <w:tcW w:w="5112" w:type="dxa"/>
            <w:tcBorders>
              <w:top w:val="single" w:color="auto" w:sz="4" w:space="0"/>
              <w:left w:val="single" w:color="auto" w:sz="4" w:space="0"/>
              <w:bottom w:val="single" w:color="auto" w:sz="4" w:space="0"/>
              <w:right w:val="single" w:color="auto" w:sz="4" w:space="0"/>
            </w:tcBorders>
            <w:vAlign w:val="center"/>
          </w:tcPr>
          <w:p w14:paraId="020CC0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固体废物处理处置的可行性、可靠性</w:t>
            </w:r>
          </w:p>
        </w:tc>
      </w:t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tbl>
    <w:p w14:paraId="6870A608">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166" w:name="_Toc21959"/>
      <w:r>
        <w:rPr>
          <w:rFonts w:hint="default" w:ascii="Times New Roman" w:hAnsi="Times New Roman" w:eastAsia="宋体" w:cs="Times New Roman"/>
          <w:color w:val="auto"/>
          <w:highlight w:val="none"/>
        </w:rPr>
        <w:t>2.4环境功能区划及评价标准</w:t>
      </w:r>
      <w:bookmarkEnd w:id="166"/>
    </w:p>
    <w:p w14:paraId="1871A9AB">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167" w:name="_Toc24847"/>
      <w:r>
        <w:rPr>
          <w:rFonts w:hint="default" w:ascii="Times New Roman" w:hAnsi="Times New Roman" w:eastAsia="宋体" w:cs="Times New Roman"/>
          <w:color w:val="auto"/>
          <w:highlight w:val="none"/>
        </w:rPr>
        <w:t>2.4.1环境功能区划</w:t>
      </w:r>
      <w:bookmarkEnd w:id="167"/>
    </w:p>
    <w:p w14:paraId="2384211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根据评价区功能区划和环境保护目标的要求，环境空气为二类功能区；地下水为农业及生活用水区，为Ⅲ类水质要求；声环境为</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类功能区。</w:t>
      </w:r>
    </w:p>
    <w:p w14:paraId="1794FD7A">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168" w:name="_Toc17662"/>
      <w:r>
        <w:rPr>
          <w:rFonts w:hint="default" w:ascii="Times New Roman" w:hAnsi="Times New Roman" w:eastAsia="宋体" w:cs="Times New Roman"/>
          <w:color w:val="auto"/>
          <w:highlight w:val="none"/>
        </w:rPr>
        <w:t>2.4.2环境质量标准</w:t>
      </w:r>
      <w:bookmarkEnd w:id="168"/>
    </w:p>
    <w:p w14:paraId="2C0D04B4">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2.4.2.1环境空气</w:t>
      </w:r>
    </w:p>
    <w:p w14:paraId="04D3988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项目所在区域属于环境空气质量二类功能区，</w:t>
      </w:r>
      <w:r>
        <w:rPr>
          <w:rFonts w:hint="default" w:ascii="Times New Roman" w:hAnsi="Times New Roman" w:eastAsia="宋体" w:cs="Times New Roman"/>
          <w:bCs/>
          <w:color w:val="auto"/>
          <w:highlight w:val="none"/>
        </w:rPr>
        <w:t>PM</w:t>
      </w:r>
      <w:r>
        <w:rPr>
          <w:rFonts w:hint="default" w:ascii="Times New Roman" w:hAnsi="Times New Roman" w:eastAsia="宋体" w:cs="Times New Roman"/>
          <w:bCs/>
          <w:color w:val="auto"/>
          <w:highlight w:val="none"/>
          <w:vertAlign w:val="subscript"/>
        </w:rPr>
        <w:t>10</w:t>
      </w:r>
      <w:r>
        <w:rPr>
          <w:rFonts w:hint="default" w:ascii="Times New Roman" w:hAnsi="Times New Roman" w:eastAsia="宋体" w:cs="Times New Roman"/>
          <w:bCs/>
          <w:color w:val="auto"/>
          <w:highlight w:val="none"/>
        </w:rPr>
        <w:t>、PM</w:t>
      </w:r>
      <w:r>
        <w:rPr>
          <w:rFonts w:hint="default" w:ascii="Times New Roman" w:hAnsi="Times New Roman" w:eastAsia="宋体" w:cs="Times New Roman"/>
          <w:bCs/>
          <w:color w:val="auto"/>
          <w:highlight w:val="none"/>
          <w:vertAlign w:val="subscript"/>
        </w:rPr>
        <w:t>2.5</w:t>
      </w:r>
      <w:r>
        <w:rPr>
          <w:rFonts w:hint="default" w:ascii="Times New Roman" w:hAnsi="Times New Roman" w:eastAsia="宋体" w:cs="Times New Roman"/>
          <w:bCs/>
          <w:color w:val="auto"/>
          <w:highlight w:val="none"/>
        </w:rPr>
        <w:t>、SO</w:t>
      </w:r>
      <w:r>
        <w:rPr>
          <w:rFonts w:hint="default" w:ascii="Times New Roman" w:hAnsi="Times New Roman" w:eastAsia="宋体" w:cs="Times New Roman"/>
          <w:bCs/>
          <w:color w:val="auto"/>
          <w:highlight w:val="none"/>
          <w:vertAlign w:val="subscript"/>
        </w:rPr>
        <w:t>2</w:t>
      </w:r>
      <w:r>
        <w:rPr>
          <w:rFonts w:hint="default" w:ascii="Times New Roman" w:hAnsi="Times New Roman" w:eastAsia="宋体" w:cs="Times New Roman"/>
          <w:bCs/>
          <w:color w:val="auto"/>
          <w:highlight w:val="none"/>
        </w:rPr>
        <w:t>、NO</w:t>
      </w:r>
      <w:r>
        <w:rPr>
          <w:rFonts w:hint="default" w:ascii="Times New Roman" w:hAnsi="Times New Roman" w:eastAsia="宋体" w:cs="Times New Roman"/>
          <w:bCs/>
          <w:color w:val="auto"/>
          <w:highlight w:val="none"/>
          <w:vertAlign w:val="subscript"/>
        </w:rPr>
        <w:t>2</w:t>
      </w:r>
      <w:r>
        <w:rPr>
          <w:rFonts w:hint="default" w:ascii="Times New Roman" w:hAnsi="Times New Roman" w:eastAsia="宋体" w:cs="Times New Roman"/>
          <w:bCs/>
          <w:color w:val="auto"/>
          <w:highlight w:val="none"/>
        </w:rPr>
        <w:t>、CO、O</w:t>
      </w:r>
      <w:r>
        <w:rPr>
          <w:rFonts w:hint="default" w:ascii="Times New Roman" w:hAnsi="Times New Roman" w:eastAsia="宋体" w:cs="Times New Roman"/>
          <w:bCs/>
          <w:color w:val="auto"/>
          <w:highlight w:val="none"/>
          <w:vertAlign w:val="subscript"/>
        </w:rPr>
        <w:t>3</w:t>
      </w:r>
      <w:r>
        <w:rPr>
          <w:rFonts w:hint="default" w:ascii="Times New Roman" w:hAnsi="Times New Roman" w:eastAsia="宋体" w:cs="Times New Roman"/>
          <w:bCs/>
          <w:color w:val="auto"/>
          <w:highlight w:val="none"/>
        </w:rPr>
        <w:t>、TSP</w:t>
      </w:r>
      <w:r>
        <w:rPr>
          <w:rFonts w:hint="default" w:ascii="Times New Roman" w:hAnsi="Times New Roman" w:eastAsia="宋体" w:cs="Times New Roman"/>
          <w:color w:val="auto"/>
          <w:highlight w:val="none"/>
        </w:rPr>
        <w:t>执行《环境空气质量标准》（GB3095-2012）中的二级标准；NH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S执行《</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大气环境》（HJ2.2-2018）中的附录D其他污染物空气质量浓度参考限值，详见下表。</w:t>
      </w:r>
    </w:p>
    <w:p w14:paraId="024B0FB8">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环境空气质量标准</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70"/>
        <w:gridCol w:w="870"/>
        <w:gridCol w:w="2382"/>
        <w:gridCol w:w="1153"/>
        <w:gridCol w:w="2342"/>
      </w:tblGrid>
      <w:tr w14:paraId="0387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Merge w:val="restart"/>
            <w:vAlign w:val="center"/>
          </w:tcPr>
          <w:p w14:paraId="2F5610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938" w:type="dxa"/>
            <w:vMerge w:val="restart"/>
            <w:vAlign w:val="center"/>
          </w:tcPr>
          <w:p w14:paraId="179957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4796" w:type="dxa"/>
            <w:gridSpan w:val="3"/>
            <w:vAlign w:val="center"/>
          </w:tcPr>
          <w:p w14:paraId="705881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浓度限值（单位：μg/Nm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2564" w:type="dxa"/>
            <w:vMerge w:val="restart"/>
            <w:vAlign w:val="center"/>
          </w:tcPr>
          <w:p w14:paraId="578B09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标准来源</w:t>
            </w:r>
          </w:p>
        </w:tc>
      </w:tr>
      <w:tr w14:paraId="4D5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Merge w:val="continue"/>
            <w:vAlign w:val="center"/>
          </w:tcPr>
          <w:p w14:paraId="13B6B1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p>
        </w:tc>
        <w:tc>
          <w:tcPr>
            <w:tcW w:w="938" w:type="dxa"/>
            <w:vMerge w:val="continue"/>
            <w:vAlign w:val="center"/>
          </w:tcPr>
          <w:p w14:paraId="0594CC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p>
        </w:tc>
        <w:tc>
          <w:tcPr>
            <w:tcW w:w="938" w:type="dxa"/>
            <w:vAlign w:val="center"/>
          </w:tcPr>
          <w:p w14:paraId="393308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年平均</w:t>
            </w:r>
          </w:p>
        </w:tc>
        <w:tc>
          <w:tcPr>
            <w:tcW w:w="2608" w:type="dxa"/>
            <w:vAlign w:val="center"/>
          </w:tcPr>
          <w:p w14:paraId="492E1B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日平均</w:t>
            </w:r>
          </w:p>
        </w:tc>
        <w:tc>
          <w:tcPr>
            <w:tcW w:w="1250" w:type="dxa"/>
            <w:vAlign w:val="center"/>
          </w:tcPr>
          <w:p w14:paraId="018295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小时平均</w:t>
            </w:r>
          </w:p>
        </w:tc>
        <w:tc>
          <w:tcPr>
            <w:tcW w:w="2564" w:type="dxa"/>
            <w:vMerge w:val="continue"/>
            <w:vAlign w:val="center"/>
          </w:tcPr>
          <w:p w14:paraId="43EDC9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p>
        </w:tc>
      </w:tr>
      <w:tr w14:paraId="707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4946BE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938" w:type="dxa"/>
            <w:vAlign w:val="center"/>
          </w:tcPr>
          <w:p w14:paraId="2B2B9D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938" w:type="dxa"/>
            <w:vAlign w:val="center"/>
          </w:tcPr>
          <w:p w14:paraId="05E0C6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2608" w:type="dxa"/>
            <w:vAlign w:val="center"/>
          </w:tcPr>
          <w:p w14:paraId="7AAD45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1250" w:type="dxa"/>
            <w:vAlign w:val="center"/>
          </w:tcPr>
          <w:p w14:paraId="33D01A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w:t>
            </w:r>
          </w:p>
        </w:tc>
        <w:tc>
          <w:tcPr>
            <w:tcW w:w="2564" w:type="dxa"/>
            <w:vMerge w:val="restart"/>
            <w:vAlign w:val="center"/>
          </w:tcPr>
          <w:p w14:paraId="4D53AB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《环境空气质量标准》（GB3095-2012）</w:t>
            </w:r>
          </w:p>
          <w:p w14:paraId="577ADF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二级标准</w:t>
            </w:r>
          </w:p>
        </w:tc>
      </w:tr>
      <w:tr w14:paraId="5347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161E67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938" w:type="dxa"/>
            <w:vAlign w:val="center"/>
          </w:tcPr>
          <w:p w14:paraId="70F776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938" w:type="dxa"/>
            <w:vAlign w:val="center"/>
          </w:tcPr>
          <w:p w14:paraId="075D13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2608" w:type="dxa"/>
            <w:vAlign w:val="center"/>
          </w:tcPr>
          <w:p w14:paraId="795E9C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w:t>
            </w:r>
          </w:p>
        </w:tc>
        <w:tc>
          <w:tcPr>
            <w:tcW w:w="1250" w:type="dxa"/>
            <w:vAlign w:val="center"/>
          </w:tcPr>
          <w:p w14:paraId="348971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2564" w:type="dxa"/>
            <w:vMerge w:val="continue"/>
            <w:vAlign w:val="center"/>
          </w:tcPr>
          <w:p w14:paraId="430F4D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60E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0A660B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938" w:type="dxa"/>
            <w:vAlign w:val="center"/>
          </w:tcPr>
          <w:p w14:paraId="6ABB5F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938" w:type="dxa"/>
            <w:vAlign w:val="center"/>
          </w:tcPr>
          <w:p w14:paraId="7EC7E3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2608" w:type="dxa"/>
            <w:vAlign w:val="center"/>
          </w:tcPr>
          <w:p w14:paraId="703352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c>
          <w:tcPr>
            <w:tcW w:w="1250" w:type="dxa"/>
            <w:vAlign w:val="center"/>
          </w:tcPr>
          <w:p w14:paraId="729425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564" w:type="dxa"/>
            <w:vMerge w:val="continue"/>
            <w:vAlign w:val="center"/>
          </w:tcPr>
          <w:p w14:paraId="35F1B4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7B1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1A15B7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938" w:type="dxa"/>
            <w:vAlign w:val="center"/>
          </w:tcPr>
          <w:p w14:paraId="63B9FD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938" w:type="dxa"/>
            <w:vAlign w:val="center"/>
          </w:tcPr>
          <w:p w14:paraId="6D1082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2608" w:type="dxa"/>
            <w:vAlign w:val="center"/>
          </w:tcPr>
          <w:p w14:paraId="14B9E7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1250" w:type="dxa"/>
            <w:vAlign w:val="center"/>
          </w:tcPr>
          <w:p w14:paraId="4512DF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564" w:type="dxa"/>
            <w:vMerge w:val="continue"/>
            <w:vAlign w:val="center"/>
          </w:tcPr>
          <w:p w14:paraId="24A2E6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09BB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11379B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938" w:type="dxa"/>
            <w:vAlign w:val="center"/>
          </w:tcPr>
          <w:p w14:paraId="2B0996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938" w:type="dxa"/>
            <w:vAlign w:val="center"/>
          </w:tcPr>
          <w:p w14:paraId="23EF2B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w:t>
            </w:r>
          </w:p>
        </w:tc>
        <w:tc>
          <w:tcPr>
            <w:tcW w:w="2608" w:type="dxa"/>
            <w:vAlign w:val="center"/>
          </w:tcPr>
          <w:p w14:paraId="648B0A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75</w:t>
            </w:r>
          </w:p>
        </w:tc>
        <w:tc>
          <w:tcPr>
            <w:tcW w:w="1250" w:type="dxa"/>
            <w:vAlign w:val="center"/>
          </w:tcPr>
          <w:p w14:paraId="46B6AE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564" w:type="dxa"/>
            <w:vMerge w:val="continue"/>
            <w:vAlign w:val="center"/>
          </w:tcPr>
          <w:p w14:paraId="5203BF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265D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085E66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938" w:type="dxa"/>
            <w:vAlign w:val="center"/>
          </w:tcPr>
          <w:p w14:paraId="0A42F5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938" w:type="dxa"/>
            <w:vAlign w:val="center"/>
          </w:tcPr>
          <w:p w14:paraId="41D780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608" w:type="dxa"/>
            <w:vAlign w:val="center"/>
          </w:tcPr>
          <w:p w14:paraId="5DB484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160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日最大</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小时平均</w:t>
            </w:r>
            <w:r>
              <w:rPr>
                <w:rFonts w:hint="default" w:ascii="Times New Roman" w:hAnsi="Times New Roman" w:eastAsia="宋体" w:cs="Times New Roman"/>
                <w:color w:val="auto"/>
                <w:sz w:val="21"/>
                <w:szCs w:val="21"/>
                <w:highlight w:val="none"/>
                <w:lang w:eastAsia="zh-CN"/>
              </w:rPr>
              <w:t>）</w:t>
            </w:r>
          </w:p>
        </w:tc>
        <w:tc>
          <w:tcPr>
            <w:tcW w:w="1250" w:type="dxa"/>
            <w:vAlign w:val="center"/>
          </w:tcPr>
          <w:p w14:paraId="2296DE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2564" w:type="dxa"/>
            <w:vMerge w:val="continue"/>
            <w:vAlign w:val="center"/>
          </w:tcPr>
          <w:p w14:paraId="3F7196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91E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095A6D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938" w:type="dxa"/>
            <w:vAlign w:val="center"/>
          </w:tcPr>
          <w:p w14:paraId="54AEBA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938" w:type="dxa"/>
            <w:vAlign w:val="center"/>
          </w:tcPr>
          <w:p w14:paraId="24783A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608" w:type="dxa"/>
            <w:vAlign w:val="center"/>
          </w:tcPr>
          <w:p w14:paraId="32D8A7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lang w:eastAsia="zh-CN"/>
              </w:rPr>
              <w:t>）</w:t>
            </w:r>
          </w:p>
        </w:tc>
        <w:tc>
          <w:tcPr>
            <w:tcW w:w="1250" w:type="dxa"/>
            <w:vAlign w:val="center"/>
          </w:tcPr>
          <w:p w14:paraId="4E16F8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lang w:eastAsia="zh-CN"/>
              </w:rPr>
              <w:t>）</w:t>
            </w:r>
          </w:p>
        </w:tc>
        <w:tc>
          <w:tcPr>
            <w:tcW w:w="2564" w:type="dxa"/>
            <w:vMerge w:val="continue"/>
            <w:vAlign w:val="center"/>
          </w:tcPr>
          <w:p w14:paraId="151291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3DE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0EEF50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938" w:type="dxa"/>
            <w:vAlign w:val="center"/>
          </w:tcPr>
          <w:p w14:paraId="4F26BF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bidi="en-US"/>
              </w:rPr>
            </w:pPr>
            <w:r>
              <w:rPr>
                <w:rFonts w:hint="default" w:ascii="Times New Roman" w:hAnsi="Times New Roman" w:eastAsia="宋体" w:cs="Times New Roman"/>
                <w:bCs/>
                <w:color w:val="auto"/>
                <w:sz w:val="21"/>
                <w:szCs w:val="21"/>
                <w:highlight w:val="none"/>
                <w:lang w:bidi="en-US"/>
              </w:rPr>
              <w:t>NH</w:t>
            </w:r>
            <w:r>
              <w:rPr>
                <w:rFonts w:hint="default" w:ascii="Times New Roman" w:hAnsi="Times New Roman" w:eastAsia="宋体" w:cs="Times New Roman"/>
                <w:bCs/>
                <w:color w:val="auto"/>
                <w:sz w:val="21"/>
                <w:szCs w:val="21"/>
                <w:highlight w:val="none"/>
                <w:vertAlign w:val="subscript"/>
                <w:lang w:bidi="en-US"/>
              </w:rPr>
              <w:t>3</w:t>
            </w:r>
          </w:p>
        </w:tc>
        <w:tc>
          <w:tcPr>
            <w:tcW w:w="938" w:type="dxa"/>
            <w:vAlign w:val="center"/>
          </w:tcPr>
          <w:p w14:paraId="3C39C2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608" w:type="dxa"/>
            <w:vAlign w:val="center"/>
          </w:tcPr>
          <w:p w14:paraId="7986B5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50" w:type="dxa"/>
            <w:vAlign w:val="center"/>
          </w:tcPr>
          <w:p w14:paraId="692CF2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2564" w:type="dxa"/>
            <w:vMerge w:val="restart"/>
            <w:vAlign w:val="center"/>
          </w:tcPr>
          <w:p w14:paraId="32E9B3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环境影响评价技术导则 大气环境</w:t>
            </w:r>
            <w:r>
              <w:rPr>
                <w:rFonts w:hint="default" w:ascii="Times New Roman" w:hAnsi="Times New Roman" w:eastAsia="宋体" w:cs="Times New Roman"/>
                <w:color w:val="auto"/>
                <w:sz w:val="21"/>
                <w:szCs w:val="21"/>
                <w:highlight w:val="none"/>
              </w:rPr>
              <w:t>》（HJ2.2-2018）附录D</w:t>
            </w:r>
          </w:p>
        </w:tc>
      </w:tr>
      <w:tr w14:paraId="695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6" w:type="dxa"/>
            <w:vAlign w:val="center"/>
          </w:tcPr>
          <w:p w14:paraId="694F0A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938" w:type="dxa"/>
            <w:vAlign w:val="center"/>
          </w:tcPr>
          <w:p w14:paraId="15F498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bidi="en-US"/>
              </w:rPr>
            </w:pPr>
            <w:r>
              <w:rPr>
                <w:rFonts w:hint="default" w:ascii="Times New Roman" w:hAnsi="Times New Roman" w:eastAsia="宋体" w:cs="Times New Roman"/>
                <w:bCs/>
                <w:color w:val="auto"/>
                <w:sz w:val="21"/>
                <w:szCs w:val="21"/>
                <w:highlight w:val="none"/>
                <w:lang w:bidi="en-US"/>
              </w:rPr>
              <w:t>H</w:t>
            </w:r>
            <w:r>
              <w:rPr>
                <w:rFonts w:hint="default" w:ascii="Times New Roman" w:hAnsi="Times New Roman" w:eastAsia="宋体" w:cs="Times New Roman"/>
                <w:bCs/>
                <w:color w:val="auto"/>
                <w:sz w:val="21"/>
                <w:szCs w:val="21"/>
                <w:highlight w:val="none"/>
                <w:vertAlign w:val="subscript"/>
                <w:lang w:bidi="en-US"/>
              </w:rPr>
              <w:t>2</w:t>
            </w:r>
            <w:r>
              <w:rPr>
                <w:rFonts w:hint="default" w:ascii="Times New Roman" w:hAnsi="Times New Roman" w:eastAsia="宋体" w:cs="Times New Roman"/>
                <w:bCs/>
                <w:color w:val="auto"/>
                <w:sz w:val="21"/>
                <w:szCs w:val="21"/>
                <w:highlight w:val="none"/>
                <w:lang w:bidi="en-US"/>
              </w:rPr>
              <w:t>S</w:t>
            </w:r>
          </w:p>
        </w:tc>
        <w:tc>
          <w:tcPr>
            <w:tcW w:w="938" w:type="dxa"/>
            <w:vAlign w:val="center"/>
          </w:tcPr>
          <w:p w14:paraId="2C3FFA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608" w:type="dxa"/>
            <w:vAlign w:val="center"/>
          </w:tcPr>
          <w:p w14:paraId="66D37C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50" w:type="dxa"/>
            <w:vAlign w:val="center"/>
          </w:tcPr>
          <w:p w14:paraId="4DA0B1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2564" w:type="dxa"/>
            <w:vMerge w:val="continue"/>
            <w:vAlign w:val="center"/>
          </w:tcPr>
          <w:p w14:paraId="2E26A3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bl>
    <w:p w14:paraId="5BEF5EC6">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2.4.4.2地下水</w:t>
      </w:r>
    </w:p>
    <w:p w14:paraId="154DDBB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区域</w:t>
      </w:r>
      <w:r>
        <w:rPr>
          <w:rFonts w:hint="default" w:ascii="Times New Roman" w:hAnsi="Times New Roman" w:eastAsia="宋体" w:cs="Times New Roman"/>
          <w:color w:val="auto"/>
          <w:highlight w:val="none"/>
        </w:rPr>
        <w:t>地下水</w:t>
      </w:r>
      <w:r>
        <w:rPr>
          <w:rFonts w:hint="default" w:ascii="Times New Roman" w:hAnsi="Times New Roman" w:eastAsia="宋体" w:cs="Times New Roman"/>
          <w:color w:val="auto"/>
          <w:highlight w:val="none"/>
          <w:lang w:eastAsia="zh-CN"/>
        </w:rPr>
        <w:t>环境质量</w:t>
      </w:r>
      <w:r>
        <w:rPr>
          <w:rFonts w:hint="default" w:ascii="Times New Roman" w:hAnsi="Times New Roman" w:eastAsia="宋体" w:cs="Times New Roman"/>
          <w:color w:val="auto"/>
          <w:highlight w:val="none"/>
        </w:rPr>
        <w:t>执行《地下水质量标准》（GB/T14848-2017</w:t>
      </w:r>
      <w:r>
        <w:rPr>
          <w:rFonts w:hint="default" w:ascii="Times New Roman" w:hAnsi="Times New Roman" w:eastAsia="宋体" w:cs="Times New Roman"/>
          <w:color w:val="auto"/>
          <w:highlight w:val="none"/>
          <w:lang w:eastAsia="zh-CN"/>
        </w:rPr>
        <w:t>）Ⅲ</w:t>
      </w:r>
      <w:r>
        <w:rPr>
          <w:rFonts w:hint="default" w:ascii="Times New Roman" w:hAnsi="Times New Roman" w:eastAsia="宋体" w:cs="Times New Roman"/>
          <w:color w:val="auto"/>
          <w:highlight w:val="none"/>
        </w:rPr>
        <w:t>类标准，详见下表。</w:t>
      </w:r>
    </w:p>
    <w:p w14:paraId="10EA10C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地下水质量标准（单位：mg/L，pH值无量纲）</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938"/>
        <w:gridCol w:w="2900"/>
        <w:gridCol w:w="1783"/>
      </w:tblGrid>
      <w:tr w14:paraId="1F97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3936D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2938" w:type="dxa"/>
            <w:vAlign w:val="center"/>
          </w:tcPr>
          <w:p w14:paraId="0A05B6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p>
        </w:tc>
        <w:tc>
          <w:tcPr>
            <w:tcW w:w="2900" w:type="dxa"/>
            <w:vAlign w:val="center"/>
          </w:tcPr>
          <w:p w14:paraId="02CD64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Ⅲ类标准</w:t>
            </w:r>
          </w:p>
        </w:tc>
        <w:tc>
          <w:tcPr>
            <w:tcW w:w="1783" w:type="dxa"/>
            <w:vAlign w:val="center"/>
          </w:tcPr>
          <w:p w14:paraId="4050E4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标准来源</w:t>
            </w:r>
          </w:p>
        </w:tc>
      </w:tr>
      <w:tr w14:paraId="5229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94" w:type="dxa"/>
            <w:gridSpan w:val="3"/>
            <w:vAlign w:val="center"/>
          </w:tcPr>
          <w:p w14:paraId="05C240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感官性状及一般化学指标</w:t>
            </w:r>
          </w:p>
        </w:tc>
        <w:tc>
          <w:tcPr>
            <w:tcW w:w="1783" w:type="dxa"/>
            <w:vMerge w:val="restart"/>
            <w:vAlign w:val="center"/>
          </w:tcPr>
          <w:p w14:paraId="50FD0E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《地下水质量标准》（GB/T14848-2017）Ⅲ类标准</w:t>
            </w:r>
          </w:p>
        </w:tc>
      </w:tr>
      <w:tr w14:paraId="37E3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70C43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938" w:type="dxa"/>
            <w:vAlign w:val="center"/>
          </w:tcPr>
          <w:p w14:paraId="105293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色</w:t>
            </w:r>
          </w:p>
        </w:tc>
        <w:tc>
          <w:tcPr>
            <w:tcW w:w="2900" w:type="dxa"/>
            <w:vAlign w:val="center"/>
          </w:tcPr>
          <w:p w14:paraId="4BF7D2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783" w:type="dxa"/>
            <w:vMerge w:val="continue"/>
            <w:vAlign w:val="center"/>
          </w:tcPr>
          <w:p w14:paraId="206FDC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1BC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407B6A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2938" w:type="dxa"/>
            <w:vAlign w:val="center"/>
          </w:tcPr>
          <w:p w14:paraId="2C75AC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嗅和味</w:t>
            </w:r>
          </w:p>
        </w:tc>
        <w:tc>
          <w:tcPr>
            <w:tcW w:w="2900" w:type="dxa"/>
            <w:vAlign w:val="center"/>
          </w:tcPr>
          <w:p w14:paraId="031EE9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无</w:t>
            </w:r>
          </w:p>
        </w:tc>
        <w:tc>
          <w:tcPr>
            <w:tcW w:w="1783" w:type="dxa"/>
            <w:vMerge w:val="continue"/>
            <w:vAlign w:val="center"/>
          </w:tcPr>
          <w:p w14:paraId="75DDEA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3878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D53C9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p>
        </w:tc>
        <w:tc>
          <w:tcPr>
            <w:tcW w:w="2938" w:type="dxa"/>
            <w:vAlign w:val="center"/>
          </w:tcPr>
          <w:p w14:paraId="1F64D7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浑浊度</w:t>
            </w:r>
          </w:p>
        </w:tc>
        <w:tc>
          <w:tcPr>
            <w:tcW w:w="2900" w:type="dxa"/>
            <w:vAlign w:val="center"/>
          </w:tcPr>
          <w:p w14:paraId="522E11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783" w:type="dxa"/>
            <w:vMerge w:val="continue"/>
            <w:vAlign w:val="center"/>
          </w:tcPr>
          <w:p w14:paraId="2543D9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D46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AE0B2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w:t>
            </w:r>
          </w:p>
        </w:tc>
        <w:tc>
          <w:tcPr>
            <w:tcW w:w="2938" w:type="dxa"/>
            <w:vAlign w:val="center"/>
          </w:tcPr>
          <w:p w14:paraId="54C6FF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肉眼可见物</w:t>
            </w:r>
          </w:p>
        </w:tc>
        <w:tc>
          <w:tcPr>
            <w:tcW w:w="2900" w:type="dxa"/>
            <w:vAlign w:val="center"/>
          </w:tcPr>
          <w:p w14:paraId="2376CE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w:t>
            </w:r>
          </w:p>
        </w:tc>
        <w:tc>
          <w:tcPr>
            <w:tcW w:w="1783" w:type="dxa"/>
            <w:vMerge w:val="continue"/>
            <w:vAlign w:val="center"/>
          </w:tcPr>
          <w:p w14:paraId="166A82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2B5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76AF9B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5</w:t>
            </w:r>
          </w:p>
        </w:tc>
        <w:tc>
          <w:tcPr>
            <w:tcW w:w="2938" w:type="dxa"/>
            <w:vAlign w:val="center"/>
          </w:tcPr>
          <w:p w14:paraId="486A35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pH</w:t>
            </w:r>
          </w:p>
        </w:tc>
        <w:tc>
          <w:tcPr>
            <w:tcW w:w="2900" w:type="dxa"/>
            <w:vAlign w:val="center"/>
          </w:tcPr>
          <w:p w14:paraId="27B209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6.5-8.5</w:t>
            </w:r>
          </w:p>
        </w:tc>
        <w:tc>
          <w:tcPr>
            <w:tcW w:w="1783" w:type="dxa"/>
            <w:vMerge w:val="continue"/>
            <w:vAlign w:val="center"/>
          </w:tcPr>
          <w:p w14:paraId="20D0AC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364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4D17AB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w:t>
            </w:r>
          </w:p>
        </w:tc>
        <w:tc>
          <w:tcPr>
            <w:tcW w:w="2938" w:type="dxa"/>
            <w:vAlign w:val="center"/>
          </w:tcPr>
          <w:p w14:paraId="405D85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总硬度</w:t>
            </w:r>
          </w:p>
        </w:tc>
        <w:tc>
          <w:tcPr>
            <w:tcW w:w="2900" w:type="dxa"/>
            <w:vAlign w:val="center"/>
          </w:tcPr>
          <w:p w14:paraId="0369AD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450</w:t>
            </w:r>
          </w:p>
        </w:tc>
        <w:tc>
          <w:tcPr>
            <w:tcW w:w="1783" w:type="dxa"/>
            <w:vMerge w:val="continue"/>
            <w:vAlign w:val="center"/>
          </w:tcPr>
          <w:p w14:paraId="06DEDF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4FE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70D015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w:t>
            </w:r>
          </w:p>
        </w:tc>
        <w:tc>
          <w:tcPr>
            <w:tcW w:w="2938" w:type="dxa"/>
            <w:vAlign w:val="center"/>
          </w:tcPr>
          <w:p w14:paraId="387E41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溶解性总固体</w:t>
            </w:r>
          </w:p>
        </w:tc>
        <w:tc>
          <w:tcPr>
            <w:tcW w:w="2900" w:type="dxa"/>
            <w:vAlign w:val="center"/>
          </w:tcPr>
          <w:p w14:paraId="120F7F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1000</w:t>
            </w:r>
          </w:p>
        </w:tc>
        <w:tc>
          <w:tcPr>
            <w:tcW w:w="1783" w:type="dxa"/>
            <w:vMerge w:val="continue"/>
            <w:vAlign w:val="center"/>
          </w:tcPr>
          <w:p w14:paraId="260BF1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1ADD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68352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p>
        </w:tc>
        <w:tc>
          <w:tcPr>
            <w:tcW w:w="2938" w:type="dxa"/>
            <w:vAlign w:val="center"/>
          </w:tcPr>
          <w:p w14:paraId="07BB93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硫酸盐</w:t>
            </w:r>
          </w:p>
        </w:tc>
        <w:tc>
          <w:tcPr>
            <w:tcW w:w="2900" w:type="dxa"/>
            <w:vAlign w:val="center"/>
          </w:tcPr>
          <w:p w14:paraId="38D9E3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c>
          <w:tcPr>
            <w:tcW w:w="1783" w:type="dxa"/>
            <w:vMerge w:val="continue"/>
            <w:vAlign w:val="center"/>
          </w:tcPr>
          <w:p w14:paraId="2777D2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B9B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3BFB59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w:t>
            </w:r>
          </w:p>
        </w:tc>
        <w:tc>
          <w:tcPr>
            <w:tcW w:w="2938" w:type="dxa"/>
            <w:vAlign w:val="center"/>
          </w:tcPr>
          <w:p w14:paraId="4B1984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氯化物</w:t>
            </w:r>
          </w:p>
        </w:tc>
        <w:tc>
          <w:tcPr>
            <w:tcW w:w="2900" w:type="dxa"/>
            <w:vAlign w:val="center"/>
          </w:tcPr>
          <w:p w14:paraId="74F982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c>
          <w:tcPr>
            <w:tcW w:w="1783" w:type="dxa"/>
            <w:vMerge w:val="continue"/>
            <w:vAlign w:val="center"/>
          </w:tcPr>
          <w:p w14:paraId="05FDF7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983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90024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10</w:t>
            </w:r>
          </w:p>
        </w:tc>
        <w:tc>
          <w:tcPr>
            <w:tcW w:w="2938" w:type="dxa"/>
            <w:vAlign w:val="center"/>
          </w:tcPr>
          <w:p w14:paraId="074994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铁</w:t>
            </w:r>
          </w:p>
        </w:tc>
        <w:tc>
          <w:tcPr>
            <w:tcW w:w="2900" w:type="dxa"/>
            <w:vAlign w:val="center"/>
          </w:tcPr>
          <w:p w14:paraId="4D2388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0.3</w:t>
            </w:r>
          </w:p>
        </w:tc>
        <w:tc>
          <w:tcPr>
            <w:tcW w:w="1783" w:type="dxa"/>
            <w:vMerge w:val="continue"/>
            <w:vAlign w:val="center"/>
          </w:tcPr>
          <w:p w14:paraId="01C74C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915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B1F26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11</w:t>
            </w:r>
          </w:p>
        </w:tc>
        <w:tc>
          <w:tcPr>
            <w:tcW w:w="2938" w:type="dxa"/>
            <w:vAlign w:val="center"/>
          </w:tcPr>
          <w:p w14:paraId="0359D7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锰</w:t>
            </w:r>
          </w:p>
        </w:tc>
        <w:tc>
          <w:tcPr>
            <w:tcW w:w="2900" w:type="dxa"/>
            <w:vAlign w:val="center"/>
          </w:tcPr>
          <w:p w14:paraId="6E6394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0.10</w:t>
            </w:r>
          </w:p>
        </w:tc>
        <w:tc>
          <w:tcPr>
            <w:tcW w:w="1783" w:type="dxa"/>
            <w:vMerge w:val="continue"/>
            <w:vAlign w:val="center"/>
          </w:tcPr>
          <w:p w14:paraId="28B420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7CB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7021C7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12</w:t>
            </w:r>
          </w:p>
        </w:tc>
        <w:tc>
          <w:tcPr>
            <w:tcW w:w="2938" w:type="dxa"/>
            <w:vAlign w:val="center"/>
          </w:tcPr>
          <w:p w14:paraId="12138A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铜</w:t>
            </w:r>
          </w:p>
        </w:tc>
        <w:tc>
          <w:tcPr>
            <w:tcW w:w="2900" w:type="dxa"/>
            <w:vAlign w:val="center"/>
          </w:tcPr>
          <w:p w14:paraId="414E5C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783" w:type="dxa"/>
            <w:vMerge w:val="continue"/>
            <w:vAlign w:val="center"/>
          </w:tcPr>
          <w:p w14:paraId="5C3A83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437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08B53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13</w:t>
            </w:r>
          </w:p>
        </w:tc>
        <w:tc>
          <w:tcPr>
            <w:tcW w:w="2938" w:type="dxa"/>
            <w:vAlign w:val="center"/>
          </w:tcPr>
          <w:p w14:paraId="15FE00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锌</w:t>
            </w:r>
          </w:p>
        </w:tc>
        <w:tc>
          <w:tcPr>
            <w:tcW w:w="2900" w:type="dxa"/>
            <w:vAlign w:val="center"/>
          </w:tcPr>
          <w:p w14:paraId="6EE343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83" w:type="dxa"/>
            <w:vMerge w:val="continue"/>
            <w:vAlign w:val="center"/>
          </w:tcPr>
          <w:p w14:paraId="5F1F87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188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CFBE8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14</w:t>
            </w:r>
          </w:p>
        </w:tc>
        <w:tc>
          <w:tcPr>
            <w:tcW w:w="2938" w:type="dxa"/>
            <w:vAlign w:val="center"/>
          </w:tcPr>
          <w:p w14:paraId="2FE18B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铝</w:t>
            </w:r>
          </w:p>
        </w:tc>
        <w:tc>
          <w:tcPr>
            <w:tcW w:w="2900" w:type="dxa"/>
            <w:vAlign w:val="center"/>
          </w:tcPr>
          <w:p w14:paraId="586DF7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w:t>
            </w:r>
          </w:p>
        </w:tc>
        <w:tc>
          <w:tcPr>
            <w:tcW w:w="1783" w:type="dxa"/>
            <w:vMerge w:val="continue"/>
            <w:vAlign w:val="center"/>
          </w:tcPr>
          <w:p w14:paraId="26718C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1F4F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04501D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15</w:t>
            </w:r>
          </w:p>
        </w:tc>
        <w:tc>
          <w:tcPr>
            <w:tcW w:w="2938" w:type="dxa"/>
            <w:vAlign w:val="center"/>
          </w:tcPr>
          <w:p w14:paraId="521DEA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挥发性酚类</w:t>
            </w:r>
          </w:p>
        </w:tc>
        <w:tc>
          <w:tcPr>
            <w:tcW w:w="2900" w:type="dxa"/>
            <w:vAlign w:val="center"/>
          </w:tcPr>
          <w:p w14:paraId="300099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0.002</w:t>
            </w:r>
          </w:p>
        </w:tc>
        <w:tc>
          <w:tcPr>
            <w:tcW w:w="1783" w:type="dxa"/>
            <w:vMerge w:val="continue"/>
            <w:vAlign w:val="center"/>
          </w:tcPr>
          <w:p w14:paraId="73AC5C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33AF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93009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16</w:t>
            </w:r>
          </w:p>
        </w:tc>
        <w:tc>
          <w:tcPr>
            <w:tcW w:w="2938" w:type="dxa"/>
            <w:vAlign w:val="center"/>
          </w:tcPr>
          <w:p w14:paraId="68E0E2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阴离子表面活性剂</w:t>
            </w:r>
          </w:p>
        </w:tc>
        <w:tc>
          <w:tcPr>
            <w:tcW w:w="2900" w:type="dxa"/>
            <w:vAlign w:val="center"/>
          </w:tcPr>
          <w:p w14:paraId="49CAB8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0.3</w:t>
            </w:r>
          </w:p>
        </w:tc>
        <w:tc>
          <w:tcPr>
            <w:tcW w:w="1783" w:type="dxa"/>
            <w:vMerge w:val="continue"/>
            <w:vAlign w:val="center"/>
          </w:tcPr>
          <w:p w14:paraId="45E3AE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BAF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2CBC9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17</w:t>
            </w:r>
          </w:p>
        </w:tc>
        <w:tc>
          <w:tcPr>
            <w:tcW w:w="2938" w:type="dxa"/>
            <w:vAlign w:val="center"/>
          </w:tcPr>
          <w:p w14:paraId="2B1745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耗氧量</w:t>
            </w:r>
          </w:p>
        </w:tc>
        <w:tc>
          <w:tcPr>
            <w:tcW w:w="2900" w:type="dxa"/>
            <w:vAlign w:val="center"/>
          </w:tcPr>
          <w:p w14:paraId="03FE40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3.0</w:t>
            </w:r>
          </w:p>
        </w:tc>
        <w:tc>
          <w:tcPr>
            <w:tcW w:w="1783" w:type="dxa"/>
            <w:vMerge w:val="continue"/>
            <w:vAlign w:val="center"/>
          </w:tcPr>
          <w:p w14:paraId="5E66F1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AF8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01B66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18</w:t>
            </w:r>
          </w:p>
        </w:tc>
        <w:tc>
          <w:tcPr>
            <w:tcW w:w="2938" w:type="dxa"/>
            <w:vAlign w:val="center"/>
          </w:tcPr>
          <w:p w14:paraId="52DDFA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氨氮</w:t>
            </w:r>
          </w:p>
        </w:tc>
        <w:tc>
          <w:tcPr>
            <w:tcW w:w="2900" w:type="dxa"/>
            <w:vAlign w:val="center"/>
          </w:tcPr>
          <w:p w14:paraId="6D2079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GB"/>
              </w:rPr>
              <w:t>0.5</w:t>
            </w:r>
          </w:p>
        </w:tc>
        <w:tc>
          <w:tcPr>
            <w:tcW w:w="1783" w:type="dxa"/>
            <w:vMerge w:val="continue"/>
            <w:vAlign w:val="center"/>
          </w:tcPr>
          <w:p w14:paraId="74B280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3EE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0F09D5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19</w:t>
            </w:r>
          </w:p>
        </w:tc>
        <w:tc>
          <w:tcPr>
            <w:tcW w:w="2938" w:type="dxa"/>
            <w:vAlign w:val="center"/>
          </w:tcPr>
          <w:p w14:paraId="286E10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硫化物</w:t>
            </w:r>
          </w:p>
        </w:tc>
        <w:tc>
          <w:tcPr>
            <w:tcW w:w="2900" w:type="dxa"/>
            <w:vAlign w:val="center"/>
          </w:tcPr>
          <w:p w14:paraId="438683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1783" w:type="dxa"/>
            <w:vMerge w:val="continue"/>
            <w:vAlign w:val="center"/>
          </w:tcPr>
          <w:p w14:paraId="4F86E3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91A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2DE07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20</w:t>
            </w:r>
          </w:p>
        </w:tc>
        <w:tc>
          <w:tcPr>
            <w:tcW w:w="2938" w:type="dxa"/>
            <w:vAlign w:val="center"/>
          </w:tcPr>
          <w:p w14:paraId="3E61DF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钠</w:t>
            </w:r>
          </w:p>
        </w:tc>
        <w:tc>
          <w:tcPr>
            <w:tcW w:w="2900" w:type="dxa"/>
            <w:vAlign w:val="center"/>
          </w:tcPr>
          <w:p w14:paraId="348988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1783" w:type="dxa"/>
            <w:vMerge w:val="continue"/>
            <w:vAlign w:val="center"/>
          </w:tcPr>
          <w:p w14:paraId="3C726C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CB2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94" w:type="dxa"/>
            <w:gridSpan w:val="3"/>
            <w:vAlign w:val="center"/>
          </w:tcPr>
          <w:p w14:paraId="27A807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微生物指标</w:t>
            </w:r>
          </w:p>
        </w:tc>
        <w:tc>
          <w:tcPr>
            <w:tcW w:w="1783" w:type="dxa"/>
            <w:vMerge w:val="continue"/>
            <w:vAlign w:val="center"/>
          </w:tcPr>
          <w:p w14:paraId="3C81A7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BC4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8818F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w:t>
            </w:r>
          </w:p>
        </w:tc>
        <w:tc>
          <w:tcPr>
            <w:tcW w:w="2938" w:type="dxa"/>
            <w:vAlign w:val="center"/>
          </w:tcPr>
          <w:p w14:paraId="7D5B5B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总大肠菌群</w:t>
            </w:r>
          </w:p>
        </w:tc>
        <w:tc>
          <w:tcPr>
            <w:tcW w:w="2900" w:type="dxa"/>
            <w:vAlign w:val="center"/>
          </w:tcPr>
          <w:p w14:paraId="27645C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MPN</w:t>
            </w:r>
            <w:r>
              <w:rPr>
                <w:rFonts w:hint="default" w:ascii="Times New Roman" w:hAnsi="Times New Roman" w:eastAsia="宋体" w:cs="Times New Roman"/>
                <w:color w:val="auto"/>
                <w:sz w:val="21"/>
                <w:szCs w:val="21"/>
                <w:highlight w:val="none"/>
                <w:vertAlign w:val="superscript"/>
              </w:rPr>
              <w:t>b</w:t>
            </w:r>
            <w:r>
              <w:rPr>
                <w:rFonts w:hint="default" w:ascii="Times New Roman" w:hAnsi="Times New Roman" w:eastAsia="宋体" w:cs="Times New Roman"/>
                <w:color w:val="auto"/>
                <w:sz w:val="21"/>
                <w:szCs w:val="21"/>
                <w:highlight w:val="none"/>
              </w:rPr>
              <w:t>/100ml</w:t>
            </w:r>
            <w:r>
              <w:rPr>
                <w:rFonts w:hint="default" w:ascii="Times New Roman" w:hAnsi="Times New Roman" w:eastAsia="宋体" w:cs="Times New Roman"/>
                <w:color w:val="auto"/>
                <w:sz w:val="21"/>
                <w:szCs w:val="21"/>
                <w:highlight w:val="none"/>
                <w:lang w:eastAsia="zh-CN"/>
              </w:rPr>
              <w:t>）</w:t>
            </w:r>
          </w:p>
        </w:tc>
        <w:tc>
          <w:tcPr>
            <w:tcW w:w="1783" w:type="dxa"/>
            <w:vMerge w:val="continue"/>
            <w:vAlign w:val="center"/>
          </w:tcPr>
          <w:p w14:paraId="158D38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74BC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4FA541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w:t>
            </w:r>
          </w:p>
        </w:tc>
        <w:tc>
          <w:tcPr>
            <w:tcW w:w="2938" w:type="dxa"/>
            <w:vAlign w:val="center"/>
          </w:tcPr>
          <w:p w14:paraId="304F1F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菌落总数</w:t>
            </w:r>
          </w:p>
        </w:tc>
        <w:tc>
          <w:tcPr>
            <w:tcW w:w="2900" w:type="dxa"/>
            <w:vAlign w:val="center"/>
          </w:tcPr>
          <w:p w14:paraId="6E9055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100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CFU/ml</w:t>
            </w:r>
            <w:r>
              <w:rPr>
                <w:rFonts w:hint="default" w:ascii="Times New Roman" w:hAnsi="Times New Roman" w:eastAsia="宋体" w:cs="Times New Roman"/>
                <w:color w:val="auto"/>
                <w:sz w:val="21"/>
                <w:szCs w:val="21"/>
                <w:highlight w:val="none"/>
                <w:lang w:eastAsia="zh-CN"/>
              </w:rPr>
              <w:t>）</w:t>
            </w:r>
          </w:p>
        </w:tc>
        <w:tc>
          <w:tcPr>
            <w:tcW w:w="1783" w:type="dxa"/>
            <w:vMerge w:val="continue"/>
            <w:vAlign w:val="center"/>
          </w:tcPr>
          <w:p w14:paraId="0118FD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72EA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94" w:type="dxa"/>
            <w:gridSpan w:val="3"/>
            <w:vAlign w:val="center"/>
          </w:tcPr>
          <w:p w14:paraId="09E695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毒理学指标</w:t>
            </w:r>
          </w:p>
        </w:tc>
        <w:tc>
          <w:tcPr>
            <w:tcW w:w="1783" w:type="dxa"/>
            <w:vMerge w:val="continue"/>
            <w:vAlign w:val="center"/>
          </w:tcPr>
          <w:p w14:paraId="754596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7E7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55DDDA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2938" w:type="dxa"/>
            <w:vAlign w:val="center"/>
          </w:tcPr>
          <w:p w14:paraId="2E5EF8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亚硝酸盐（以氮计）</w:t>
            </w:r>
          </w:p>
        </w:tc>
        <w:tc>
          <w:tcPr>
            <w:tcW w:w="2900" w:type="dxa"/>
            <w:vAlign w:val="center"/>
          </w:tcPr>
          <w:p w14:paraId="147B65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1.0</w:t>
            </w:r>
          </w:p>
        </w:tc>
        <w:tc>
          <w:tcPr>
            <w:tcW w:w="1783" w:type="dxa"/>
            <w:vMerge w:val="continue"/>
            <w:vAlign w:val="center"/>
          </w:tcPr>
          <w:p w14:paraId="64DBE3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1E8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81BA4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2938" w:type="dxa"/>
            <w:vAlign w:val="center"/>
          </w:tcPr>
          <w:p w14:paraId="7A847C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硝酸盐（以氮计）</w:t>
            </w:r>
          </w:p>
        </w:tc>
        <w:tc>
          <w:tcPr>
            <w:tcW w:w="2900" w:type="dxa"/>
            <w:vAlign w:val="center"/>
          </w:tcPr>
          <w:p w14:paraId="4C3C31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20</w:t>
            </w:r>
          </w:p>
        </w:tc>
        <w:tc>
          <w:tcPr>
            <w:tcW w:w="1783" w:type="dxa"/>
            <w:vMerge w:val="continue"/>
            <w:vAlign w:val="center"/>
          </w:tcPr>
          <w:p w14:paraId="114910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A89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477AB5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2938" w:type="dxa"/>
            <w:vAlign w:val="center"/>
          </w:tcPr>
          <w:p w14:paraId="12168D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氰化物</w:t>
            </w:r>
          </w:p>
        </w:tc>
        <w:tc>
          <w:tcPr>
            <w:tcW w:w="2900" w:type="dxa"/>
            <w:vAlign w:val="center"/>
          </w:tcPr>
          <w:p w14:paraId="5D3819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0.05</w:t>
            </w:r>
          </w:p>
        </w:tc>
        <w:tc>
          <w:tcPr>
            <w:tcW w:w="1783" w:type="dxa"/>
            <w:vMerge w:val="continue"/>
            <w:vAlign w:val="center"/>
          </w:tcPr>
          <w:p w14:paraId="1BDE5F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CED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7EE563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2938" w:type="dxa"/>
            <w:vAlign w:val="center"/>
          </w:tcPr>
          <w:p w14:paraId="7F3B24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氟化物</w:t>
            </w:r>
          </w:p>
        </w:tc>
        <w:tc>
          <w:tcPr>
            <w:tcW w:w="2900" w:type="dxa"/>
            <w:vAlign w:val="center"/>
          </w:tcPr>
          <w:p w14:paraId="2A12AB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783" w:type="dxa"/>
            <w:vMerge w:val="continue"/>
            <w:vAlign w:val="center"/>
          </w:tcPr>
          <w:p w14:paraId="3407F6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64E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33C7B5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2938" w:type="dxa"/>
            <w:vAlign w:val="center"/>
          </w:tcPr>
          <w:p w14:paraId="647DBA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碘化物</w:t>
            </w:r>
          </w:p>
        </w:tc>
        <w:tc>
          <w:tcPr>
            <w:tcW w:w="2900" w:type="dxa"/>
            <w:vAlign w:val="center"/>
          </w:tcPr>
          <w:p w14:paraId="128E15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0.08</w:t>
            </w:r>
          </w:p>
        </w:tc>
        <w:tc>
          <w:tcPr>
            <w:tcW w:w="1783" w:type="dxa"/>
            <w:vMerge w:val="continue"/>
            <w:vAlign w:val="center"/>
          </w:tcPr>
          <w:p w14:paraId="199762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0FD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5EA565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2938" w:type="dxa"/>
            <w:vAlign w:val="center"/>
          </w:tcPr>
          <w:p w14:paraId="231570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汞</w:t>
            </w:r>
          </w:p>
        </w:tc>
        <w:tc>
          <w:tcPr>
            <w:tcW w:w="2900" w:type="dxa"/>
            <w:vAlign w:val="center"/>
          </w:tcPr>
          <w:p w14:paraId="7B6543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0.001</w:t>
            </w:r>
          </w:p>
        </w:tc>
        <w:tc>
          <w:tcPr>
            <w:tcW w:w="1783" w:type="dxa"/>
            <w:vMerge w:val="continue"/>
            <w:vAlign w:val="center"/>
          </w:tcPr>
          <w:p w14:paraId="32E90E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DD7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5A2546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2938" w:type="dxa"/>
            <w:vAlign w:val="center"/>
          </w:tcPr>
          <w:p w14:paraId="159358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砷</w:t>
            </w:r>
          </w:p>
        </w:tc>
        <w:tc>
          <w:tcPr>
            <w:tcW w:w="2900" w:type="dxa"/>
            <w:vAlign w:val="center"/>
          </w:tcPr>
          <w:p w14:paraId="31C13C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0.01</w:t>
            </w:r>
          </w:p>
        </w:tc>
        <w:tc>
          <w:tcPr>
            <w:tcW w:w="1783" w:type="dxa"/>
            <w:vMerge w:val="continue"/>
            <w:vAlign w:val="center"/>
          </w:tcPr>
          <w:p w14:paraId="2E6229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3596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04DB0B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2938" w:type="dxa"/>
            <w:vAlign w:val="center"/>
          </w:tcPr>
          <w:p w14:paraId="5E2022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硒</w:t>
            </w:r>
          </w:p>
        </w:tc>
        <w:tc>
          <w:tcPr>
            <w:tcW w:w="2900" w:type="dxa"/>
            <w:vAlign w:val="center"/>
          </w:tcPr>
          <w:p w14:paraId="15DBE3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1783" w:type="dxa"/>
            <w:vMerge w:val="continue"/>
            <w:vAlign w:val="center"/>
          </w:tcPr>
          <w:p w14:paraId="2B61BF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2D93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98E57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w:t>
            </w:r>
          </w:p>
        </w:tc>
        <w:tc>
          <w:tcPr>
            <w:tcW w:w="2938" w:type="dxa"/>
            <w:vAlign w:val="center"/>
          </w:tcPr>
          <w:p w14:paraId="36803F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镉</w:t>
            </w:r>
          </w:p>
        </w:tc>
        <w:tc>
          <w:tcPr>
            <w:tcW w:w="2900" w:type="dxa"/>
            <w:vAlign w:val="center"/>
          </w:tcPr>
          <w:p w14:paraId="67237C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0.005</w:t>
            </w:r>
          </w:p>
        </w:tc>
        <w:tc>
          <w:tcPr>
            <w:tcW w:w="1783" w:type="dxa"/>
            <w:vMerge w:val="continue"/>
            <w:vAlign w:val="center"/>
          </w:tcPr>
          <w:p w14:paraId="3774F1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08E2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F7D85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2938" w:type="dxa"/>
            <w:vAlign w:val="center"/>
          </w:tcPr>
          <w:p w14:paraId="5999D5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铬</w:t>
            </w:r>
            <w:r>
              <w:rPr>
                <w:rFonts w:hint="default" w:ascii="Times New Roman" w:hAnsi="Times New Roman" w:eastAsia="宋体" w:cs="Times New Roman"/>
                <w:color w:val="auto"/>
                <w:sz w:val="21"/>
                <w:szCs w:val="21"/>
                <w:highlight w:val="none"/>
                <w:lang w:eastAsia="zh-CN"/>
              </w:rPr>
              <w:t>（六价）</w:t>
            </w:r>
          </w:p>
        </w:tc>
        <w:tc>
          <w:tcPr>
            <w:tcW w:w="2900" w:type="dxa"/>
            <w:vAlign w:val="center"/>
          </w:tcPr>
          <w:p w14:paraId="42BB2D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c>
          <w:tcPr>
            <w:tcW w:w="1783" w:type="dxa"/>
            <w:vMerge w:val="continue"/>
            <w:vAlign w:val="center"/>
          </w:tcPr>
          <w:p w14:paraId="31D230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2DCB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61572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w:t>
            </w:r>
          </w:p>
        </w:tc>
        <w:tc>
          <w:tcPr>
            <w:tcW w:w="2938" w:type="dxa"/>
            <w:vAlign w:val="center"/>
          </w:tcPr>
          <w:p w14:paraId="10944B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铅</w:t>
            </w:r>
          </w:p>
        </w:tc>
        <w:tc>
          <w:tcPr>
            <w:tcW w:w="2900" w:type="dxa"/>
            <w:vAlign w:val="center"/>
          </w:tcPr>
          <w:p w14:paraId="027801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0.01</w:t>
            </w:r>
          </w:p>
        </w:tc>
        <w:tc>
          <w:tcPr>
            <w:tcW w:w="1783" w:type="dxa"/>
            <w:vMerge w:val="continue"/>
            <w:vAlign w:val="center"/>
          </w:tcPr>
          <w:p w14:paraId="5A61BF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65AB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825E8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w:t>
            </w:r>
          </w:p>
        </w:tc>
        <w:tc>
          <w:tcPr>
            <w:tcW w:w="2938" w:type="dxa"/>
            <w:vAlign w:val="center"/>
          </w:tcPr>
          <w:p w14:paraId="3B23C0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p>
        </w:tc>
        <w:tc>
          <w:tcPr>
            <w:tcW w:w="2900" w:type="dxa"/>
            <w:vAlign w:val="center"/>
          </w:tcPr>
          <w:p w14:paraId="2671D5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3E77D7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7934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22C57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w:t>
            </w:r>
          </w:p>
        </w:tc>
        <w:tc>
          <w:tcPr>
            <w:tcW w:w="2938" w:type="dxa"/>
            <w:vAlign w:val="center"/>
          </w:tcPr>
          <w:p w14:paraId="1A5045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p>
        </w:tc>
        <w:tc>
          <w:tcPr>
            <w:tcW w:w="2900" w:type="dxa"/>
            <w:vAlign w:val="center"/>
          </w:tcPr>
          <w:p w14:paraId="403230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0DD5CC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945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14F575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w:t>
            </w:r>
          </w:p>
        </w:tc>
        <w:tc>
          <w:tcPr>
            <w:tcW w:w="2938" w:type="dxa"/>
            <w:vAlign w:val="center"/>
          </w:tcPr>
          <w:p w14:paraId="237785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p>
        </w:tc>
        <w:tc>
          <w:tcPr>
            <w:tcW w:w="2900" w:type="dxa"/>
            <w:vAlign w:val="center"/>
          </w:tcPr>
          <w:p w14:paraId="21C410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4510BB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2FAC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E3BF3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37</w:t>
            </w:r>
          </w:p>
        </w:tc>
        <w:tc>
          <w:tcPr>
            <w:tcW w:w="2938" w:type="dxa"/>
            <w:vAlign w:val="center"/>
          </w:tcPr>
          <w:p w14:paraId="568E77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p>
        </w:tc>
        <w:tc>
          <w:tcPr>
            <w:tcW w:w="2900" w:type="dxa"/>
            <w:vAlign w:val="center"/>
          </w:tcPr>
          <w:p w14:paraId="70A932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4C042B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1FE6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7E81D6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w:t>
            </w:r>
          </w:p>
        </w:tc>
        <w:tc>
          <w:tcPr>
            <w:tcW w:w="2938" w:type="dxa"/>
            <w:vAlign w:val="center"/>
          </w:tcPr>
          <w:p w14:paraId="5B7105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p>
        </w:tc>
        <w:tc>
          <w:tcPr>
            <w:tcW w:w="2900" w:type="dxa"/>
            <w:vAlign w:val="center"/>
          </w:tcPr>
          <w:p w14:paraId="6C662D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23123E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2DC8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05ACB3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w:t>
            </w:r>
          </w:p>
        </w:tc>
        <w:tc>
          <w:tcPr>
            <w:tcW w:w="2938" w:type="dxa"/>
            <w:vAlign w:val="center"/>
          </w:tcPr>
          <w:p w14:paraId="274AE6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rPr>
              <w:t>SO</w:t>
            </w:r>
            <w:r>
              <w:rPr>
                <w:rFonts w:hint="default" w:ascii="Times New Roman" w:hAnsi="Times New Roman" w:eastAsia="宋体" w:cs="Times New Roman"/>
                <w:color w:val="auto"/>
                <w:sz w:val="21"/>
                <w:szCs w:val="21"/>
                <w:highlight w:val="none"/>
                <w:vertAlign w:val="subscript"/>
                <w:lang w:val="en-US"/>
              </w:rPr>
              <w:t>4</w:t>
            </w:r>
            <w:r>
              <w:rPr>
                <w:rFonts w:hint="default" w:ascii="Times New Roman" w:hAnsi="Times New Roman" w:eastAsia="宋体" w:cs="Times New Roman"/>
                <w:color w:val="auto"/>
                <w:sz w:val="21"/>
                <w:szCs w:val="21"/>
                <w:highlight w:val="none"/>
                <w:vertAlign w:val="superscript"/>
                <w:lang w:val="en-US"/>
              </w:rPr>
              <w:t>2-</w:t>
            </w:r>
          </w:p>
        </w:tc>
        <w:tc>
          <w:tcPr>
            <w:tcW w:w="2900" w:type="dxa"/>
            <w:vAlign w:val="center"/>
          </w:tcPr>
          <w:p w14:paraId="2AB830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13D123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7F55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629152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2938" w:type="dxa"/>
            <w:vAlign w:val="center"/>
          </w:tcPr>
          <w:p w14:paraId="210071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HCO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superscript"/>
                <w:lang w:val="en-US"/>
              </w:rPr>
              <w:t>-</w:t>
            </w:r>
          </w:p>
        </w:tc>
        <w:tc>
          <w:tcPr>
            <w:tcW w:w="2900" w:type="dxa"/>
            <w:vAlign w:val="center"/>
          </w:tcPr>
          <w:p w14:paraId="0E53EE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49CBB8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D19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2D05A5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41</w:t>
            </w:r>
          </w:p>
        </w:tc>
        <w:tc>
          <w:tcPr>
            <w:tcW w:w="2938" w:type="dxa"/>
            <w:vAlign w:val="center"/>
          </w:tcPr>
          <w:p w14:paraId="3B40A2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CO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superscript"/>
                <w:lang w:val="en-US"/>
              </w:rPr>
              <w:t>2-</w:t>
            </w:r>
          </w:p>
        </w:tc>
        <w:tc>
          <w:tcPr>
            <w:tcW w:w="2900" w:type="dxa"/>
            <w:vAlign w:val="center"/>
          </w:tcPr>
          <w:p w14:paraId="6CFC9D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783" w:type="dxa"/>
            <w:vMerge w:val="continue"/>
            <w:vAlign w:val="center"/>
          </w:tcPr>
          <w:p w14:paraId="13112B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bl>
    <w:p w14:paraId="5A34E729">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2.4.4.3土壤质量</w:t>
      </w:r>
    </w:p>
    <w:p w14:paraId="0029E7C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区</w:t>
      </w:r>
      <w:r>
        <w:rPr>
          <w:rFonts w:hint="default" w:ascii="Times New Roman" w:hAnsi="Times New Roman" w:eastAsia="宋体" w:cs="Times New Roman"/>
          <w:color w:val="auto"/>
          <w:highlight w:val="none"/>
        </w:rPr>
        <w:t>土壤</w:t>
      </w:r>
      <w:r>
        <w:rPr>
          <w:rFonts w:hint="default" w:ascii="Times New Roman" w:hAnsi="Times New Roman" w:eastAsia="宋体" w:cs="Times New Roman"/>
          <w:color w:val="auto"/>
          <w:highlight w:val="none"/>
          <w:lang w:eastAsia="zh-CN"/>
        </w:rPr>
        <w:t>环境质量</w:t>
      </w:r>
      <w:r>
        <w:rPr>
          <w:rFonts w:hint="default" w:ascii="Times New Roman" w:hAnsi="Times New Roman" w:eastAsia="宋体" w:cs="Times New Roman"/>
          <w:color w:val="auto"/>
          <w:highlight w:val="none"/>
        </w:rPr>
        <w:t>执行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土壤环境质量 建设用地土壤污染风险管控标准</w:t>
      </w:r>
      <w:r>
        <w:rPr>
          <w:rFonts w:hint="default" w:ascii="Times New Roman" w:hAnsi="Times New Roman" w:eastAsia="宋体" w:cs="Times New Roman"/>
          <w:color w:val="auto"/>
          <w:highlight w:val="none"/>
          <w:lang w:eastAsia="zh-CN"/>
        </w:rPr>
        <w:t>（试行）》（GB36600-2018）第二类用地筛选值的限值要求</w:t>
      </w:r>
      <w:r>
        <w:rPr>
          <w:rFonts w:hint="default" w:ascii="Times New Roman" w:hAnsi="Times New Roman" w:eastAsia="宋体" w:cs="Times New Roman"/>
          <w:color w:val="auto"/>
          <w:highlight w:val="none"/>
        </w:rPr>
        <w:t>，见下表。</w:t>
      </w:r>
    </w:p>
    <w:p w14:paraId="709E0FB3">
      <w:pPr>
        <w:pageBreakBefore w:val="0"/>
        <w:shd w:val="clear"/>
        <w:tabs>
          <w:tab w:val="left" w:pos="780"/>
          <w:tab w:val="left" w:pos="1077"/>
          <w:tab w:val="left" w:pos="3419"/>
        </w:tabs>
        <w:kinsoku/>
        <w:wordWrap/>
        <w:bidi w:val="0"/>
        <w:spacing w:line="240" w:lineRule="auto"/>
        <w:ind w:left="0" w:leftChars="0" w:firstLine="0" w:firstLineChars="0"/>
        <w:jc w:val="center"/>
        <w:rPr>
          <w:rFonts w:hint="default" w:ascii="Times New Roman" w:hAnsi="Times New Roman" w:eastAsia="宋体" w:cs="Times New Roman"/>
          <w:b/>
          <w:caps w:val="0"/>
          <w:smallCaps w:val="0"/>
          <w:color w:val="auto"/>
          <w:highlight w:val="none"/>
        </w:rPr>
      </w:pPr>
      <w:r>
        <w:rPr>
          <w:rFonts w:hint="default" w:ascii="Times New Roman" w:hAnsi="Times New Roman" w:eastAsia="宋体" w:cs="Times New Roman"/>
          <w:b/>
          <w:caps w:val="0"/>
          <w:smallCaps w:val="0"/>
          <w:color w:val="auto"/>
          <w:highlight w:val="none"/>
        </w:rPr>
        <w:t>表2.4-</w:t>
      </w:r>
      <w:bookmarkStart w:id="169" w:name="_Hlk530432543"/>
      <w:r>
        <w:rPr>
          <w:rFonts w:hint="default" w:ascii="Times New Roman" w:hAnsi="Times New Roman" w:eastAsia="宋体" w:cs="Times New Roman"/>
          <w:b/>
          <w:caps w:val="0"/>
          <w:smallCaps w:val="0"/>
          <w:color w:val="auto"/>
          <w:highlight w:val="none"/>
          <w:lang w:val="en-US" w:eastAsia="zh-CN"/>
        </w:rPr>
        <w:t xml:space="preserve">3  </w:t>
      </w:r>
      <w:r>
        <w:rPr>
          <w:rFonts w:hint="default" w:ascii="Times New Roman" w:hAnsi="Times New Roman" w:eastAsia="宋体" w:cs="Times New Roman"/>
          <w:b/>
          <w:caps w:val="0"/>
          <w:smallCaps w:val="0"/>
          <w:color w:val="auto"/>
          <w:highlight w:val="none"/>
        </w:rPr>
        <w:t>《</w:t>
      </w:r>
      <w:r>
        <w:rPr>
          <w:rFonts w:hint="default" w:ascii="Times New Roman" w:hAnsi="Times New Roman" w:eastAsia="宋体" w:cs="Times New Roman"/>
          <w:b/>
          <w:caps w:val="0"/>
          <w:smallCaps w:val="0"/>
          <w:color w:val="auto"/>
          <w:highlight w:val="none"/>
          <w:lang w:eastAsia="zh-CN"/>
        </w:rPr>
        <w:t>土壤环境质量 建设用地土壤污染风险管控标准</w:t>
      </w:r>
      <w:r>
        <w:rPr>
          <w:rFonts w:hint="default" w:ascii="Times New Roman" w:hAnsi="Times New Roman" w:eastAsia="宋体" w:cs="Times New Roman"/>
          <w:b/>
          <w:caps w:val="0"/>
          <w:smallCaps w:val="0"/>
          <w:color w:val="auto"/>
          <w:highlight w:val="none"/>
        </w:rPr>
        <w:t>》</w:t>
      </w:r>
      <w:bookmarkEnd w:id="169"/>
      <w:r>
        <w:rPr>
          <w:rFonts w:hint="default" w:ascii="Times New Roman" w:hAnsi="Times New Roman" w:eastAsia="宋体" w:cs="Times New Roman"/>
          <w:b/>
          <w:caps w:val="0"/>
          <w:smallCaps w:val="0"/>
          <w:color w:val="auto"/>
          <w:highlight w:val="none"/>
        </w:rPr>
        <w:t>单位：mg/kg</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2773"/>
        <w:gridCol w:w="42"/>
        <w:gridCol w:w="2012"/>
        <w:gridCol w:w="2708"/>
      </w:tblGrid>
      <w:tr w14:paraId="583E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vMerge w:val="restart"/>
            <w:noWrap w:val="0"/>
            <w:vAlign w:val="center"/>
          </w:tcPr>
          <w:p w14:paraId="634A72F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aps w:val="0"/>
                <w:smallCaps w:val="0"/>
                <w:color w:val="auto"/>
                <w:kern w:val="0"/>
                <w:sz w:val="21"/>
                <w:szCs w:val="21"/>
                <w:highlight w:val="none"/>
              </w:rPr>
            </w:pPr>
            <w:r>
              <w:rPr>
                <w:rFonts w:hint="default" w:ascii="Times New Roman" w:hAnsi="Times New Roman" w:eastAsia="宋体" w:cs="Times New Roman"/>
                <w:b/>
                <w:bCs/>
                <w:caps w:val="0"/>
                <w:smallCaps w:val="0"/>
                <w:color w:val="auto"/>
                <w:kern w:val="0"/>
                <w:sz w:val="21"/>
                <w:szCs w:val="21"/>
                <w:highlight w:val="none"/>
              </w:rPr>
              <w:t>序号</w:t>
            </w:r>
          </w:p>
        </w:tc>
        <w:tc>
          <w:tcPr>
            <w:tcW w:w="2901" w:type="dxa"/>
            <w:gridSpan w:val="2"/>
            <w:vMerge w:val="restart"/>
            <w:noWrap w:val="0"/>
            <w:vAlign w:val="center"/>
          </w:tcPr>
          <w:p w14:paraId="5040151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aps w:val="0"/>
                <w:smallCaps w:val="0"/>
                <w:color w:val="auto"/>
                <w:kern w:val="0"/>
                <w:sz w:val="21"/>
                <w:szCs w:val="21"/>
                <w:highlight w:val="none"/>
              </w:rPr>
            </w:pPr>
            <w:r>
              <w:rPr>
                <w:rFonts w:hint="default" w:ascii="Times New Roman" w:hAnsi="Times New Roman" w:eastAsia="宋体" w:cs="Times New Roman"/>
                <w:b/>
                <w:bCs/>
                <w:caps w:val="0"/>
                <w:smallCaps w:val="0"/>
                <w:color w:val="auto"/>
                <w:kern w:val="0"/>
                <w:sz w:val="21"/>
                <w:szCs w:val="21"/>
                <w:highlight w:val="none"/>
              </w:rPr>
              <w:t>污染物项目</w:t>
            </w:r>
          </w:p>
        </w:tc>
        <w:tc>
          <w:tcPr>
            <w:tcW w:w="2071" w:type="dxa"/>
            <w:vMerge w:val="restart"/>
            <w:noWrap w:val="0"/>
            <w:vAlign w:val="center"/>
          </w:tcPr>
          <w:p w14:paraId="1812FF7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aps w:val="0"/>
                <w:smallCaps w:val="0"/>
                <w:color w:val="auto"/>
                <w:kern w:val="0"/>
                <w:sz w:val="21"/>
                <w:szCs w:val="21"/>
                <w:highlight w:val="none"/>
              </w:rPr>
            </w:pPr>
            <w:r>
              <w:rPr>
                <w:rFonts w:hint="default" w:ascii="Times New Roman" w:hAnsi="Times New Roman" w:eastAsia="宋体" w:cs="Times New Roman"/>
                <w:b/>
                <w:bCs/>
                <w:caps w:val="0"/>
                <w:smallCaps w:val="0"/>
                <w:color w:val="auto"/>
                <w:kern w:val="0"/>
                <w:sz w:val="21"/>
                <w:szCs w:val="21"/>
                <w:highlight w:val="none"/>
              </w:rPr>
              <w:t>CAS编号</w:t>
            </w:r>
          </w:p>
        </w:tc>
        <w:tc>
          <w:tcPr>
            <w:tcW w:w="2790" w:type="dxa"/>
            <w:noWrap w:val="0"/>
            <w:vAlign w:val="center"/>
          </w:tcPr>
          <w:p w14:paraId="41E9D5C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aps w:val="0"/>
                <w:smallCaps w:val="0"/>
                <w:color w:val="auto"/>
                <w:kern w:val="0"/>
                <w:sz w:val="21"/>
                <w:szCs w:val="21"/>
                <w:highlight w:val="none"/>
              </w:rPr>
            </w:pPr>
            <w:r>
              <w:rPr>
                <w:rFonts w:hint="default" w:ascii="Times New Roman" w:hAnsi="Times New Roman" w:eastAsia="宋体" w:cs="Times New Roman"/>
                <w:b/>
                <w:bCs/>
                <w:caps w:val="0"/>
                <w:smallCaps w:val="0"/>
                <w:color w:val="auto"/>
                <w:kern w:val="0"/>
                <w:sz w:val="21"/>
                <w:szCs w:val="21"/>
                <w:highlight w:val="none"/>
              </w:rPr>
              <w:t>筛选值</w:t>
            </w:r>
          </w:p>
        </w:tc>
      </w:tr>
      <w:tr w14:paraId="03C2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vMerge w:val="continue"/>
            <w:noWrap w:val="0"/>
            <w:vAlign w:val="center"/>
          </w:tcPr>
          <w:p w14:paraId="3AE95088">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b/>
                <w:bCs/>
                <w:caps w:val="0"/>
                <w:smallCaps w:val="0"/>
                <w:color w:val="auto"/>
                <w:kern w:val="0"/>
                <w:sz w:val="21"/>
                <w:szCs w:val="21"/>
                <w:highlight w:val="none"/>
              </w:rPr>
            </w:pPr>
          </w:p>
        </w:tc>
        <w:tc>
          <w:tcPr>
            <w:tcW w:w="2901" w:type="dxa"/>
            <w:gridSpan w:val="2"/>
            <w:vMerge w:val="continue"/>
            <w:noWrap w:val="0"/>
            <w:vAlign w:val="center"/>
          </w:tcPr>
          <w:p w14:paraId="56569B69">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b/>
                <w:bCs/>
                <w:caps w:val="0"/>
                <w:smallCaps w:val="0"/>
                <w:color w:val="auto"/>
                <w:kern w:val="0"/>
                <w:sz w:val="21"/>
                <w:szCs w:val="21"/>
                <w:highlight w:val="none"/>
              </w:rPr>
            </w:pPr>
          </w:p>
        </w:tc>
        <w:tc>
          <w:tcPr>
            <w:tcW w:w="2071" w:type="dxa"/>
            <w:vMerge w:val="continue"/>
            <w:noWrap w:val="0"/>
            <w:vAlign w:val="center"/>
          </w:tcPr>
          <w:p w14:paraId="77156A1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b/>
                <w:bCs/>
                <w:caps w:val="0"/>
                <w:smallCaps w:val="0"/>
                <w:color w:val="auto"/>
                <w:kern w:val="0"/>
                <w:sz w:val="21"/>
                <w:szCs w:val="21"/>
                <w:highlight w:val="none"/>
              </w:rPr>
            </w:pPr>
          </w:p>
        </w:tc>
        <w:tc>
          <w:tcPr>
            <w:tcW w:w="2790" w:type="dxa"/>
            <w:noWrap w:val="0"/>
            <w:vAlign w:val="center"/>
          </w:tcPr>
          <w:p w14:paraId="36859DE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aps w:val="0"/>
                <w:smallCaps w:val="0"/>
                <w:color w:val="auto"/>
                <w:kern w:val="0"/>
                <w:sz w:val="21"/>
                <w:szCs w:val="21"/>
                <w:highlight w:val="none"/>
              </w:rPr>
            </w:pPr>
            <w:r>
              <w:rPr>
                <w:rFonts w:hint="default" w:ascii="Times New Roman" w:hAnsi="Times New Roman" w:eastAsia="宋体" w:cs="Times New Roman"/>
                <w:b/>
                <w:bCs/>
                <w:caps w:val="0"/>
                <w:smallCaps w:val="0"/>
                <w:color w:val="auto"/>
                <w:kern w:val="0"/>
                <w:sz w:val="21"/>
                <w:szCs w:val="21"/>
                <w:highlight w:val="none"/>
              </w:rPr>
              <w:t>第二类用地</w:t>
            </w:r>
          </w:p>
        </w:tc>
      </w:tr>
      <w:tr w14:paraId="21AC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2" w:type="dxa"/>
            <w:gridSpan w:val="5"/>
            <w:noWrap w:val="0"/>
            <w:vAlign w:val="center"/>
          </w:tcPr>
          <w:p w14:paraId="4EE2D53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重金属和无机物</w:t>
            </w:r>
          </w:p>
        </w:tc>
      </w:tr>
      <w:tr w14:paraId="123E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B36D95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p>
        </w:tc>
        <w:tc>
          <w:tcPr>
            <w:tcW w:w="2901" w:type="dxa"/>
            <w:gridSpan w:val="2"/>
            <w:noWrap w:val="0"/>
            <w:vAlign w:val="center"/>
          </w:tcPr>
          <w:p w14:paraId="7C3ECE1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砷</w:t>
            </w:r>
          </w:p>
        </w:tc>
        <w:tc>
          <w:tcPr>
            <w:tcW w:w="2071" w:type="dxa"/>
            <w:noWrap w:val="0"/>
            <w:vAlign w:val="center"/>
          </w:tcPr>
          <w:p w14:paraId="340219A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7440-38-2</w:t>
            </w:r>
          </w:p>
        </w:tc>
        <w:tc>
          <w:tcPr>
            <w:tcW w:w="2790" w:type="dxa"/>
            <w:noWrap w:val="0"/>
            <w:vAlign w:val="center"/>
          </w:tcPr>
          <w:p w14:paraId="7181239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60①</w:t>
            </w:r>
          </w:p>
        </w:tc>
      </w:tr>
      <w:tr w14:paraId="4257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21E27D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w:t>
            </w:r>
          </w:p>
        </w:tc>
        <w:tc>
          <w:tcPr>
            <w:tcW w:w="2901" w:type="dxa"/>
            <w:gridSpan w:val="2"/>
            <w:noWrap w:val="0"/>
            <w:vAlign w:val="center"/>
          </w:tcPr>
          <w:p w14:paraId="732CCF6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镉</w:t>
            </w:r>
          </w:p>
        </w:tc>
        <w:tc>
          <w:tcPr>
            <w:tcW w:w="2071" w:type="dxa"/>
            <w:noWrap w:val="0"/>
            <w:vAlign w:val="center"/>
          </w:tcPr>
          <w:p w14:paraId="2507CA9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7440-43-9</w:t>
            </w:r>
          </w:p>
        </w:tc>
        <w:tc>
          <w:tcPr>
            <w:tcW w:w="2790" w:type="dxa"/>
            <w:noWrap w:val="0"/>
            <w:vAlign w:val="center"/>
          </w:tcPr>
          <w:p w14:paraId="3DFF3AA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65</w:t>
            </w:r>
          </w:p>
        </w:tc>
      </w:tr>
      <w:tr w14:paraId="7C0F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463A470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w:t>
            </w:r>
          </w:p>
        </w:tc>
        <w:tc>
          <w:tcPr>
            <w:tcW w:w="2901" w:type="dxa"/>
            <w:gridSpan w:val="2"/>
            <w:noWrap w:val="0"/>
            <w:vAlign w:val="center"/>
          </w:tcPr>
          <w:p w14:paraId="0AEACA9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铬（六价）</w:t>
            </w:r>
          </w:p>
        </w:tc>
        <w:tc>
          <w:tcPr>
            <w:tcW w:w="2071" w:type="dxa"/>
            <w:noWrap w:val="0"/>
            <w:vAlign w:val="center"/>
          </w:tcPr>
          <w:p w14:paraId="4B58309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18540-29-9</w:t>
            </w:r>
          </w:p>
        </w:tc>
        <w:tc>
          <w:tcPr>
            <w:tcW w:w="2790" w:type="dxa"/>
            <w:noWrap w:val="0"/>
            <w:vAlign w:val="center"/>
          </w:tcPr>
          <w:p w14:paraId="1389FC5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5.7</w:t>
            </w:r>
          </w:p>
        </w:tc>
      </w:tr>
      <w:tr w14:paraId="7DF5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10A3533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w:t>
            </w:r>
          </w:p>
        </w:tc>
        <w:tc>
          <w:tcPr>
            <w:tcW w:w="2901" w:type="dxa"/>
            <w:gridSpan w:val="2"/>
            <w:noWrap w:val="0"/>
            <w:vAlign w:val="center"/>
          </w:tcPr>
          <w:p w14:paraId="7B2A520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铜</w:t>
            </w:r>
          </w:p>
        </w:tc>
        <w:tc>
          <w:tcPr>
            <w:tcW w:w="2071" w:type="dxa"/>
            <w:noWrap w:val="0"/>
            <w:vAlign w:val="center"/>
          </w:tcPr>
          <w:p w14:paraId="55F04D0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7440-50-8</w:t>
            </w:r>
          </w:p>
        </w:tc>
        <w:tc>
          <w:tcPr>
            <w:tcW w:w="2790" w:type="dxa"/>
            <w:noWrap w:val="0"/>
            <w:vAlign w:val="center"/>
          </w:tcPr>
          <w:p w14:paraId="4971E68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18000</w:t>
            </w:r>
          </w:p>
        </w:tc>
      </w:tr>
      <w:tr w14:paraId="3DB5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A1DAE9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w:t>
            </w:r>
          </w:p>
        </w:tc>
        <w:tc>
          <w:tcPr>
            <w:tcW w:w="2901" w:type="dxa"/>
            <w:gridSpan w:val="2"/>
            <w:noWrap w:val="0"/>
            <w:vAlign w:val="center"/>
          </w:tcPr>
          <w:p w14:paraId="7089E59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铅</w:t>
            </w:r>
          </w:p>
        </w:tc>
        <w:tc>
          <w:tcPr>
            <w:tcW w:w="2071" w:type="dxa"/>
            <w:noWrap w:val="0"/>
            <w:vAlign w:val="center"/>
          </w:tcPr>
          <w:p w14:paraId="4E98EE4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7439-92-1</w:t>
            </w:r>
          </w:p>
        </w:tc>
        <w:tc>
          <w:tcPr>
            <w:tcW w:w="2790" w:type="dxa"/>
            <w:noWrap w:val="0"/>
            <w:vAlign w:val="center"/>
          </w:tcPr>
          <w:p w14:paraId="0BD14D8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800</w:t>
            </w:r>
          </w:p>
        </w:tc>
      </w:tr>
      <w:tr w14:paraId="7695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4DEBE30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w:t>
            </w:r>
          </w:p>
        </w:tc>
        <w:tc>
          <w:tcPr>
            <w:tcW w:w="2901" w:type="dxa"/>
            <w:gridSpan w:val="2"/>
            <w:noWrap w:val="0"/>
            <w:vAlign w:val="center"/>
          </w:tcPr>
          <w:p w14:paraId="1A4040A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汞</w:t>
            </w:r>
          </w:p>
        </w:tc>
        <w:tc>
          <w:tcPr>
            <w:tcW w:w="2071" w:type="dxa"/>
            <w:noWrap w:val="0"/>
            <w:vAlign w:val="center"/>
          </w:tcPr>
          <w:p w14:paraId="1019F5C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7439-97-6</w:t>
            </w:r>
          </w:p>
        </w:tc>
        <w:tc>
          <w:tcPr>
            <w:tcW w:w="2790" w:type="dxa"/>
            <w:noWrap w:val="0"/>
            <w:vAlign w:val="center"/>
          </w:tcPr>
          <w:p w14:paraId="5B5AC44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38</w:t>
            </w:r>
          </w:p>
        </w:tc>
      </w:tr>
      <w:tr w14:paraId="3C60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BB4CF6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w:t>
            </w:r>
          </w:p>
        </w:tc>
        <w:tc>
          <w:tcPr>
            <w:tcW w:w="2901" w:type="dxa"/>
            <w:gridSpan w:val="2"/>
            <w:noWrap w:val="0"/>
            <w:vAlign w:val="center"/>
          </w:tcPr>
          <w:p w14:paraId="64451AF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镍</w:t>
            </w:r>
          </w:p>
        </w:tc>
        <w:tc>
          <w:tcPr>
            <w:tcW w:w="2071" w:type="dxa"/>
            <w:noWrap w:val="0"/>
            <w:vAlign w:val="center"/>
          </w:tcPr>
          <w:p w14:paraId="6D1A4DA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7440-02-0</w:t>
            </w:r>
          </w:p>
        </w:tc>
        <w:tc>
          <w:tcPr>
            <w:tcW w:w="2790" w:type="dxa"/>
            <w:noWrap w:val="0"/>
            <w:vAlign w:val="center"/>
          </w:tcPr>
          <w:p w14:paraId="5A21C09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900</w:t>
            </w:r>
          </w:p>
        </w:tc>
      </w:tr>
      <w:tr w14:paraId="1352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2" w:type="dxa"/>
            <w:gridSpan w:val="5"/>
            <w:noWrap w:val="0"/>
            <w:vAlign w:val="center"/>
          </w:tcPr>
          <w:p w14:paraId="36B7EFC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挥发性有机物</w:t>
            </w:r>
          </w:p>
        </w:tc>
      </w:tr>
      <w:tr w14:paraId="5E03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8D8A47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8</w:t>
            </w:r>
          </w:p>
        </w:tc>
        <w:tc>
          <w:tcPr>
            <w:tcW w:w="2901" w:type="dxa"/>
            <w:gridSpan w:val="2"/>
            <w:noWrap w:val="0"/>
            <w:vAlign w:val="center"/>
          </w:tcPr>
          <w:p w14:paraId="7C460DC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四氯化碳</w:t>
            </w:r>
          </w:p>
        </w:tc>
        <w:tc>
          <w:tcPr>
            <w:tcW w:w="2071" w:type="dxa"/>
            <w:noWrap w:val="0"/>
            <w:vAlign w:val="center"/>
          </w:tcPr>
          <w:p w14:paraId="7D8D1D8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56-23-5</w:t>
            </w:r>
          </w:p>
        </w:tc>
        <w:tc>
          <w:tcPr>
            <w:tcW w:w="2790" w:type="dxa"/>
            <w:noWrap w:val="0"/>
            <w:vAlign w:val="center"/>
          </w:tcPr>
          <w:p w14:paraId="5B25C42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2.8</w:t>
            </w:r>
          </w:p>
        </w:tc>
      </w:tr>
      <w:tr w14:paraId="0818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6000FD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w:t>
            </w:r>
          </w:p>
        </w:tc>
        <w:tc>
          <w:tcPr>
            <w:tcW w:w="2901" w:type="dxa"/>
            <w:gridSpan w:val="2"/>
            <w:noWrap w:val="0"/>
            <w:vAlign w:val="center"/>
          </w:tcPr>
          <w:p w14:paraId="5A8C249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氯仿</w:t>
            </w:r>
          </w:p>
        </w:tc>
        <w:tc>
          <w:tcPr>
            <w:tcW w:w="2071" w:type="dxa"/>
            <w:noWrap w:val="0"/>
            <w:vAlign w:val="center"/>
          </w:tcPr>
          <w:p w14:paraId="77A83AF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67-66-3</w:t>
            </w:r>
          </w:p>
        </w:tc>
        <w:tc>
          <w:tcPr>
            <w:tcW w:w="2790" w:type="dxa"/>
            <w:noWrap w:val="0"/>
            <w:vAlign w:val="center"/>
          </w:tcPr>
          <w:p w14:paraId="05013EB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0.9</w:t>
            </w:r>
          </w:p>
        </w:tc>
      </w:tr>
      <w:tr w14:paraId="50D0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047918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w:t>
            </w:r>
          </w:p>
        </w:tc>
        <w:tc>
          <w:tcPr>
            <w:tcW w:w="2901" w:type="dxa"/>
            <w:gridSpan w:val="2"/>
            <w:noWrap w:val="0"/>
            <w:vAlign w:val="center"/>
          </w:tcPr>
          <w:p w14:paraId="3CA0725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氯甲烷</w:t>
            </w:r>
          </w:p>
        </w:tc>
        <w:tc>
          <w:tcPr>
            <w:tcW w:w="2071" w:type="dxa"/>
            <w:noWrap w:val="0"/>
            <w:vAlign w:val="center"/>
          </w:tcPr>
          <w:p w14:paraId="4755F2C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74-87-3</w:t>
            </w:r>
          </w:p>
        </w:tc>
        <w:tc>
          <w:tcPr>
            <w:tcW w:w="2790" w:type="dxa"/>
            <w:noWrap w:val="0"/>
            <w:vAlign w:val="center"/>
          </w:tcPr>
          <w:p w14:paraId="1C07531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37</w:t>
            </w:r>
          </w:p>
        </w:tc>
      </w:tr>
      <w:tr w14:paraId="1000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D21FF5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11</w:t>
            </w:r>
          </w:p>
        </w:tc>
        <w:tc>
          <w:tcPr>
            <w:tcW w:w="2901" w:type="dxa"/>
            <w:gridSpan w:val="2"/>
            <w:noWrap w:val="0"/>
            <w:vAlign w:val="center"/>
          </w:tcPr>
          <w:p w14:paraId="5FEDF90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1-二氯乙烷</w:t>
            </w:r>
          </w:p>
        </w:tc>
        <w:tc>
          <w:tcPr>
            <w:tcW w:w="2071" w:type="dxa"/>
            <w:noWrap w:val="0"/>
            <w:vAlign w:val="center"/>
          </w:tcPr>
          <w:p w14:paraId="7076228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75-34-3</w:t>
            </w:r>
          </w:p>
        </w:tc>
        <w:tc>
          <w:tcPr>
            <w:tcW w:w="2790" w:type="dxa"/>
            <w:noWrap w:val="0"/>
            <w:vAlign w:val="center"/>
          </w:tcPr>
          <w:p w14:paraId="15FC6A1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w:t>
            </w:r>
          </w:p>
        </w:tc>
      </w:tr>
      <w:tr w14:paraId="4CB0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3398B2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12</w:t>
            </w:r>
          </w:p>
        </w:tc>
        <w:tc>
          <w:tcPr>
            <w:tcW w:w="2901" w:type="dxa"/>
            <w:gridSpan w:val="2"/>
            <w:noWrap w:val="0"/>
            <w:vAlign w:val="center"/>
          </w:tcPr>
          <w:p w14:paraId="34A747B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2-二氯乙烷</w:t>
            </w:r>
          </w:p>
        </w:tc>
        <w:tc>
          <w:tcPr>
            <w:tcW w:w="2071" w:type="dxa"/>
            <w:noWrap w:val="0"/>
            <w:vAlign w:val="center"/>
          </w:tcPr>
          <w:p w14:paraId="3CE8320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107-06-2</w:t>
            </w:r>
          </w:p>
        </w:tc>
        <w:tc>
          <w:tcPr>
            <w:tcW w:w="2790" w:type="dxa"/>
            <w:noWrap w:val="0"/>
            <w:vAlign w:val="center"/>
          </w:tcPr>
          <w:p w14:paraId="53D5C77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w:t>
            </w:r>
          </w:p>
        </w:tc>
      </w:tr>
      <w:tr w14:paraId="3B77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1322837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13</w:t>
            </w:r>
          </w:p>
        </w:tc>
        <w:tc>
          <w:tcPr>
            <w:tcW w:w="2901" w:type="dxa"/>
            <w:gridSpan w:val="2"/>
            <w:noWrap w:val="0"/>
            <w:vAlign w:val="center"/>
          </w:tcPr>
          <w:p w14:paraId="7F83812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1-二氯乙烯</w:t>
            </w:r>
          </w:p>
        </w:tc>
        <w:tc>
          <w:tcPr>
            <w:tcW w:w="2071" w:type="dxa"/>
            <w:noWrap w:val="0"/>
            <w:vAlign w:val="center"/>
          </w:tcPr>
          <w:p w14:paraId="79CD73C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75-35-4</w:t>
            </w:r>
          </w:p>
        </w:tc>
        <w:tc>
          <w:tcPr>
            <w:tcW w:w="2790" w:type="dxa"/>
            <w:noWrap w:val="0"/>
            <w:vAlign w:val="center"/>
          </w:tcPr>
          <w:p w14:paraId="546F574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66</w:t>
            </w:r>
          </w:p>
        </w:tc>
      </w:tr>
      <w:tr w14:paraId="6BD2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95740A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14</w:t>
            </w:r>
          </w:p>
        </w:tc>
        <w:tc>
          <w:tcPr>
            <w:tcW w:w="2901" w:type="dxa"/>
            <w:gridSpan w:val="2"/>
            <w:noWrap w:val="0"/>
            <w:vAlign w:val="center"/>
          </w:tcPr>
          <w:p w14:paraId="22ECCC0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顺-1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2-二氯乙烯</w:t>
            </w:r>
          </w:p>
        </w:tc>
        <w:tc>
          <w:tcPr>
            <w:tcW w:w="2071" w:type="dxa"/>
            <w:noWrap w:val="0"/>
            <w:vAlign w:val="center"/>
          </w:tcPr>
          <w:p w14:paraId="21C91F2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156-59-2</w:t>
            </w:r>
          </w:p>
        </w:tc>
        <w:tc>
          <w:tcPr>
            <w:tcW w:w="2790" w:type="dxa"/>
            <w:noWrap w:val="0"/>
            <w:vAlign w:val="center"/>
          </w:tcPr>
          <w:p w14:paraId="41668DB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596</w:t>
            </w:r>
          </w:p>
        </w:tc>
      </w:tr>
      <w:tr w14:paraId="6D38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7B22FB0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c>
          <w:tcPr>
            <w:tcW w:w="2901" w:type="dxa"/>
            <w:gridSpan w:val="2"/>
            <w:noWrap w:val="0"/>
            <w:vAlign w:val="center"/>
          </w:tcPr>
          <w:p w14:paraId="6EE98D8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反-1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2-二氯乙烯</w:t>
            </w:r>
          </w:p>
        </w:tc>
        <w:tc>
          <w:tcPr>
            <w:tcW w:w="2071" w:type="dxa"/>
            <w:noWrap w:val="0"/>
            <w:vAlign w:val="center"/>
          </w:tcPr>
          <w:p w14:paraId="0ABFCA5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156-60-5</w:t>
            </w:r>
          </w:p>
        </w:tc>
        <w:tc>
          <w:tcPr>
            <w:tcW w:w="2790" w:type="dxa"/>
            <w:noWrap w:val="0"/>
            <w:vAlign w:val="center"/>
          </w:tcPr>
          <w:p w14:paraId="51AC10D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54</w:t>
            </w:r>
          </w:p>
        </w:tc>
      </w:tr>
      <w:tr w14:paraId="1E1C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684F69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16</w:t>
            </w:r>
          </w:p>
        </w:tc>
        <w:tc>
          <w:tcPr>
            <w:tcW w:w="2901" w:type="dxa"/>
            <w:gridSpan w:val="2"/>
            <w:noWrap w:val="0"/>
            <w:vAlign w:val="center"/>
          </w:tcPr>
          <w:p w14:paraId="4005183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二氯甲烷</w:t>
            </w:r>
          </w:p>
        </w:tc>
        <w:tc>
          <w:tcPr>
            <w:tcW w:w="2071" w:type="dxa"/>
            <w:noWrap w:val="0"/>
            <w:vAlign w:val="center"/>
          </w:tcPr>
          <w:p w14:paraId="3735BDE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75-09-2</w:t>
            </w:r>
          </w:p>
        </w:tc>
        <w:tc>
          <w:tcPr>
            <w:tcW w:w="2790" w:type="dxa"/>
            <w:noWrap w:val="0"/>
            <w:vAlign w:val="center"/>
          </w:tcPr>
          <w:p w14:paraId="224FA41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616</w:t>
            </w:r>
          </w:p>
        </w:tc>
      </w:tr>
      <w:tr w14:paraId="00BC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2ED8168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17</w:t>
            </w:r>
          </w:p>
        </w:tc>
        <w:tc>
          <w:tcPr>
            <w:tcW w:w="2901" w:type="dxa"/>
            <w:gridSpan w:val="2"/>
            <w:noWrap w:val="0"/>
            <w:vAlign w:val="center"/>
          </w:tcPr>
          <w:p w14:paraId="49B1E5A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2-二氯丙烷</w:t>
            </w:r>
          </w:p>
        </w:tc>
        <w:tc>
          <w:tcPr>
            <w:tcW w:w="2071" w:type="dxa"/>
            <w:noWrap w:val="0"/>
            <w:vAlign w:val="center"/>
          </w:tcPr>
          <w:p w14:paraId="211E348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78-87-5</w:t>
            </w:r>
          </w:p>
        </w:tc>
        <w:tc>
          <w:tcPr>
            <w:tcW w:w="2790" w:type="dxa"/>
            <w:noWrap w:val="0"/>
            <w:vAlign w:val="center"/>
          </w:tcPr>
          <w:p w14:paraId="7064ABD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w:t>
            </w:r>
          </w:p>
        </w:tc>
      </w:tr>
      <w:tr w14:paraId="13EE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4108C3D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18</w:t>
            </w:r>
          </w:p>
        </w:tc>
        <w:tc>
          <w:tcPr>
            <w:tcW w:w="2901" w:type="dxa"/>
            <w:gridSpan w:val="2"/>
            <w:noWrap w:val="0"/>
            <w:vAlign w:val="center"/>
          </w:tcPr>
          <w:p w14:paraId="598842E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2-四氯乙烷</w:t>
            </w:r>
          </w:p>
        </w:tc>
        <w:tc>
          <w:tcPr>
            <w:tcW w:w="2071" w:type="dxa"/>
            <w:noWrap w:val="0"/>
            <w:vAlign w:val="center"/>
          </w:tcPr>
          <w:p w14:paraId="1851174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630-20-6</w:t>
            </w:r>
          </w:p>
        </w:tc>
        <w:tc>
          <w:tcPr>
            <w:tcW w:w="2790" w:type="dxa"/>
            <w:noWrap w:val="0"/>
            <w:vAlign w:val="center"/>
          </w:tcPr>
          <w:p w14:paraId="1057516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w:t>
            </w:r>
          </w:p>
        </w:tc>
      </w:tr>
      <w:tr w14:paraId="1671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21D8445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19</w:t>
            </w:r>
          </w:p>
        </w:tc>
        <w:tc>
          <w:tcPr>
            <w:tcW w:w="2901" w:type="dxa"/>
            <w:gridSpan w:val="2"/>
            <w:noWrap w:val="0"/>
            <w:vAlign w:val="center"/>
          </w:tcPr>
          <w:p w14:paraId="6D73154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2-四氯乙烷</w:t>
            </w:r>
          </w:p>
        </w:tc>
        <w:tc>
          <w:tcPr>
            <w:tcW w:w="2071" w:type="dxa"/>
            <w:noWrap w:val="0"/>
            <w:vAlign w:val="center"/>
          </w:tcPr>
          <w:p w14:paraId="500D00F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79-34-5</w:t>
            </w:r>
          </w:p>
        </w:tc>
        <w:tc>
          <w:tcPr>
            <w:tcW w:w="2790" w:type="dxa"/>
            <w:noWrap w:val="0"/>
            <w:vAlign w:val="center"/>
          </w:tcPr>
          <w:p w14:paraId="10F7936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6.8</w:t>
            </w:r>
          </w:p>
        </w:tc>
      </w:tr>
      <w:tr w14:paraId="0AA3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82B43E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20</w:t>
            </w:r>
          </w:p>
        </w:tc>
        <w:tc>
          <w:tcPr>
            <w:tcW w:w="2901" w:type="dxa"/>
            <w:gridSpan w:val="2"/>
            <w:noWrap w:val="0"/>
            <w:vAlign w:val="center"/>
          </w:tcPr>
          <w:p w14:paraId="223C868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四氯乙烯</w:t>
            </w:r>
          </w:p>
        </w:tc>
        <w:tc>
          <w:tcPr>
            <w:tcW w:w="2071" w:type="dxa"/>
            <w:noWrap w:val="0"/>
            <w:vAlign w:val="center"/>
          </w:tcPr>
          <w:p w14:paraId="1678F95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127-18-4</w:t>
            </w:r>
          </w:p>
        </w:tc>
        <w:tc>
          <w:tcPr>
            <w:tcW w:w="2790" w:type="dxa"/>
            <w:noWrap w:val="0"/>
            <w:vAlign w:val="center"/>
          </w:tcPr>
          <w:p w14:paraId="24D3A04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53</w:t>
            </w:r>
          </w:p>
        </w:tc>
      </w:tr>
      <w:tr w14:paraId="3951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805480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21</w:t>
            </w:r>
          </w:p>
        </w:tc>
        <w:tc>
          <w:tcPr>
            <w:tcW w:w="2901" w:type="dxa"/>
            <w:gridSpan w:val="2"/>
            <w:noWrap w:val="0"/>
            <w:vAlign w:val="center"/>
          </w:tcPr>
          <w:p w14:paraId="40AAA66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1-三氯乙烷</w:t>
            </w:r>
          </w:p>
        </w:tc>
        <w:tc>
          <w:tcPr>
            <w:tcW w:w="2071" w:type="dxa"/>
            <w:noWrap w:val="0"/>
            <w:vAlign w:val="center"/>
          </w:tcPr>
          <w:p w14:paraId="751A0D1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71-55-6</w:t>
            </w:r>
          </w:p>
        </w:tc>
        <w:tc>
          <w:tcPr>
            <w:tcW w:w="2790" w:type="dxa"/>
            <w:noWrap w:val="0"/>
            <w:vAlign w:val="center"/>
          </w:tcPr>
          <w:p w14:paraId="5EE0468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840</w:t>
            </w:r>
          </w:p>
        </w:tc>
      </w:tr>
      <w:tr w14:paraId="79E9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6BC298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22</w:t>
            </w:r>
          </w:p>
        </w:tc>
        <w:tc>
          <w:tcPr>
            <w:tcW w:w="2901" w:type="dxa"/>
            <w:gridSpan w:val="2"/>
            <w:noWrap w:val="0"/>
            <w:vAlign w:val="center"/>
          </w:tcPr>
          <w:p w14:paraId="53BDABF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2-三氯乙烷</w:t>
            </w:r>
          </w:p>
        </w:tc>
        <w:tc>
          <w:tcPr>
            <w:tcW w:w="2071" w:type="dxa"/>
            <w:noWrap w:val="0"/>
            <w:vAlign w:val="center"/>
          </w:tcPr>
          <w:p w14:paraId="7EB4EF2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79-00-5</w:t>
            </w:r>
          </w:p>
        </w:tc>
        <w:tc>
          <w:tcPr>
            <w:tcW w:w="2790" w:type="dxa"/>
            <w:noWrap w:val="0"/>
            <w:vAlign w:val="center"/>
          </w:tcPr>
          <w:p w14:paraId="2C657AD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2.8</w:t>
            </w:r>
          </w:p>
        </w:tc>
      </w:tr>
      <w:tr w14:paraId="6ECB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ED6B0A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23</w:t>
            </w:r>
          </w:p>
        </w:tc>
        <w:tc>
          <w:tcPr>
            <w:tcW w:w="2901" w:type="dxa"/>
            <w:gridSpan w:val="2"/>
            <w:noWrap w:val="0"/>
            <w:vAlign w:val="center"/>
          </w:tcPr>
          <w:p w14:paraId="3B936B9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三氯乙烯</w:t>
            </w:r>
          </w:p>
        </w:tc>
        <w:tc>
          <w:tcPr>
            <w:tcW w:w="2071" w:type="dxa"/>
            <w:noWrap w:val="0"/>
            <w:vAlign w:val="center"/>
          </w:tcPr>
          <w:p w14:paraId="7B2AD55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79-01-6</w:t>
            </w:r>
          </w:p>
        </w:tc>
        <w:tc>
          <w:tcPr>
            <w:tcW w:w="2790" w:type="dxa"/>
            <w:noWrap w:val="0"/>
            <w:vAlign w:val="center"/>
          </w:tcPr>
          <w:p w14:paraId="412C1A5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2.8</w:t>
            </w:r>
          </w:p>
        </w:tc>
      </w:tr>
      <w:tr w14:paraId="0DC4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C235B2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24</w:t>
            </w:r>
          </w:p>
        </w:tc>
        <w:tc>
          <w:tcPr>
            <w:tcW w:w="2901" w:type="dxa"/>
            <w:gridSpan w:val="2"/>
            <w:noWrap w:val="0"/>
            <w:vAlign w:val="center"/>
          </w:tcPr>
          <w:p w14:paraId="0C56B70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3-三氯丙烷</w:t>
            </w:r>
          </w:p>
        </w:tc>
        <w:tc>
          <w:tcPr>
            <w:tcW w:w="2071" w:type="dxa"/>
            <w:noWrap w:val="0"/>
            <w:vAlign w:val="center"/>
          </w:tcPr>
          <w:p w14:paraId="4ECE00D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96-18-4</w:t>
            </w:r>
          </w:p>
        </w:tc>
        <w:tc>
          <w:tcPr>
            <w:tcW w:w="2790" w:type="dxa"/>
            <w:noWrap w:val="0"/>
            <w:vAlign w:val="center"/>
          </w:tcPr>
          <w:p w14:paraId="698D9A5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0.5</w:t>
            </w:r>
          </w:p>
        </w:tc>
      </w:tr>
      <w:tr w14:paraId="5579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E12F01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25</w:t>
            </w:r>
          </w:p>
        </w:tc>
        <w:tc>
          <w:tcPr>
            <w:tcW w:w="2901" w:type="dxa"/>
            <w:gridSpan w:val="2"/>
            <w:noWrap w:val="0"/>
            <w:vAlign w:val="center"/>
          </w:tcPr>
          <w:p w14:paraId="194DE02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氯乙烯</w:t>
            </w:r>
          </w:p>
        </w:tc>
        <w:tc>
          <w:tcPr>
            <w:tcW w:w="2071" w:type="dxa"/>
            <w:noWrap w:val="0"/>
            <w:vAlign w:val="center"/>
          </w:tcPr>
          <w:p w14:paraId="77C3D8F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75-01-4</w:t>
            </w:r>
          </w:p>
        </w:tc>
        <w:tc>
          <w:tcPr>
            <w:tcW w:w="2790" w:type="dxa"/>
            <w:noWrap w:val="0"/>
            <w:vAlign w:val="center"/>
          </w:tcPr>
          <w:p w14:paraId="6D53056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0.43</w:t>
            </w:r>
          </w:p>
        </w:tc>
      </w:tr>
      <w:tr w14:paraId="2EAC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802C08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26</w:t>
            </w:r>
          </w:p>
        </w:tc>
        <w:tc>
          <w:tcPr>
            <w:tcW w:w="2901" w:type="dxa"/>
            <w:gridSpan w:val="2"/>
            <w:noWrap w:val="0"/>
            <w:vAlign w:val="center"/>
          </w:tcPr>
          <w:p w14:paraId="63E9B2E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w:t>
            </w:r>
          </w:p>
        </w:tc>
        <w:tc>
          <w:tcPr>
            <w:tcW w:w="2071" w:type="dxa"/>
            <w:noWrap w:val="0"/>
            <w:vAlign w:val="center"/>
          </w:tcPr>
          <w:p w14:paraId="04958B6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71-43-2</w:t>
            </w:r>
          </w:p>
        </w:tc>
        <w:tc>
          <w:tcPr>
            <w:tcW w:w="2790" w:type="dxa"/>
            <w:noWrap w:val="0"/>
            <w:vAlign w:val="center"/>
          </w:tcPr>
          <w:p w14:paraId="3356866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w:t>
            </w:r>
          </w:p>
        </w:tc>
      </w:tr>
      <w:tr w14:paraId="6FF0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740D79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27</w:t>
            </w:r>
          </w:p>
        </w:tc>
        <w:tc>
          <w:tcPr>
            <w:tcW w:w="2901" w:type="dxa"/>
            <w:gridSpan w:val="2"/>
            <w:noWrap w:val="0"/>
            <w:vAlign w:val="center"/>
          </w:tcPr>
          <w:p w14:paraId="76D9C8B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氯苯</w:t>
            </w:r>
          </w:p>
        </w:tc>
        <w:tc>
          <w:tcPr>
            <w:tcW w:w="2071" w:type="dxa"/>
            <w:noWrap w:val="0"/>
            <w:vAlign w:val="center"/>
          </w:tcPr>
          <w:p w14:paraId="3BFF210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108-90-7</w:t>
            </w:r>
          </w:p>
        </w:tc>
        <w:tc>
          <w:tcPr>
            <w:tcW w:w="2790" w:type="dxa"/>
            <w:noWrap w:val="0"/>
            <w:vAlign w:val="center"/>
          </w:tcPr>
          <w:p w14:paraId="68ED9A0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270</w:t>
            </w:r>
          </w:p>
        </w:tc>
      </w:tr>
      <w:tr w14:paraId="4FCC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18C25BF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28</w:t>
            </w:r>
          </w:p>
        </w:tc>
        <w:tc>
          <w:tcPr>
            <w:tcW w:w="2901" w:type="dxa"/>
            <w:gridSpan w:val="2"/>
            <w:noWrap w:val="0"/>
            <w:vAlign w:val="center"/>
          </w:tcPr>
          <w:p w14:paraId="559BBE6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2-二氯苯</w:t>
            </w:r>
          </w:p>
        </w:tc>
        <w:tc>
          <w:tcPr>
            <w:tcW w:w="2071" w:type="dxa"/>
            <w:noWrap w:val="0"/>
            <w:vAlign w:val="center"/>
          </w:tcPr>
          <w:p w14:paraId="5EEE730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95-50-1</w:t>
            </w:r>
          </w:p>
        </w:tc>
        <w:tc>
          <w:tcPr>
            <w:tcW w:w="2790" w:type="dxa"/>
            <w:noWrap w:val="0"/>
            <w:vAlign w:val="center"/>
          </w:tcPr>
          <w:p w14:paraId="036C1A7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560</w:t>
            </w:r>
          </w:p>
        </w:tc>
      </w:tr>
      <w:tr w14:paraId="1153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FEA2C7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29</w:t>
            </w:r>
          </w:p>
        </w:tc>
        <w:tc>
          <w:tcPr>
            <w:tcW w:w="2901" w:type="dxa"/>
            <w:gridSpan w:val="2"/>
            <w:noWrap w:val="0"/>
            <w:vAlign w:val="center"/>
          </w:tcPr>
          <w:p w14:paraId="601DDCF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4-二氯苯</w:t>
            </w:r>
          </w:p>
        </w:tc>
        <w:tc>
          <w:tcPr>
            <w:tcW w:w="2071" w:type="dxa"/>
            <w:noWrap w:val="0"/>
            <w:vAlign w:val="center"/>
          </w:tcPr>
          <w:p w14:paraId="744DBF4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106-46-7</w:t>
            </w:r>
          </w:p>
        </w:tc>
        <w:tc>
          <w:tcPr>
            <w:tcW w:w="2790" w:type="dxa"/>
            <w:noWrap w:val="0"/>
            <w:vAlign w:val="center"/>
          </w:tcPr>
          <w:p w14:paraId="21538F1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20</w:t>
            </w:r>
          </w:p>
        </w:tc>
      </w:tr>
      <w:tr w14:paraId="5F6B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4FF8DA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30</w:t>
            </w:r>
          </w:p>
        </w:tc>
        <w:tc>
          <w:tcPr>
            <w:tcW w:w="2901" w:type="dxa"/>
            <w:gridSpan w:val="2"/>
            <w:noWrap w:val="0"/>
            <w:vAlign w:val="center"/>
          </w:tcPr>
          <w:p w14:paraId="2A563CA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乙苯</w:t>
            </w:r>
          </w:p>
        </w:tc>
        <w:tc>
          <w:tcPr>
            <w:tcW w:w="2071" w:type="dxa"/>
            <w:noWrap w:val="0"/>
            <w:vAlign w:val="center"/>
          </w:tcPr>
          <w:p w14:paraId="0511461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100-41-4</w:t>
            </w:r>
          </w:p>
        </w:tc>
        <w:tc>
          <w:tcPr>
            <w:tcW w:w="2790" w:type="dxa"/>
            <w:noWrap w:val="0"/>
            <w:vAlign w:val="center"/>
          </w:tcPr>
          <w:p w14:paraId="468595E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28</w:t>
            </w:r>
          </w:p>
        </w:tc>
      </w:tr>
      <w:tr w14:paraId="6F66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68E657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31</w:t>
            </w:r>
          </w:p>
        </w:tc>
        <w:tc>
          <w:tcPr>
            <w:tcW w:w="2901" w:type="dxa"/>
            <w:gridSpan w:val="2"/>
            <w:noWrap w:val="0"/>
            <w:vAlign w:val="center"/>
          </w:tcPr>
          <w:p w14:paraId="2311C21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苯乙烯</w:t>
            </w:r>
          </w:p>
        </w:tc>
        <w:tc>
          <w:tcPr>
            <w:tcW w:w="2071" w:type="dxa"/>
            <w:noWrap w:val="0"/>
            <w:vAlign w:val="center"/>
          </w:tcPr>
          <w:p w14:paraId="59C5356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100-42-5</w:t>
            </w:r>
          </w:p>
        </w:tc>
        <w:tc>
          <w:tcPr>
            <w:tcW w:w="2790" w:type="dxa"/>
            <w:noWrap w:val="0"/>
            <w:vAlign w:val="center"/>
          </w:tcPr>
          <w:p w14:paraId="414B728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1290</w:t>
            </w:r>
          </w:p>
        </w:tc>
      </w:tr>
      <w:tr w14:paraId="64CD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44B47E0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32</w:t>
            </w:r>
          </w:p>
        </w:tc>
        <w:tc>
          <w:tcPr>
            <w:tcW w:w="2901" w:type="dxa"/>
            <w:gridSpan w:val="2"/>
            <w:noWrap w:val="0"/>
            <w:vAlign w:val="center"/>
          </w:tcPr>
          <w:p w14:paraId="6A6AD5F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甲苯</w:t>
            </w:r>
          </w:p>
        </w:tc>
        <w:tc>
          <w:tcPr>
            <w:tcW w:w="2071" w:type="dxa"/>
            <w:noWrap w:val="0"/>
            <w:vAlign w:val="center"/>
          </w:tcPr>
          <w:p w14:paraId="6E6FEB0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108-88-3</w:t>
            </w:r>
          </w:p>
        </w:tc>
        <w:tc>
          <w:tcPr>
            <w:tcW w:w="2790" w:type="dxa"/>
            <w:noWrap w:val="0"/>
            <w:vAlign w:val="center"/>
          </w:tcPr>
          <w:p w14:paraId="42E788F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1200</w:t>
            </w:r>
          </w:p>
        </w:tc>
      </w:tr>
      <w:tr w14:paraId="52CD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DBC688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33</w:t>
            </w:r>
          </w:p>
        </w:tc>
        <w:tc>
          <w:tcPr>
            <w:tcW w:w="2901" w:type="dxa"/>
            <w:gridSpan w:val="2"/>
            <w:noWrap w:val="0"/>
            <w:vAlign w:val="center"/>
          </w:tcPr>
          <w:p w14:paraId="3DDFB0E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间二甲苯+对二甲苯</w:t>
            </w:r>
          </w:p>
        </w:tc>
        <w:tc>
          <w:tcPr>
            <w:tcW w:w="2071" w:type="dxa"/>
            <w:noWrap w:val="0"/>
            <w:vAlign w:val="center"/>
          </w:tcPr>
          <w:p w14:paraId="417F919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lang w:eastAsia="zh-CN"/>
              </w:rPr>
            </w:pPr>
            <w:r>
              <w:rPr>
                <w:rFonts w:hint="default" w:ascii="Times New Roman" w:hAnsi="Times New Roman" w:eastAsia="宋体" w:cs="Times New Roman"/>
                <w:caps w:val="0"/>
                <w:smallCaps w:val="0"/>
                <w:color w:val="auto"/>
                <w:kern w:val="0"/>
                <w:sz w:val="21"/>
                <w:szCs w:val="21"/>
                <w:highlight w:val="none"/>
              </w:rPr>
              <w:t>108-38-3</w:t>
            </w:r>
          </w:p>
          <w:p w14:paraId="7C5A890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106-42-3</w:t>
            </w:r>
          </w:p>
          <w:p w14:paraId="447E951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106-42-3</w:t>
            </w:r>
          </w:p>
        </w:tc>
        <w:tc>
          <w:tcPr>
            <w:tcW w:w="2790" w:type="dxa"/>
            <w:noWrap w:val="0"/>
            <w:vAlign w:val="center"/>
          </w:tcPr>
          <w:p w14:paraId="3E7F7C5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570</w:t>
            </w:r>
          </w:p>
        </w:tc>
      </w:tr>
      <w:tr w14:paraId="407B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6A26C37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34</w:t>
            </w:r>
          </w:p>
        </w:tc>
        <w:tc>
          <w:tcPr>
            <w:tcW w:w="2901" w:type="dxa"/>
            <w:gridSpan w:val="2"/>
            <w:noWrap w:val="0"/>
            <w:vAlign w:val="center"/>
          </w:tcPr>
          <w:p w14:paraId="6F9C9FF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邻二甲苯</w:t>
            </w:r>
          </w:p>
        </w:tc>
        <w:tc>
          <w:tcPr>
            <w:tcW w:w="2071" w:type="dxa"/>
            <w:noWrap w:val="0"/>
            <w:vAlign w:val="center"/>
          </w:tcPr>
          <w:p w14:paraId="14F50F5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95-47-6</w:t>
            </w:r>
          </w:p>
        </w:tc>
        <w:tc>
          <w:tcPr>
            <w:tcW w:w="2790" w:type="dxa"/>
            <w:noWrap w:val="0"/>
            <w:vAlign w:val="center"/>
          </w:tcPr>
          <w:p w14:paraId="503FC1D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640</w:t>
            </w:r>
          </w:p>
        </w:tc>
      </w:tr>
      <w:tr w14:paraId="7AEA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2" w:type="dxa"/>
            <w:gridSpan w:val="5"/>
            <w:noWrap w:val="0"/>
            <w:vAlign w:val="center"/>
          </w:tcPr>
          <w:p w14:paraId="12AEC73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半挥发性有机物</w:t>
            </w:r>
          </w:p>
        </w:tc>
      </w:tr>
      <w:tr w14:paraId="4D4A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33BA385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35</w:t>
            </w:r>
          </w:p>
        </w:tc>
        <w:tc>
          <w:tcPr>
            <w:tcW w:w="2858" w:type="dxa"/>
            <w:noWrap w:val="0"/>
            <w:vAlign w:val="center"/>
          </w:tcPr>
          <w:p w14:paraId="4008F16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硝基苯</w:t>
            </w:r>
          </w:p>
        </w:tc>
        <w:tc>
          <w:tcPr>
            <w:tcW w:w="2114" w:type="dxa"/>
            <w:gridSpan w:val="2"/>
            <w:noWrap w:val="0"/>
            <w:vAlign w:val="center"/>
          </w:tcPr>
          <w:p w14:paraId="0D467B1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98-95-3</w:t>
            </w:r>
          </w:p>
        </w:tc>
        <w:tc>
          <w:tcPr>
            <w:tcW w:w="2790" w:type="dxa"/>
            <w:noWrap w:val="0"/>
            <w:vAlign w:val="center"/>
          </w:tcPr>
          <w:p w14:paraId="2C913AF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76</w:t>
            </w:r>
          </w:p>
        </w:tc>
      </w:tr>
      <w:tr w14:paraId="06EB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1A2356D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36</w:t>
            </w:r>
          </w:p>
        </w:tc>
        <w:tc>
          <w:tcPr>
            <w:tcW w:w="2858" w:type="dxa"/>
            <w:noWrap w:val="0"/>
            <w:vAlign w:val="center"/>
          </w:tcPr>
          <w:p w14:paraId="02C2EEB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苯胺</w:t>
            </w:r>
          </w:p>
        </w:tc>
        <w:tc>
          <w:tcPr>
            <w:tcW w:w="2114" w:type="dxa"/>
            <w:gridSpan w:val="2"/>
            <w:noWrap w:val="0"/>
            <w:vAlign w:val="center"/>
          </w:tcPr>
          <w:p w14:paraId="09EF6B1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62-53-3</w:t>
            </w:r>
          </w:p>
        </w:tc>
        <w:tc>
          <w:tcPr>
            <w:tcW w:w="2790" w:type="dxa"/>
            <w:noWrap w:val="0"/>
            <w:vAlign w:val="center"/>
          </w:tcPr>
          <w:p w14:paraId="6149086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260</w:t>
            </w:r>
          </w:p>
        </w:tc>
      </w:tr>
      <w:tr w14:paraId="423C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74C0CEE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37</w:t>
            </w:r>
          </w:p>
        </w:tc>
        <w:tc>
          <w:tcPr>
            <w:tcW w:w="2858" w:type="dxa"/>
            <w:noWrap w:val="0"/>
            <w:vAlign w:val="center"/>
          </w:tcPr>
          <w:p w14:paraId="76A59DD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2-氯酚</w:t>
            </w:r>
          </w:p>
        </w:tc>
        <w:tc>
          <w:tcPr>
            <w:tcW w:w="2114" w:type="dxa"/>
            <w:gridSpan w:val="2"/>
            <w:noWrap w:val="0"/>
            <w:vAlign w:val="center"/>
          </w:tcPr>
          <w:p w14:paraId="225848D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95-57-8</w:t>
            </w:r>
          </w:p>
        </w:tc>
        <w:tc>
          <w:tcPr>
            <w:tcW w:w="2790" w:type="dxa"/>
            <w:noWrap w:val="0"/>
            <w:vAlign w:val="center"/>
          </w:tcPr>
          <w:p w14:paraId="6466549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2256</w:t>
            </w:r>
          </w:p>
        </w:tc>
      </w:tr>
      <w:tr w14:paraId="7BED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7A4538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38</w:t>
            </w:r>
          </w:p>
        </w:tc>
        <w:tc>
          <w:tcPr>
            <w:tcW w:w="2858" w:type="dxa"/>
            <w:noWrap w:val="0"/>
            <w:vAlign w:val="center"/>
          </w:tcPr>
          <w:p w14:paraId="1016C59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苯并[a]蒽</w:t>
            </w:r>
          </w:p>
        </w:tc>
        <w:tc>
          <w:tcPr>
            <w:tcW w:w="2114" w:type="dxa"/>
            <w:gridSpan w:val="2"/>
            <w:noWrap w:val="0"/>
            <w:vAlign w:val="center"/>
          </w:tcPr>
          <w:p w14:paraId="1180150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56-55-3</w:t>
            </w:r>
          </w:p>
        </w:tc>
        <w:tc>
          <w:tcPr>
            <w:tcW w:w="2790" w:type="dxa"/>
            <w:noWrap w:val="0"/>
            <w:vAlign w:val="center"/>
          </w:tcPr>
          <w:p w14:paraId="7E698E1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r>
      <w:tr w14:paraId="2A42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28EC7F9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39</w:t>
            </w:r>
          </w:p>
        </w:tc>
        <w:tc>
          <w:tcPr>
            <w:tcW w:w="2858" w:type="dxa"/>
            <w:noWrap w:val="0"/>
            <w:vAlign w:val="center"/>
          </w:tcPr>
          <w:p w14:paraId="78D336D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苯并[a]芘</w:t>
            </w:r>
          </w:p>
        </w:tc>
        <w:tc>
          <w:tcPr>
            <w:tcW w:w="2114" w:type="dxa"/>
            <w:gridSpan w:val="2"/>
            <w:noWrap w:val="0"/>
            <w:vAlign w:val="center"/>
          </w:tcPr>
          <w:p w14:paraId="51B7433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50-32-8</w:t>
            </w:r>
          </w:p>
        </w:tc>
        <w:tc>
          <w:tcPr>
            <w:tcW w:w="2790" w:type="dxa"/>
            <w:noWrap w:val="0"/>
            <w:vAlign w:val="center"/>
          </w:tcPr>
          <w:p w14:paraId="5549747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r>
      <w:tr w14:paraId="7E9B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7C997AC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40</w:t>
            </w:r>
          </w:p>
        </w:tc>
        <w:tc>
          <w:tcPr>
            <w:tcW w:w="2858" w:type="dxa"/>
            <w:noWrap w:val="0"/>
            <w:vAlign w:val="center"/>
          </w:tcPr>
          <w:p w14:paraId="34CFAE0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苯并[b]荧蒽</w:t>
            </w:r>
          </w:p>
        </w:tc>
        <w:tc>
          <w:tcPr>
            <w:tcW w:w="2114" w:type="dxa"/>
            <w:gridSpan w:val="2"/>
            <w:noWrap w:val="0"/>
            <w:vAlign w:val="center"/>
          </w:tcPr>
          <w:p w14:paraId="6895172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205-99-2</w:t>
            </w:r>
          </w:p>
        </w:tc>
        <w:tc>
          <w:tcPr>
            <w:tcW w:w="2790" w:type="dxa"/>
            <w:noWrap w:val="0"/>
            <w:vAlign w:val="center"/>
          </w:tcPr>
          <w:p w14:paraId="6D3B410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r>
      <w:tr w14:paraId="73A6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0CDD14C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41</w:t>
            </w:r>
          </w:p>
        </w:tc>
        <w:tc>
          <w:tcPr>
            <w:tcW w:w="2858" w:type="dxa"/>
            <w:noWrap w:val="0"/>
            <w:vAlign w:val="center"/>
          </w:tcPr>
          <w:p w14:paraId="0749A61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苯并[k]荧蒽</w:t>
            </w:r>
          </w:p>
        </w:tc>
        <w:tc>
          <w:tcPr>
            <w:tcW w:w="2114" w:type="dxa"/>
            <w:gridSpan w:val="2"/>
            <w:noWrap w:val="0"/>
            <w:vAlign w:val="center"/>
          </w:tcPr>
          <w:p w14:paraId="7872B6D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207-08-9</w:t>
            </w:r>
          </w:p>
        </w:tc>
        <w:tc>
          <w:tcPr>
            <w:tcW w:w="2790" w:type="dxa"/>
            <w:noWrap w:val="0"/>
            <w:vAlign w:val="center"/>
          </w:tcPr>
          <w:p w14:paraId="0886303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151</w:t>
            </w:r>
          </w:p>
        </w:tc>
      </w:tr>
      <w:tr w14:paraId="056F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1CC9B09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42</w:t>
            </w:r>
          </w:p>
        </w:tc>
        <w:tc>
          <w:tcPr>
            <w:tcW w:w="2858" w:type="dxa"/>
            <w:noWrap w:val="0"/>
            <w:vAlign w:val="center"/>
          </w:tcPr>
          <w:p w14:paraId="34E6EDF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䓛</w:t>
            </w:r>
          </w:p>
        </w:tc>
        <w:tc>
          <w:tcPr>
            <w:tcW w:w="2114" w:type="dxa"/>
            <w:gridSpan w:val="2"/>
            <w:noWrap w:val="0"/>
            <w:vAlign w:val="center"/>
          </w:tcPr>
          <w:p w14:paraId="6D931EF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218-01-9</w:t>
            </w:r>
          </w:p>
        </w:tc>
        <w:tc>
          <w:tcPr>
            <w:tcW w:w="2790" w:type="dxa"/>
            <w:noWrap w:val="0"/>
            <w:vAlign w:val="center"/>
          </w:tcPr>
          <w:p w14:paraId="3C0C12A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1293</w:t>
            </w:r>
          </w:p>
        </w:tc>
      </w:tr>
      <w:tr w14:paraId="0FF6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4E91F5A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43</w:t>
            </w:r>
          </w:p>
        </w:tc>
        <w:tc>
          <w:tcPr>
            <w:tcW w:w="2858" w:type="dxa"/>
            <w:noWrap w:val="0"/>
            <w:vAlign w:val="center"/>
          </w:tcPr>
          <w:p w14:paraId="13452E9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二苯并[a</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h]蒽</w:t>
            </w:r>
          </w:p>
        </w:tc>
        <w:tc>
          <w:tcPr>
            <w:tcW w:w="2114" w:type="dxa"/>
            <w:gridSpan w:val="2"/>
            <w:noWrap w:val="0"/>
            <w:vAlign w:val="center"/>
          </w:tcPr>
          <w:p w14:paraId="7827B3D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53-70-3</w:t>
            </w:r>
          </w:p>
        </w:tc>
        <w:tc>
          <w:tcPr>
            <w:tcW w:w="2790" w:type="dxa"/>
            <w:noWrap w:val="0"/>
            <w:vAlign w:val="center"/>
          </w:tcPr>
          <w:p w14:paraId="451D9B4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r>
      <w:tr w14:paraId="34B9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2403412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44</w:t>
            </w:r>
          </w:p>
        </w:tc>
        <w:tc>
          <w:tcPr>
            <w:tcW w:w="2858" w:type="dxa"/>
            <w:noWrap w:val="0"/>
            <w:vAlign w:val="center"/>
          </w:tcPr>
          <w:p w14:paraId="14428DC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茚并[1</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2</w:t>
            </w:r>
            <w:r>
              <w:rPr>
                <w:rFonts w:hint="default" w:ascii="Times New Roman" w:hAnsi="Times New Roman" w:eastAsia="宋体" w:cs="Times New Roman"/>
                <w:caps w:val="0"/>
                <w:smallCaps w:val="0"/>
                <w:color w:val="auto"/>
                <w:kern w:val="0"/>
                <w:sz w:val="21"/>
                <w:szCs w:val="21"/>
                <w:highlight w:val="none"/>
                <w:lang w:eastAsia="zh-CN"/>
              </w:rPr>
              <w:t>，</w:t>
            </w:r>
            <w:r>
              <w:rPr>
                <w:rFonts w:hint="default" w:ascii="Times New Roman" w:hAnsi="Times New Roman" w:eastAsia="宋体" w:cs="Times New Roman"/>
                <w:caps w:val="0"/>
                <w:smallCaps w:val="0"/>
                <w:color w:val="auto"/>
                <w:kern w:val="0"/>
                <w:sz w:val="21"/>
                <w:szCs w:val="21"/>
                <w:highlight w:val="none"/>
              </w:rPr>
              <w:t>3-cd]芘</w:t>
            </w:r>
          </w:p>
        </w:tc>
        <w:tc>
          <w:tcPr>
            <w:tcW w:w="2114" w:type="dxa"/>
            <w:gridSpan w:val="2"/>
            <w:noWrap w:val="0"/>
            <w:vAlign w:val="center"/>
          </w:tcPr>
          <w:p w14:paraId="61A9FD8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193-39-5</w:t>
            </w:r>
          </w:p>
        </w:tc>
        <w:tc>
          <w:tcPr>
            <w:tcW w:w="2790" w:type="dxa"/>
            <w:noWrap w:val="0"/>
            <w:vAlign w:val="center"/>
          </w:tcPr>
          <w:p w14:paraId="106EEB3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15</w:t>
            </w:r>
          </w:p>
        </w:tc>
      </w:tr>
      <w:tr w14:paraId="5869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7B6F894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45</w:t>
            </w:r>
          </w:p>
        </w:tc>
        <w:tc>
          <w:tcPr>
            <w:tcW w:w="2858" w:type="dxa"/>
            <w:noWrap w:val="0"/>
            <w:vAlign w:val="center"/>
          </w:tcPr>
          <w:p w14:paraId="6B1E8F5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萘</w:t>
            </w:r>
          </w:p>
        </w:tc>
        <w:tc>
          <w:tcPr>
            <w:tcW w:w="2114" w:type="dxa"/>
            <w:gridSpan w:val="2"/>
            <w:noWrap w:val="0"/>
            <w:vAlign w:val="center"/>
          </w:tcPr>
          <w:p w14:paraId="355A882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91-20-3</w:t>
            </w:r>
          </w:p>
        </w:tc>
        <w:tc>
          <w:tcPr>
            <w:tcW w:w="2790" w:type="dxa"/>
            <w:noWrap w:val="0"/>
            <w:vAlign w:val="center"/>
          </w:tcPr>
          <w:p w14:paraId="1AE13D5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70</w:t>
            </w:r>
          </w:p>
        </w:tc>
      </w:tr>
      <w:tr w14:paraId="3BB4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noWrap w:val="0"/>
            <w:vAlign w:val="center"/>
          </w:tcPr>
          <w:p w14:paraId="530D62F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46</w:t>
            </w:r>
          </w:p>
        </w:tc>
        <w:tc>
          <w:tcPr>
            <w:tcW w:w="2858" w:type="dxa"/>
            <w:noWrap w:val="0"/>
            <w:vAlign w:val="center"/>
          </w:tcPr>
          <w:p w14:paraId="1CA54DE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kern w:val="0"/>
                <w:sz w:val="21"/>
                <w:szCs w:val="21"/>
                <w:highlight w:val="none"/>
              </w:rPr>
              <w:t>PH</w:t>
            </w:r>
          </w:p>
        </w:tc>
        <w:tc>
          <w:tcPr>
            <w:tcW w:w="2114" w:type="dxa"/>
            <w:gridSpan w:val="2"/>
            <w:noWrap w:val="0"/>
            <w:vAlign w:val="center"/>
          </w:tcPr>
          <w:p w14:paraId="090A5CC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lang w:val="en-US" w:eastAsia="zh-CN"/>
              </w:rPr>
            </w:pPr>
            <w:r>
              <w:rPr>
                <w:rFonts w:hint="default" w:ascii="Times New Roman" w:hAnsi="Times New Roman" w:eastAsia="宋体" w:cs="Times New Roman"/>
                <w:i w:val="0"/>
                <w:iCs w:val="0"/>
                <w:caps w:val="0"/>
                <w:smallCaps w:val="0"/>
                <w:color w:val="auto"/>
                <w:kern w:val="0"/>
                <w:sz w:val="21"/>
                <w:szCs w:val="21"/>
                <w:highlight w:val="none"/>
                <w:u w:val="none"/>
                <w:lang w:val="en-US" w:eastAsia="zh-CN" w:bidi="ar"/>
              </w:rPr>
              <w:t>/</w:t>
            </w:r>
          </w:p>
        </w:tc>
        <w:tc>
          <w:tcPr>
            <w:tcW w:w="2790" w:type="dxa"/>
            <w:noWrap w:val="0"/>
            <w:vAlign w:val="center"/>
          </w:tcPr>
          <w:p w14:paraId="7065529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aps w:val="0"/>
                <w:smallCaps w:val="0"/>
                <w:color w:val="auto"/>
                <w:kern w:val="0"/>
                <w:sz w:val="21"/>
                <w:szCs w:val="21"/>
                <w:highlight w:val="none"/>
                <w:lang w:val="en-US" w:eastAsia="zh-CN"/>
              </w:rPr>
            </w:pPr>
            <w:r>
              <w:rPr>
                <w:rFonts w:hint="default" w:ascii="Times New Roman" w:hAnsi="Times New Roman" w:eastAsia="宋体" w:cs="Times New Roman"/>
                <w:i w:val="0"/>
                <w:iCs w:val="0"/>
                <w:caps w:val="0"/>
                <w:smallCaps w:val="0"/>
                <w:color w:val="auto"/>
                <w:kern w:val="0"/>
                <w:sz w:val="21"/>
                <w:szCs w:val="21"/>
                <w:highlight w:val="none"/>
                <w:u w:val="none"/>
                <w:lang w:val="en-US" w:eastAsia="zh-CN" w:bidi="ar"/>
              </w:rPr>
              <w:t>/</w:t>
            </w:r>
          </w:p>
        </w:tc>
      </w:tr>
    </w:tbl>
    <w:p w14:paraId="24B13AD4">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2.4.4.4声环境</w:t>
      </w:r>
    </w:p>
    <w:p w14:paraId="536D793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项目所在区域执行《声环境质量标准》（GB3096-2008）中</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类标准，见下表。</w:t>
      </w:r>
    </w:p>
    <w:p w14:paraId="5292356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 xml:space="preserve">4  </w:t>
      </w:r>
      <w:r>
        <w:rPr>
          <w:rFonts w:hint="default" w:ascii="Times New Roman" w:hAnsi="Times New Roman" w:eastAsia="宋体" w:cs="Times New Roman"/>
          <w:color w:val="auto"/>
          <w:sz w:val="24"/>
          <w:szCs w:val="24"/>
          <w:highlight w:val="none"/>
        </w:rPr>
        <w:t>声环境质量标准</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22"/>
        <w:gridCol w:w="1075"/>
        <w:gridCol w:w="1705"/>
        <w:gridCol w:w="1705"/>
        <w:gridCol w:w="2370"/>
      </w:tblGrid>
      <w:tr w14:paraId="6DB813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44" w:type="dxa"/>
            <w:tcBorders>
              <w:top w:val="single" w:color="auto" w:sz="4" w:space="0"/>
              <w:left w:val="single" w:color="auto" w:sz="4" w:space="0"/>
              <w:bottom w:val="single" w:color="auto" w:sz="4" w:space="0"/>
              <w:right w:val="single" w:color="auto" w:sz="4" w:space="0"/>
            </w:tcBorders>
            <w:vAlign w:val="center"/>
          </w:tcPr>
          <w:p w14:paraId="3AB27A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功能区</w:t>
            </w:r>
          </w:p>
        </w:tc>
        <w:tc>
          <w:tcPr>
            <w:tcW w:w="1162" w:type="dxa"/>
            <w:tcBorders>
              <w:top w:val="single" w:color="auto" w:sz="4" w:space="0"/>
              <w:left w:val="single" w:color="auto" w:sz="4" w:space="0"/>
              <w:bottom w:val="single" w:color="auto" w:sz="4" w:space="0"/>
              <w:right w:val="single" w:color="auto" w:sz="4" w:space="0"/>
            </w:tcBorders>
            <w:vAlign w:val="center"/>
          </w:tcPr>
          <w:p w14:paraId="29DA79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855" w:type="dxa"/>
            <w:tcBorders>
              <w:top w:val="single" w:color="auto" w:sz="4" w:space="0"/>
              <w:left w:val="single" w:color="auto" w:sz="4" w:space="0"/>
              <w:bottom w:val="single" w:color="auto" w:sz="4" w:space="0"/>
              <w:right w:val="single" w:color="auto" w:sz="4" w:space="0"/>
            </w:tcBorders>
            <w:vAlign w:val="center"/>
          </w:tcPr>
          <w:p w14:paraId="66BCEE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1855" w:type="dxa"/>
            <w:tcBorders>
              <w:top w:val="single" w:color="auto" w:sz="4" w:space="0"/>
              <w:left w:val="single" w:color="auto" w:sz="4" w:space="0"/>
              <w:bottom w:val="single" w:color="auto" w:sz="4" w:space="0"/>
              <w:right w:val="single" w:color="auto" w:sz="4" w:space="0"/>
            </w:tcBorders>
            <w:vAlign w:val="center"/>
          </w:tcPr>
          <w:p w14:paraId="6245A8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c>
          <w:tcPr>
            <w:tcW w:w="2588" w:type="dxa"/>
            <w:tcBorders>
              <w:top w:val="single" w:color="auto" w:sz="4" w:space="0"/>
              <w:left w:val="single" w:color="auto" w:sz="4" w:space="0"/>
              <w:bottom w:val="single" w:color="auto" w:sz="4" w:space="0"/>
              <w:right w:val="single" w:color="auto" w:sz="4" w:space="0"/>
            </w:tcBorders>
            <w:vAlign w:val="center"/>
          </w:tcPr>
          <w:p w14:paraId="4D577B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标准来源</w:t>
            </w:r>
          </w:p>
        </w:tc>
      </w:tr>
      <w:tr w14:paraId="2A8F53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44" w:type="dxa"/>
            <w:tcBorders>
              <w:top w:val="single" w:color="auto" w:sz="4" w:space="0"/>
              <w:left w:val="single" w:color="auto" w:sz="4" w:space="0"/>
              <w:bottom w:val="single" w:color="auto" w:sz="4" w:space="0"/>
              <w:right w:val="single" w:color="auto" w:sz="4" w:space="0"/>
            </w:tcBorders>
            <w:vAlign w:val="center"/>
          </w:tcPr>
          <w:p w14:paraId="73A653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村庄</w:t>
            </w:r>
          </w:p>
        </w:tc>
        <w:tc>
          <w:tcPr>
            <w:tcW w:w="1162" w:type="dxa"/>
            <w:tcBorders>
              <w:top w:val="single" w:color="auto" w:sz="4" w:space="0"/>
              <w:left w:val="single" w:color="auto" w:sz="4" w:space="0"/>
              <w:bottom w:val="single" w:color="auto" w:sz="4" w:space="0"/>
              <w:right w:val="single" w:color="auto" w:sz="4" w:space="0"/>
            </w:tcBorders>
            <w:vAlign w:val="center"/>
          </w:tcPr>
          <w:p w14:paraId="2A22F2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2</w:t>
            </w:r>
          </w:p>
        </w:tc>
        <w:tc>
          <w:tcPr>
            <w:tcW w:w="1855" w:type="dxa"/>
            <w:tcBorders>
              <w:top w:val="single" w:color="auto" w:sz="4" w:space="0"/>
              <w:left w:val="single" w:color="auto" w:sz="4" w:space="0"/>
              <w:bottom w:val="single" w:color="auto" w:sz="4" w:space="0"/>
              <w:right w:val="single" w:color="auto" w:sz="4" w:space="0"/>
            </w:tcBorders>
            <w:vAlign w:val="center"/>
          </w:tcPr>
          <w:p w14:paraId="20BCA2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（A）</w:t>
            </w:r>
          </w:p>
        </w:tc>
        <w:tc>
          <w:tcPr>
            <w:tcW w:w="1855" w:type="dxa"/>
            <w:tcBorders>
              <w:top w:val="single" w:color="auto" w:sz="4" w:space="0"/>
              <w:left w:val="single" w:color="auto" w:sz="4" w:space="0"/>
              <w:bottom w:val="single" w:color="auto" w:sz="4" w:space="0"/>
              <w:right w:val="single" w:color="auto" w:sz="4" w:space="0"/>
            </w:tcBorders>
            <w:vAlign w:val="center"/>
          </w:tcPr>
          <w:p w14:paraId="671204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（A）</w:t>
            </w:r>
          </w:p>
        </w:tc>
        <w:tc>
          <w:tcPr>
            <w:tcW w:w="2588" w:type="dxa"/>
            <w:tcBorders>
              <w:top w:val="single" w:color="auto" w:sz="4" w:space="0"/>
              <w:left w:val="single" w:color="auto" w:sz="4" w:space="0"/>
              <w:bottom w:val="single" w:color="auto" w:sz="4" w:space="0"/>
              <w:right w:val="single" w:color="auto" w:sz="4" w:space="0"/>
            </w:tcBorders>
            <w:vAlign w:val="center"/>
          </w:tcPr>
          <w:p w14:paraId="3382A3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GB3096-2008</w:t>
            </w:r>
          </w:p>
        </w:tc>
      </w:tr>
    </w:tbl>
    <w:p w14:paraId="3E4F3E10">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170" w:name="_Toc28879"/>
      <w:r>
        <w:rPr>
          <w:rFonts w:hint="default" w:ascii="Times New Roman" w:hAnsi="Times New Roman" w:eastAsia="宋体" w:cs="Times New Roman"/>
          <w:color w:val="auto"/>
          <w:highlight w:val="none"/>
        </w:rPr>
        <w:t>2.4.3污染物排放标准</w:t>
      </w:r>
      <w:bookmarkEnd w:id="170"/>
    </w:p>
    <w:p w14:paraId="64184232">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2.4.3.</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废水</w:t>
      </w:r>
    </w:p>
    <w:p w14:paraId="5566397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羊粪便含水率较低</w:t>
      </w:r>
      <w:r>
        <w:rPr>
          <w:rFonts w:hint="default" w:ascii="Times New Roman" w:hAnsi="Times New Roman" w:eastAsia="宋体" w:cs="Times New Roman"/>
          <w:color w:val="auto"/>
          <w:highlight w:val="none"/>
        </w:rPr>
        <w:t>，在养殖区排放的</w:t>
      </w:r>
      <w:r>
        <w:rPr>
          <w:rFonts w:hint="default" w:ascii="Times New Roman" w:hAnsi="Times New Roman" w:eastAsia="宋体" w:cs="Times New Roman"/>
          <w:color w:val="auto"/>
          <w:highlight w:val="none"/>
          <w:lang w:val="en-US" w:eastAsia="zh-CN"/>
        </w:rPr>
        <w:t>羊</w:t>
      </w:r>
      <w:r>
        <w:rPr>
          <w:rFonts w:hint="default" w:ascii="Times New Roman" w:hAnsi="Times New Roman" w:eastAsia="宋体" w:cs="Times New Roman"/>
          <w:color w:val="auto"/>
          <w:highlight w:val="none"/>
        </w:rPr>
        <w:t>尿液大部分由于当地气候</w:t>
      </w:r>
      <w:r>
        <w:rPr>
          <w:rFonts w:hint="default" w:ascii="Times New Roman" w:hAnsi="Times New Roman" w:eastAsia="宋体" w:cs="Times New Roman"/>
          <w:color w:val="auto"/>
          <w:highlight w:val="none"/>
          <w:lang w:eastAsia="zh-CN"/>
        </w:rPr>
        <w:t>干燥蒸发</w:t>
      </w:r>
      <w:r>
        <w:rPr>
          <w:rFonts w:hint="default" w:ascii="Times New Roman" w:hAnsi="Times New Roman" w:eastAsia="宋体" w:cs="Times New Roman"/>
          <w:color w:val="auto"/>
          <w:highlight w:val="none"/>
        </w:rPr>
        <w:t>，剩余尿液与粪便完全</w:t>
      </w:r>
      <w:r>
        <w:rPr>
          <w:rFonts w:hint="default" w:ascii="Times New Roman" w:hAnsi="Times New Roman" w:eastAsia="宋体" w:cs="Times New Roman"/>
          <w:color w:val="auto"/>
          <w:highlight w:val="none"/>
          <w:lang w:eastAsia="zh-CN"/>
        </w:rPr>
        <w:t>黏结</w:t>
      </w:r>
      <w:r>
        <w:rPr>
          <w:rFonts w:hint="default" w:ascii="Times New Roman" w:hAnsi="Times New Roman" w:eastAsia="宋体" w:cs="Times New Roman"/>
          <w:color w:val="auto"/>
          <w:highlight w:val="none"/>
        </w:rPr>
        <w:t>混合在一起，一起运往</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储存并堆肥，因此，没有尿液排放</w:t>
      </w:r>
      <w:r>
        <w:rPr>
          <w:rFonts w:hint="default" w:ascii="Times New Roman" w:hAnsi="Times New Roman" w:eastAsia="宋体" w:cs="Times New Roman"/>
          <w:color w:val="auto"/>
          <w:highlight w:val="none"/>
          <w:lang w:eastAsia="zh-CN"/>
        </w:rPr>
        <w:t>。</w:t>
      </w:r>
    </w:p>
    <w:p w14:paraId="3AFBA65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养殖区场地不采取水冲洗方式清理，</w:t>
      </w:r>
      <w:r>
        <w:rPr>
          <w:rFonts w:hint="default" w:ascii="Times New Roman" w:hAnsi="Times New Roman" w:eastAsia="宋体" w:cs="Times New Roman"/>
          <w:color w:val="auto"/>
          <w:highlight w:val="none"/>
          <w:lang w:eastAsia="zh-CN"/>
        </w:rPr>
        <w:t>采用消毒水每周喷洒消毒2～3次</w:t>
      </w:r>
      <w:r>
        <w:rPr>
          <w:rFonts w:hint="default" w:ascii="Times New Roman" w:hAnsi="Times New Roman" w:eastAsia="宋体" w:cs="Times New Roman"/>
          <w:color w:val="auto"/>
          <w:highlight w:val="none"/>
        </w:rPr>
        <w:t>，因此，养殖区不产生冲洗废水</w:t>
      </w:r>
      <w:r>
        <w:rPr>
          <w:rFonts w:hint="default" w:ascii="Times New Roman" w:hAnsi="Times New Roman" w:eastAsia="宋体" w:cs="Times New Roman"/>
          <w:color w:val="auto"/>
          <w:highlight w:val="none"/>
          <w:lang w:eastAsia="zh-CN"/>
        </w:rPr>
        <w:t>。</w:t>
      </w:r>
    </w:p>
    <w:p w14:paraId="1ACF2DC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w:t>
      </w:r>
    </w:p>
    <w:p w14:paraId="7B254C91">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2.4.3.</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废气</w:t>
      </w:r>
    </w:p>
    <w:p w14:paraId="1C0FB46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运营期有组织废气：</w:t>
      </w:r>
    </w:p>
    <w:p w14:paraId="2227563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生物质热风炉废气中颗粒物、烟气黑度排放执行《工业炉窑大气污染物排放标准》（GB9078-1996）表2中干燥炉、窑的二级标准排放限值；二氧化硫排放执行《工业炉窑大气污染物排放标准》（GB9078-1996）表4中燃煤炉窑的二级标准排放限值；氮氧化物排放执行《大气污染物综合排放标准》（GB16297-1996）表2新污染源大气污染物排放限值；汞排放执行《工业炉窑大气污染物排放标准》（GB9078-1996）表4中其他的二级标准排放限值；烟囱高度应不低于15m，且应高出周围半径200m距离内建筑物3m以上；</w:t>
      </w:r>
    </w:p>
    <w:p w14:paraId="7D846E4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运营期无组织废气：</w:t>
      </w:r>
    </w:p>
    <w:p w14:paraId="482874A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臭气浓度排放执行《畜禽养殖业污染物排放标准》（GB18596-2001）</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7集约化畜禽养殖业恶臭污染物排放标准</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排放执行《恶臭污染物排放标准》（GB14554-93）</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1恶臭污染物厂界标准值中“二级、新扩改建”标准要求</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颗粒物排放执行《大气污染物综合排放标准》（GB16297-1996）表2新污染源</w:t>
      </w:r>
      <w:r>
        <w:rPr>
          <w:rFonts w:hint="default" w:ascii="Times New Roman" w:hAnsi="Times New Roman" w:eastAsia="宋体" w:cs="Times New Roman"/>
          <w:color w:val="auto"/>
          <w:highlight w:val="none"/>
          <w:lang w:val="en-US" w:eastAsia="zh-CN"/>
        </w:rPr>
        <w:t>大气污染物排放限值</w:t>
      </w:r>
      <w:r>
        <w:rPr>
          <w:rFonts w:hint="default" w:ascii="Times New Roman" w:hAnsi="Times New Roman" w:eastAsia="宋体" w:cs="Times New Roman"/>
          <w:color w:val="auto"/>
          <w:highlight w:val="none"/>
          <w:lang w:eastAsia="zh-CN"/>
        </w:rPr>
        <w:t>中无组织排放监控浓度限值</w:t>
      </w:r>
      <w:r>
        <w:rPr>
          <w:rFonts w:hint="default" w:ascii="Times New Roman" w:hAnsi="Times New Roman" w:eastAsia="宋体" w:cs="Times New Roman"/>
          <w:color w:val="auto"/>
          <w:highlight w:val="none"/>
          <w:lang w:eastAsia="zh-CN"/>
        </w:rPr>
        <w:t>。</w:t>
      </w:r>
    </w:p>
    <w:p w14:paraId="3658AE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具体标准</w:t>
      </w:r>
      <w:r>
        <w:rPr>
          <w:rFonts w:hint="default" w:ascii="Times New Roman" w:hAnsi="Times New Roman" w:eastAsia="宋体" w:cs="Times New Roman"/>
          <w:color w:val="auto"/>
          <w:highlight w:val="none"/>
        </w:rPr>
        <w:t>见下表。</w:t>
      </w:r>
    </w:p>
    <w:p w14:paraId="28FD7CB9">
      <w:pPr>
        <w:pStyle w:val="8"/>
        <w:pageBreakBefore w:val="0"/>
        <w:shd w:val="clear"/>
        <w:kinsoku/>
        <w:wordWrap/>
        <w:bidi w:val="0"/>
        <w:spacing w:line="360" w:lineRule="auto"/>
        <w:ind w:left="0" w:left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《工业炉窑大气污染物排放标准》（GB9078-1996）</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72"/>
        <w:gridCol w:w="5005"/>
      </w:tblGrid>
      <w:tr w14:paraId="1B8A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38" w:type="dxa"/>
            <w:noWrap w:val="0"/>
            <w:vAlign w:val="center"/>
          </w:tcPr>
          <w:p w14:paraId="6CC5082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color w:val="auto"/>
                <w:sz w:val="21"/>
                <w:szCs w:val="20"/>
                <w:highlight w:val="none"/>
              </w:rPr>
              <w:t>污染物</w:t>
            </w:r>
          </w:p>
        </w:tc>
        <w:tc>
          <w:tcPr>
            <w:tcW w:w="4799" w:type="dxa"/>
            <w:noWrap w:val="0"/>
            <w:vAlign w:val="center"/>
          </w:tcPr>
          <w:p w14:paraId="43F2839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color w:val="auto"/>
                <w:sz w:val="21"/>
                <w:szCs w:val="20"/>
                <w:highlight w:val="none"/>
                <w:lang w:eastAsia="zh-CN"/>
              </w:rPr>
              <w:t>排放限值</w:t>
            </w:r>
            <w:r>
              <w:rPr>
                <w:rFonts w:hint="default" w:ascii="Times New Roman" w:hAnsi="Times New Roman" w:eastAsia="宋体" w:cs="Times New Roman"/>
                <w:color w:val="auto"/>
                <w:sz w:val="21"/>
                <w:szCs w:val="20"/>
                <w:highlight w:val="none"/>
              </w:rPr>
              <w:t>（mg/m</w:t>
            </w:r>
            <w:r>
              <w:rPr>
                <w:rFonts w:hint="default" w:ascii="Times New Roman" w:hAnsi="Times New Roman" w:eastAsia="宋体" w:cs="Times New Roman"/>
                <w:color w:val="auto"/>
                <w:sz w:val="21"/>
                <w:szCs w:val="20"/>
                <w:highlight w:val="none"/>
                <w:vertAlign w:val="superscript"/>
                <w:lang w:val="en-US" w:eastAsia="zh-CN"/>
              </w:rPr>
              <w:t>3</w:t>
            </w:r>
            <w:r>
              <w:rPr>
                <w:rFonts w:hint="default" w:ascii="Times New Roman" w:hAnsi="Times New Roman" w:eastAsia="宋体" w:cs="Times New Roman"/>
                <w:color w:val="auto"/>
                <w:sz w:val="21"/>
                <w:szCs w:val="20"/>
                <w:highlight w:val="none"/>
              </w:rPr>
              <w:t>）</w:t>
            </w:r>
          </w:p>
        </w:tc>
      </w:tr>
      <w:tr w14:paraId="45D7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38" w:type="dxa"/>
            <w:noWrap w:val="0"/>
            <w:vAlign w:val="center"/>
          </w:tcPr>
          <w:p w14:paraId="5F0175E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20"/>
                <w:highlight w:val="none"/>
              </w:rPr>
              <w:t>烟尘</w:t>
            </w:r>
          </w:p>
        </w:tc>
        <w:tc>
          <w:tcPr>
            <w:tcW w:w="4799" w:type="dxa"/>
            <w:noWrap w:val="0"/>
            <w:vAlign w:val="center"/>
          </w:tcPr>
          <w:p w14:paraId="316FB2F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20"/>
                <w:highlight w:val="none"/>
              </w:rPr>
              <w:t>200</w:t>
            </w:r>
          </w:p>
        </w:tc>
      </w:tr>
      <w:tr w14:paraId="36CA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38" w:type="dxa"/>
            <w:noWrap w:val="0"/>
            <w:vAlign w:val="center"/>
          </w:tcPr>
          <w:p w14:paraId="2F9C830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vertAlign w:val="subscript"/>
              </w:rPr>
            </w:pPr>
            <w:r>
              <w:rPr>
                <w:rFonts w:hint="default" w:ascii="Times New Roman" w:hAnsi="Times New Roman" w:eastAsia="宋体" w:cs="Times New Roman"/>
                <w:color w:val="auto"/>
                <w:sz w:val="21"/>
                <w:szCs w:val="20"/>
                <w:highlight w:val="none"/>
              </w:rPr>
              <w:t>SO</w:t>
            </w:r>
            <w:r>
              <w:rPr>
                <w:rFonts w:hint="default" w:ascii="Times New Roman" w:hAnsi="Times New Roman" w:eastAsia="宋体" w:cs="Times New Roman"/>
                <w:color w:val="auto"/>
                <w:sz w:val="21"/>
                <w:szCs w:val="20"/>
                <w:highlight w:val="none"/>
                <w:vertAlign w:val="subscript"/>
              </w:rPr>
              <w:t>2</w:t>
            </w:r>
          </w:p>
        </w:tc>
        <w:tc>
          <w:tcPr>
            <w:tcW w:w="4799" w:type="dxa"/>
            <w:noWrap w:val="0"/>
            <w:vAlign w:val="center"/>
          </w:tcPr>
          <w:p w14:paraId="29B89AD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20"/>
                <w:highlight w:val="none"/>
              </w:rPr>
              <w:t>850</w:t>
            </w:r>
          </w:p>
        </w:tc>
      </w:tr>
      <w:tr w14:paraId="0269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38" w:type="dxa"/>
            <w:noWrap w:val="0"/>
            <w:vAlign w:val="center"/>
          </w:tcPr>
          <w:p w14:paraId="7ADE018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20"/>
                <w:highlight w:val="none"/>
                <w:lang w:eastAsia="zh-CN"/>
              </w:rPr>
              <w:t>汞</w:t>
            </w:r>
          </w:p>
        </w:tc>
        <w:tc>
          <w:tcPr>
            <w:tcW w:w="4799" w:type="dxa"/>
            <w:noWrap w:val="0"/>
            <w:vAlign w:val="center"/>
          </w:tcPr>
          <w:p w14:paraId="1E2869F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20"/>
                <w:highlight w:val="none"/>
                <w:lang w:val="en-US" w:eastAsia="zh-CN"/>
              </w:rPr>
              <w:t>0.01</w:t>
            </w:r>
          </w:p>
        </w:tc>
      </w:tr>
      <w:tr w14:paraId="4975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38" w:type="dxa"/>
            <w:noWrap w:val="0"/>
            <w:vAlign w:val="center"/>
          </w:tcPr>
          <w:p w14:paraId="569D428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20"/>
                <w:highlight w:val="none"/>
                <w:lang w:eastAsia="zh-CN"/>
              </w:rPr>
              <w:t>烟气黑度</w:t>
            </w:r>
          </w:p>
        </w:tc>
        <w:tc>
          <w:tcPr>
            <w:tcW w:w="4799" w:type="dxa"/>
            <w:noWrap w:val="0"/>
            <w:vAlign w:val="center"/>
          </w:tcPr>
          <w:p w14:paraId="65689DF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20"/>
                <w:highlight w:val="none"/>
                <w:lang w:val="en-US" w:eastAsia="zh-CN"/>
              </w:rPr>
              <w:t>1</w:t>
            </w:r>
          </w:p>
        </w:tc>
      </w:tr>
    </w:tbl>
    <w:p w14:paraId="7D10AE69">
      <w:pPr>
        <w:pStyle w:val="8"/>
        <w:pageBreakBefore w:val="0"/>
        <w:shd w:val="clear"/>
        <w:kinsoku/>
        <w:wordWrap/>
        <w:bidi w:val="0"/>
        <w:spacing w:line="360" w:lineRule="auto"/>
        <w:ind w:left="0" w:left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《大气污染物综合排放标准》（GB16297-1996）</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2098"/>
        <w:gridCol w:w="2100"/>
        <w:gridCol w:w="2098"/>
      </w:tblGrid>
      <w:tr w14:paraId="0420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vMerge w:val="restart"/>
            <w:noWrap w:val="0"/>
            <w:vAlign w:val="center"/>
          </w:tcPr>
          <w:p w14:paraId="256BED2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污染物</w:t>
            </w:r>
          </w:p>
        </w:tc>
        <w:tc>
          <w:tcPr>
            <w:tcW w:w="2098" w:type="dxa"/>
            <w:vMerge w:val="restart"/>
            <w:noWrap w:val="0"/>
            <w:vAlign w:val="center"/>
          </w:tcPr>
          <w:p w14:paraId="5E2F986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最高允许排放浓度mg/m</w:t>
            </w:r>
            <w:r>
              <w:rPr>
                <w:rFonts w:hint="default" w:ascii="Times New Roman" w:hAnsi="Times New Roman" w:eastAsia="宋体" w:cs="Times New Roman"/>
                <w:b/>
                <w:bCs/>
                <w:color w:val="auto"/>
                <w:sz w:val="21"/>
                <w:szCs w:val="18"/>
                <w:highlight w:val="none"/>
                <w:vertAlign w:val="superscript"/>
              </w:rPr>
              <w:t>3</w:t>
            </w:r>
          </w:p>
        </w:tc>
        <w:tc>
          <w:tcPr>
            <w:tcW w:w="4198" w:type="dxa"/>
            <w:gridSpan w:val="2"/>
            <w:noWrap w:val="0"/>
            <w:vAlign w:val="center"/>
          </w:tcPr>
          <w:p w14:paraId="670CCAA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最高允许排放速率，kg/h</w:t>
            </w:r>
          </w:p>
        </w:tc>
      </w:tr>
      <w:tr w14:paraId="48F6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vMerge w:val="continue"/>
            <w:noWrap w:val="0"/>
            <w:vAlign w:val="center"/>
          </w:tcPr>
          <w:p w14:paraId="66CD2D3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p>
        </w:tc>
        <w:tc>
          <w:tcPr>
            <w:tcW w:w="2098" w:type="dxa"/>
            <w:vMerge w:val="continue"/>
            <w:noWrap w:val="0"/>
            <w:vAlign w:val="center"/>
          </w:tcPr>
          <w:p w14:paraId="3786FCE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p>
        </w:tc>
        <w:tc>
          <w:tcPr>
            <w:tcW w:w="2100" w:type="dxa"/>
            <w:noWrap w:val="0"/>
            <w:vAlign w:val="center"/>
          </w:tcPr>
          <w:p w14:paraId="48C1E2B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排气筒高度m</w:t>
            </w:r>
          </w:p>
        </w:tc>
        <w:tc>
          <w:tcPr>
            <w:tcW w:w="2098" w:type="dxa"/>
            <w:noWrap w:val="0"/>
            <w:vAlign w:val="center"/>
          </w:tcPr>
          <w:p w14:paraId="47B934B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二级</w:t>
            </w:r>
          </w:p>
        </w:tc>
      </w:tr>
      <w:tr w14:paraId="0C6A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noWrap w:val="0"/>
            <w:vAlign w:val="center"/>
          </w:tcPr>
          <w:p w14:paraId="0A118E9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18"/>
                <w:highlight w:val="none"/>
                <w:lang w:eastAsia="zh-CN"/>
              </w:rPr>
            </w:pPr>
            <w:r>
              <w:rPr>
                <w:rFonts w:hint="default" w:ascii="Times New Roman" w:hAnsi="Times New Roman" w:eastAsia="宋体" w:cs="Times New Roman"/>
                <w:color w:val="auto"/>
                <w:sz w:val="21"/>
                <w:szCs w:val="18"/>
                <w:highlight w:val="none"/>
                <w:lang w:eastAsia="zh-CN"/>
              </w:rPr>
              <w:t>氮氧化物</w:t>
            </w:r>
          </w:p>
        </w:tc>
        <w:tc>
          <w:tcPr>
            <w:tcW w:w="2098" w:type="dxa"/>
            <w:noWrap w:val="0"/>
            <w:vAlign w:val="center"/>
          </w:tcPr>
          <w:p w14:paraId="267B387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240</w:t>
            </w:r>
          </w:p>
        </w:tc>
        <w:tc>
          <w:tcPr>
            <w:tcW w:w="2100" w:type="dxa"/>
            <w:noWrap w:val="0"/>
            <w:vAlign w:val="center"/>
          </w:tcPr>
          <w:p w14:paraId="1FCA77E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15</w:t>
            </w:r>
          </w:p>
        </w:tc>
        <w:tc>
          <w:tcPr>
            <w:tcW w:w="2098" w:type="dxa"/>
            <w:noWrap w:val="0"/>
            <w:vAlign w:val="center"/>
          </w:tcPr>
          <w:p w14:paraId="0C9D1FF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0.77</w:t>
            </w:r>
          </w:p>
        </w:tc>
      </w:tr>
    </w:tbl>
    <w:p w14:paraId="7248D66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大气污染物排放标准</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2011"/>
        <w:gridCol w:w="2011"/>
        <w:gridCol w:w="1621"/>
        <w:gridCol w:w="1621"/>
      </w:tblGrid>
      <w:tr w14:paraId="5AEE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vAlign w:val="center"/>
          </w:tcPr>
          <w:p w14:paraId="799E1E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序号</w:t>
            </w:r>
          </w:p>
        </w:tc>
        <w:tc>
          <w:tcPr>
            <w:tcW w:w="1125" w:type="dxa"/>
            <w:vMerge w:val="restart"/>
            <w:vAlign w:val="center"/>
          </w:tcPr>
          <w:p w14:paraId="3B463B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标准来源</w:t>
            </w:r>
          </w:p>
        </w:tc>
        <w:tc>
          <w:tcPr>
            <w:tcW w:w="1125" w:type="dxa"/>
            <w:vMerge w:val="restart"/>
            <w:vAlign w:val="center"/>
          </w:tcPr>
          <w:p w14:paraId="4BE4EA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污染物</w:t>
            </w:r>
          </w:p>
        </w:tc>
        <w:tc>
          <w:tcPr>
            <w:tcW w:w="907" w:type="dxa"/>
            <w:gridSpan w:val="2"/>
            <w:vAlign w:val="center"/>
          </w:tcPr>
          <w:p w14:paraId="1A87D4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无组织排放限值</w:t>
            </w:r>
          </w:p>
        </w:tc>
      </w:tr>
      <w:tr w14:paraId="2E24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3E7F42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25" w:type="dxa"/>
            <w:vMerge w:val="continue"/>
            <w:vAlign w:val="center"/>
          </w:tcPr>
          <w:p w14:paraId="5BEC04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25" w:type="dxa"/>
            <w:vMerge w:val="continue"/>
            <w:vAlign w:val="center"/>
          </w:tcPr>
          <w:p w14:paraId="73619C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907" w:type="dxa"/>
            <w:vAlign w:val="center"/>
          </w:tcPr>
          <w:p w14:paraId="0D9CA6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监控点</w:t>
            </w:r>
          </w:p>
        </w:tc>
        <w:tc>
          <w:tcPr>
            <w:tcW w:w="907" w:type="dxa"/>
            <w:vAlign w:val="center"/>
          </w:tcPr>
          <w:p w14:paraId="538BC2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bidi="en-US"/>
              </w:rPr>
            </w:pPr>
            <w:r>
              <w:rPr>
                <w:rFonts w:hint="default" w:ascii="Times New Roman" w:hAnsi="Times New Roman" w:eastAsia="宋体" w:cs="Times New Roman"/>
                <w:color w:val="auto"/>
                <w:sz w:val="21"/>
                <w:szCs w:val="21"/>
                <w:highlight w:val="none"/>
                <w:lang w:bidi="en-US"/>
              </w:rPr>
              <w:t>浓度</w:t>
            </w:r>
            <w:r>
              <w:rPr>
                <w:rFonts w:hint="default" w:ascii="Times New Roman" w:hAnsi="Times New Roman" w:eastAsia="宋体" w:cs="Times New Roman"/>
                <w:color w:val="auto"/>
                <w:sz w:val="21"/>
                <w:szCs w:val="21"/>
                <w:highlight w:val="none"/>
                <w:lang w:eastAsia="zh-CN" w:bidi="en-US"/>
              </w:rPr>
              <w:t>（</w:t>
            </w:r>
            <w:r>
              <w:rPr>
                <w:rFonts w:hint="default" w:ascii="Times New Roman" w:hAnsi="Times New Roman" w:eastAsia="宋体" w:cs="Times New Roman"/>
                <w:color w:val="auto"/>
                <w:sz w:val="21"/>
                <w:szCs w:val="21"/>
                <w:highlight w:val="none"/>
                <w:lang w:bidi="en-US"/>
              </w:rPr>
              <w:t>mg/m</w:t>
            </w:r>
            <w:r>
              <w:rPr>
                <w:rFonts w:hint="default" w:ascii="Times New Roman" w:hAnsi="Times New Roman" w:eastAsia="宋体" w:cs="Times New Roman"/>
                <w:color w:val="auto"/>
                <w:sz w:val="21"/>
                <w:szCs w:val="21"/>
                <w:highlight w:val="none"/>
                <w:vertAlign w:val="superscript"/>
                <w:lang w:bidi="en-US"/>
              </w:rPr>
              <w:t>3</w:t>
            </w:r>
            <w:r>
              <w:rPr>
                <w:rFonts w:hint="default" w:ascii="Times New Roman" w:hAnsi="Times New Roman" w:eastAsia="宋体" w:cs="Times New Roman"/>
                <w:color w:val="auto"/>
                <w:sz w:val="21"/>
                <w:szCs w:val="21"/>
                <w:highlight w:val="none"/>
                <w:lang w:eastAsia="zh-CN" w:bidi="en-US"/>
              </w:rPr>
              <w:t>）</w:t>
            </w:r>
          </w:p>
        </w:tc>
      </w:tr>
      <w:tr w14:paraId="7D02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727083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1</w:t>
            </w:r>
          </w:p>
        </w:tc>
        <w:tc>
          <w:tcPr>
            <w:tcW w:w="1125" w:type="dxa"/>
            <w:vMerge w:val="restart"/>
            <w:vAlign w:val="center"/>
          </w:tcPr>
          <w:p w14:paraId="48B7A9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GB14554-1993</w:t>
            </w:r>
          </w:p>
        </w:tc>
        <w:tc>
          <w:tcPr>
            <w:tcW w:w="1125" w:type="dxa"/>
            <w:vAlign w:val="center"/>
          </w:tcPr>
          <w:p w14:paraId="0F076A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NH</w:t>
            </w:r>
            <w:r>
              <w:rPr>
                <w:rFonts w:hint="default" w:ascii="Times New Roman" w:hAnsi="Times New Roman" w:eastAsia="宋体" w:cs="Times New Roman"/>
                <w:color w:val="auto"/>
                <w:sz w:val="21"/>
                <w:szCs w:val="21"/>
                <w:highlight w:val="none"/>
                <w:vertAlign w:val="subscript"/>
                <w:lang w:bidi="en-US"/>
              </w:rPr>
              <w:t>3</w:t>
            </w:r>
          </w:p>
        </w:tc>
        <w:tc>
          <w:tcPr>
            <w:tcW w:w="907" w:type="dxa"/>
            <w:vAlign w:val="center"/>
          </w:tcPr>
          <w:p w14:paraId="5019DD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厂界</w:t>
            </w:r>
          </w:p>
        </w:tc>
        <w:tc>
          <w:tcPr>
            <w:tcW w:w="907" w:type="dxa"/>
            <w:vAlign w:val="center"/>
          </w:tcPr>
          <w:p w14:paraId="34783F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1.5</w:t>
            </w:r>
          </w:p>
        </w:tc>
      </w:tr>
      <w:tr w14:paraId="368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5CB42F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2</w:t>
            </w:r>
          </w:p>
        </w:tc>
        <w:tc>
          <w:tcPr>
            <w:tcW w:w="1125" w:type="dxa"/>
            <w:vMerge w:val="continue"/>
            <w:vAlign w:val="center"/>
          </w:tcPr>
          <w:p w14:paraId="4C2A70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25" w:type="dxa"/>
            <w:vAlign w:val="center"/>
          </w:tcPr>
          <w:p w14:paraId="698070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H</w:t>
            </w:r>
            <w:r>
              <w:rPr>
                <w:rFonts w:hint="default" w:ascii="Times New Roman" w:hAnsi="Times New Roman" w:eastAsia="宋体" w:cs="Times New Roman"/>
                <w:color w:val="auto"/>
                <w:sz w:val="21"/>
                <w:szCs w:val="21"/>
                <w:highlight w:val="none"/>
                <w:vertAlign w:val="subscript"/>
                <w:lang w:bidi="en-US"/>
              </w:rPr>
              <w:t>2</w:t>
            </w:r>
            <w:r>
              <w:rPr>
                <w:rFonts w:hint="default" w:ascii="Times New Roman" w:hAnsi="Times New Roman" w:eastAsia="宋体" w:cs="Times New Roman"/>
                <w:color w:val="auto"/>
                <w:sz w:val="21"/>
                <w:szCs w:val="21"/>
                <w:highlight w:val="none"/>
                <w:lang w:bidi="en-US"/>
              </w:rPr>
              <w:t>S</w:t>
            </w:r>
          </w:p>
        </w:tc>
        <w:tc>
          <w:tcPr>
            <w:tcW w:w="907" w:type="dxa"/>
            <w:vAlign w:val="center"/>
          </w:tcPr>
          <w:p w14:paraId="389437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厂界</w:t>
            </w:r>
          </w:p>
        </w:tc>
        <w:tc>
          <w:tcPr>
            <w:tcW w:w="907" w:type="dxa"/>
            <w:vAlign w:val="center"/>
          </w:tcPr>
          <w:p w14:paraId="4101BE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0.06</w:t>
            </w:r>
          </w:p>
        </w:tc>
      </w:tr>
      <w:tr w14:paraId="7F6C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078DE0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3</w:t>
            </w:r>
          </w:p>
        </w:tc>
        <w:tc>
          <w:tcPr>
            <w:tcW w:w="1125" w:type="dxa"/>
            <w:vAlign w:val="center"/>
          </w:tcPr>
          <w:p w14:paraId="3FBECA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GB18596-2001</w:t>
            </w:r>
          </w:p>
        </w:tc>
        <w:tc>
          <w:tcPr>
            <w:tcW w:w="1125" w:type="dxa"/>
            <w:vAlign w:val="center"/>
          </w:tcPr>
          <w:p w14:paraId="40CBAA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臭气浓度（无量纲）</w:t>
            </w:r>
          </w:p>
        </w:tc>
        <w:tc>
          <w:tcPr>
            <w:tcW w:w="907" w:type="dxa"/>
            <w:vAlign w:val="center"/>
          </w:tcPr>
          <w:p w14:paraId="615731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厂界</w:t>
            </w:r>
          </w:p>
        </w:tc>
        <w:tc>
          <w:tcPr>
            <w:tcW w:w="907" w:type="dxa"/>
            <w:vAlign w:val="center"/>
          </w:tcPr>
          <w:p w14:paraId="503496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70</w:t>
            </w:r>
          </w:p>
        </w:tc>
      </w:tr>
      <w:tr w14:paraId="568D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3364A0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4</w:t>
            </w:r>
          </w:p>
        </w:tc>
        <w:tc>
          <w:tcPr>
            <w:tcW w:w="1125" w:type="dxa"/>
            <w:vAlign w:val="center"/>
          </w:tcPr>
          <w:p w14:paraId="309F7C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rPr>
              <w:t>GB16297-1996</w:t>
            </w:r>
          </w:p>
        </w:tc>
        <w:tc>
          <w:tcPr>
            <w:tcW w:w="1125" w:type="dxa"/>
            <w:vAlign w:val="center"/>
          </w:tcPr>
          <w:p w14:paraId="081A5F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rPr>
              <w:t>颗粒物</w:t>
            </w:r>
          </w:p>
        </w:tc>
        <w:tc>
          <w:tcPr>
            <w:tcW w:w="907" w:type="dxa"/>
            <w:vAlign w:val="center"/>
          </w:tcPr>
          <w:p w14:paraId="441030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val="en-US" w:eastAsia="zh-CN" w:bidi="en-US"/>
              </w:rPr>
              <w:t>厂界</w:t>
            </w:r>
          </w:p>
        </w:tc>
        <w:tc>
          <w:tcPr>
            <w:tcW w:w="907" w:type="dxa"/>
            <w:vAlign w:val="center"/>
          </w:tcPr>
          <w:p w14:paraId="0161AE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bidi="en-US"/>
              </w:rPr>
            </w:pPr>
            <w:r>
              <w:rPr>
                <w:rFonts w:hint="default" w:ascii="Times New Roman" w:hAnsi="Times New Roman" w:eastAsia="宋体" w:cs="Times New Roman"/>
                <w:color w:val="auto"/>
                <w:sz w:val="21"/>
                <w:szCs w:val="21"/>
                <w:highlight w:val="none"/>
                <w:lang w:bidi="en-US"/>
              </w:rPr>
              <w:t>1.0</w:t>
            </w:r>
          </w:p>
        </w:tc>
      </w:tr>
    </w:tbl>
    <w:p w14:paraId="3868E495">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2.4.3.</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噪声</w:t>
      </w:r>
    </w:p>
    <w:p w14:paraId="037FBF0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（1）施工期</w:t>
      </w:r>
    </w:p>
    <w:p w14:paraId="1729FF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项目施工</w:t>
      </w:r>
      <w:r>
        <w:rPr>
          <w:rFonts w:hint="default" w:ascii="Times New Roman" w:hAnsi="Times New Roman" w:eastAsia="宋体" w:cs="Times New Roman"/>
          <w:color w:val="auto"/>
          <w:highlight w:val="none"/>
          <w:lang w:eastAsia="zh-CN"/>
        </w:rPr>
        <w:t>期</w:t>
      </w:r>
      <w:r>
        <w:rPr>
          <w:rFonts w:hint="default" w:ascii="Times New Roman" w:hAnsi="Times New Roman" w:eastAsia="宋体" w:cs="Times New Roman"/>
          <w:color w:val="auto"/>
          <w:highlight w:val="none"/>
        </w:rPr>
        <w:t>噪声执行《建筑施工场界环境噪声排放标准》（GB12523-2011）</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1建筑施工场界环境噪声排放限值</w:t>
      </w:r>
      <w:r>
        <w:rPr>
          <w:rFonts w:hint="default" w:ascii="Times New Roman" w:hAnsi="Times New Roman" w:eastAsia="宋体" w:cs="Times New Roman"/>
          <w:color w:val="auto"/>
          <w:highlight w:val="none"/>
        </w:rPr>
        <w:t>。</w:t>
      </w:r>
    </w:p>
    <w:p w14:paraId="43913F1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（2）运营期</w:t>
      </w:r>
    </w:p>
    <w:p w14:paraId="57A4A59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项目厂界噪声执行《工业企业厂界环境噪声排放标准》（GB12348-2008）</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1工业企业厂界环境噪声排放限值中</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类功能区排放限值</w:t>
      </w:r>
      <w:r>
        <w:rPr>
          <w:rFonts w:hint="default" w:ascii="Times New Roman" w:hAnsi="Times New Roman" w:eastAsia="宋体" w:cs="Times New Roman"/>
          <w:color w:val="auto"/>
          <w:highlight w:val="none"/>
        </w:rPr>
        <w:t>。</w:t>
      </w:r>
    </w:p>
    <w:p w14:paraId="7728B9C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具体标准</w:t>
      </w:r>
      <w:r>
        <w:rPr>
          <w:rFonts w:hint="default" w:ascii="Times New Roman" w:hAnsi="Times New Roman" w:eastAsia="宋体" w:cs="Times New Roman"/>
          <w:color w:val="auto"/>
          <w:highlight w:val="none"/>
        </w:rPr>
        <w:t>见下表。</w:t>
      </w:r>
    </w:p>
    <w:p w14:paraId="04B0A53B">
      <w:pPr>
        <w:keepNext w:val="0"/>
        <w:keepLines w:val="0"/>
        <w:pageBreakBefore w:val="0"/>
        <w:shd w:val="clear"/>
        <w:kinsoku/>
        <w:wordWrap/>
        <w:overflowPunct/>
        <w:bidi w:val="0"/>
        <w:adjustRightInd w:val="0"/>
        <w:snapToGrid w:val="0"/>
        <w:spacing w:line="360" w:lineRule="auto"/>
        <w:ind w:left="0" w:leftChars="0"/>
        <w:jc w:val="center"/>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b/>
          <w:bCs/>
          <w:color w:val="auto"/>
          <w:sz w:val="24"/>
          <w:highlight w:val="none"/>
        </w:rPr>
        <w:t>表2.4-</w:t>
      </w:r>
      <w:r>
        <w:rPr>
          <w:rFonts w:hint="default" w:ascii="Times New Roman" w:hAnsi="Times New Roman" w:eastAsia="宋体" w:cs="Times New Roman"/>
          <w:b/>
          <w:bCs/>
          <w:color w:val="auto"/>
          <w:sz w:val="24"/>
          <w:highlight w:val="none"/>
          <w:lang w:val="en-US" w:eastAsia="zh-CN"/>
        </w:rPr>
        <w:t>8</w:t>
      </w:r>
      <w:r>
        <w:rPr>
          <w:rFonts w:hint="default" w:ascii="Times New Roman" w:hAnsi="Times New Roman" w:eastAsia="宋体" w:cs="Times New Roman"/>
          <w:b/>
          <w:bCs/>
          <w:color w:val="auto"/>
          <w:sz w:val="24"/>
          <w:highlight w:val="none"/>
        </w:rPr>
        <w:t xml:space="preserve">  《建筑施工场界环境噪声排放标准》</w:t>
      </w:r>
      <w:r>
        <w:rPr>
          <w:rFonts w:hint="default" w:ascii="Times New Roman" w:hAnsi="Times New Roman" w:eastAsia="宋体" w:cs="Times New Roman"/>
          <w:b/>
          <w:bCs/>
          <w:color w:val="auto"/>
          <w:sz w:val="24"/>
          <w:highlight w:val="none"/>
          <w:lang w:eastAsia="zh-CN"/>
        </w:rPr>
        <w:t>（摘录）</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8"/>
        <w:gridCol w:w="4139"/>
      </w:tblGrid>
      <w:tr w14:paraId="1A12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968" w:type="dxa"/>
            <w:noWrap w:val="0"/>
            <w:vAlign w:val="center"/>
          </w:tcPr>
          <w:p w14:paraId="54B110F8">
            <w:pPr>
              <w:keepNext w:val="0"/>
              <w:keepLines w:val="0"/>
              <w:pageBreakBefore w:val="0"/>
              <w:widowControl w:val="0"/>
              <w:shd w:val="clear"/>
              <w:kinsoku/>
              <w:wordWrap/>
              <w:overflowPunct/>
              <w:topLinePunct/>
              <w:autoSpaceDE w:val="0"/>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昼间dB</w:t>
            </w:r>
            <w:r>
              <w:rPr>
                <w:rFonts w:hint="default" w:ascii="Times New Roman" w:hAnsi="Times New Roman" w:eastAsia="宋体" w:cs="Times New Roman"/>
                <w:color w:val="auto"/>
                <w:sz w:val="21"/>
                <w:szCs w:val="21"/>
                <w:highlight w:val="none"/>
                <w:lang w:eastAsia="zh-CN"/>
              </w:rPr>
              <w:t>(A)</w:t>
            </w:r>
          </w:p>
        </w:tc>
        <w:tc>
          <w:tcPr>
            <w:tcW w:w="3969" w:type="dxa"/>
            <w:noWrap w:val="0"/>
            <w:vAlign w:val="center"/>
          </w:tcPr>
          <w:p w14:paraId="232BAD16">
            <w:pPr>
              <w:keepNext w:val="0"/>
              <w:keepLines w:val="0"/>
              <w:pageBreakBefore w:val="0"/>
              <w:widowControl w:val="0"/>
              <w:shd w:val="clear"/>
              <w:kinsoku/>
              <w:wordWrap/>
              <w:overflowPunct/>
              <w:topLinePunct/>
              <w:autoSpaceDE w:val="0"/>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夜间dB</w:t>
            </w:r>
            <w:r>
              <w:rPr>
                <w:rFonts w:hint="default" w:ascii="Times New Roman" w:hAnsi="Times New Roman" w:eastAsia="宋体" w:cs="Times New Roman"/>
                <w:color w:val="auto"/>
                <w:sz w:val="21"/>
                <w:szCs w:val="21"/>
                <w:highlight w:val="none"/>
                <w:lang w:eastAsia="zh-CN"/>
              </w:rPr>
              <w:t>(A)</w:t>
            </w:r>
          </w:p>
        </w:tc>
      </w:tr>
      <w:tr w14:paraId="4F7F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968" w:type="dxa"/>
            <w:noWrap w:val="0"/>
            <w:vAlign w:val="center"/>
          </w:tcPr>
          <w:p w14:paraId="542F522C">
            <w:pPr>
              <w:keepNext w:val="0"/>
              <w:keepLines w:val="0"/>
              <w:pageBreakBefore w:val="0"/>
              <w:widowControl w:val="0"/>
              <w:shd w:val="clear"/>
              <w:kinsoku/>
              <w:wordWrap/>
              <w:overflowPunct/>
              <w:topLinePunct/>
              <w:autoSpaceDE w:val="0"/>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3969" w:type="dxa"/>
            <w:noWrap w:val="0"/>
            <w:vAlign w:val="center"/>
          </w:tcPr>
          <w:p w14:paraId="29FF840C">
            <w:pPr>
              <w:keepNext w:val="0"/>
              <w:keepLines w:val="0"/>
              <w:pageBreakBefore w:val="0"/>
              <w:widowControl w:val="0"/>
              <w:shd w:val="clear"/>
              <w:kinsoku/>
              <w:wordWrap/>
              <w:overflowPunct/>
              <w:topLinePunct/>
              <w:autoSpaceDE w:val="0"/>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bl>
    <w:p w14:paraId="7509F2C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厂界噪声标准值表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55"/>
        <w:gridCol w:w="1655"/>
        <w:gridCol w:w="1655"/>
        <w:gridCol w:w="1656"/>
        <w:gridCol w:w="1656"/>
      </w:tblGrid>
      <w:tr w14:paraId="17F3A7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34" w:type="dxa"/>
            <w:vMerge w:val="restart"/>
            <w:tcBorders>
              <w:top w:val="single" w:color="auto" w:sz="4" w:space="0"/>
              <w:left w:val="single" w:color="auto" w:sz="4" w:space="0"/>
              <w:bottom w:val="single" w:color="auto" w:sz="4" w:space="0"/>
              <w:right w:val="single" w:color="auto" w:sz="4" w:space="0"/>
            </w:tcBorders>
            <w:vAlign w:val="center"/>
          </w:tcPr>
          <w:p w14:paraId="6B73A3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p>
        </w:tc>
        <w:tc>
          <w:tcPr>
            <w:tcW w:w="1134" w:type="dxa"/>
            <w:tcBorders>
              <w:top w:val="single" w:color="auto" w:sz="4" w:space="0"/>
              <w:left w:val="single" w:color="auto" w:sz="4" w:space="0"/>
              <w:bottom w:val="single" w:color="auto" w:sz="4" w:space="0"/>
              <w:right w:val="single" w:color="auto" w:sz="4" w:space="0"/>
            </w:tcBorders>
            <w:vAlign w:val="center"/>
          </w:tcPr>
          <w:p w14:paraId="6A06A3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1134" w:type="dxa"/>
            <w:tcBorders>
              <w:top w:val="single" w:color="auto" w:sz="4" w:space="0"/>
              <w:left w:val="single" w:color="auto" w:sz="4" w:space="0"/>
              <w:bottom w:val="single" w:color="auto" w:sz="4" w:space="0"/>
              <w:right w:val="single" w:color="auto" w:sz="4" w:space="0"/>
            </w:tcBorders>
            <w:vAlign w:val="center"/>
          </w:tcPr>
          <w:p w14:paraId="55FBD8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1134" w:type="dxa"/>
            <w:tcBorders>
              <w:top w:val="single" w:color="auto" w:sz="4" w:space="0"/>
              <w:left w:val="single" w:color="auto" w:sz="4" w:space="0"/>
              <w:bottom w:val="single" w:color="auto" w:sz="4" w:space="0"/>
              <w:right w:val="single" w:color="auto" w:sz="4" w:space="0"/>
            </w:tcBorders>
            <w:vAlign w:val="center"/>
          </w:tcPr>
          <w:p w14:paraId="5C0A7C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1134" w:type="dxa"/>
            <w:tcBorders>
              <w:top w:val="single" w:color="auto" w:sz="4" w:space="0"/>
              <w:left w:val="single" w:color="auto" w:sz="4" w:space="0"/>
              <w:bottom w:val="single" w:color="auto" w:sz="4" w:space="0"/>
              <w:right w:val="single" w:color="auto" w:sz="4" w:space="0"/>
            </w:tcBorders>
            <w:vAlign w:val="center"/>
          </w:tcPr>
          <w:p w14:paraId="4BD685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标准来源</w:t>
            </w:r>
          </w:p>
        </w:tc>
      </w:tr>
      <w:tr w14:paraId="1B37C1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auto" w:sz="4" w:space="0"/>
              <w:left w:val="single" w:color="auto" w:sz="4" w:space="0"/>
              <w:bottom w:val="single" w:color="auto" w:sz="4" w:space="0"/>
              <w:right w:val="single" w:color="auto" w:sz="4" w:space="0"/>
            </w:tcBorders>
            <w:vAlign w:val="center"/>
          </w:tcPr>
          <w:p w14:paraId="3641C5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01315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类</w:t>
            </w:r>
          </w:p>
        </w:tc>
        <w:tc>
          <w:tcPr>
            <w:tcW w:w="1134" w:type="dxa"/>
            <w:tcBorders>
              <w:top w:val="single" w:color="auto" w:sz="4" w:space="0"/>
              <w:left w:val="single" w:color="auto" w:sz="4" w:space="0"/>
              <w:bottom w:val="single" w:color="auto" w:sz="4" w:space="0"/>
              <w:right w:val="single" w:color="auto" w:sz="4" w:space="0"/>
            </w:tcBorders>
            <w:vAlign w:val="center"/>
          </w:tcPr>
          <w:p w14:paraId="59E8D1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（A）</w:t>
            </w:r>
          </w:p>
        </w:tc>
        <w:tc>
          <w:tcPr>
            <w:tcW w:w="1134" w:type="dxa"/>
            <w:tcBorders>
              <w:top w:val="single" w:color="auto" w:sz="4" w:space="0"/>
              <w:left w:val="single" w:color="auto" w:sz="4" w:space="0"/>
              <w:bottom w:val="single" w:color="auto" w:sz="4" w:space="0"/>
              <w:right w:val="single" w:color="auto" w:sz="4" w:space="0"/>
            </w:tcBorders>
            <w:vAlign w:val="center"/>
          </w:tcPr>
          <w:p w14:paraId="407B25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（A）</w:t>
            </w:r>
          </w:p>
        </w:tc>
        <w:tc>
          <w:tcPr>
            <w:tcW w:w="1134" w:type="dxa"/>
            <w:tcBorders>
              <w:top w:val="single" w:color="auto" w:sz="4" w:space="0"/>
              <w:left w:val="single" w:color="auto" w:sz="4" w:space="0"/>
              <w:bottom w:val="single" w:color="auto" w:sz="4" w:space="0"/>
              <w:right w:val="single" w:color="auto" w:sz="4" w:space="0"/>
            </w:tcBorders>
            <w:vAlign w:val="center"/>
          </w:tcPr>
          <w:p w14:paraId="5B83A9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GB12348-2008</w:t>
            </w:r>
          </w:p>
        </w:tc>
      </w:tr>
    </w:tbl>
    <w:p w14:paraId="1F6F3C51">
      <w:pPr>
        <w:pStyle w:val="7"/>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2.4.3.</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固体废物</w:t>
      </w:r>
    </w:p>
    <w:p w14:paraId="4C8038BF">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一般固废执行《一般工业固体废物贮存和填埋污染控制标准》（GB18599-2020）的相关要求；</w:t>
      </w:r>
    </w:p>
    <w:p w14:paraId="00B5DBF3">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病死畜</w:t>
      </w:r>
      <w:r>
        <w:rPr>
          <w:rFonts w:hint="default" w:ascii="Times New Roman" w:hAnsi="Times New Roman" w:eastAsia="宋体" w:cs="Times New Roman"/>
          <w:color w:val="auto"/>
          <w:highlight w:val="none"/>
        </w:rPr>
        <w:t>同时参照《畜禽养殖业污染治理工程技术规范》（HJ497-2009）、《病害动物和病害动物产品生物安全处理规程》（GB16548-2006）以及《病死及病害动物无害化处理技术规范》（农医发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25号）中的相关规定进行处置</w:t>
      </w:r>
      <w:r>
        <w:rPr>
          <w:rFonts w:hint="default" w:ascii="Times New Roman" w:hAnsi="Times New Roman" w:eastAsia="宋体" w:cs="Times New Roman"/>
          <w:color w:val="auto"/>
          <w:highlight w:val="none"/>
          <w:lang w:eastAsia="zh-CN"/>
        </w:rPr>
        <w:t>；</w:t>
      </w:r>
    </w:p>
    <w:p w14:paraId="47A7CDBE">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执行《</w:t>
      </w:r>
      <w:r>
        <w:rPr>
          <w:rFonts w:hint="default" w:ascii="Times New Roman" w:hAnsi="Times New Roman" w:eastAsia="宋体" w:cs="Times New Roman"/>
          <w:color w:val="auto"/>
          <w:highlight w:val="none"/>
          <w:lang w:eastAsia="zh-CN"/>
        </w:rPr>
        <w:t>危险废物贮存污染控制标准</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GB18597-2023</w:t>
      </w:r>
      <w:r>
        <w:rPr>
          <w:rFonts w:hint="default" w:ascii="Times New Roman" w:hAnsi="Times New Roman" w:eastAsia="宋体" w:cs="Times New Roman"/>
          <w:color w:val="auto"/>
          <w:highlight w:val="none"/>
        </w:rPr>
        <w:t>）的相关要求；</w:t>
      </w:r>
    </w:p>
    <w:p w14:paraId="64C1C7BB">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项目羊粪便堆肥后，作为有机肥外售给当地农民，实现粪污合规利用，</w:t>
      </w:r>
      <w:r>
        <w:rPr>
          <w:rFonts w:hint="default" w:ascii="Times New Roman" w:hAnsi="Times New Roman" w:eastAsia="宋体" w:cs="Times New Roman"/>
          <w:color w:val="auto"/>
          <w:highlight w:val="none"/>
          <w:lang w:val="en-US" w:eastAsia="zh-CN"/>
        </w:rPr>
        <w:t>其卫生学指标</w:t>
      </w:r>
      <w:r>
        <w:rPr>
          <w:rFonts w:hint="default" w:ascii="Times New Roman" w:hAnsi="Times New Roman" w:eastAsia="宋体" w:cs="Times New Roman"/>
          <w:color w:val="auto"/>
          <w:highlight w:val="none"/>
        </w:rPr>
        <w:t>应满足《畜禽粪便无害化处理技术规范》（GB/T36195-2018）</w:t>
      </w:r>
      <w:r>
        <w:rPr>
          <w:rFonts w:hint="default" w:ascii="Times New Roman" w:hAnsi="Times New Roman" w:eastAsia="宋体" w:cs="Times New Roman"/>
          <w:color w:val="auto"/>
          <w:highlight w:val="none"/>
          <w:lang w:val="en-US" w:eastAsia="zh-CN"/>
        </w:rPr>
        <w:t>表1固体畜禽粪便堆肥处理卫生学要求、</w:t>
      </w:r>
      <w:r>
        <w:rPr>
          <w:rFonts w:hint="default" w:ascii="Times New Roman" w:hAnsi="Times New Roman" w:eastAsia="宋体" w:cs="Times New Roman"/>
          <w:color w:val="auto"/>
          <w:highlight w:val="none"/>
        </w:rPr>
        <w:t>《畜禽粪便还田技术规范》（GB/T25246-2010）</w:t>
      </w:r>
      <w:r>
        <w:rPr>
          <w:rFonts w:hint="default" w:ascii="Times New Roman" w:hAnsi="Times New Roman" w:eastAsia="宋体" w:cs="Times New Roman"/>
          <w:color w:val="auto"/>
          <w:highlight w:val="none"/>
          <w:lang w:val="en-US" w:eastAsia="zh-CN"/>
        </w:rPr>
        <w:t>表1堆肥的卫生学要求</w:t>
      </w:r>
      <w:r>
        <w:rPr>
          <w:rFonts w:hint="default" w:ascii="Times New Roman" w:hAnsi="Times New Roman" w:eastAsia="宋体" w:cs="Times New Roman"/>
          <w:color w:val="auto"/>
          <w:highlight w:val="none"/>
        </w:rPr>
        <w:t>，具体见表2.4-</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w:t>
      </w:r>
    </w:p>
    <w:p w14:paraId="38677A3A">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表2.4-</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粪污农肥综合利用标准节选表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3137"/>
        <w:gridCol w:w="1848"/>
        <w:gridCol w:w="2540"/>
      </w:tblGrid>
      <w:tr w14:paraId="5375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Align w:val="center"/>
          </w:tcPr>
          <w:p w14:paraId="702C2D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类别</w:t>
            </w:r>
          </w:p>
        </w:tc>
        <w:tc>
          <w:tcPr>
            <w:tcW w:w="3137" w:type="dxa"/>
            <w:vAlign w:val="center"/>
          </w:tcPr>
          <w:p w14:paraId="7C42E9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标准名称</w:t>
            </w:r>
          </w:p>
        </w:tc>
        <w:tc>
          <w:tcPr>
            <w:tcW w:w="1848" w:type="dxa"/>
            <w:vAlign w:val="center"/>
          </w:tcPr>
          <w:p w14:paraId="712554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lang w:val="en-US" w:eastAsia="zh-CN"/>
              </w:rPr>
              <w:t>项目</w:t>
            </w:r>
          </w:p>
        </w:tc>
        <w:tc>
          <w:tcPr>
            <w:tcW w:w="2540" w:type="dxa"/>
            <w:vAlign w:val="center"/>
          </w:tcPr>
          <w:p w14:paraId="628B1C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lang w:val="en-US" w:eastAsia="zh-CN"/>
              </w:rPr>
              <w:t>要求</w:t>
            </w:r>
          </w:p>
        </w:tc>
      </w:tr>
      <w:tr w14:paraId="6A37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restart"/>
            <w:vAlign w:val="center"/>
          </w:tcPr>
          <w:p w14:paraId="5F3998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固体粪便堆肥处理</w:t>
            </w:r>
          </w:p>
        </w:tc>
        <w:tc>
          <w:tcPr>
            <w:tcW w:w="3137" w:type="dxa"/>
            <w:vMerge w:val="restart"/>
            <w:vAlign w:val="center"/>
          </w:tcPr>
          <w:p w14:paraId="2535E6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r>
              <w:rPr>
                <w:rFonts w:hint="default" w:ascii="Times New Roman" w:hAnsi="Times New Roman" w:eastAsia="宋体" w:cs="Times New Roman"/>
                <w:b w:val="0"/>
                <w:bCs w:val="0"/>
                <w:color w:val="0000FF"/>
                <w:sz w:val="21"/>
                <w:szCs w:val="21"/>
                <w:highlight w:val="none"/>
              </w:rPr>
              <w:t>《畜禽粪便无害化处理技术规范》（GB/T36195-2018）表1固体畜禽粪便堆肥处理卫生学要求</w:t>
            </w:r>
          </w:p>
        </w:tc>
        <w:tc>
          <w:tcPr>
            <w:tcW w:w="1848" w:type="dxa"/>
            <w:vAlign w:val="center"/>
          </w:tcPr>
          <w:p w14:paraId="47537B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r>
              <w:rPr>
                <w:rFonts w:hint="default" w:ascii="Times New Roman" w:hAnsi="Times New Roman" w:eastAsia="宋体" w:cs="Times New Roman"/>
                <w:b w:val="0"/>
                <w:bCs w:val="0"/>
                <w:color w:val="0000FF"/>
                <w:sz w:val="21"/>
                <w:szCs w:val="21"/>
                <w:highlight w:val="none"/>
              </w:rPr>
              <w:t>蛔虫卵</w:t>
            </w:r>
            <w:r>
              <w:rPr>
                <w:rFonts w:hint="default" w:ascii="Times New Roman" w:hAnsi="Times New Roman" w:eastAsia="宋体" w:cs="Times New Roman"/>
                <w:b w:val="0"/>
                <w:bCs w:val="0"/>
                <w:color w:val="0000FF"/>
                <w:sz w:val="21"/>
                <w:szCs w:val="21"/>
                <w:highlight w:val="none"/>
                <w:lang w:val="en-US" w:eastAsia="zh-CN"/>
              </w:rPr>
              <w:t>死亡率</w:t>
            </w:r>
          </w:p>
        </w:tc>
        <w:tc>
          <w:tcPr>
            <w:tcW w:w="2540" w:type="dxa"/>
            <w:vAlign w:val="center"/>
          </w:tcPr>
          <w:p w14:paraId="4D4C40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≥95%</w:t>
            </w:r>
          </w:p>
        </w:tc>
      </w:tr>
      <w:tr w14:paraId="7339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continue"/>
            <w:vAlign w:val="center"/>
          </w:tcPr>
          <w:p w14:paraId="7CEA39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3137" w:type="dxa"/>
            <w:vMerge w:val="continue"/>
            <w:vAlign w:val="center"/>
          </w:tcPr>
          <w:p w14:paraId="6BD67A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1848" w:type="dxa"/>
            <w:vAlign w:val="center"/>
          </w:tcPr>
          <w:p w14:paraId="401321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rPr>
            </w:pPr>
            <w:r>
              <w:rPr>
                <w:rFonts w:hint="default" w:ascii="Times New Roman" w:hAnsi="Times New Roman" w:eastAsia="宋体" w:cs="Times New Roman"/>
                <w:b w:val="0"/>
                <w:bCs w:val="0"/>
                <w:color w:val="0000FF"/>
                <w:sz w:val="21"/>
                <w:szCs w:val="21"/>
                <w:highlight w:val="none"/>
              </w:rPr>
              <w:t>粪大肠</w:t>
            </w:r>
            <w:r>
              <w:rPr>
                <w:rFonts w:hint="default" w:ascii="Times New Roman" w:hAnsi="Times New Roman" w:eastAsia="宋体" w:cs="Times New Roman"/>
                <w:b w:val="0"/>
                <w:bCs w:val="0"/>
                <w:color w:val="0000FF"/>
                <w:sz w:val="21"/>
                <w:szCs w:val="21"/>
                <w:highlight w:val="none"/>
                <w:lang w:val="en-US" w:eastAsia="zh-CN"/>
              </w:rPr>
              <w:t>菌群数</w:t>
            </w:r>
          </w:p>
        </w:tc>
        <w:tc>
          <w:tcPr>
            <w:tcW w:w="2540" w:type="dxa"/>
            <w:vAlign w:val="center"/>
          </w:tcPr>
          <w:p w14:paraId="687E96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≤10</w:t>
            </w:r>
            <w:r>
              <w:rPr>
                <w:rFonts w:hint="default" w:ascii="Times New Roman" w:hAnsi="Times New Roman" w:eastAsia="宋体" w:cs="Times New Roman"/>
                <w:b w:val="0"/>
                <w:bCs w:val="0"/>
                <w:color w:val="0000FF"/>
                <w:sz w:val="21"/>
                <w:szCs w:val="21"/>
                <w:highlight w:val="none"/>
                <w:vertAlign w:val="superscript"/>
                <w:lang w:val="en-US" w:eastAsia="zh-CN"/>
              </w:rPr>
              <w:t>5</w:t>
            </w:r>
            <w:r>
              <w:rPr>
                <w:rFonts w:hint="default" w:ascii="Times New Roman" w:hAnsi="Times New Roman" w:eastAsia="宋体" w:cs="Times New Roman"/>
                <w:b w:val="0"/>
                <w:bCs w:val="0"/>
                <w:color w:val="0000FF"/>
                <w:sz w:val="21"/>
                <w:szCs w:val="21"/>
                <w:highlight w:val="none"/>
                <w:lang w:val="en-US" w:eastAsia="zh-CN"/>
              </w:rPr>
              <w:t>个/kg</w:t>
            </w:r>
          </w:p>
        </w:tc>
      </w:tr>
      <w:tr w14:paraId="3EA2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continue"/>
            <w:vAlign w:val="center"/>
          </w:tcPr>
          <w:p w14:paraId="7F1BD1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3137" w:type="dxa"/>
            <w:vMerge w:val="continue"/>
            <w:vAlign w:val="center"/>
          </w:tcPr>
          <w:p w14:paraId="642094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1848" w:type="dxa"/>
            <w:vAlign w:val="center"/>
          </w:tcPr>
          <w:p w14:paraId="5AB5D5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r>
              <w:rPr>
                <w:rFonts w:hint="default" w:ascii="Times New Roman" w:hAnsi="Times New Roman" w:eastAsia="宋体" w:cs="Times New Roman"/>
                <w:b w:val="0"/>
                <w:bCs w:val="0"/>
                <w:color w:val="0000FF"/>
                <w:sz w:val="21"/>
                <w:szCs w:val="21"/>
                <w:highlight w:val="none"/>
                <w:lang w:val="en-US" w:eastAsia="zh-CN"/>
              </w:rPr>
              <w:t>苍蝇</w:t>
            </w:r>
          </w:p>
        </w:tc>
        <w:tc>
          <w:tcPr>
            <w:tcW w:w="2540" w:type="dxa"/>
            <w:vAlign w:val="center"/>
          </w:tcPr>
          <w:p w14:paraId="055ED1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堆体</w:t>
            </w:r>
          </w:p>
        </w:tc>
      </w:tr>
      <w:tr w14:paraId="664D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continue"/>
            <w:vAlign w:val="center"/>
          </w:tcPr>
          <w:p w14:paraId="7A2089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3137" w:type="dxa"/>
            <w:vMerge w:val="restart"/>
            <w:vAlign w:val="center"/>
          </w:tcPr>
          <w:p w14:paraId="37D1A7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r>
              <w:rPr>
                <w:rFonts w:hint="default" w:ascii="Times New Roman" w:hAnsi="Times New Roman" w:eastAsia="宋体" w:cs="Times New Roman"/>
                <w:b w:val="0"/>
                <w:bCs w:val="0"/>
                <w:color w:val="0000FF"/>
                <w:sz w:val="21"/>
                <w:szCs w:val="21"/>
                <w:highlight w:val="none"/>
              </w:rPr>
              <w:t>《畜禽粪便还田技术规范》（GB/T25246-2010）</w:t>
            </w:r>
            <w:r>
              <w:rPr>
                <w:rFonts w:hint="default" w:ascii="Times New Roman" w:hAnsi="Times New Roman" w:eastAsia="宋体" w:cs="Times New Roman"/>
                <w:b w:val="0"/>
                <w:bCs w:val="0"/>
                <w:color w:val="0000FF"/>
                <w:sz w:val="21"/>
                <w:szCs w:val="21"/>
                <w:highlight w:val="none"/>
                <w:lang w:val="en-US" w:eastAsia="zh-CN"/>
              </w:rPr>
              <w:t>表1堆肥的卫生学要求</w:t>
            </w:r>
          </w:p>
        </w:tc>
        <w:tc>
          <w:tcPr>
            <w:tcW w:w="1848" w:type="dxa"/>
            <w:vAlign w:val="center"/>
          </w:tcPr>
          <w:p w14:paraId="7A943A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rPr>
              <w:t>蛔虫卵</w:t>
            </w:r>
            <w:r>
              <w:rPr>
                <w:rFonts w:hint="default" w:ascii="Times New Roman" w:hAnsi="Times New Roman" w:eastAsia="宋体" w:cs="Times New Roman"/>
                <w:b w:val="0"/>
                <w:bCs w:val="0"/>
                <w:color w:val="0000FF"/>
                <w:sz w:val="21"/>
                <w:szCs w:val="21"/>
                <w:highlight w:val="none"/>
                <w:lang w:val="en-US" w:eastAsia="zh-CN"/>
              </w:rPr>
              <w:t>死亡率</w:t>
            </w:r>
          </w:p>
        </w:tc>
        <w:tc>
          <w:tcPr>
            <w:tcW w:w="2540" w:type="dxa"/>
            <w:vAlign w:val="center"/>
          </w:tcPr>
          <w:p w14:paraId="71D9B2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95%</w:t>
            </w:r>
            <w:r>
              <w:rPr>
                <w:rFonts w:hint="default" w:ascii="Times New Roman" w:hAnsi="Times New Roman" w:eastAsia="宋体" w:cs="Times New Roman"/>
                <w:b w:val="0"/>
                <w:bCs w:val="0"/>
                <w:color w:val="0000FF"/>
                <w:sz w:val="21"/>
                <w:szCs w:val="21"/>
                <w:highlight w:val="none"/>
                <w:lang w:val="en-US" w:eastAsia="zh-CN"/>
              </w:rPr>
              <w:t>～</w:t>
            </w:r>
            <w:r>
              <w:rPr>
                <w:rFonts w:hint="default" w:ascii="Times New Roman" w:hAnsi="Times New Roman" w:eastAsia="宋体" w:cs="Times New Roman"/>
                <w:b w:val="0"/>
                <w:bCs w:val="0"/>
                <w:color w:val="0000FF"/>
                <w:sz w:val="21"/>
                <w:szCs w:val="21"/>
                <w:highlight w:val="none"/>
                <w:lang w:val="en-US" w:eastAsia="zh-CN"/>
              </w:rPr>
              <w:t>100%</w:t>
            </w:r>
          </w:p>
        </w:tc>
      </w:tr>
      <w:tr w14:paraId="1C5D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continue"/>
            <w:vAlign w:val="center"/>
          </w:tcPr>
          <w:p w14:paraId="0AA0B5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3137" w:type="dxa"/>
            <w:vMerge w:val="continue"/>
            <w:vAlign w:val="center"/>
          </w:tcPr>
          <w:p w14:paraId="1559CC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1848" w:type="dxa"/>
            <w:vAlign w:val="center"/>
          </w:tcPr>
          <w:p w14:paraId="52BA44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rPr>
              <w:t>粪大肠</w:t>
            </w:r>
            <w:r>
              <w:rPr>
                <w:rFonts w:hint="default" w:ascii="Times New Roman" w:hAnsi="Times New Roman" w:eastAsia="宋体" w:cs="Times New Roman"/>
                <w:b w:val="0"/>
                <w:bCs w:val="0"/>
                <w:color w:val="0000FF"/>
                <w:sz w:val="21"/>
                <w:szCs w:val="21"/>
                <w:highlight w:val="none"/>
                <w:lang w:val="en-US" w:eastAsia="zh-CN"/>
              </w:rPr>
              <w:t>菌值</w:t>
            </w:r>
          </w:p>
        </w:tc>
        <w:tc>
          <w:tcPr>
            <w:tcW w:w="2540" w:type="dxa"/>
            <w:vAlign w:val="center"/>
          </w:tcPr>
          <w:p w14:paraId="4D3AF3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10</w:t>
            </w:r>
            <w:r>
              <w:rPr>
                <w:rFonts w:hint="default" w:ascii="Times New Roman" w:hAnsi="Times New Roman" w:eastAsia="宋体" w:cs="Times New Roman"/>
                <w:b w:val="0"/>
                <w:bCs w:val="0"/>
                <w:color w:val="0000FF"/>
                <w:sz w:val="21"/>
                <w:szCs w:val="21"/>
                <w:highlight w:val="none"/>
                <w:vertAlign w:val="superscript"/>
                <w:lang w:val="en-US" w:eastAsia="zh-CN"/>
              </w:rPr>
              <w:t>-1</w:t>
            </w:r>
            <w:r>
              <w:rPr>
                <w:rFonts w:hint="default" w:ascii="Times New Roman" w:hAnsi="Times New Roman" w:eastAsia="宋体" w:cs="Times New Roman"/>
                <w:b w:val="0"/>
                <w:bCs w:val="0"/>
                <w:color w:val="0000FF"/>
                <w:sz w:val="21"/>
                <w:szCs w:val="21"/>
                <w:highlight w:val="none"/>
                <w:lang w:val="en-US" w:eastAsia="zh-CN"/>
              </w:rPr>
              <w:t>~10</w:t>
            </w:r>
            <w:r>
              <w:rPr>
                <w:rFonts w:hint="default" w:ascii="Times New Roman" w:hAnsi="Times New Roman" w:eastAsia="宋体" w:cs="Times New Roman"/>
                <w:b w:val="0"/>
                <w:bCs w:val="0"/>
                <w:color w:val="0000FF"/>
                <w:sz w:val="21"/>
                <w:szCs w:val="21"/>
                <w:highlight w:val="none"/>
                <w:vertAlign w:val="superscript"/>
                <w:lang w:val="en-US" w:eastAsia="zh-CN"/>
              </w:rPr>
              <w:t>-2</w:t>
            </w:r>
          </w:p>
        </w:tc>
      </w:tr>
      <w:tr w14:paraId="6749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vMerge w:val="continue"/>
            <w:vAlign w:val="center"/>
          </w:tcPr>
          <w:p w14:paraId="4CBDF8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3137" w:type="dxa"/>
            <w:vMerge w:val="continue"/>
            <w:vAlign w:val="center"/>
          </w:tcPr>
          <w:p w14:paraId="137F8D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rPr>
            </w:pPr>
          </w:p>
        </w:tc>
        <w:tc>
          <w:tcPr>
            <w:tcW w:w="1848" w:type="dxa"/>
            <w:vAlign w:val="center"/>
          </w:tcPr>
          <w:p w14:paraId="30B59A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苍蝇</w:t>
            </w:r>
          </w:p>
        </w:tc>
        <w:tc>
          <w:tcPr>
            <w:tcW w:w="2540" w:type="dxa"/>
            <w:vAlign w:val="center"/>
          </w:tcPr>
          <w:p w14:paraId="03AC77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堆肥中及堆肥周围没有活的蛆、蛹或新孵化的成蝇</w:t>
            </w:r>
          </w:p>
        </w:tc>
      </w:tr>
    </w:tbl>
    <w:p w14:paraId="56677534">
      <w:pPr>
        <w:pStyle w:val="4"/>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171" w:name="_Toc512871528"/>
      <w:bookmarkStart w:id="172" w:name="_Toc27565"/>
      <w:r>
        <w:rPr>
          <w:rFonts w:hint="default" w:ascii="Times New Roman" w:hAnsi="Times New Roman" w:eastAsia="宋体" w:cs="Times New Roman"/>
          <w:color w:val="auto"/>
          <w:highlight w:val="none"/>
        </w:rPr>
        <w:t>2.5评价等级及评价范围</w:t>
      </w:r>
      <w:bookmarkEnd w:id="171"/>
      <w:bookmarkEnd w:id="172"/>
    </w:p>
    <w:p w14:paraId="62F57CB7">
      <w:pPr>
        <w:pStyle w:val="6"/>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173" w:name="_Toc12432"/>
      <w:bookmarkStart w:id="174" w:name="_Toc13714"/>
      <w:bookmarkStart w:id="175" w:name="_Toc512871529"/>
      <w:bookmarkStart w:id="176" w:name="_Toc452567811"/>
      <w:bookmarkStart w:id="177" w:name="_Toc453603066"/>
      <w:r>
        <w:rPr>
          <w:rFonts w:hint="default" w:ascii="Times New Roman" w:hAnsi="Times New Roman" w:eastAsia="宋体" w:cs="Times New Roman"/>
          <w:color w:val="auto"/>
          <w:highlight w:val="none"/>
        </w:rPr>
        <w:t>2.5.1大气环境</w:t>
      </w:r>
      <w:bookmarkEnd w:id="173"/>
      <w:bookmarkEnd w:id="174"/>
      <w:bookmarkEnd w:id="175"/>
      <w:bookmarkEnd w:id="176"/>
      <w:bookmarkEnd w:id="177"/>
    </w:p>
    <w:p w14:paraId="4074E430">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（1）评价等级判定</w:t>
      </w:r>
    </w:p>
    <w:p w14:paraId="68677461">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大气环境》（HJ2.2-2018）中规定，根据项目污染源初步调查结果，分别计算项目排放主要污染物的最大地面空气质量浓度占标率P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（第i个污染物，简称“最大浓度占标率”），及第i个污染物的地面空气质量浓度达到标准值的10%时所对应的最远距离D</w:t>
      </w:r>
      <w:r>
        <w:rPr>
          <w:rFonts w:hint="default" w:ascii="Times New Roman" w:hAnsi="Times New Roman" w:eastAsia="宋体" w:cs="Times New Roman"/>
          <w:color w:val="auto"/>
          <w:highlight w:val="none"/>
          <w:vertAlign w:val="subscript"/>
        </w:rPr>
        <w:t>10</w:t>
      </w:r>
      <w:r>
        <w:rPr>
          <w:rFonts w:hint="default" w:ascii="Times New Roman" w:hAnsi="Times New Roman" w:eastAsia="宋体" w:cs="Times New Roman"/>
          <w:color w:val="auto"/>
          <w:highlight w:val="none"/>
        </w:rPr>
        <w:t>%。其中P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定义见公式。</w:t>
      </w:r>
    </w:p>
    <w:p w14:paraId="5CBC1826">
      <w:pPr>
        <w:keepNext w:val="0"/>
        <w:keepLines w:val="0"/>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object>
          <v:shape id="_x0000_i1025" o:spt="75" type="#_x0000_t75" style="height:36.7pt;width:102.55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p>
    <w:p w14:paraId="3C45EB60">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－第i个污染物的最大地面空气质量浓度占标率，%；</w:t>
      </w:r>
    </w:p>
    <w:p w14:paraId="03ED4276">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－采用估算模式计算出的第i个污染物的最大1h地面空气质量浓度，mg/m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377EE4B9">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0i</w:t>
      </w:r>
      <w:r>
        <w:rPr>
          <w:rFonts w:hint="default" w:ascii="Times New Roman" w:hAnsi="Times New Roman" w:eastAsia="宋体" w:cs="Times New Roman"/>
          <w:color w:val="auto"/>
          <w:highlight w:val="none"/>
        </w:rPr>
        <w:t>－第i个污染物的环境空气质量标准，μg/m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26631C5F">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评价工作等级按表2.5-1的分级判据进行划分。最大地面空气质量浓度占标率P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按上公式计算，如污染物i大于1，取P值中的最大者P</w:t>
      </w:r>
      <w:r>
        <w:rPr>
          <w:rFonts w:hint="default" w:ascii="Times New Roman" w:hAnsi="Times New Roman" w:eastAsia="宋体" w:cs="Times New Roman"/>
          <w:color w:val="auto"/>
          <w:highlight w:val="none"/>
          <w:vertAlign w:val="subscript"/>
        </w:rPr>
        <w:t>max</w:t>
      </w:r>
      <w:r>
        <w:rPr>
          <w:rFonts w:hint="default" w:ascii="Times New Roman" w:hAnsi="Times New Roman" w:eastAsia="宋体" w:cs="Times New Roman"/>
          <w:color w:val="auto"/>
          <w:highlight w:val="none"/>
        </w:rPr>
        <w:t>。</w:t>
      </w:r>
    </w:p>
    <w:p w14:paraId="7DE6500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评价等级判别表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550"/>
        <w:gridCol w:w="4727"/>
      </w:tblGrid>
      <w:tr w14:paraId="241E8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tcBorders>
              <w:top w:val="single" w:color="auto" w:sz="4" w:space="0"/>
              <w:left w:val="single" w:color="auto" w:sz="4" w:space="0"/>
            </w:tcBorders>
            <w:vAlign w:val="center"/>
          </w:tcPr>
          <w:p w14:paraId="5ED3BB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0"/>
                <w:highlight w:val="none"/>
              </w:rPr>
            </w:pPr>
            <w:r>
              <w:rPr>
                <w:rFonts w:hint="default" w:ascii="Times New Roman" w:hAnsi="Times New Roman" w:eastAsia="宋体" w:cs="Times New Roman"/>
                <w:b/>
                <w:bCs/>
                <w:color w:val="auto"/>
                <w:sz w:val="21"/>
                <w:szCs w:val="20"/>
                <w:highlight w:val="none"/>
              </w:rPr>
              <w:t>评价工作等级</w:t>
            </w:r>
          </w:p>
        </w:tc>
        <w:tc>
          <w:tcPr>
            <w:tcW w:w="5142" w:type="dxa"/>
            <w:tcBorders>
              <w:top w:val="single" w:color="auto" w:sz="4" w:space="0"/>
              <w:right w:val="single" w:color="auto" w:sz="4" w:space="0"/>
            </w:tcBorders>
            <w:vAlign w:val="center"/>
          </w:tcPr>
          <w:p w14:paraId="2D1548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0"/>
                <w:highlight w:val="none"/>
              </w:rPr>
            </w:pPr>
            <w:r>
              <w:rPr>
                <w:rFonts w:hint="default" w:ascii="Times New Roman" w:hAnsi="Times New Roman" w:eastAsia="宋体" w:cs="Times New Roman"/>
                <w:b/>
                <w:bCs/>
                <w:color w:val="auto"/>
                <w:sz w:val="21"/>
                <w:szCs w:val="20"/>
                <w:highlight w:val="none"/>
              </w:rPr>
              <w:t>评价工作分级判据</w:t>
            </w:r>
          </w:p>
        </w:tc>
      </w:tr>
      <w:tr w14:paraId="67E84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tcBorders>
              <w:left w:val="single" w:color="auto" w:sz="4" w:space="0"/>
            </w:tcBorders>
            <w:vAlign w:val="center"/>
          </w:tcPr>
          <w:p w14:paraId="0B4105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一级评价</w:t>
            </w:r>
          </w:p>
        </w:tc>
        <w:tc>
          <w:tcPr>
            <w:tcW w:w="5142" w:type="dxa"/>
            <w:tcBorders>
              <w:right w:val="single" w:color="auto" w:sz="4" w:space="0"/>
            </w:tcBorders>
            <w:vAlign w:val="center"/>
          </w:tcPr>
          <w:p w14:paraId="6CA3B5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Pmax≥10%</w:t>
            </w:r>
          </w:p>
        </w:tc>
      </w:tr>
      <w:tr w14:paraId="7B65C1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tcBorders>
              <w:left w:val="single" w:color="auto" w:sz="4" w:space="0"/>
            </w:tcBorders>
            <w:vAlign w:val="center"/>
          </w:tcPr>
          <w:p w14:paraId="7A6A6B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二级评价</w:t>
            </w:r>
          </w:p>
        </w:tc>
        <w:tc>
          <w:tcPr>
            <w:tcW w:w="5142" w:type="dxa"/>
            <w:tcBorders>
              <w:right w:val="single" w:color="auto" w:sz="4" w:space="0"/>
            </w:tcBorders>
            <w:vAlign w:val="center"/>
          </w:tcPr>
          <w:p w14:paraId="50C06C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1%≤Pmax＜10%</w:t>
            </w:r>
          </w:p>
        </w:tc>
      </w:tr>
      <w:tr w14:paraId="49D5D8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tcBorders>
              <w:left w:val="single" w:color="auto" w:sz="4" w:space="0"/>
              <w:bottom w:val="single" w:color="auto" w:sz="4" w:space="0"/>
            </w:tcBorders>
            <w:vAlign w:val="center"/>
          </w:tcPr>
          <w:p w14:paraId="346034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三级评价</w:t>
            </w:r>
          </w:p>
        </w:tc>
        <w:tc>
          <w:tcPr>
            <w:tcW w:w="5142" w:type="dxa"/>
            <w:tcBorders>
              <w:bottom w:val="single" w:color="auto" w:sz="4" w:space="0"/>
              <w:right w:val="single" w:color="auto" w:sz="4" w:space="0"/>
            </w:tcBorders>
            <w:vAlign w:val="center"/>
          </w:tcPr>
          <w:p w14:paraId="50C8E8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Pmax＜1%</w:t>
            </w:r>
          </w:p>
        </w:tc>
      </w:tr>
    </w:tbl>
    <w:p w14:paraId="7A3CBBBC">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本评价采用《</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大气环境》（HJ2.2-2018）推荐模式清单中的估算模式（AERSCREEN）分别计算各源各污染物的短期浓度最大值及对应距离，用以分析最大影响程度和最远影响范围。</w:t>
      </w:r>
    </w:p>
    <w:p w14:paraId="6495DA4E">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（2）估算模型参数</w:t>
      </w:r>
    </w:p>
    <w:p w14:paraId="02BFB53C">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估算模型参数见表2.5-2。</w:t>
      </w:r>
    </w:p>
    <w:p w14:paraId="55E66F0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估算模型参数表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64"/>
        <w:gridCol w:w="3126"/>
        <w:gridCol w:w="2587"/>
      </w:tblGrid>
      <w:tr w14:paraId="51048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90" w:type="dxa"/>
            <w:gridSpan w:val="2"/>
            <w:tcBorders>
              <w:top w:val="single" w:color="auto" w:sz="4" w:space="0"/>
              <w:left w:val="single" w:color="auto" w:sz="4" w:space="0"/>
              <w:tl2br w:val="nil"/>
              <w:tr2bl w:val="nil"/>
            </w:tcBorders>
            <w:vAlign w:val="center"/>
          </w:tcPr>
          <w:p w14:paraId="68B4B6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参数</w:t>
            </w:r>
          </w:p>
        </w:tc>
        <w:tc>
          <w:tcPr>
            <w:tcW w:w="2813" w:type="dxa"/>
            <w:tcBorders>
              <w:top w:val="single" w:color="auto" w:sz="4" w:space="0"/>
              <w:right w:val="single" w:color="auto" w:sz="4" w:space="0"/>
              <w:tl2br w:val="nil"/>
              <w:tr2bl w:val="nil"/>
            </w:tcBorders>
            <w:vAlign w:val="center"/>
          </w:tcPr>
          <w:p w14:paraId="6EE734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取值</w:t>
            </w:r>
          </w:p>
        </w:tc>
      </w:tr>
      <w:tr w14:paraId="4A0EF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restart"/>
            <w:tcBorders>
              <w:left w:val="single" w:color="auto" w:sz="4" w:space="0"/>
              <w:tl2br w:val="nil"/>
              <w:tr2bl w:val="nil"/>
            </w:tcBorders>
            <w:vAlign w:val="center"/>
          </w:tcPr>
          <w:p w14:paraId="457D50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城市/农村选项</w:t>
            </w:r>
          </w:p>
        </w:tc>
        <w:tc>
          <w:tcPr>
            <w:tcW w:w="3403" w:type="dxa"/>
            <w:tcBorders>
              <w:tl2br w:val="nil"/>
              <w:tr2bl w:val="nil"/>
            </w:tcBorders>
            <w:vAlign w:val="center"/>
          </w:tcPr>
          <w:p w14:paraId="0C6CB1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城市/农村</w:t>
            </w:r>
          </w:p>
        </w:tc>
        <w:tc>
          <w:tcPr>
            <w:tcW w:w="2813" w:type="dxa"/>
            <w:tcBorders>
              <w:right w:val="single" w:color="auto" w:sz="4" w:space="0"/>
              <w:tl2br w:val="nil"/>
              <w:tr2bl w:val="nil"/>
            </w:tcBorders>
            <w:vAlign w:val="center"/>
          </w:tcPr>
          <w:p w14:paraId="756FE0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农村</w:t>
            </w:r>
          </w:p>
        </w:tc>
      </w:tr>
      <w:tr w14:paraId="50387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continue"/>
            <w:tcBorders>
              <w:left w:val="single" w:color="auto" w:sz="4" w:space="0"/>
              <w:tl2br w:val="nil"/>
              <w:tr2bl w:val="nil"/>
            </w:tcBorders>
            <w:vAlign w:val="center"/>
          </w:tcPr>
          <w:p w14:paraId="5AC528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p>
        </w:tc>
        <w:tc>
          <w:tcPr>
            <w:tcW w:w="3403" w:type="dxa"/>
            <w:tcBorders>
              <w:tl2br w:val="nil"/>
              <w:tr2bl w:val="nil"/>
            </w:tcBorders>
            <w:vAlign w:val="center"/>
          </w:tcPr>
          <w:p w14:paraId="4D9486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人口数（城市选型时）</w:t>
            </w:r>
          </w:p>
        </w:tc>
        <w:tc>
          <w:tcPr>
            <w:tcW w:w="2813" w:type="dxa"/>
            <w:tcBorders>
              <w:right w:val="single" w:color="auto" w:sz="4" w:space="0"/>
              <w:tl2br w:val="nil"/>
              <w:tr2bl w:val="nil"/>
            </w:tcBorders>
            <w:vAlign w:val="center"/>
          </w:tcPr>
          <w:p w14:paraId="487EA4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r>
      <w:tr w14:paraId="0D8A4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90" w:type="dxa"/>
            <w:gridSpan w:val="2"/>
            <w:tcBorders>
              <w:left w:val="single" w:color="auto" w:sz="4" w:space="0"/>
              <w:tl2br w:val="nil"/>
              <w:tr2bl w:val="nil"/>
            </w:tcBorders>
            <w:vAlign w:val="center"/>
          </w:tcPr>
          <w:p w14:paraId="6D0F27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最高环境温度/℃</w:t>
            </w:r>
          </w:p>
        </w:tc>
        <w:tc>
          <w:tcPr>
            <w:tcW w:w="2813" w:type="dxa"/>
            <w:tcBorders>
              <w:right w:val="single" w:color="auto" w:sz="4" w:space="0"/>
              <w:tl2br w:val="nil"/>
              <w:tr2bl w:val="nil"/>
            </w:tcBorders>
            <w:vAlign w:val="center"/>
          </w:tcPr>
          <w:p w14:paraId="326E9A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39.1</w:t>
            </w:r>
          </w:p>
        </w:tc>
      </w:tr>
      <w:tr w14:paraId="604E4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90" w:type="dxa"/>
            <w:gridSpan w:val="2"/>
            <w:tcBorders>
              <w:left w:val="single" w:color="auto" w:sz="4" w:space="0"/>
              <w:tl2br w:val="nil"/>
              <w:tr2bl w:val="nil"/>
            </w:tcBorders>
            <w:vAlign w:val="center"/>
          </w:tcPr>
          <w:p w14:paraId="7674E4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最低环境温度/℃</w:t>
            </w:r>
          </w:p>
        </w:tc>
        <w:tc>
          <w:tcPr>
            <w:tcW w:w="2813" w:type="dxa"/>
            <w:tcBorders>
              <w:right w:val="single" w:color="auto" w:sz="4" w:space="0"/>
              <w:tl2br w:val="nil"/>
              <w:tr2bl w:val="nil"/>
            </w:tcBorders>
            <w:vAlign w:val="center"/>
          </w:tcPr>
          <w:p w14:paraId="545E9F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rPr>
              <w:t>-</w:t>
            </w:r>
            <w:r>
              <w:rPr>
                <w:rFonts w:hint="default" w:ascii="Times New Roman" w:hAnsi="Times New Roman" w:eastAsia="宋体" w:cs="Times New Roman"/>
                <w:color w:val="auto"/>
                <w:sz w:val="21"/>
                <w:szCs w:val="21"/>
                <w:highlight w:val="none"/>
                <w:vertAlign w:val="baseline"/>
                <w:lang w:val="en-US" w:eastAsia="zh-CN"/>
              </w:rPr>
              <w:t>36.7</w:t>
            </w:r>
          </w:p>
        </w:tc>
      </w:tr>
      <w:tr w14:paraId="521730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90" w:type="dxa"/>
            <w:gridSpan w:val="2"/>
            <w:tcBorders>
              <w:left w:val="single" w:color="auto" w:sz="4" w:space="0"/>
              <w:tl2br w:val="nil"/>
              <w:tr2bl w:val="nil"/>
            </w:tcBorders>
            <w:vAlign w:val="center"/>
          </w:tcPr>
          <w:p w14:paraId="75744F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土地利用类型</w:t>
            </w:r>
          </w:p>
        </w:tc>
        <w:tc>
          <w:tcPr>
            <w:tcW w:w="2813" w:type="dxa"/>
            <w:tcBorders>
              <w:right w:val="single" w:color="auto" w:sz="4" w:space="0"/>
              <w:tl2br w:val="nil"/>
              <w:tr2bl w:val="nil"/>
            </w:tcBorders>
            <w:vAlign w:val="center"/>
          </w:tcPr>
          <w:p w14:paraId="4B8ADD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农田</w:t>
            </w:r>
          </w:p>
        </w:tc>
      </w:tr>
      <w:tr w14:paraId="27C356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90" w:type="dxa"/>
            <w:gridSpan w:val="2"/>
            <w:tcBorders>
              <w:left w:val="single" w:color="auto" w:sz="4" w:space="0"/>
              <w:tl2br w:val="nil"/>
              <w:tr2bl w:val="nil"/>
            </w:tcBorders>
            <w:vAlign w:val="center"/>
          </w:tcPr>
          <w:p w14:paraId="6DCE6B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区域湿度条件</w:t>
            </w:r>
          </w:p>
        </w:tc>
        <w:tc>
          <w:tcPr>
            <w:tcW w:w="2813" w:type="dxa"/>
            <w:tcBorders>
              <w:right w:val="single" w:color="auto" w:sz="4" w:space="0"/>
              <w:tl2br w:val="nil"/>
              <w:tr2bl w:val="nil"/>
            </w:tcBorders>
            <w:vAlign w:val="center"/>
          </w:tcPr>
          <w:p w14:paraId="50F550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干旱地区</w:t>
            </w:r>
          </w:p>
        </w:tc>
      </w:tr>
      <w:tr w14:paraId="762B8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restart"/>
            <w:tcBorders>
              <w:left w:val="single" w:color="auto" w:sz="4" w:space="0"/>
              <w:tl2br w:val="nil"/>
              <w:tr2bl w:val="nil"/>
            </w:tcBorders>
            <w:vAlign w:val="center"/>
          </w:tcPr>
          <w:p w14:paraId="0CAE5F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是否考虑地形</w:t>
            </w:r>
          </w:p>
        </w:tc>
        <w:tc>
          <w:tcPr>
            <w:tcW w:w="3403" w:type="dxa"/>
            <w:tcBorders>
              <w:tl2br w:val="nil"/>
              <w:tr2bl w:val="nil"/>
            </w:tcBorders>
            <w:vAlign w:val="center"/>
          </w:tcPr>
          <w:p w14:paraId="5CB6A7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考虑地形</w:t>
            </w:r>
          </w:p>
        </w:tc>
        <w:tc>
          <w:tcPr>
            <w:tcW w:w="2813" w:type="dxa"/>
            <w:tcBorders>
              <w:right w:val="single" w:color="auto" w:sz="4" w:space="0"/>
              <w:tl2br w:val="nil"/>
              <w:tr2bl w:val="nil"/>
            </w:tcBorders>
            <w:vAlign w:val="center"/>
          </w:tcPr>
          <w:p w14:paraId="469C38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是</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否</w:t>
            </w:r>
          </w:p>
        </w:tc>
      </w:tr>
      <w:tr w14:paraId="362C8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continue"/>
            <w:tcBorders>
              <w:left w:val="single" w:color="auto" w:sz="4" w:space="0"/>
              <w:tl2br w:val="nil"/>
              <w:tr2bl w:val="nil"/>
            </w:tcBorders>
            <w:vAlign w:val="center"/>
          </w:tcPr>
          <w:p w14:paraId="2950C8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p>
        </w:tc>
        <w:tc>
          <w:tcPr>
            <w:tcW w:w="3403" w:type="dxa"/>
            <w:tcBorders>
              <w:tl2br w:val="nil"/>
              <w:tr2bl w:val="nil"/>
            </w:tcBorders>
            <w:vAlign w:val="center"/>
          </w:tcPr>
          <w:p w14:paraId="4177C7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地形数据分辨率/m</w:t>
            </w:r>
          </w:p>
        </w:tc>
        <w:tc>
          <w:tcPr>
            <w:tcW w:w="2813" w:type="dxa"/>
            <w:tcBorders>
              <w:right w:val="single" w:color="auto" w:sz="4" w:space="0"/>
              <w:tl2br w:val="nil"/>
              <w:tr2bl w:val="nil"/>
            </w:tcBorders>
            <w:vAlign w:val="center"/>
          </w:tcPr>
          <w:p w14:paraId="3AE863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90m</w:t>
            </w:r>
          </w:p>
        </w:tc>
      </w:tr>
      <w:tr w14:paraId="039C1F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restart"/>
            <w:tcBorders>
              <w:left w:val="single" w:color="auto" w:sz="4" w:space="0"/>
              <w:tl2br w:val="nil"/>
              <w:tr2bl w:val="nil"/>
            </w:tcBorders>
            <w:vAlign w:val="center"/>
          </w:tcPr>
          <w:p w14:paraId="77A958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是否考虑岸线熏烟</w:t>
            </w:r>
          </w:p>
        </w:tc>
        <w:tc>
          <w:tcPr>
            <w:tcW w:w="3403" w:type="dxa"/>
            <w:tcBorders>
              <w:tl2br w:val="nil"/>
              <w:tr2bl w:val="nil"/>
            </w:tcBorders>
            <w:vAlign w:val="center"/>
          </w:tcPr>
          <w:p w14:paraId="400F2F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考虑岸线熏烟</w:t>
            </w:r>
          </w:p>
        </w:tc>
        <w:tc>
          <w:tcPr>
            <w:tcW w:w="2813" w:type="dxa"/>
            <w:tcBorders>
              <w:right w:val="single" w:color="auto" w:sz="4" w:space="0"/>
              <w:tl2br w:val="nil"/>
              <w:tr2bl w:val="nil"/>
            </w:tcBorders>
            <w:vAlign w:val="center"/>
          </w:tcPr>
          <w:p w14:paraId="4AC625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是</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否</w:t>
            </w:r>
          </w:p>
        </w:tc>
      </w:tr>
      <w:tr w14:paraId="20FD74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continue"/>
            <w:tcBorders>
              <w:left w:val="single" w:color="auto" w:sz="4" w:space="0"/>
              <w:tl2br w:val="nil"/>
              <w:tr2bl w:val="nil"/>
            </w:tcBorders>
            <w:vAlign w:val="center"/>
          </w:tcPr>
          <w:p w14:paraId="40721D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p>
        </w:tc>
        <w:tc>
          <w:tcPr>
            <w:tcW w:w="3403" w:type="dxa"/>
            <w:tcBorders>
              <w:tl2br w:val="nil"/>
              <w:tr2bl w:val="nil"/>
            </w:tcBorders>
            <w:vAlign w:val="center"/>
          </w:tcPr>
          <w:p w14:paraId="325FBD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岸线距离/km</w:t>
            </w:r>
          </w:p>
        </w:tc>
        <w:tc>
          <w:tcPr>
            <w:tcW w:w="2813" w:type="dxa"/>
            <w:tcBorders>
              <w:right w:val="single" w:color="auto" w:sz="4" w:space="0"/>
              <w:tl2br w:val="nil"/>
              <w:tr2bl w:val="nil"/>
            </w:tcBorders>
            <w:vAlign w:val="center"/>
          </w:tcPr>
          <w:p w14:paraId="531B78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r>
      <w:tr w14:paraId="7E522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87" w:type="dxa"/>
            <w:vMerge w:val="continue"/>
            <w:tcBorders>
              <w:left w:val="single" w:color="auto" w:sz="4" w:space="0"/>
              <w:bottom w:val="single" w:color="auto" w:sz="4" w:space="0"/>
              <w:tl2br w:val="nil"/>
              <w:tr2bl w:val="nil"/>
            </w:tcBorders>
            <w:vAlign w:val="center"/>
          </w:tcPr>
          <w:p w14:paraId="641101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p>
        </w:tc>
        <w:tc>
          <w:tcPr>
            <w:tcW w:w="3403" w:type="dxa"/>
            <w:tcBorders>
              <w:bottom w:val="single" w:color="auto" w:sz="4" w:space="0"/>
              <w:tl2br w:val="nil"/>
              <w:tr2bl w:val="nil"/>
            </w:tcBorders>
            <w:vAlign w:val="center"/>
          </w:tcPr>
          <w:p w14:paraId="4893F1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岸线方向/°</w:t>
            </w:r>
          </w:p>
        </w:tc>
        <w:tc>
          <w:tcPr>
            <w:tcW w:w="2813" w:type="dxa"/>
            <w:tcBorders>
              <w:bottom w:val="single" w:color="auto" w:sz="4" w:space="0"/>
              <w:right w:val="single" w:color="auto" w:sz="4" w:space="0"/>
              <w:tl2br w:val="nil"/>
              <w:tr2bl w:val="nil"/>
            </w:tcBorders>
            <w:vAlign w:val="center"/>
          </w:tcPr>
          <w:p w14:paraId="4163E8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r>
    </w:tbl>
    <w:p w14:paraId="270F90A1">
      <w:pPr>
        <w:pageBreakBefore w:val="0"/>
        <w:shd w:val="clear"/>
        <w:kinsoku/>
        <w:wordWrap/>
        <w:topLinePunct w:val="0"/>
        <w:autoSpaceDE/>
        <w:bidi w:val="0"/>
        <w:snapToGrid w:val="0"/>
        <w:spacing w:line="360" w:lineRule="auto"/>
        <w:ind w:left="0" w:leftChars="0" w:right="0" w:rightChars="0" w:firstLine="48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本项目投入运营后</w:t>
      </w:r>
      <w:r>
        <w:rPr>
          <w:rFonts w:hint="default" w:ascii="Times New Roman" w:hAnsi="Times New Roman" w:eastAsia="宋体" w:cs="Times New Roman"/>
          <w:color w:val="auto"/>
          <w:szCs w:val="21"/>
          <w:highlight w:val="none"/>
          <w:lang w:eastAsia="zh-CN"/>
        </w:rPr>
        <w:t>大气污染物</w:t>
      </w:r>
      <w:r>
        <w:rPr>
          <w:rFonts w:hint="default" w:ascii="Times New Roman" w:hAnsi="Times New Roman" w:eastAsia="宋体" w:cs="Times New Roman"/>
          <w:color w:val="auto"/>
          <w:szCs w:val="21"/>
          <w:highlight w:val="none"/>
        </w:rPr>
        <w:t>排放数据见表2.</w:t>
      </w:r>
      <w:r>
        <w:rPr>
          <w:rFonts w:hint="default"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rPr>
        <w:t>、表2.</w:t>
      </w:r>
      <w:r>
        <w:rPr>
          <w:rFonts w:hint="default"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rPr>
        <w:t>。</w:t>
      </w:r>
    </w:p>
    <w:p w14:paraId="57FA6688">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点源参数表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887"/>
        <w:gridCol w:w="776"/>
        <w:gridCol w:w="793"/>
        <w:gridCol w:w="751"/>
        <w:gridCol w:w="623"/>
        <w:gridCol w:w="626"/>
        <w:gridCol w:w="597"/>
        <w:gridCol w:w="568"/>
        <w:gridCol w:w="564"/>
        <w:gridCol w:w="465"/>
        <w:gridCol w:w="1029"/>
      </w:tblGrid>
      <w:tr w14:paraId="554A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8" w:type="dxa"/>
            <w:vMerge w:val="restart"/>
            <w:vAlign w:val="center"/>
          </w:tcPr>
          <w:p w14:paraId="0F77A77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编号</w:t>
            </w:r>
          </w:p>
        </w:tc>
        <w:tc>
          <w:tcPr>
            <w:tcW w:w="887" w:type="dxa"/>
            <w:vMerge w:val="restart"/>
            <w:vAlign w:val="center"/>
          </w:tcPr>
          <w:p w14:paraId="57CDD76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名称</w:t>
            </w:r>
          </w:p>
        </w:tc>
        <w:tc>
          <w:tcPr>
            <w:tcW w:w="1569" w:type="dxa"/>
            <w:gridSpan w:val="2"/>
            <w:vAlign w:val="center"/>
          </w:tcPr>
          <w:p w14:paraId="7B7C29E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排气筒底部中心坐标/经纬度坐标</w:t>
            </w:r>
          </w:p>
        </w:tc>
        <w:tc>
          <w:tcPr>
            <w:tcW w:w="751" w:type="dxa"/>
            <w:vMerge w:val="restart"/>
            <w:vAlign w:val="center"/>
          </w:tcPr>
          <w:p w14:paraId="2ECB7D8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排气筒底部海拔高度/m</w:t>
            </w:r>
          </w:p>
        </w:tc>
        <w:tc>
          <w:tcPr>
            <w:tcW w:w="623" w:type="dxa"/>
            <w:vMerge w:val="restart"/>
            <w:vAlign w:val="center"/>
          </w:tcPr>
          <w:p w14:paraId="4E4E52E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排气筒高度/m</w:t>
            </w:r>
          </w:p>
        </w:tc>
        <w:tc>
          <w:tcPr>
            <w:tcW w:w="626" w:type="dxa"/>
            <w:vMerge w:val="restart"/>
            <w:vAlign w:val="center"/>
          </w:tcPr>
          <w:p w14:paraId="6363F6D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排气筒出口内径/m</w:t>
            </w:r>
          </w:p>
        </w:tc>
        <w:tc>
          <w:tcPr>
            <w:tcW w:w="597" w:type="dxa"/>
            <w:vMerge w:val="restart"/>
            <w:vAlign w:val="center"/>
          </w:tcPr>
          <w:p w14:paraId="5377D6D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烟气流量/（m</w:t>
            </w:r>
            <w:r>
              <w:rPr>
                <w:rFonts w:hint="default" w:ascii="Times New Roman" w:hAnsi="Times New Roman" w:eastAsia="宋体" w:cs="Times New Roman"/>
                <w:color w:val="0000FF"/>
                <w:sz w:val="21"/>
                <w:szCs w:val="21"/>
                <w:highlight w:val="none"/>
                <w:vertAlign w:val="superscript"/>
                <w:lang w:val="en-US"/>
              </w:rPr>
              <w:t>3</w:t>
            </w:r>
            <w:r>
              <w:rPr>
                <w:rFonts w:hint="default" w:ascii="Times New Roman" w:hAnsi="Times New Roman" w:eastAsia="宋体" w:cs="Times New Roman"/>
                <w:color w:val="0000FF"/>
                <w:sz w:val="21"/>
                <w:szCs w:val="21"/>
                <w:highlight w:val="none"/>
                <w:lang w:val="en-US"/>
              </w:rPr>
              <w:t>/s）</w:t>
            </w:r>
          </w:p>
        </w:tc>
        <w:tc>
          <w:tcPr>
            <w:tcW w:w="568" w:type="dxa"/>
            <w:vMerge w:val="restart"/>
            <w:vAlign w:val="center"/>
          </w:tcPr>
          <w:p w14:paraId="63CD2E7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烟气温度/℃</w:t>
            </w:r>
          </w:p>
        </w:tc>
        <w:tc>
          <w:tcPr>
            <w:tcW w:w="564" w:type="dxa"/>
            <w:vMerge w:val="restart"/>
            <w:vAlign w:val="center"/>
          </w:tcPr>
          <w:p w14:paraId="04B2F69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年排放小时数/h</w:t>
            </w:r>
          </w:p>
        </w:tc>
        <w:tc>
          <w:tcPr>
            <w:tcW w:w="465" w:type="dxa"/>
            <w:vMerge w:val="restart"/>
            <w:vAlign w:val="center"/>
          </w:tcPr>
          <w:p w14:paraId="3CFC36F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排放工况</w:t>
            </w:r>
          </w:p>
        </w:tc>
        <w:tc>
          <w:tcPr>
            <w:tcW w:w="1029" w:type="dxa"/>
            <w:vMerge w:val="restart"/>
            <w:vAlign w:val="center"/>
          </w:tcPr>
          <w:p w14:paraId="58A2EB0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污染物排放速率/（kg/h）</w:t>
            </w:r>
          </w:p>
        </w:tc>
      </w:tr>
      <w:tr w14:paraId="6146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8" w:type="dxa"/>
            <w:vMerge w:val="continue"/>
            <w:vAlign w:val="center"/>
          </w:tcPr>
          <w:p w14:paraId="65AA77A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887" w:type="dxa"/>
            <w:vMerge w:val="continue"/>
            <w:vAlign w:val="center"/>
          </w:tcPr>
          <w:p w14:paraId="06B3012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776" w:type="dxa"/>
            <w:vAlign w:val="center"/>
          </w:tcPr>
          <w:p w14:paraId="36FC6DA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X</w:t>
            </w:r>
          </w:p>
        </w:tc>
        <w:tc>
          <w:tcPr>
            <w:tcW w:w="793" w:type="dxa"/>
            <w:vAlign w:val="center"/>
          </w:tcPr>
          <w:p w14:paraId="3330F0C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Y</w:t>
            </w:r>
          </w:p>
        </w:tc>
        <w:tc>
          <w:tcPr>
            <w:tcW w:w="751" w:type="dxa"/>
            <w:vMerge w:val="continue"/>
            <w:vAlign w:val="center"/>
          </w:tcPr>
          <w:p w14:paraId="705BF4C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623" w:type="dxa"/>
            <w:vMerge w:val="continue"/>
            <w:vAlign w:val="center"/>
          </w:tcPr>
          <w:p w14:paraId="0479D81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626" w:type="dxa"/>
            <w:vMerge w:val="continue"/>
            <w:vAlign w:val="center"/>
          </w:tcPr>
          <w:p w14:paraId="4A21FB5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597" w:type="dxa"/>
            <w:vMerge w:val="continue"/>
            <w:vAlign w:val="center"/>
          </w:tcPr>
          <w:p w14:paraId="39B7EB4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568" w:type="dxa"/>
            <w:vMerge w:val="continue"/>
            <w:vAlign w:val="center"/>
          </w:tcPr>
          <w:p w14:paraId="609DC8A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564" w:type="dxa"/>
            <w:vMerge w:val="continue"/>
            <w:vAlign w:val="center"/>
          </w:tcPr>
          <w:p w14:paraId="7A53C9B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465" w:type="dxa"/>
            <w:vMerge w:val="continue"/>
            <w:vAlign w:val="center"/>
          </w:tcPr>
          <w:p w14:paraId="7111323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1029" w:type="dxa"/>
            <w:vMerge w:val="continue"/>
            <w:vAlign w:val="center"/>
          </w:tcPr>
          <w:p w14:paraId="60CEC78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r>
      <w:tr w14:paraId="40F8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98" w:type="dxa"/>
            <w:vMerge w:val="restart"/>
            <w:vAlign w:val="center"/>
          </w:tcPr>
          <w:p w14:paraId="5F524E0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1</w:t>
            </w:r>
          </w:p>
        </w:tc>
        <w:tc>
          <w:tcPr>
            <w:tcW w:w="887" w:type="dxa"/>
            <w:vMerge w:val="restart"/>
            <w:vAlign w:val="center"/>
          </w:tcPr>
          <w:p w14:paraId="5428BD0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kern w:val="0"/>
                <w:sz w:val="21"/>
                <w:szCs w:val="21"/>
                <w:highlight w:val="none"/>
                <w:lang w:val="en-US" w:eastAsia="zh-CN"/>
              </w:rPr>
              <w:t>生物质热风炉</w:t>
            </w:r>
            <w:r>
              <w:rPr>
                <w:rFonts w:hint="default" w:ascii="Times New Roman" w:hAnsi="Times New Roman" w:eastAsia="宋体" w:cs="Times New Roman"/>
                <w:b w:val="0"/>
                <w:bCs w:val="0"/>
                <w:color w:val="0000FF"/>
                <w:sz w:val="21"/>
                <w:szCs w:val="21"/>
                <w:highlight w:val="none"/>
              </w:rPr>
              <w:t>排气筒</w:t>
            </w:r>
            <w:r>
              <w:rPr>
                <w:rFonts w:hint="default" w:ascii="Times New Roman" w:hAnsi="Times New Roman" w:eastAsia="宋体" w:cs="Times New Roman"/>
                <w:b w:val="0"/>
                <w:bCs w:val="0"/>
                <w:color w:val="0000FF"/>
                <w:sz w:val="21"/>
                <w:szCs w:val="21"/>
                <w:highlight w:val="none"/>
                <w:lang w:val="en-US" w:eastAsia="zh-CN"/>
              </w:rPr>
              <w:t>P1</w:t>
            </w:r>
          </w:p>
        </w:tc>
        <w:tc>
          <w:tcPr>
            <w:tcW w:w="776" w:type="dxa"/>
            <w:vMerge w:val="restart"/>
            <w:vAlign w:val="center"/>
          </w:tcPr>
          <w:p w14:paraId="177149B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41.066350276</w:t>
            </w:r>
            <w:r>
              <w:rPr>
                <w:rFonts w:hint="default" w:ascii="Times New Roman" w:hAnsi="Times New Roman" w:eastAsia="宋体" w:cs="Times New Roman"/>
                <w:color w:val="auto"/>
                <w:sz w:val="21"/>
                <w:szCs w:val="21"/>
                <w:highlight w:val="none"/>
              </w:rPr>
              <w:t>°</w:t>
            </w:r>
          </w:p>
        </w:tc>
        <w:tc>
          <w:tcPr>
            <w:tcW w:w="793" w:type="dxa"/>
            <w:vMerge w:val="restart"/>
            <w:vAlign w:val="center"/>
          </w:tcPr>
          <w:p w14:paraId="441AB07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108.381930688</w:t>
            </w:r>
            <w:r>
              <w:rPr>
                <w:rFonts w:hint="default" w:ascii="Times New Roman" w:hAnsi="Times New Roman" w:eastAsia="宋体" w:cs="Times New Roman"/>
                <w:color w:val="auto"/>
                <w:sz w:val="21"/>
                <w:szCs w:val="21"/>
                <w:highlight w:val="none"/>
              </w:rPr>
              <w:t>°</w:t>
            </w:r>
          </w:p>
        </w:tc>
        <w:tc>
          <w:tcPr>
            <w:tcW w:w="751" w:type="dxa"/>
            <w:vMerge w:val="restart"/>
            <w:vAlign w:val="center"/>
          </w:tcPr>
          <w:p w14:paraId="157E7E3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rPr>
              <w:t>1</w:t>
            </w:r>
            <w:r>
              <w:rPr>
                <w:rFonts w:hint="default" w:ascii="Times New Roman" w:hAnsi="Times New Roman" w:eastAsia="宋体" w:cs="Times New Roman"/>
                <w:color w:val="0000FF"/>
                <w:sz w:val="21"/>
                <w:szCs w:val="21"/>
                <w:highlight w:val="none"/>
                <w:lang w:val="en-US" w:eastAsia="zh-CN"/>
              </w:rPr>
              <w:t>0</w:t>
            </w:r>
            <w:r>
              <w:rPr>
                <w:rFonts w:hint="default" w:ascii="Times New Roman" w:hAnsi="Times New Roman" w:eastAsia="宋体" w:cs="Times New Roman"/>
                <w:color w:val="0000FF"/>
                <w:sz w:val="21"/>
                <w:szCs w:val="21"/>
                <w:highlight w:val="none"/>
                <w:lang w:val="en-US" w:eastAsia="zh-CN"/>
              </w:rPr>
              <w:t>22</w:t>
            </w:r>
          </w:p>
        </w:tc>
        <w:tc>
          <w:tcPr>
            <w:tcW w:w="623" w:type="dxa"/>
            <w:vMerge w:val="restart"/>
            <w:vAlign w:val="center"/>
          </w:tcPr>
          <w:p w14:paraId="27A27AF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eastAsia="zh-CN"/>
              </w:rPr>
              <w:t>15</w:t>
            </w:r>
          </w:p>
        </w:tc>
        <w:tc>
          <w:tcPr>
            <w:tcW w:w="626" w:type="dxa"/>
            <w:vMerge w:val="restart"/>
            <w:vAlign w:val="center"/>
          </w:tcPr>
          <w:p w14:paraId="5DE785B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rPr>
              <w:t>0.</w:t>
            </w:r>
            <w:r>
              <w:rPr>
                <w:rFonts w:hint="default" w:ascii="Times New Roman" w:hAnsi="Times New Roman" w:eastAsia="宋体" w:cs="Times New Roman"/>
                <w:color w:val="0000FF"/>
                <w:sz w:val="21"/>
                <w:szCs w:val="21"/>
                <w:highlight w:val="none"/>
                <w:lang w:val="en-US" w:eastAsia="zh-CN"/>
              </w:rPr>
              <w:t>3</w:t>
            </w:r>
          </w:p>
        </w:tc>
        <w:tc>
          <w:tcPr>
            <w:tcW w:w="597" w:type="dxa"/>
            <w:vMerge w:val="restart"/>
            <w:vAlign w:val="center"/>
          </w:tcPr>
          <w:p w14:paraId="36AA512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eastAsia="zh-CN"/>
              </w:rPr>
              <w:t>1.1</w:t>
            </w:r>
          </w:p>
        </w:tc>
        <w:tc>
          <w:tcPr>
            <w:tcW w:w="568" w:type="dxa"/>
            <w:vMerge w:val="restart"/>
            <w:vAlign w:val="center"/>
          </w:tcPr>
          <w:p w14:paraId="66559A5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eastAsia="zh-CN"/>
              </w:rPr>
              <w:t>80</w:t>
            </w:r>
          </w:p>
        </w:tc>
        <w:tc>
          <w:tcPr>
            <w:tcW w:w="564" w:type="dxa"/>
            <w:vMerge w:val="restart"/>
            <w:vAlign w:val="center"/>
          </w:tcPr>
          <w:p w14:paraId="2AFAE0D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2160</w:t>
            </w:r>
          </w:p>
        </w:tc>
        <w:tc>
          <w:tcPr>
            <w:tcW w:w="465" w:type="dxa"/>
            <w:vMerge w:val="restart"/>
            <w:vAlign w:val="center"/>
          </w:tcPr>
          <w:p w14:paraId="21457D6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r>
              <w:rPr>
                <w:rFonts w:hint="default" w:ascii="Times New Roman" w:hAnsi="Times New Roman" w:eastAsia="宋体" w:cs="Times New Roman"/>
                <w:color w:val="0000FF"/>
                <w:sz w:val="21"/>
                <w:szCs w:val="21"/>
                <w:highlight w:val="none"/>
                <w:lang w:val="en-US"/>
              </w:rPr>
              <w:t>正常</w:t>
            </w:r>
          </w:p>
        </w:tc>
        <w:tc>
          <w:tcPr>
            <w:tcW w:w="1029" w:type="dxa"/>
            <w:shd w:val="clear" w:color="auto" w:fill="auto"/>
            <w:vAlign w:val="center"/>
          </w:tcPr>
          <w:p w14:paraId="3D7ED5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val="en-US" w:eastAsia="zh-CN"/>
              </w:rPr>
            </w:pPr>
            <w:r>
              <w:rPr>
                <w:rFonts w:hint="default" w:ascii="Times New Roman" w:hAnsi="Times New Roman" w:eastAsia="宋体" w:cs="Times New Roman"/>
                <w:i w:val="0"/>
                <w:iCs w:val="0"/>
                <w:color w:val="0000FF"/>
                <w:sz w:val="21"/>
                <w:szCs w:val="21"/>
                <w:highlight w:val="none"/>
                <w:lang w:val="en-US" w:eastAsia="zh-CN"/>
              </w:rPr>
              <w:t>PM</w:t>
            </w:r>
            <w:r>
              <w:rPr>
                <w:rFonts w:hint="default" w:ascii="Times New Roman" w:hAnsi="Times New Roman" w:eastAsia="宋体" w:cs="Times New Roman"/>
                <w:i w:val="0"/>
                <w:iCs w:val="0"/>
                <w:color w:val="0000FF"/>
                <w:sz w:val="21"/>
                <w:szCs w:val="21"/>
                <w:highlight w:val="none"/>
                <w:vertAlign w:val="subscript"/>
                <w:lang w:val="en-US" w:eastAsia="zh-CN"/>
              </w:rPr>
              <w:t>10</w:t>
            </w:r>
          </w:p>
          <w:p w14:paraId="04CC75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0.0148</w:t>
            </w:r>
          </w:p>
        </w:tc>
      </w:tr>
      <w:tr w14:paraId="0D9C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98" w:type="dxa"/>
            <w:vMerge w:val="continue"/>
            <w:vAlign w:val="center"/>
          </w:tcPr>
          <w:p w14:paraId="33314C9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887" w:type="dxa"/>
            <w:vMerge w:val="continue"/>
            <w:vAlign w:val="center"/>
          </w:tcPr>
          <w:p w14:paraId="2BC0C76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776" w:type="dxa"/>
            <w:vMerge w:val="continue"/>
            <w:vAlign w:val="center"/>
          </w:tcPr>
          <w:p w14:paraId="30AC9AF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793" w:type="dxa"/>
            <w:vMerge w:val="continue"/>
            <w:vAlign w:val="center"/>
          </w:tcPr>
          <w:p w14:paraId="46F6218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751" w:type="dxa"/>
            <w:vMerge w:val="continue"/>
            <w:vAlign w:val="center"/>
          </w:tcPr>
          <w:p w14:paraId="3EE025C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623" w:type="dxa"/>
            <w:vMerge w:val="continue"/>
            <w:vAlign w:val="center"/>
          </w:tcPr>
          <w:p w14:paraId="4F73B07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626" w:type="dxa"/>
            <w:vMerge w:val="continue"/>
            <w:vAlign w:val="center"/>
          </w:tcPr>
          <w:p w14:paraId="6217869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597" w:type="dxa"/>
            <w:vMerge w:val="continue"/>
            <w:vAlign w:val="center"/>
          </w:tcPr>
          <w:p w14:paraId="7AE40C4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568" w:type="dxa"/>
            <w:vMerge w:val="continue"/>
            <w:vAlign w:val="center"/>
          </w:tcPr>
          <w:p w14:paraId="5EEBA56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564" w:type="dxa"/>
            <w:vMerge w:val="continue"/>
            <w:vAlign w:val="center"/>
          </w:tcPr>
          <w:p w14:paraId="7CB294B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465" w:type="dxa"/>
            <w:vMerge w:val="continue"/>
            <w:vAlign w:val="center"/>
          </w:tcPr>
          <w:p w14:paraId="3B06C66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rPr>
            </w:pPr>
          </w:p>
        </w:tc>
        <w:tc>
          <w:tcPr>
            <w:tcW w:w="1029" w:type="dxa"/>
            <w:shd w:val="clear" w:color="auto" w:fill="auto"/>
            <w:vAlign w:val="center"/>
          </w:tcPr>
          <w:p w14:paraId="66B28D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val="en-US" w:eastAsia="zh-CN"/>
              </w:rPr>
            </w:pPr>
            <w:r>
              <w:rPr>
                <w:rFonts w:hint="default" w:ascii="Times New Roman" w:hAnsi="Times New Roman" w:eastAsia="宋体" w:cs="Times New Roman"/>
                <w:i w:val="0"/>
                <w:iCs w:val="0"/>
                <w:color w:val="0000FF"/>
                <w:sz w:val="21"/>
                <w:szCs w:val="21"/>
                <w:highlight w:val="none"/>
                <w:lang w:val="en-US" w:eastAsia="zh-CN"/>
              </w:rPr>
              <w:t>SO</w:t>
            </w:r>
            <w:r>
              <w:rPr>
                <w:rFonts w:hint="default" w:ascii="Times New Roman" w:hAnsi="Times New Roman" w:eastAsia="宋体" w:cs="Times New Roman"/>
                <w:i w:val="0"/>
                <w:iCs w:val="0"/>
                <w:color w:val="0000FF"/>
                <w:sz w:val="21"/>
                <w:szCs w:val="21"/>
                <w:highlight w:val="none"/>
                <w:vertAlign w:val="subscript"/>
                <w:lang w:val="en-US" w:eastAsia="zh-CN"/>
              </w:rPr>
              <w:t>2</w:t>
            </w:r>
          </w:p>
          <w:p w14:paraId="7501D7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0.7139</w:t>
            </w:r>
          </w:p>
        </w:tc>
      </w:tr>
      <w:tr w14:paraId="7628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8" w:type="dxa"/>
            <w:vMerge w:val="continue"/>
            <w:vAlign w:val="center"/>
          </w:tcPr>
          <w:p w14:paraId="3D51530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887" w:type="dxa"/>
            <w:vMerge w:val="continue"/>
            <w:vAlign w:val="center"/>
          </w:tcPr>
          <w:p w14:paraId="12676DD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776" w:type="dxa"/>
            <w:vMerge w:val="continue"/>
            <w:vAlign w:val="center"/>
          </w:tcPr>
          <w:p w14:paraId="721D247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793" w:type="dxa"/>
            <w:vMerge w:val="continue"/>
            <w:vAlign w:val="center"/>
          </w:tcPr>
          <w:p w14:paraId="3089DA1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751" w:type="dxa"/>
            <w:vMerge w:val="continue"/>
            <w:vAlign w:val="center"/>
          </w:tcPr>
          <w:p w14:paraId="1630CAE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623" w:type="dxa"/>
            <w:vMerge w:val="continue"/>
            <w:vAlign w:val="center"/>
          </w:tcPr>
          <w:p w14:paraId="6DEFDF8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626" w:type="dxa"/>
            <w:vMerge w:val="continue"/>
            <w:vAlign w:val="center"/>
          </w:tcPr>
          <w:p w14:paraId="08352B9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597" w:type="dxa"/>
            <w:vMerge w:val="continue"/>
            <w:vAlign w:val="center"/>
          </w:tcPr>
          <w:p w14:paraId="498CC17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568" w:type="dxa"/>
            <w:vMerge w:val="continue"/>
            <w:vAlign w:val="center"/>
          </w:tcPr>
          <w:p w14:paraId="6C3B623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564" w:type="dxa"/>
            <w:vMerge w:val="continue"/>
            <w:vAlign w:val="center"/>
          </w:tcPr>
          <w:p w14:paraId="0D47464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p>
        </w:tc>
        <w:tc>
          <w:tcPr>
            <w:tcW w:w="465" w:type="dxa"/>
            <w:vMerge w:val="continue"/>
            <w:vAlign w:val="center"/>
          </w:tcPr>
          <w:p w14:paraId="1282D7F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FF"/>
                <w:sz w:val="21"/>
                <w:szCs w:val="21"/>
                <w:highlight w:val="none"/>
                <w:lang w:val="en-US"/>
              </w:rPr>
            </w:pPr>
          </w:p>
        </w:tc>
        <w:tc>
          <w:tcPr>
            <w:tcW w:w="1029" w:type="dxa"/>
            <w:shd w:val="clear" w:color="auto" w:fill="auto"/>
            <w:vAlign w:val="center"/>
          </w:tcPr>
          <w:p w14:paraId="6E12DB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val="en-US" w:eastAsia="zh-CN"/>
              </w:rPr>
            </w:pPr>
            <w:r>
              <w:rPr>
                <w:rFonts w:hint="default" w:ascii="Times New Roman" w:hAnsi="Times New Roman" w:eastAsia="宋体" w:cs="Times New Roman"/>
                <w:i w:val="0"/>
                <w:iCs w:val="0"/>
                <w:color w:val="0000FF"/>
                <w:sz w:val="21"/>
                <w:szCs w:val="21"/>
                <w:highlight w:val="none"/>
                <w:lang w:val="en-US" w:eastAsia="zh-CN"/>
              </w:rPr>
              <w:t>NOx</w:t>
            </w:r>
          </w:p>
          <w:p w14:paraId="54BD9F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0.6120</w:t>
            </w:r>
          </w:p>
        </w:tc>
      </w:tr>
    </w:tbl>
    <w:p w14:paraId="22E1CEA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矩形面源一览表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81"/>
        <w:gridCol w:w="681"/>
        <w:gridCol w:w="681"/>
        <w:gridCol w:w="681"/>
        <w:gridCol w:w="681"/>
        <w:gridCol w:w="681"/>
        <w:gridCol w:w="681"/>
        <w:gridCol w:w="681"/>
        <w:gridCol w:w="681"/>
        <w:gridCol w:w="681"/>
        <w:gridCol w:w="682"/>
        <w:gridCol w:w="785"/>
      </w:tblGrid>
      <w:tr w14:paraId="0307C3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89" w:type="dxa"/>
            <w:vMerge w:val="restart"/>
            <w:tcBorders>
              <w:top w:val="single" w:color="auto" w:sz="4" w:space="0"/>
              <w:left w:val="single" w:color="auto" w:sz="4" w:space="0"/>
              <w:right w:val="single" w:color="auto" w:sz="4" w:space="0"/>
            </w:tcBorders>
            <w:vAlign w:val="center"/>
          </w:tcPr>
          <w:p w14:paraId="53AB22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编号</w:t>
            </w:r>
          </w:p>
        </w:tc>
        <w:tc>
          <w:tcPr>
            <w:tcW w:w="689" w:type="dxa"/>
            <w:vMerge w:val="restart"/>
            <w:tcBorders>
              <w:top w:val="single" w:color="auto" w:sz="4" w:space="0"/>
              <w:left w:val="single" w:color="auto" w:sz="4" w:space="0"/>
              <w:bottom w:val="single" w:color="auto" w:sz="4" w:space="0"/>
              <w:right w:val="single" w:color="auto" w:sz="4" w:space="0"/>
            </w:tcBorders>
            <w:vAlign w:val="center"/>
          </w:tcPr>
          <w:p w14:paraId="3E5C03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名称</w:t>
            </w:r>
          </w:p>
        </w:tc>
        <w:tc>
          <w:tcPr>
            <w:tcW w:w="1379" w:type="dxa"/>
            <w:gridSpan w:val="2"/>
            <w:tcBorders>
              <w:top w:val="single" w:color="auto" w:sz="4" w:space="0"/>
              <w:left w:val="single" w:color="auto" w:sz="4" w:space="0"/>
              <w:bottom w:val="single" w:color="auto" w:sz="4" w:space="0"/>
              <w:right w:val="single" w:color="auto" w:sz="4" w:space="0"/>
            </w:tcBorders>
            <w:vAlign w:val="center"/>
          </w:tcPr>
          <w:p w14:paraId="5ED5E1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val="en-US" w:eastAsia="zh-CN"/>
              </w:rPr>
              <w:t>面源起点</w:t>
            </w:r>
            <w:r>
              <w:rPr>
                <w:rFonts w:hint="default" w:ascii="Times New Roman" w:hAnsi="Times New Roman" w:eastAsia="宋体" w:cs="Times New Roman"/>
                <w:color w:val="FF0000"/>
                <w:sz w:val="21"/>
                <w:szCs w:val="21"/>
                <w:highlight w:val="none"/>
                <w:lang w:val="en-US"/>
              </w:rPr>
              <w:t>坐标/经纬度坐标</w:t>
            </w:r>
          </w:p>
        </w:tc>
        <w:tc>
          <w:tcPr>
            <w:tcW w:w="690" w:type="dxa"/>
            <w:vMerge w:val="restart"/>
            <w:tcBorders>
              <w:top w:val="single" w:color="auto" w:sz="4" w:space="0"/>
              <w:left w:val="single" w:color="auto" w:sz="4" w:space="0"/>
              <w:right w:val="single" w:color="auto" w:sz="4" w:space="0"/>
            </w:tcBorders>
            <w:vAlign w:val="center"/>
          </w:tcPr>
          <w:p w14:paraId="55730D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面源海拔高度/m</w:t>
            </w:r>
          </w:p>
        </w:tc>
        <w:tc>
          <w:tcPr>
            <w:tcW w:w="690" w:type="dxa"/>
            <w:vMerge w:val="restart"/>
            <w:tcBorders>
              <w:top w:val="single" w:color="auto" w:sz="4" w:space="0"/>
              <w:left w:val="single" w:color="auto" w:sz="4" w:space="0"/>
              <w:right w:val="single" w:color="auto" w:sz="4" w:space="0"/>
            </w:tcBorders>
            <w:vAlign w:val="center"/>
          </w:tcPr>
          <w:p w14:paraId="7960F2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面源长度/m</w:t>
            </w:r>
          </w:p>
        </w:tc>
        <w:tc>
          <w:tcPr>
            <w:tcW w:w="690" w:type="dxa"/>
            <w:vMerge w:val="restart"/>
            <w:tcBorders>
              <w:top w:val="single" w:color="auto" w:sz="4" w:space="0"/>
              <w:left w:val="single" w:color="auto" w:sz="4" w:space="0"/>
              <w:right w:val="single" w:color="auto" w:sz="4" w:space="0"/>
            </w:tcBorders>
            <w:vAlign w:val="center"/>
          </w:tcPr>
          <w:p w14:paraId="0D0C81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面源宽度/m</w:t>
            </w:r>
          </w:p>
        </w:tc>
        <w:tc>
          <w:tcPr>
            <w:tcW w:w="690" w:type="dxa"/>
            <w:vMerge w:val="restart"/>
            <w:tcBorders>
              <w:top w:val="single" w:color="auto" w:sz="4" w:space="0"/>
              <w:left w:val="single" w:color="auto" w:sz="4" w:space="0"/>
              <w:right w:val="single" w:color="auto" w:sz="4" w:space="0"/>
            </w:tcBorders>
            <w:vAlign w:val="center"/>
          </w:tcPr>
          <w:p w14:paraId="7CD89F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与正北向夹角（°）</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3CF916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面源有效排放高度/m</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60E77E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年排放小时数/h</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628FC8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排放工况</w:t>
            </w:r>
          </w:p>
        </w:tc>
        <w:tc>
          <w:tcPr>
            <w:tcW w:w="794" w:type="dxa"/>
            <w:vMerge w:val="restart"/>
            <w:tcBorders>
              <w:top w:val="single" w:color="auto" w:sz="4" w:space="0"/>
              <w:left w:val="single" w:color="auto" w:sz="4" w:space="0"/>
              <w:bottom w:val="single" w:color="auto" w:sz="4" w:space="0"/>
              <w:right w:val="single" w:color="auto" w:sz="4" w:space="0"/>
            </w:tcBorders>
            <w:vAlign w:val="center"/>
          </w:tcPr>
          <w:p w14:paraId="042AFB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污染物排放速率</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kg/h</w:t>
            </w:r>
            <w:r>
              <w:rPr>
                <w:rFonts w:hint="default" w:ascii="Times New Roman" w:hAnsi="Times New Roman" w:eastAsia="宋体" w:cs="Times New Roman"/>
                <w:color w:val="FF0000"/>
                <w:sz w:val="21"/>
                <w:szCs w:val="21"/>
                <w:highlight w:val="none"/>
                <w:lang w:eastAsia="zh-CN"/>
              </w:rPr>
              <w:t>）</w:t>
            </w:r>
          </w:p>
        </w:tc>
      </w:tr>
      <w:tr w14:paraId="363EAC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89" w:type="dxa"/>
            <w:vMerge w:val="continue"/>
            <w:tcBorders>
              <w:left w:val="single" w:color="auto" w:sz="4" w:space="0"/>
              <w:bottom w:val="single" w:color="auto" w:sz="4" w:space="0"/>
              <w:right w:val="single" w:color="auto" w:sz="4" w:space="0"/>
            </w:tcBorders>
            <w:vAlign w:val="center"/>
          </w:tcPr>
          <w:p w14:paraId="37A441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89" w:type="dxa"/>
            <w:vMerge w:val="continue"/>
            <w:tcBorders>
              <w:top w:val="single" w:color="auto" w:sz="4" w:space="0"/>
              <w:left w:val="single" w:color="auto" w:sz="4" w:space="0"/>
              <w:bottom w:val="single" w:color="auto" w:sz="4" w:space="0"/>
              <w:right w:val="single" w:color="auto" w:sz="4" w:space="0"/>
            </w:tcBorders>
            <w:vAlign w:val="center"/>
          </w:tcPr>
          <w:p w14:paraId="52B0A8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72BEE16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rPr>
              <w:t>X</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7EBBD1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rPr>
              <w:t>Y</w:t>
            </w:r>
          </w:p>
        </w:tc>
        <w:tc>
          <w:tcPr>
            <w:tcW w:w="690" w:type="dxa"/>
            <w:vMerge w:val="continue"/>
            <w:tcBorders>
              <w:left w:val="single" w:color="auto" w:sz="4" w:space="0"/>
              <w:bottom w:val="single" w:color="auto" w:sz="4" w:space="0"/>
              <w:right w:val="single" w:color="auto" w:sz="4" w:space="0"/>
            </w:tcBorders>
            <w:vAlign w:val="center"/>
          </w:tcPr>
          <w:p w14:paraId="198D92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left w:val="single" w:color="auto" w:sz="4" w:space="0"/>
              <w:bottom w:val="single" w:color="auto" w:sz="4" w:space="0"/>
              <w:right w:val="single" w:color="auto" w:sz="4" w:space="0"/>
            </w:tcBorders>
            <w:vAlign w:val="center"/>
          </w:tcPr>
          <w:p w14:paraId="3ECA41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left w:val="single" w:color="auto" w:sz="4" w:space="0"/>
              <w:bottom w:val="single" w:color="auto" w:sz="4" w:space="0"/>
              <w:right w:val="single" w:color="auto" w:sz="4" w:space="0"/>
            </w:tcBorders>
            <w:vAlign w:val="center"/>
          </w:tcPr>
          <w:p w14:paraId="69E021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left w:val="single" w:color="auto" w:sz="4" w:space="0"/>
              <w:bottom w:val="single" w:color="auto" w:sz="4" w:space="0"/>
              <w:right w:val="single" w:color="auto" w:sz="4" w:space="0"/>
            </w:tcBorders>
            <w:vAlign w:val="center"/>
          </w:tcPr>
          <w:p w14:paraId="654E92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2DAAB9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1FFE24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3FF50E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25E1E2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p>
        </w:tc>
      </w:tr>
      <w:tr w14:paraId="034FAD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689" w:type="dxa"/>
            <w:vMerge w:val="restart"/>
            <w:tcBorders>
              <w:left w:val="single" w:color="auto" w:sz="4" w:space="0"/>
              <w:right w:val="single" w:color="auto" w:sz="4" w:space="0"/>
            </w:tcBorders>
            <w:vAlign w:val="center"/>
          </w:tcPr>
          <w:p w14:paraId="229E8C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w:t>
            </w:r>
          </w:p>
        </w:tc>
        <w:tc>
          <w:tcPr>
            <w:tcW w:w="689" w:type="dxa"/>
            <w:vMerge w:val="restart"/>
            <w:tcBorders>
              <w:top w:val="single" w:color="auto" w:sz="4" w:space="0"/>
              <w:left w:val="single" w:color="auto" w:sz="4" w:space="0"/>
              <w:right w:val="single" w:color="auto" w:sz="4" w:space="0"/>
            </w:tcBorders>
            <w:vAlign w:val="center"/>
          </w:tcPr>
          <w:p w14:paraId="6D120F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羊圈</w:t>
            </w:r>
          </w:p>
        </w:tc>
        <w:tc>
          <w:tcPr>
            <w:tcW w:w="689" w:type="dxa"/>
            <w:vMerge w:val="restart"/>
            <w:tcBorders>
              <w:top w:val="single" w:color="auto" w:sz="4" w:space="0"/>
              <w:left w:val="single" w:color="auto" w:sz="4" w:space="0"/>
              <w:right w:val="single" w:color="auto" w:sz="4" w:space="0"/>
            </w:tcBorders>
            <w:shd w:val="clear" w:color="auto" w:fill="auto"/>
            <w:vAlign w:val="center"/>
          </w:tcPr>
          <w:p w14:paraId="23977D1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41.066834576</w:t>
            </w:r>
          </w:p>
        </w:tc>
        <w:tc>
          <w:tcPr>
            <w:tcW w:w="690" w:type="dxa"/>
            <w:vMerge w:val="restart"/>
            <w:tcBorders>
              <w:top w:val="single" w:color="auto" w:sz="4" w:space="0"/>
              <w:left w:val="single" w:color="auto" w:sz="4" w:space="0"/>
              <w:right w:val="single" w:color="auto" w:sz="4" w:space="0"/>
            </w:tcBorders>
            <w:shd w:val="clear" w:color="auto" w:fill="auto"/>
            <w:vAlign w:val="center"/>
          </w:tcPr>
          <w:p w14:paraId="4F4392C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108.381530029</w:t>
            </w:r>
          </w:p>
        </w:tc>
        <w:tc>
          <w:tcPr>
            <w:tcW w:w="690" w:type="dxa"/>
            <w:vMerge w:val="restart"/>
            <w:tcBorders>
              <w:left w:val="single" w:color="auto" w:sz="4" w:space="0"/>
              <w:right w:val="single" w:color="auto" w:sz="4" w:space="0"/>
            </w:tcBorders>
            <w:vAlign w:val="center"/>
          </w:tcPr>
          <w:p w14:paraId="3BFD0F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1022</w:t>
            </w:r>
          </w:p>
        </w:tc>
        <w:tc>
          <w:tcPr>
            <w:tcW w:w="690" w:type="dxa"/>
            <w:vMerge w:val="restart"/>
            <w:tcBorders>
              <w:left w:val="single" w:color="auto" w:sz="4" w:space="0"/>
              <w:right w:val="single" w:color="auto" w:sz="4" w:space="0"/>
            </w:tcBorders>
            <w:vAlign w:val="center"/>
          </w:tcPr>
          <w:p w14:paraId="7982D6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220</w:t>
            </w:r>
          </w:p>
        </w:tc>
        <w:tc>
          <w:tcPr>
            <w:tcW w:w="690" w:type="dxa"/>
            <w:vMerge w:val="restart"/>
            <w:tcBorders>
              <w:left w:val="single" w:color="auto" w:sz="4" w:space="0"/>
              <w:right w:val="single" w:color="auto" w:sz="4" w:space="0"/>
            </w:tcBorders>
            <w:vAlign w:val="center"/>
          </w:tcPr>
          <w:p w14:paraId="59128B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175</w:t>
            </w:r>
          </w:p>
        </w:tc>
        <w:tc>
          <w:tcPr>
            <w:tcW w:w="690" w:type="dxa"/>
            <w:vMerge w:val="restart"/>
            <w:tcBorders>
              <w:left w:val="single" w:color="auto" w:sz="4" w:space="0"/>
              <w:right w:val="single" w:color="auto" w:sz="4" w:space="0"/>
            </w:tcBorders>
            <w:vAlign w:val="center"/>
          </w:tcPr>
          <w:p w14:paraId="4876FD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w:t>
            </w:r>
          </w:p>
        </w:tc>
        <w:tc>
          <w:tcPr>
            <w:tcW w:w="690" w:type="dxa"/>
            <w:vMerge w:val="restart"/>
            <w:tcBorders>
              <w:top w:val="single" w:color="auto" w:sz="4" w:space="0"/>
              <w:left w:val="single" w:color="auto" w:sz="4" w:space="0"/>
              <w:right w:val="single" w:color="auto" w:sz="4" w:space="0"/>
            </w:tcBorders>
            <w:vAlign w:val="center"/>
          </w:tcPr>
          <w:p w14:paraId="335D74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w:t>
            </w:r>
          </w:p>
        </w:tc>
        <w:tc>
          <w:tcPr>
            <w:tcW w:w="690" w:type="dxa"/>
            <w:vMerge w:val="restart"/>
            <w:tcBorders>
              <w:top w:val="single" w:color="auto" w:sz="4" w:space="0"/>
              <w:left w:val="single" w:color="auto" w:sz="4" w:space="0"/>
              <w:right w:val="single" w:color="auto" w:sz="4" w:space="0"/>
            </w:tcBorders>
            <w:vAlign w:val="center"/>
          </w:tcPr>
          <w:p w14:paraId="16B872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8760</w:t>
            </w:r>
          </w:p>
        </w:tc>
        <w:tc>
          <w:tcPr>
            <w:tcW w:w="690" w:type="dxa"/>
            <w:vMerge w:val="restart"/>
            <w:tcBorders>
              <w:top w:val="single" w:color="auto" w:sz="4" w:space="0"/>
              <w:left w:val="single" w:color="auto" w:sz="4" w:space="0"/>
              <w:right w:val="single" w:color="auto" w:sz="4" w:space="0"/>
            </w:tcBorders>
            <w:vAlign w:val="center"/>
          </w:tcPr>
          <w:p w14:paraId="0260CB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正常</w:t>
            </w:r>
          </w:p>
        </w:tc>
        <w:tc>
          <w:tcPr>
            <w:tcW w:w="794" w:type="dxa"/>
            <w:tcBorders>
              <w:top w:val="single" w:color="auto" w:sz="4" w:space="0"/>
              <w:left w:val="single" w:color="auto" w:sz="4" w:space="0"/>
              <w:bottom w:val="single" w:color="auto" w:sz="4" w:space="0"/>
              <w:right w:val="single" w:color="auto" w:sz="4" w:space="0"/>
            </w:tcBorders>
            <w:vAlign w:val="center"/>
          </w:tcPr>
          <w:p w14:paraId="00D56C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vertAlign w:val="subscript"/>
              </w:rPr>
            </w:pPr>
            <w:r>
              <w:rPr>
                <w:rFonts w:hint="default" w:ascii="Times New Roman" w:hAnsi="Times New Roman" w:eastAsia="宋体" w:cs="Times New Roman"/>
                <w:color w:val="FF0000"/>
                <w:sz w:val="21"/>
                <w:szCs w:val="21"/>
                <w:highlight w:val="none"/>
              </w:rPr>
              <w:t>NH</w:t>
            </w:r>
            <w:r>
              <w:rPr>
                <w:rFonts w:hint="default" w:ascii="Times New Roman" w:hAnsi="Times New Roman" w:eastAsia="宋体" w:cs="Times New Roman"/>
                <w:color w:val="FF0000"/>
                <w:sz w:val="21"/>
                <w:szCs w:val="21"/>
                <w:highlight w:val="none"/>
                <w:vertAlign w:val="subscript"/>
              </w:rPr>
              <w:t>3</w:t>
            </w:r>
          </w:p>
          <w:p w14:paraId="610468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0.0128</w:t>
            </w:r>
          </w:p>
        </w:tc>
      </w:tr>
      <w:tr w14:paraId="13DC0D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689" w:type="dxa"/>
            <w:vMerge w:val="continue"/>
            <w:tcBorders>
              <w:left w:val="single" w:color="auto" w:sz="4" w:space="0"/>
              <w:bottom w:val="single" w:color="auto" w:sz="4" w:space="0"/>
              <w:right w:val="single" w:color="auto" w:sz="4" w:space="0"/>
            </w:tcBorders>
            <w:vAlign w:val="center"/>
          </w:tcPr>
          <w:p w14:paraId="2EC32C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89" w:type="dxa"/>
            <w:vMerge w:val="continue"/>
            <w:tcBorders>
              <w:left w:val="single" w:color="auto" w:sz="4" w:space="0"/>
              <w:bottom w:val="single" w:color="auto" w:sz="4" w:space="0"/>
              <w:right w:val="single" w:color="auto" w:sz="4" w:space="0"/>
            </w:tcBorders>
            <w:vAlign w:val="center"/>
          </w:tcPr>
          <w:p w14:paraId="23636E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89" w:type="dxa"/>
            <w:vMerge w:val="continue"/>
            <w:tcBorders>
              <w:left w:val="single" w:color="auto" w:sz="4" w:space="0"/>
              <w:bottom w:val="single" w:color="auto" w:sz="4" w:space="0"/>
              <w:right w:val="single" w:color="auto" w:sz="4" w:space="0"/>
            </w:tcBorders>
            <w:shd w:val="clear" w:color="auto" w:fill="auto"/>
            <w:vAlign w:val="center"/>
          </w:tcPr>
          <w:p w14:paraId="7EC839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shd w:val="clear" w:color="auto" w:fill="auto"/>
            <w:vAlign w:val="center"/>
          </w:tcPr>
          <w:p w14:paraId="464F76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311897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631912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0DFB08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77B8FF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2988CD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1E2021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253E35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794" w:type="dxa"/>
            <w:tcBorders>
              <w:top w:val="single" w:color="auto" w:sz="4" w:space="0"/>
              <w:left w:val="single" w:color="auto" w:sz="4" w:space="0"/>
              <w:bottom w:val="single" w:color="auto" w:sz="4" w:space="0"/>
              <w:right w:val="single" w:color="auto" w:sz="4" w:space="0"/>
            </w:tcBorders>
            <w:vAlign w:val="center"/>
          </w:tcPr>
          <w:p w14:paraId="39CF58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rPr>
              <w:t>S</w:t>
            </w:r>
          </w:p>
          <w:p w14:paraId="06AD25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0.0010</w:t>
            </w:r>
          </w:p>
        </w:tc>
      </w:tr>
      <w:tr w14:paraId="4E73B5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689" w:type="dxa"/>
            <w:vMerge w:val="restart"/>
            <w:tcBorders>
              <w:left w:val="single" w:color="auto" w:sz="4" w:space="0"/>
              <w:right w:val="single" w:color="auto" w:sz="4" w:space="0"/>
            </w:tcBorders>
            <w:vAlign w:val="center"/>
          </w:tcPr>
          <w:p w14:paraId="7D5D29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w:t>
            </w:r>
          </w:p>
        </w:tc>
        <w:tc>
          <w:tcPr>
            <w:tcW w:w="689" w:type="dxa"/>
            <w:vMerge w:val="restart"/>
            <w:tcBorders>
              <w:top w:val="single" w:color="auto" w:sz="4" w:space="0"/>
              <w:left w:val="single" w:color="auto" w:sz="4" w:space="0"/>
              <w:right w:val="single" w:color="auto" w:sz="4" w:space="0"/>
            </w:tcBorders>
            <w:vAlign w:val="center"/>
          </w:tcPr>
          <w:p w14:paraId="0101E4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堆肥场</w:t>
            </w:r>
          </w:p>
        </w:tc>
        <w:tc>
          <w:tcPr>
            <w:tcW w:w="689" w:type="dxa"/>
            <w:vMerge w:val="restart"/>
            <w:tcBorders>
              <w:top w:val="single" w:color="auto" w:sz="4" w:space="0"/>
              <w:left w:val="single" w:color="auto" w:sz="4" w:space="0"/>
              <w:right w:val="single" w:color="auto" w:sz="4" w:space="0"/>
            </w:tcBorders>
            <w:shd w:val="clear" w:color="auto" w:fill="auto"/>
            <w:vAlign w:val="center"/>
          </w:tcPr>
          <w:p w14:paraId="697D8D9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41.065831430</w:t>
            </w:r>
          </w:p>
        </w:tc>
        <w:tc>
          <w:tcPr>
            <w:tcW w:w="690" w:type="dxa"/>
            <w:vMerge w:val="restart"/>
            <w:tcBorders>
              <w:top w:val="single" w:color="auto" w:sz="4" w:space="0"/>
              <w:left w:val="single" w:color="auto" w:sz="4" w:space="0"/>
              <w:right w:val="single" w:color="auto" w:sz="4" w:space="0"/>
            </w:tcBorders>
            <w:shd w:val="clear" w:color="auto" w:fill="auto"/>
            <w:vAlign w:val="center"/>
          </w:tcPr>
          <w:p w14:paraId="3D2484B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108.382790667</w:t>
            </w:r>
          </w:p>
        </w:tc>
        <w:tc>
          <w:tcPr>
            <w:tcW w:w="690" w:type="dxa"/>
            <w:vMerge w:val="restart"/>
            <w:tcBorders>
              <w:left w:val="single" w:color="auto" w:sz="4" w:space="0"/>
              <w:right w:val="single" w:color="auto" w:sz="4" w:space="0"/>
            </w:tcBorders>
            <w:vAlign w:val="center"/>
          </w:tcPr>
          <w:p w14:paraId="7B148A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1022</w:t>
            </w:r>
          </w:p>
        </w:tc>
        <w:tc>
          <w:tcPr>
            <w:tcW w:w="690" w:type="dxa"/>
            <w:vMerge w:val="restart"/>
            <w:tcBorders>
              <w:left w:val="single" w:color="auto" w:sz="4" w:space="0"/>
              <w:right w:val="single" w:color="auto" w:sz="4" w:space="0"/>
            </w:tcBorders>
            <w:vAlign w:val="center"/>
          </w:tcPr>
          <w:p w14:paraId="2869A7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100</w:t>
            </w:r>
          </w:p>
        </w:tc>
        <w:tc>
          <w:tcPr>
            <w:tcW w:w="690" w:type="dxa"/>
            <w:vMerge w:val="restart"/>
            <w:tcBorders>
              <w:left w:val="single" w:color="auto" w:sz="4" w:space="0"/>
              <w:right w:val="single" w:color="auto" w:sz="4" w:space="0"/>
            </w:tcBorders>
            <w:vAlign w:val="center"/>
          </w:tcPr>
          <w:p w14:paraId="0EEF4A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30</w:t>
            </w:r>
          </w:p>
        </w:tc>
        <w:tc>
          <w:tcPr>
            <w:tcW w:w="690" w:type="dxa"/>
            <w:vMerge w:val="restart"/>
            <w:tcBorders>
              <w:left w:val="single" w:color="auto" w:sz="4" w:space="0"/>
              <w:right w:val="single" w:color="auto" w:sz="4" w:space="0"/>
            </w:tcBorders>
            <w:vAlign w:val="center"/>
          </w:tcPr>
          <w:p w14:paraId="1A3E5E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w:t>
            </w:r>
          </w:p>
        </w:tc>
        <w:tc>
          <w:tcPr>
            <w:tcW w:w="690" w:type="dxa"/>
            <w:vMerge w:val="restart"/>
            <w:tcBorders>
              <w:top w:val="single" w:color="auto" w:sz="4" w:space="0"/>
              <w:left w:val="single" w:color="auto" w:sz="4" w:space="0"/>
              <w:right w:val="single" w:color="auto" w:sz="4" w:space="0"/>
            </w:tcBorders>
            <w:vAlign w:val="center"/>
          </w:tcPr>
          <w:p w14:paraId="1A7F20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w:t>
            </w:r>
          </w:p>
        </w:tc>
        <w:tc>
          <w:tcPr>
            <w:tcW w:w="690" w:type="dxa"/>
            <w:vMerge w:val="restart"/>
            <w:tcBorders>
              <w:top w:val="single" w:color="auto" w:sz="4" w:space="0"/>
              <w:left w:val="single" w:color="auto" w:sz="4" w:space="0"/>
              <w:right w:val="single" w:color="auto" w:sz="4" w:space="0"/>
            </w:tcBorders>
            <w:vAlign w:val="center"/>
          </w:tcPr>
          <w:p w14:paraId="6977FF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8760</w:t>
            </w:r>
          </w:p>
        </w:tc>
        <w:tc>
          <w:tcPr>
            <w:tcW w:w="690" w:type="dxa"/>
            <w:vMerge w:val="restart"/>
            <w:tcBorders>
              <w:top w:val="single" w:color="auto" w:sz="4" w:space="0"/>
              <w:left w:val="single" w:color="auto" w:sz="4" w:space="0"/>
              <w:right w:val="single" w:color="auto" w:sz="4" w:space="0"/>
            </w:tcBorders>
            <w:vAlign w:val="center"/>
          </w:tcPr>
          <w:p w14:paraId="50EA40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正常</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5C3DCF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vertAlign w:val="subscript"/>
              </w:rPr>
            </w:pPr>
            <w:r>
              <w:rPr>
                <w:rFonts w:hint="default" w:ascii="Times New Roman" w:hAnsi="Times New Roman" w:eastAsia="宋体" w:cs="Times New Roman"/>
                <w:color w:val="FF0000"/>
                <w:sz w:val="21"/>
                <w:szCs w:val="21"/>
                <w:highlight w:val="none"/>
              </w:rPr>
              <w:t>NH</w:t>
            </w:r>
            <w:r>
              <w:rPr>
                <w:rFonts w:hint="default" w:ascii="Times New Roman" w:hAnsi="Times New Roman" w:eastAsia="宋体" w:cs="Times New Roman"/>
                <w:color w:val="FF0000"/>
                <w:sz w:val="21"/>
                <w:szCs w:val="21"/>
                <w:highlight w:val="none"/>
                <w:vertAlign w:val="subscript"/>
              </w:rPr>
              <w:t>3</w:t>
            </w:r>
          </w:p>
          <w:p w14:paraId="39EEFD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0.0042</w:t>
            </w:r>
          </w:p>
        </w:tc>
      </w:tr>
      <w:tr w14:paraId="453A39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689" w:type="dxa"/>
            <w:vMerge w:val="continue"/>
            <w:tcBorders>
              <w:left w:val="single" w:color="auto" w:sz="4" w:space="0"/>
              <w:bottom w:val="single" w:color="auto" w:sz="4" w:space="0"/>
              <w:right w:val="single" w:color="auto" w:sz="4" w:space="0"/>
            </w:tcBorders>
            <w:vAlign w:val="center"/>
          </w:tcPr>
          <w:p w14:paraId="674265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89" w:type="dxa"/>
            <w:vMerge w:val="continue"/>
            <w:tcBorders>
              <w:left w:val="single" w:color="auto" w:sz="4" w:space="0"/>
              <w:bottom w:val="single" w:color="auto" w:sz="4" w:space="0"/>
              <w:right w:val="single" w:color="auto" w:sz="4" w:space="0"/>
            </w:tcBorders>
            <w:vAlign w:val="center"/>
          </w:tcPr>
          <w:p w14:paraId="3368E4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89" w:type="dxa"/>
            <w:vMerge w:val="continue"/>
            <w:tcBorders>
              <w:left w:val="single" w:color="auto" w:sz="4" w:space="0"/>
              <w:bottom w:val="single" w:color="auto" w:sz="4" w:space="0"/>
              <w:right w:val="single" w:color="auto" w:sz="4" w:space="0"/>
            </w:tcBorders>
            <w:shd w:val="clear" w:color="auto" w:fill="auto"/>
            <w:vAlign w:val="center"/>
          </w:tcPr>
          <w:p w14:paraId="690B58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shd w:val="clear" w:color="auto" w:fill="auto"/>
            <w:vAlign w:val="center"/>
          </w:tcPr>
          <w:p w14:paraId="41733C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2D7D6C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518D25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610C21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72A72E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5E059C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4A58D9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690" w:type="dxa"/>
            <w:vMerge w:val="continue"/>
            <w:tcBorders>
              <w:left w:val="single" w:color="auto" w:sz="4" w:space="0"/>
              <w:bottom w:val="single" w:color="auto" w:sz="4" w:space="0"/>
              <w:right w:val="single" w:color="auto" w:sz="4" w:space="0"/>
            </w:tcBorders>
            <w:vAlign w:val="center"/>
          </w:tcPr>
          <w:p w14:paraId="1AFEED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7BC66F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rPr>
              <w:t>S</w:t>
            </w:r>
          </w:p>
          <w:p w14:paraId="2D3F26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0.0002</w:t>
            </w:r>
          </w:p>
        </w:tc>
      </w:tr>
      <w:tr w14:paraId="106E56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89" w:type="dxa"/>
            <w:tcBorders>
              <w:left w:val="single" w:color="auto" w:sz="4" w:space="0"/>
              <w:bottom w:val="single" w:color="auto" w:sz="4" w:space="0"/>
              <w:right w:val="single" w:color="auto" w:sz="4" w:space="0"/>
            </w:tcBorders>
            <w:vAlign w:val="center"/>
          </w:tcPr>
          <w:p w14:paraId="1EF114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5E8A4D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日粮搅拌车间</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1986E22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41.065783150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448D50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108.380784375</w:t>
            </w:r>
          </w:p>
        </w:tc>
        <w:tc>
          <w:tcPr>
            <w:tcW w:w="690" w:type="dxa"/>
            <w:tcBorders>
              <w:left w:val="single" w:color="auto" w:sz="4" w:space="0"/>
              <w:bottom w:val="single" w:color="auto" w:sz="4" w:space="0"/>
              <w:right w:val="single" w:color="auto" w:sz="4" w:space="0"/>
            </w:tcBorders>
            <w:vAlign w:val="center"/>
          </w:tcPr>
          <w:p w14:paraId="487A71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1022</w:t>
            </w:r>
          </w:p>
        </w:tc>
        <w:tc>
          <w:tcPr>
            <w:tcW w:w="690" w:type="dxa"/>
            <w:tcBorders>
              <w:left w:val="single" w:color="auto" w:sz="4" w:space="0"/>
              <w:bottom w:val="single" w:color="auto" w:sz="4" w:space="0"/>
              <w:right w:val="single" w:color="auto" w:sz="4" w:space="0"/>
            </w:tcBorders>
            <w:vAlign w:val="center"/>
          </w:tcPr>
          <w:p w14:paraId="48A954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40</w:t>
            </w:r>
          </w:p>
        </w:tc>
        <w:tc>
          <w:tcPr>
            <w:tcW w:w="690" w:type="dxa"/>
            <w:tcBorders>
              <w:left w:val="single" w:color="auto" w:sz="4" w:space="0"/>
              <w:bottom w:val="single" w:color="auto" w:sz="4" w:space="0"/>
              <w:right w:val="single" w:color="auto" w:sz="4" w:space="0"/>
            </w:tcBorders>
            <w:vAlign w:val="center"/>
          </w:tcPr>
          <w:p w14:paraId="3522EC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30</w:t>
            </w:r>
          </w:p>
        </w:tc>
        <w:tc>
          <w:tcPr>
            <w:tcW w:w="690" w:type="dxa"/>
            <w:tcBorders>
              <w:left w:val="single" w:color="auto" w:sz="4" w:space="0"/>
              <w:bottom w:val="single" w:color="auto" w:sz="4" w:space="0"/>
              <w:right w:val="single" w:color="auto" w:sz="4" w:space="0"/>
            </w:tcBorders>
            <w:vAlign w:val="center"/>
          </w:tcPr>
          <w:p w14:paraId="20B29D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w:t>
            </w:r>
          </w:p>
        </w:tc>
        <w:tc>
          <w:tcPr>
            <w:tcW w:w="690" w:type="dxa"/>
            <w:tcBorders>
              <w:top w:val="single" w:color="auto" w:sz="4" w:space="0"/>
              <w:left w:val="single" w:color="auto" w:sz="4" w:space="0"/>
              <w:bottom w:val="single" w:color="auto" w:sz="4" w:space="0"/>
              <w:right w:val="single" w:color="auto" w:sz="4" w:space="0"/>
            </w:tcBorders>
            <w:vAlign w:val="center"/>
          </w:tcPr>
          <w:p w14:paraId="21386E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w:t>
            </w:r>
          </w:p>
        </w:tc>
        <w:tc>
          <w:tcPr>
            <w:tcW w:w="690" w:type="dxa"/>
            <w:tcBorders>
              <w:top w:val="single" w:color="auto" w:sz="4" w:space="0"/>
              <w:left w:val="single" w:color="auto" w:sz="4" w:space="0"/>
              <w:bottom w:val="single" w:color="auto" w:sz="4" w:space="0"/>
              <w:right w:val="single" w:color="auto" w:sz="4" w:space="0"/>
            </w:tcBorders>
            <w:vAlign w:val="center"/>
          </w:tcPr>
          <w:p w14:paraId="5C5424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1460</w:t>
            </w:r>
          </w:p>
        </w:tc>
        <w:tc>
          <w:tcPr>
            <w:tcW w:w="690" w:type="dxa"/>
            <w:tcBorders>
              <w:top w:val="single" w:color="auto" w:sz="4" w:space="0"/>
              <w:left w:val="single" w:color="auto" w:sz="4" w:space="0"/>
              <w:bottom w:val="single" w:color="auto" w:sz="4" w:space="0"/>
              <w:right w:val="single" w:color="auto" w:sz="4" w:space="0"/>
            </w:tcBorders>
            <w:vAlign w:val="center"/>
          </w:tcPr>
          <w:p w14:paraId="6A7ECB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正常</w:t>
            </w:r>
          </w:p>
        </w:tc>
        <w:tc>
          <w:tcPr>
            <w:tcW w:w="794" w:type="dxa"/>
            <w:tcBorders>
              <w:top w:val="single" w:color="auto" w:sz="4" w:space="0"/>
              <w:left w:val="single" w:color="auto" w:sz="4" w:space="0"/>
              <w:bottom w:val="single" w:color="auto" w:sz="4" w:space="0"/>
              <w:right w:val="single" w:color="auto" w:sz="4" w:space="0"/>
            </w:tcBorders>
            <w:vAlign w:val="center"/>
          </w:tcPr>
          <w:p w14:paraId="2EE1DA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TSP</w:t>
            </w:r>
          </w:p>
          <w:p w14:paraId="7F8DEF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val="0"/>
                <w:color w:val="FF0000"/>
                <w:kern w:val="2"/>
                <w:sz w:val="21"/>
                <w:szCs w:val="21"/>
                <w:highlight w:val="none"/>
                <w:lang w:val="en-US" w:eastAsia="zh-CN" w:bidi="ar-SA"/>
              </w:rPr>
              <w:t>0.0370</w:t>
            </w:r>
          </w:p>
        </w:tc>
      </w:tr>
      <w:tr w14:paraId="55FD5F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89" w:type="dxa"/>
            <w:tcBorders>
              <w:left w:val="single" w:color="auto" w:sz="4" w:space="0"/>
              <w:right w:val="single" w:color="auto" w:sz="4" w:space="0"/>
            </w:tcBorders>
            <w:vAlign w:val="center"/>
          </w:tcPr>
          <w:p w14:paraId="48CB36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4</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625A2F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造粒车间</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756650C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41.065461285</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2942B0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108.381138427</w:t>
            </w:r>
          </w:p>
        </w:tc>
        <w:tc>
          <w:tcPr>
            <w:tcW w:w="690" w:type="dxa"/>
            <w:tcBorders>
              <w:left w:val="single" w:color="auto" w:sz="4" w:space="0"/>
              <w:right w:val="single" w:color="auto" w:sz="4" w:space="0"/>
            </w:tcBorders>
            <w:vAlign w:val="center"/>
          </w:tcPr>
          <w:p w14:paraId="7E6824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1022</w:t>
            </w:r>
          </w:p>
        </w:tc>
        <w:tc>
          <w:tcPr>
            <w:tcW w:w="690" w:type="dxa"/>
            <w:tcBorders>
              <w:left w:val="single" w:color="auto" w:sz="4" w:space="0"/>
              <w:right w:val="single" w:color="auto" w:sz="4" w:space="0"/>
            </w:tcBorders>
            <w:vAlign w:val="center"/>
          </w:tcPr>
          <w:p w14:paraId="591E67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95</w:t>
            </w:r>
          </w:p>
        </w:tc>
        <w:tc>
          <w:tcPr>
            <w:tcW w:w="690" w:type="dxa"/>
            <w:tcBorders>
              <w:left w:val="single" w:color="auto" w:sz="4" w:space="0"/>
              <w:right w:val="single" w:color="auto" w:sz="4" w:space="0"/>
            </w:tcBorders>
            <w:vAlign w:val="center"/>
          </w:tcPr>
          <w:p w14:paraId="33D7EE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43</w:t>
            </w:r>
          </w:p>
        </w:tc>
        <w:tc>
          <w:tcPr>
            <w:tcW w:w="690" w:type="dxa"/>
            <w:tcBorders>
              <w:left w:val="single" w:color="auto" w:sz="4" w:space="0"/>
              <w:right w:val="single" w:color="auto" w:sz="4" w:space="0"/>
            </w:tcBorders>
            <w:vAlign w:val="center"/>
          </w:tcPr>
          <w:p w14:paraId="4C9543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w:t>
            </w:r>
          </w:p>
        </w:tc>
        <w:tc>
          <w:tcPr>
            <w:tcW w:w="690" w:type="dxa"/>
            <w:tcBorders>
              <w:top w:val="single" w:color="auto" w:sz="4" w:space="0"/>
              <w:left w:val="single" w:color="auto" w:sz="4" w:space="0"/>
              <w:bottom w:val="single" w:color="auto" w:sz="4" w:space="0"/>
              <w:right w:val="single" w:color="auto" w:sz="4" w:space="0"/>
            </w:tcBorders>
            <w:vAlign w:val="center"/>
          </w:tcPr>
          <w:p w14:paraId="098CE9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w:t>
            </w:r>
          </w:p>
        </w:tc>
        <w:tc>
          <w:tcPr>
            <w:tcW w:w="690" w:type="dxa"/>
            <w:tcBorders>
              <w:top w:val="single" w:color="auto" w:sz="4" w:space="0"/>
              <w:left w:val="single" w:color="auto" w:sz="4" w:space="0"/>
              <w:bottom w:val="single" w:color="auto" w:sz="4" w:space="0"/>
              <w:right w:val="single" w:color="auto" w:sz="4" w:space="0"/>
            </w:tcBorders>
            <w:vAlign w:val="center"/>
          </w:tcPr>
          <w:p w14:paraId="449B22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1460</w:t>
            </w:r>
          </w:p>
        </w:tc>
        <w:tc>
          <w:tcPr>
            <w:tcW w:w="690" w:type="dxa"/>
            <w:tcBorders>
              <w:top w:val="single" w:color="auto" w:sz="4" w:space="0"/>
              <w:left w:val="single" w:color="auto" w:sz="4" w:space="0"/>
              <w:bottom w:val="single" w:color="auto" w:sz="4" w:space="0"/>
              <w:right w:val="single" w:color="auto" w:sz="4" w:space="0"/>
            </w:tcBorders>
            <w:vAlign w:val="center"/>
          </w:tcPr>
          <w:p w14:paraId="3DB70F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正常</w:t>
            </w:r>
          </w:p>
        </w:tc>
        <w:tc>
          <w:tcPr>
            <w:tcW w:w="794" w:type="dxa"/>
            <w:tcBorders>
              <w:top w:val="single" w:color="auto" w:sz="4" w:space="0"/>
              <w:left w:val="single" w:color="auto" w:sz="4" w:space="0"/>
              <w:bottom w:val="single" w:color="auto" w:sz="4" w:space="0"/>
              <w:right w:val="single" w:color="auto" w:sz="4" w:space="0"/>
            </w:tcBorders>
            <w:vAlign w:val="center"/>
          </w:tcPr>
          <w:p w14:paraId="6BC03F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TSP</w:t>
            </w:r>
          </w:p>
          <w:p w14:paraId="1AE1EA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val="0"/>
                <w:color w:val="FF0000"/>
                <w:kern w:val="2"/>
                <w:sz w:val="21"/>
                <w:szCs w:val="21"/>
                <w:highlight w:val="none"/>
                <w:lang w:val="en-US" w:eastAsia="zh-CN" w:bidi="ar-SA"/>
              </w:rPr>
              <w:t>0.0473</w:t>
            </w:r>
          </w:p>
        </w:tc>
      </w:tr>
      <w:tr w14:paraId="0F5E8D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89" w:type="dxa"/>
            <w:tcBorders>
              <w:left w:val="single" w:color="auto" w:sz="4" w:space="0"/>
              <w:bottom w:val="single" w:color="auto" w:sz="4" w:space="0"/>
              <w:right w:val="single" w:color="auto" w:sz="4" w:space="0"/>
            </w:tcBorders>
            <w:vAlign w:val="center"/>
          </w:tcPr>
          <w:p w14:paraId="4533D3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5</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552F2A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eastAsia="zh-CN"/>
              </w:rPr>
              <w:t>玉米粒烘干</w:t>
            </w:r>
            <w:r>
              <w:rPr>
                <w:rFonts w:hint="default" w:ascii="Times New Roman" w:hAnsi="Times New Roman" w:eastAsia="宋体" w:cs="Times New Roman"/>
                <w:b w:val="0"/>
                <w:bCs w:val="0"/>
                <w:color w:val="FF0000"/>
                <w:sz w:val="21"/>
                <w:szCs w:val="21"/>
                <w:highlight w:val="none"/>
                <w:lang w:val="en-US" w:eastAsia="zh-CN"/>
              </w:rPr>
              <w:t>生产线</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643ABE3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41.066269459</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591C6D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rPr>
              <w:t>108.381842772</w:t>
            </w:r>
          </w:p>
        </w:tc>
        <w:tc>
          <w:tcPr>
            <w:tcW w:w="690" w:type="dxa"/>
            <w:tcBorders>
              <w:left w:val="single" w:color="auto" w:sz="4" w:space="0"/>
              <w:bottom w:val="single" w:color="auto" w:sz="4" w:space="0"/>
              <w:right w:val="single" w:color="auto" w:sz="4" w:space="0"/>
            </w:tcBorders>
            <w:vAlign w:val="center"/>
          </w:tcPr>
          <w:p w14:paraId="28446D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1022</w:t>
            </w:r>
          </w:p>
        </w:tc>
        <w:tc>
          <w:tcPr>
            <w:tcW w:w="690" w:type="dxa"/>
            <w:tcBorders>
              <w:left w:val="single" w:color="auto" w:sz="4" w:space="0"/>
              <w:bottom w:val="single" w:color="auto" w:sz="4" w:space="0"/>
              <w:right w:val="single" w:color="auto" w:sz="4" w:space="0"/>
            </w:tcBorders>
            <w:vAlign w:val="center"/>
          </w:tcPr>
          <w:p w14:paraId="72776F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30</w:t>
            </w:r>
          </w:p>
        </w:tc>
        <w:tc>
          <w:tcPr>
            <w:tcW w:w="690" w:type="dxa"/>
            <w:tcBorders>
              <w:left w:val="single" w:color="auto" w:sz="4" w:space="0"/>
              <w:bottom w:val="single" w:color="auto" w:sz="4" w:space="0"/>
              <w:right w:val="single" w:color="auto" w:sz="4" w:space="0"/>
            </w:tcBorders>
            <w:vAlign w:val="center"/>
          </w:tcPr>
          <w:p w14:paraId="2D92D8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30</w:t>
            </w:r>
          </w:p>
        </w:tc>
        <w:tc>
          <w:tcPr>
            <w:tcW w:w="690" w:type="dxa"/>
            <w:tcBorders>
              <w:left w:val="single" w:color="auto" w:sz="4" w:space="0"/>
              <w:bottom w:val="single" w:color="auto" w:sz="4" w:space="0"/>
              <w:right w:val="single" w:color="auto" w:sz="4" w:space="0"/>
            </w:tcBorders>
            <w:shd w:val="clear" w:color="auto" w:fill="auto"/>
            <w:vAlign w:val="center"/>
          </w:tcPr>
          <w:p w14:paraId="6EA938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E506C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3</w:t>
            </w:r>
          </w:p>
        </w:tc>
        <w:tc>
          <w:tcPr>
            <w:tcW w:w="690" w:type="dxa"/>
            <w:tcBorders>
              <w:top w:val="single" w:color="auto" w:sz="4" w:space="0"/>
              <w:left w:val="single" w:color="auto" w:sz="4" w:space="0"/>
              <w:bottom w:val="single" w:color="auto" w:sz="4" w:space="0"/>
              <w:right w:val="single" w:color="auto" w:sz="4" w:space="0"/>
            </w:tcBorders>
            <w:vAlign w:val="center"/>
          </w:tcPr>
          <w:p w14:paraId="3170EA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2160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D8368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正常</w:t>
            </w:r>
          </w:p>
        </w:tc>
        <w:tc>
          <w:tcPr>
            <w:tcW w:w="794" w:type="dxa"/>
            <w:tcBorders>
              <w:top w:val="single" w:color="auto" w:sz="4" w:space="0"/>
              <w:left w:val="single" w:color="auto" w:sz="4" w:space="0"/>
              <w:bottom w:val="single" w:color="auto" w:sz="4" w:space="0"/>
              <w:right w:val="single" w:color="auto" w:sz="4" w:space="0"/>
            </w:tcBorders>
            <w:shd w:val="clear" w:color="auto" w:fill="auto"/>
            <w:vAlign w:val="center"/>
          </w:tcPr>
          <w:p w14:paraId="6CBEE5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TSP</w:t>
            </w:r>
          </w:p>
          <w:p w14:paraId="713CBD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0.00</w:t>
            </w:r>
            <w:r>
              <w:rPr>
                <w:rFonts w:hint="default" w:ascii="Times New Roman" w:hAnsi="Times New Roman" w:eastAsia="宋体" w:cs="Times New Roman"/>
                <w:b w:val="0"/>
                <w:bCs w:val="0"/>
                <w:color w:val="FF0000"/>
                <w:kern w:val="2"/>
                <w:sz w:val="21"/>
                <w:szCs w:val="21"/>
                <w:highlight w:val="none"/>
                <w:lang w:val="en-US" w:eastAsia="zh-CN" w:bidi="ar-SA"/>
              </w:rPr>
              <w:t>74</w:t>
            </w:r>
          </w:p>
        </w:tc>
      </w:tr>
    </w:tbl>
    <w:p w14:paraId="34F65C4C">
      <w:pPr>
        <w:pageBreakBefore w:val="0"/>
        <w:widowControl w:val="0"/>
        <w:shd w:val="clear"/>
        <w:kinsoku/>
        <w:wordWrap/>
        <w:overflowPunct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（4）估算模型计算结果</w:t>
      </w:r>
    </w:p>
    <w:p w14:paraId="1FC14C38">
      <w:pPr>
        <w:pageBreakBefore w:val="0"/>
        <w:widowControl w:val="0"/>
        <w:shd w:val="clear"/>
        <w:kinsoku/>
        <w:wordWrap/>
        <w:topLinePunct w:val="0"/>
        <w:autoSpaceDE/>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采用导则推荐的估算模式计算最大落地浓度和占标率，本项目所有污染源的正常排放的污染物的P</w:t>
      </w:r>
      <w:r>
        <w:rPr>
          <w:rFonts w:hint="default" w:ascii="Times New Roman" w:hAnsi="Times New Roman" w:eastAsia="宋体" w:cs="Times New Roman"/>
          <w:color w:val="auto"/>
          <w:szCs w:val="21"/>
          <w:highlight w:val="none"/>
          <w:vertAlign w:val="subscript"/>
        </w:rPr>
        <w:t>max</w:t>
      </w:r>
      <w:r>
        <w:rPr>
          <w:rFonts w:hint="default" w:ascii="Times New Roman" w:hAnsi="Times New Roman" w:eastAsia="宋体" w:cs="Times New Roman"/>
          <w:color w:val="auto"/>
          <w:szCs w:val="21"/>
          <w:highlight w:val="none"/>
        </w:rPr>
        <w:t>和D</w:t>
      </w:r>
      <w:r>
        <w:rPr>
          <w:rFonts w:hint="default" w:ascii="Times New Roman" w:hAnsi="Times New Roman" w:eastAsia="宋体" w:cs="Times New Roman"/>
          <w:color w:val="auto"/>
          <w:szCs w:val="21"/>
          <w:highlight w:val="none"/>
          <w:vertAlign w:val="subscript"/>
        </w:rPr>
        <w:t>10%</w:t>
      </w:r>
      <w:r>
        <w:rPr>
          <w:rFonts w:hint="default" w:ascii="Times New Roman" w:hAnsi="Times New Roman" w:eastAsia="宋体" w:cs="Times New Roman"/>
          <w:color w:val="auto"/>
          <w:szCs w:val="21"/>
          <w:highlight w:val="none"/>
        </w:rPr>
        <w:t>预测结果详见下表。</w:t>
      </w:r>
    </w:p>
    <w:p w14:paraId="2F2977B4">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主要污染源估算模型计算结果表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1416"/>
        <w:gridCol w:w="1131"/>
        <w:gridCol w:w="1721"/>
        <w:gridCol w:w="1605"/>
        <w:gridCol w:w="1380"/>
      </w:tblGrid>
      <w:tr w14:paraId="39B78D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tcBorders>
              <w:top w:val="single" w:color="auto" w:sz="4" w:space="0"/>
              <w:left w:val="single" w:color="auto" w:sz="4" w:space="0"/>
            </w:tcBorders>
            <w:vAlign w:val="center"/>
          </w:tcPr>
          <w:p w14:paraId="3E8895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污染源</w:t>
            </w:r>
          </w:p>
        </w:tc>
        <w:tc>
          <w:tcPr>
            <w:tcW w:w="1416" w:type="dxa"/>
            <w:tcBorders>
              <w:top w:val="single" w:color="auto" w:sz="4" w:space="0"/>
            </w:tcBorders>
            <w:vAlign w:val="center"/>
          </w:tcPr>
          <w:p w14:paraId="65089A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因子</w:t>
            </w:r>
          </w:p>
        </w:tc>
        <w:tc>
          <w:tcPr>
            <w:tcW w:w="1131" w:type="dxa"/>
            <w:tcBorders>
              <w:top w:val="single" w:color="auto" w:sz="4" w:space="0"/>
            </w:tcBorders>
            <w:vAlign w:val="center"/>
          </w:tcPr>
          <w:p w14:paraId="3309E9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源强（kg/h）</w:t>
            </w:r>
          </w:p>
        </w:tc>
        <w:tc>
          <w:tcPr>
            <w:tcW w:w="1721" w:type="dxa"/>
            <w:tcBorders>
              <w:top w:val="single" w:color="auto" w:sz="4" w:space="0"/>
            </w:tcBorders>
            <w:vAlign w:val="center"/>
          </w:tcPr>
          <w:p w14:paraId="505567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最大质量浓度</w:t>
            </w:r>
          </w:p>
          <w:p w14:paraId="74D756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（μg/m</w:t>
            </w:r>
            <w:r>
              <w:rPr>
                <w:rFonts w:hint="default" w:ascii="Times New Roman" w:hAnsi="Times New Roman" w:eastAsia="宋体" w:cs="Times New Roman"/>
                <w:b/>
                <w:bCs/>
                <w:snapToGrid w:val="0"/>
                <w:color w:val="auto"/>
                <w:sz w:val="21"/>
                <w:szCs w:val="21"/>
                <w:highlight w:val="none"/>
                <w:vertAlign w:val="superscript"/>
              </w:rPr>
              <w:t>3</w:t>
            </w:r>
            <w:r>
              <w:rPr>
                <w:rFonts w:hint="default" w:ascii="Times New Roman" w:hAnsi="Times New Roman" w:eastAsia="宋体" w:cs="Times New Roman"/>
                <w:b/>
                <w:bCs/>
                <w:snapToGrid w:val="0"/>
                <w:color w:val="auto"/>
                <w:sz w:val="21"/>
                <w:szCs w:val="21"/>
                <w:highlight w:val="none"/>
              </w:rPr>
              <w:t>）</w:t>
            </w:r>
          </w:p>
        </w:tc>
        <w:tc>
          <w:tcPr>
            <w:tcW w:w="1605" w:type="dxa"/>
            <w:tcBorders>
              <w:top w:val="single" w:color="auto" w:sz="4" w:space="0"/>
            </w:tcBorders>
            <w:vAlign w:val="center"/>
          </w:tcPr>
          <w:p w14:paraId="4020FF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最大质量浓度占标率（%）</w:t>
            </w:r>
          </w:p>
        </w:tc>
        <w:tc>
          <w:tcPr>
            <w:tcW w:w="1380" w:type="dxa"/>
            <w:tcBorders>
              <w:top w:val="single" w:color="auto" w:sz="4" w:space="0"/>
              <w:right w:val="single" w:color="auto" w:sz="4" w:space="0"/>
            </w:tcBorders>
            <w:vAlign w:val="center"/>
          </w:tcPr>
          <w:p w14:paraId="617296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sz w:val="21"/>
                <w:szCs w:val="21"/>
                <w:highlight w:val="none"/>
              </w:rPr>
            </w:pPr>
            <w:r>
              <w:rPr>
                <w:rFonts w:hint="default" w:ascii="Times New Roman" w:hAnsi="Times New Roman" w:eastAsia="宋体" w:cs="Times New Roman"/>
                <w:b/>
                <w:bCs/>
                <w:snapToGrid w:val="0"/>
                <w:color w:val="auto"/>
                <w:sz w:val="21"/>
                <w:szCs w:val="21"/>
                <w:highlight w:val="none"/>
              </w:rPr>
              <w:t>D10%最远距离（m）</w:t>
            </w:r>
          </w:p>
        </w:tc>
      </w:tr>
      <w:tr w14:paraId="412A1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restart"/>
            <w:tcBorders>
              <w:left w:val="single" w:color="auto" w:sz="4" w:space="0"/>
            </w:tcBorders>
            <w:vAlign w:val="center"/>
          </w:tcPr>
          <w:p w14:paraId="5ACAC5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羊圈</w:t>
            </w:r>
          </w:p>
        </w:tc>
        <w:tc>
          <w:tcPr>
            <w:tcW w:w="1416" w:type="dxa"/>
            <w:vAlign w:val="center"/>
          </w:tcPr>
          <w:p w14:paraId="2AE347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1131" w:type="dxa"/>
            <w:shd w:val="clear" w:color="auto" w:fill="auto"/>
            <w:vAlign w:val="center"/>
          </w:tcPr>
          <w:p w14:paraId="3EE0E4A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0.0128</w:t>
            </w:r>
          </w:p>
        </w:tc>
        <w:tc>
          <w:tcPr>
            <w:tcW w:w="1721" w:type="dxa"/>
            <w:shd w:val="clear" w:color="auto" w:fill="auto"/>
            <w:vAlign w:val="center"/>
          </w:tcPr>
          <w:p w14:paraId="56F31F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7.86</w:t>
            </w:r>
          </w:p>
        </w:tc>
        <w:tc>
          <w:tcPr>
            <w:tcW w:w="1605" w:type="dxa"/>
            <w:shd w:val="clear" w:color="auto" w:fill="auto"/>
            <w:vAlign w:val="center"/>
          </w:tcPr>
          <w:p w14:paraId="51D1AC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3.93</w:t>
            </w:r>
          </w:p>
        </w:tc>
        <w:tc>
          <w:tcPr>
            <w:tcW w:w="1380" w:type="dxa"/>
            <w:tcBorders>
              <w:right w:val="single" w:color="auto" w:sz="4" w:space="0"/>
            </w:tcBorders>
            <w:vAlign w:val="center"/>
          </w:tcPr>
          <w:p w14:paraId="796AC8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70495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continue"/>
            <w:tcBorders>
              <w:left w:val="single" w:color="auto" w:sz="4" w:space="0"/>
            </w:tcBorders>
            <w:vAlign w:val="center"/>
          </w:tcPr>
          <w:p w14:paraId="6F37DE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p>
        </w:tc>
        <w:tc>
          <w:tcPr>
            <w:tcW w:w="1416" w:type="dxa"/>
            <w:vAlign w:val="center"/>
          </w:tcPr>
          <w:p w14:paraId="1AFDF5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131" w:type="dxa"/>
            <w:shd w:val="clear" w:color="auto" w:fill="auto"/>
            <w:vAlign w:val="center"/>
          </w:tcPr>
          <w:p w14:paraId="48FECA8B">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0.0010</w:t>
            </w:r>
          </w:p>
        </w:tc>
        <w:tc>
          <w:tcPr>
            <w:tcW w:w="1721" w:type="dxa"/>
            <w:shd w:val="clear" w:color="auto" w:fill="auto"/>
            <w:vAlign w:val="center"/>
          </w:tcPr>
          <w:p w14:paraId="4521AA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0.11</w:t>
            </w:r>
          </w:p>
        </w:tc>
        <w:tc>
          <w:tcPr>
            <w:tcW w:w="1605" w:type="dxa"/>
            <w:shd w:val="clear" w:color="auto" w:fill="auto"/>
            <w:vAlign w:val="center"/>
          </w:tcPr>
          <w:p w14:paraId="5F758B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1.10</w:t>
            </w:r>
          </w:p>
        </w:tc>
        <w:tc>
          <w:tcPr>
            <w:tcW w:w="1380" w:type="dxa"/>
            <w:tcBorders>
              <w:right w:val="single" w:color="auto" w:sz="4" w:space="0"/>
            </w:tcBorders>
            <w:vAlign w:val="center"/>
          </w:tcPr>
          <w:p w14:paraId="6E0157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465D2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restart"/>
            <w:tcBorders>
              <w:left w:val="single" w:color="auto" w:sz="4" w:space="0"/>
            </w:tcBorders>
            <w:vAlign w:val="center"/>
          </w:tcPr>
          <w:p w14:paraId="210A0B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堆肥场</w:t>
            </w:r>
          </w:p>
        </w:tc>
        <w:tc>
          <w:tcPr>
            <w:tcW w:w="1416" w:type="dxa"/>
            <w:vAlign w:val="center"/>
          </w:tcPr>
          <w:p w14:paraId="15BA6C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1131" w:type="dxa"/>
            <w:shd w:val="clear" w:color="auto" w:fill="auto"/>
            <w:vAlign w:val="center"/>
          </w:tcPr>
          <w:p w14:paraId="16417D9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0.0042</w:t>
            </w:r>
          </w:p>
        </w:tc>
        <w:tc>
          <w:tcPr>
            <w:tcW w:w="1721" w:type="dxa"/>
            <w:shd w:val="clear" w:color="auto" w:fill="auto"/>
            <w:vAlign w:val="center"/>
          </w:tcPr>
          <w:p w14:paraId="58BDD0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16.62</w:t>
            </w:r>
          </w:p>
        </w:tc>
        <w:tc>
          <w:tcPr>
            <w:tcW w:w="1605" w:type="dxa"/>
            <w:shd w:val="clear" w:color="auto" w:fill="auto"/>
            <w:vAlign w:val="center"/>
          </w:tcPr>
          <w:p w14:paraId="2624DF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8.31</w:t>
            </w:r>
          </w:p>
        </w:tc>
        <w:tc>
          <w:tcPr>
            <w:tcW w:w="1380" w:type="dxa"/>
            <w:tcBorders>
              <w:right w:val="single" w:color="auto" w:sz="4" w:space="0"/>
            </w:tcBorders>
            <w:vAlign w:val="center"/>
          </w:tcPr>
          <w:p w14:paraId="51A633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5A352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continue"/>
            <w:tcBorders>
              <w:left w:val="single" w:color="auto" w:sz="4" w:space="0"/>
            </w:tcBorders>
            <w:vAlign w:val="center"/>
          </w:tcPr>
          <w:p w14:paraId="17A6A9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p>
        </w:tc>
        <w:tc>
          <w:tcPr>
            <w:tcW w:w="1416" w:type="dxa"/>
            <w:vAlign w:val="center"/>
          </w:tcPr>
          <w:p w14:paraId="5B9FF4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131" w:type="dxa"/>
            <w:shd w:val="clear" w:color="auto" w:fill="auto"/>
            <w:vAlign w:val="center"/>
          </w:tcPr>
          <w:p w14:paraId="53C2C07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0.0002</w:t>
            </w:r>
          </w:p>
        </w:tc>
        <w:tc>
          <w:tcPr>
            <w:tcW w:w="1721" w:type="dxa"/>
            <w:shd w:val="clear" w:color="auto" w:fill="auto"/>
            <w:vAlign w:val="center"/>
          </w:tcPr>
          <w:p w14:paraId="7B53D4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0.22</w:t>
            </w:r>
          </w:p>
        </w:tc>
        <w:tc>
          <w:tcPr>
            <w:tcW w:w="1605" w:type="dxa"/>
            <w:shd w:val="clear" w:color="auto" w:fill="auto"/>
            <w:vAlign w:val="center"/>
          </w:tcPr>
          <w:p w14:paraId="4051B9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2.19</w:t>
            </w:r>
          </w:p>
        </w:tc>
        <w:tc>
          <w:tcPr>
            <w:tcW w:w="1380" w:type="dxa"/>
            <w:tcBorders>
              <w:right w:val="single" w:color="auto" w:sz="4" w:space="0"/>
            </w:tcBorders>
            <w:vAlign w:val="center"/>
          </w:tcPr>
          <w:p w14:paraId="125745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21310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tcBorders>
              <w:left w:val="single" w:color="auto" w:sz="4" w:space="0"/>
            </w:tcBorders>
            <w:vAlign w:val="center"/>
          </w:tcPr>
          <w:p w14:paraId="1F1A61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r>
              <w:rPr>
                <w:rFonts w:hint="default" w:ascii="Times New Roman" w:hAnsi="Times New Roman" w:eastAsia="宋体" w:cs="Times New Roman"/>
                <w:snapToGrid w:val="0"/>
                <w:color w:val="auto"/>
                <w:sz w:val="21"/>
                <w:szCs w:val="21"/>
                <w:highlight w:val="none"/>
                <w:lang w:eastAsia="zh-CN"/>
              </w:rPr>
              <w:t>日粮搅拌车间</w:t>
            </w:r>
          </w:p>
        </w:tc>
        <w:tc>
          <w:tcPr>
            <w:tcW w:w="1416" w:type="dxa"/>
            <w:vAlign w:val="center"/>
          </w:tcPr>
          <w:p w14:paraId="18F178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1131" w:type="dxa"/>
            <w:shd w:val="clear" w:color="auto" w:fill="auto"/>
            <w:vAlign w:val="center"/>
          </w:tcPr>
          <w:p w14:paraId="279706B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0.0370</w:t>
            </w:r>
          </w:p>
        </w:tc>
        <w:tc>
          <w:tcPr>
            <w:tcW w:w="1721" w:type="dxa"/>
            <w:shd w:val="clear" w:color="auto" w:fill="auto"/>
            <w:vAlign w:val="center"/>
          </w:tcPr>
          <w:p w14:paraId="74ECE9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76.91</w:t>
            </w:r>
          </w:p>
        </w:tc>
        <w:tc>
          <w:tcPr>
            <w:tcW w:w="1605" w:type="dxa"/>
            <w:shd w:val="clear" w:color="auto" w:fill="auto"/>
            <w:vAlign w:val="center"/>
          </w:tcPr>
          <w:p w14:paraId="4B7C07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8.55</w:t>
            </w:r>
          </w:p>
        </w:tc>
        <w:tc>
          <w:tcPr>
            <w:tcW w:w="1380" w:type="dxa"/>
            <w:tcBorders>
              <w:right w:val="single" w:color="auto" w:sz="4" w:space="0"/>
            </w:tcBorders>
            <w:vAlign w:val="center"/>
          </w:tcPr>
          <w:p w14:paraId="24FAC0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3333F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tcBorders>
              <w:left w:val="single" w:color="auto" w:sz="4" w:space="0"/>
            </w:tcBorders>
            <w:vAlign w:val="center"/>
          </w:tcPr>
          <w:p w14:paraId="67A713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r>
              <w:rPr>
                <w:rFonts w:hint="default" w:ascii="Times New Roman" w:hAnsi="Times New Roman" w:eastAsia="宋体" w:cs="Times New Roman"/>
                <w:color w:val="0000FF"/>
                <w:sz w:val="21"/>
                <w:szCs w:val="21"/>
                <w:highlight w:val="none"/>
                <w:lang w:val="en-US" w:eastAsia="zh-CN"/>
              </w:rPr>
              <w:t>造粒车间</w:t>
            </w:r>
          </w:p>
        </w:tc>
        <w:tc>
          <w:tcPr>
            <w:tcW w:w="1416" w:type="dxa"/>
            <w:vAlign w:val="center"/>
          </w:tcPr>
          <w:p w14:paraId="72D6D0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1131" w:type="dxa"/>
            <w:shd w:val="clear" w:color="auto" w:fill="auto"/>
            <w:vAlign w:val="center"/>
          </w:tcPr>
          <w:p w14:paraId="3E6E2F5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0.0473</w:t>
            </w:r>
          </w:p>
        </w:tc>
        <w:tc>
          <w:tcPr>
            <w:tcW w:w="1721" w:type="dxa"/>
            <w:vAlign w:val="center"/>
          </w:tcPr>
          <w:p w14:paraId="0258FD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33.78</w:t>
            </w:r>
          </w:p>
        </w:tc>
        <w:tc>
          <w:tcPr>
            <w:tcW w:w="1605" w:type="dxa"/>
            <w:vAlign w:val="center"/>
          </w:tcPr>
          <w:p w14:paraId="3A662C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3.75</w:t>
            </w:r>
          </w:p>
        </w:tc>
        <w:tc>
          <w:tcPr>
            <w:tcW w:w="1380" w:type="dxa"/>
            <w:tcBorders>
              <w:right w:val="single" w:color="auto" w:sz="4" w:space="0"/>
            </w:tcBorders>
            <w:vAlign w:val="center"/>
          </w:tcPr>
          <w:p w14:paraId="48AF4D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410F78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tcBorders>
              <w:left w:val="single" w:color="auto" w:sz="4" w:space="0"/>
            </w:tcBorders>
            <w:vAlign w:val="center"/>
          </w:tcPr>
          <w:p w14:paraId="4BA30B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eastAsia="zh-CN"/>
              </w:rPr>
              <w:t>玉米粒烘干</w:t>
            </w:r>
            <w:r>
              <w:rPr>
                <w:rFonts w:hint="default" w:ascii="Times New Roman" w:hAnsi="Times New Roman" w:eastAsia="宋体" w:cs="Times New Roman"/>
                <w:b w:val="0"/>
                <w:bCs w:val="0"/>
                <w:color w:val="FF0000"/>
                <w:sz w:val="21"/>
                <w:szCs w:val="21"/>
                <w:highlight w:val="none"/>
                <w:lang w:val="en-US" w:eastAsia="zh-CN"/>
              </w:rPr>
              <w:t>生产线</w:t>
            </w:r>
          </w:p>
        </w:tc>
        <w:tc>
          <w:tcPr>
            <w:tcW w:w="1416" w:type="dxa"/>
            <w:vAlign w:val="center"/>
          </w:tcPr>
          <w:p w14:paraId="3EE706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1131" w:type="dxa"/>
            <w:shd w:val="clear" w:color="auto" w:fill="auto"/>
            <w:vAlign w:val="center"/>
          </w:tcPr>
          <w:p w14:paraId="7699173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0.00</w:t>
            </w:r>
            <w:r>
              <w:rPr>
                <w:rFonts w:hint="default" w:ascii="Times New Roman" w:hAnsi="Times New Roman" w:eastAsia="宋体" w:cs="Times New Roman"/>
                <w:b w:val="0"/>
                <w:bCs w:val="0"/>
                <w:color w:val="FF0000"/>
                <w:kern w:val="2"/>
                <w:sz w:val="21"/>
                <w:szCs w:val="21"/>
                <w:highlight w:val="none"/>
                <w:lang w:val="en-US" w:eastAsia="zh-CN" w:bidi="ar-SA"/>
              </w:rPr>
              <w:t>74</w:t>
            </w:r>
          </w:p>
        </w:tc>
        <w:tc>
          <w:tcPr>
            <w:tcW w:w="1721" w:type="dxa"/>
            <w:vAlign w:val="center"/>
          </w:tcPr>
          <w:p w14:paraId="52E781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26.878</w:t>
            </w:r>
          </w:p>
        </w:tc>
        <w:tc>
          <w:tcPr>
            <w:tcW w:w="1605" w:type="dxa"/>
            <w:vAlign w:val="center"/>
          </w:tcPr>
          <w:p w14:paraId="349A75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2"/>
                <w:sz w:val="21"/>
                <w:szCs w:val="21"/>
                <w:highlight w:val="none"/>
                <w:lang w:val="en-US" w:eastAsia="zh-CN" w:bidi="ar-SA"/>
              </w:rPr>
              <w:t>2.98</w:t>
            </w:r>
          </w:p>
        </w:tc>
        <w:tc>
          <w:tcPr>
            <w:tcW w:w="1380" w:type="dxa"/>
            <w:tcBorders>
              <w:right w:val="single" w:color="auto" w:sz="4" w:space="0"/>
            </w:tcBorders>
            <w:vAlign w:val="center"/>
          </w:tcPr>
          <w:p w14:paraId="6FBB43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75A87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restart"/>
            <w:tcBorders>
              <w:left w:val="single" w:color="auto" w:sz="4" w:space="0"/>
            </w:tcBorders>
            <w:vAlign w:val="center"/>
          </w:tcPr>
          <w:p w14:paraId="280098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r>
              <w:rPr>
                <w:rFonts w:hint="default" w:ascii="Times New Roman" w:hAnsi="Times New Roman" w:eastAsia="宋体" w:cs="Times New Roman"/>
                <w:snapToGrid w:val="0"/>
                <w:color w:val="auto"/>
                <w:sz w:val="21"/>
                <w:szCs w:val="21"/>
                <w:highlight w:val="none"/>
                <w:lang w:eastAsia="zh-CN"/>
              </w:rPr>
              <w:t>生物质锅炉</w:t>
            </w:r>
          </w:p>
        </w:tc>
        <w:tc>
          <w:tcPr>
            <w:tcW w:w="1416" w:type="dxa"/>
            <w:vAlign w:val="center"/>
          </w:tcPr>
          <w:p w14:paraId="3890A2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FF0000"/>
                <w:sz w:val="21"/>
                <w:szCs w:val="21"/>
                <w:highlight w:val="none"/>
                <w:lang w:val="en-US" w:eastAsia="zh-CN"/>
              </w:rPr>
              <w:t>PM</w:t>
            </w:r>
            <w:r>
              <w:rPr>
                <w:rFonts w:hint="default" w:ascii="Times New Roman" w:hAnsi="Times New Roman" w:eastAsia="宋体" w:cs="Times New Roman"/>
                <w:i w:val="0"/>
                <w:iCs w:val="0"/>
                <w:color w:val="FF0000"/>
                <w:sz w:val="21"/>
                <w:szCs w:val="21"/>
                <w:highlight w:val="none"/>
                <w:vertAlign w:val="subscript"/>
                <w:lang w:val="en-US" w:eastAsia="zh-CN"/>
              </w:rPr>
              <w:t>10</w:t>
            </w:r>
          </w:p>
        </w:tc>
        <w:tc>
          <w:tcPr>
            <w:tcW w:w="1131" w:type="dxa"/>
            <w:shd w:val="clear" w:color="auto" w:fill="auto"/>
            <w:vAlign w:val="center"/>
          </w:tcPr>
          <w:p w14:paraId="4B217D26">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0.0148</w:t>
            </w:r>
          </w:p>
        </w:tc>
        <w:tc>
          <w:tcPr>
            <w:tcW w:w="1721" w:type="dxa"/>
            <w:shd w:val="clear" w:color="auto" w:fill="auto"/>
            <w:vAlign w:val="center"/>
          </w:tcPr>
          <w:p w14:paraId="6912E5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0.25701</w:t>
            </w:r>
          </w:p>
        </w:tc>
        <w:tc>
          <w:tcPr>
            <w:tcW w:w="1605" w:type="dxa"/>
            <w:shd w:val="clear" w:color="auto" w:fill="auto"/>
            <w:vAlign w:val="center"/>
          </w:tcPr>
          <w:p w14:paraId="331DE1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lang w:val="en-US" w:eastAsia="zh-CN"/>
              </w:rPr>
              <w:t>0.06</w:t>
            </w:r>
          </w:p>
        </w:tc>
        <w:tc>
          <w:tcPr>
            <w:tcW w:w="1380" w:type="dxa"/>
            <w:tcBorders>
              <w:right w:val="single" w:color="auto" w:sz="4" w:space="0"/>
            </w:tcBorders>
            <w:vAlign w:val="center"/>
          </w:tcPr>
          <w:p w14:paraId="67120B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74A1B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continue"/>
            <w:tcBorders>
              <w:left w:val="single" w:color="auto" w:sz="4" w:space="0"/>
            </w:tcBorders>
            <w:vAlign w:val="center"/>
          </w:tcPr>
          <w:p w14:paraId="49E4C3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p>
        </w:tc>
        <w:tc>
          <w:tcPr>
            <w:tcW w:w="1416" w:type="dxa"/>
            <w:vAlign w:val="center"/>
          </w:tcPr>
          <w:p w14:paraId="67F4FD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FF0000"/>
                <w:sz w:val="21"/>
                <w:szCs w:val="21"/>
                <w:highlight w:val="none"/>
                <w:lang w:val="en-US" w:eastAsia="zh-CN"/>
              </w:rPr>
              <w:t>SO</w:t>
            </w:r>
            <w:r>
              <w:rPr>
                <w:rFonts w:hint="default" w:ascii="Times New Roman" w:hAnsi="Times New Roman" w:eastAsia="宋体" w:cs="Times New Roman"/>
                <w:i w:val="0"/>
                <w:iCs w:val="0"/>
                <w:color w:val="FF0000"/>
                <w:sz w:val="21"/>
                <w:szCs w:val="21"/>
                <w:highlight w:val="none"/>
                <w:vertAlign w:val="subscript"/>
                <w:lang w:val="en-US" w:eastAsia="zh-CN"/>
              </w:rPr>
              <w:t>2</w:t>
            </w:r>
          </w:p>
        </w:tc>
        <w:tc>
          <w:tcPr>
            <w:tcW w:w="1131" w:type="dxa"/>
            <w:shd w:val="clear" w:color="auto" w:fill="auto"/>
            <w:vAlign w:val="center"/>
          </w:tcPr>
          <w:p w14:paraId="7FD4846E">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0.71</w:t>
            </w:r>
            <w:r>
              <w:rPr>
                <w:rFonts w:hint="default" w:ascii="Times New Roman" w:hAnsi="Times New Roman" w:eastAsia="宋体" w:cs="Times New Roman"/>
                <w:color w:val="FF0000"/>
                <w:sz w:val="21"/>
                <w:szCs w:val="21"/>
                <w:highlight w:val="none"/>
                <w:lang w:val="en-US" w:eastAsia="zh-CN"/>
              </w:rPr>
              <w:t>39</w:t>
            </w:r>
            <w:r>
              <w:rPr>
                <w:rFonts w:hint="default" w:ascii="Times New Roman" w:hAnsi="Times New Roman" w:eastAsia="宋体" w:cs="Times New Roman"/>
                <w:color w:val="FF0000"/>
                <w:sz w:val="21"/>
                <w:szCs w:val="21"/>
                <w:highlight w:val="none"/>
                <w:lang w:val="en-US" w:eastAsia="zh-CN"/>
              </w:rPr>
              <w:t xml:space="preserve"> </w:t>
            </w:r>
          </w:p>
        </w:tc>
        <w:tc>
          <w:tcPr>
            <w:tcW w:w="1721" w:type="dxa"/>
            <w:shd w:val="clear" w:color="auto" w:fill="auto"/>
            <w:vAlign w:val="center"/>
          </w:tcPr>
          <w:p w14:paraId="49A428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20.3552</w:t>
            </w:r>
          </w:p>
        </w:tc>
        <w:tc>
          <w:tcPr>
            <w:tcW w:w="1605" w:type="dxa"/>
            <w:shd w:val="clear" w:color="auto" w:fill="auto"/>
            <w:vAlign w:val="center"/>
          </w:tcPr>
          <w:p w14:paraId="18C10F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4.07</w:t>
            </w:r>
          </w:p>
        </w:tc>
        <w:tc>
          <w:tcPr>
            <w:tcW w:w="1380" w:type="dxa"/>
            <w:tcBorders>
              <w:right w:val="single" w:color="auto" w:sz="4" w:space="0"/>
            </w:tcBorders>
            <w:vAlign w:val="center"/>
          </w:tcPr>
          <w:p w14:paraId="3A6295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14:paraId="458EBB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4" w:type="dxa"/>
            <w:vMerge w:val="continue"/>
            <w:tcBorders>
              <w:left w:val="single" w:color="auto" w:sz="4" w:space="0"/>
              <w:bottom w:val="single" w:color="auto" w:sz="4" w:space="0"/>
            </w:tcBorders>
            <w:vAlign w:val="center"/>
          </w:tcPr>
          <w:p w14:paraId="37FC8F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eastAsia="zh-CN"/>
              </w:rPr>
            </w:pPr>
          </w:p>
        </w:tc>
        <w:tc>
          <w:tcPr>
            <w:tcW w:w="1416" w:type="dxa"/>
            <w:tcBorders>
              <w:bottom w:val="single" w:color="auto" w:sz="4" w:space="0"/>
            </w:tcBorders>
            <w:vAlign w:val="center"/>
          </w:tcPr>
          <w:p w14:paraId="3F1683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FF0000"/>
                <w:sz w:val="21"/>
                <w:szCs w:val="21"/>
                <w:highlight w:val="none"/>
                <w:lang w:val="en-US" w:eastAsia="zh-CN"/>
              </w:rPr>
              <w:t>NOx</w:t>
            </w:r>
          </w:p>
        </w:tc>
        <w:tc>
          <w:tcPr>
            <w:tcW w:w="1131" w:type="dxa"/>
            <w:tcBorders>
              <w:bottom w:val="single" w:color="auto" w:sz="4" w:space="0"/>
            </w:tcBorders>
            <w:shd w:val="clear" w:color="auto" w:fill="auto"/>
            <w:vAlign w:val="center"/>
          </w:tcPr>
          <w:p w14:paraId="5CA6C6F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0.612</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lang w:val="en-US" w:eastAsia="zh-CN"/>
              </w:rPr>
              <w:t xml:space="preserve">  </w:t>
            </w:r>
          </w:p>
        </w:tc>
        <w:tc>
          <w:tcPr>
            <w:tcW w:w="1721" w:type="dxa"/>
            <w:tcBorders>
              <w:bottom w:val="single" w:color="auto" w:sz="4" w:space="0"/>
            </w:tcBorders>
            <w:shd w:val="clear" w:color="auto" w:fill="auto"/>
            <w:vAlign w:val="center"/>
          </w:tcPr>
          <w:p w14:paraId="22DAED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17.477</w:t>
            </w:r>
          </w:p>
        </w:tc>
        <w:tc>
          <w:tcPr>
            <w:tcW w:w="1605" w:type="dxa"/>
            <w:tcBorders>
              <w:bottom w:val="single" w:color="auto" w:sz="4" w:space="0"/>
            </w:tcBorders>
            <w:shd w:val="clear" w:color="auto" w:fill="auto"/>
            <w:vAlign w:val="center"/>
          </w:tcPr>
          <w:p w14:paraId="51DC11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6.99</w:t>
            </w:r>
          </w:p>
        </w:tc>
        <w:tc>
          <w:tcPr>
            <w:tcW w:w="1380" w:type="dxa"/>
            <w:tcBorders>
              <w:bottom w:val="single" w:color="auto" w:sz="4" w:space="0"/>
              <w:right w:val="single" w:color="auto" w:sz="4" w:space="0"/>
            </w:tcBorders>
            <w:vAlign w:val="center"/>
          </w:tcPr>
          <w:p w14:paraId="26EE39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bl>
    <w:p w14:paraId="67240E8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据估算模式计算结果可知，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无组织排放的NH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lang w:val="en-US" w:eastAsia="zh-CN"/>
        </w:rPr>
        <w:t>最大质量浓度为7.86</w:t>
      </w:r>
      <w:r>
        <w:rPr>
          <w:rFonts w:hint="default" w:ascii="Times New Roman" w:hAnsi="Times New Roman" w:eastAsia="宋体" w:cs="Times New Roman"/>
          <w:snapToGrid w:val="0"/>
          <w:color w:val="auto"/>
          <w:sz w:val="24"/>
          <w:szCs w:val="24"/>
          <w:highlight w:val="none"/>
        </w:rPr>
        <w:t>μg/m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、最大质量浓度占标率3.93%，H</w:t>
      </w:r>
      <w:r>
        <w:rPr>
          <w:rFonts w:hint="default" w:ascii="Times New Roman" w:hAnsi="Times New Roman" w:eastAsia="宋体" w:cs="Times New Roman"/>
          <w:color w:val="auto"/>
          <w:sz w:val="24"/>
          <w:szCs w:val="24"/>
          <w:highlight w:val="none"/>
          <w:vertAlign w:val="subscript"/>
          <w:lang w:eastAsia="zh-CN"/>
        </w:rPr>
        <w:t>2</w:t>
      </w:r>
      <w:r>
        <w:rPr>
          <w:rFonts w:hint="default" w:ascii="Times New Roman" w:hAnsi="Times New Roman" w:eastAsia="宋体" w:cs="Times New Roman"/>
          <w:color w:val="auto"/>
          <w:sz w:val="24"/>
          <w:szCs w:val="24"/>
          <w:highlight w:val="none"/>
          <w:lang w:eastAsia="zh-CN"/>
        </w:rPr>
        <w:t>S</w:t>
      </w:r>
      <w:r>
        <w:rPr>
          <w:rFonts w:hint="default" w:ascii="Times New Roman" w:hAnsi="Times New Roman" w:eastAsia="宋体" w:cs="Times New Roman"/>
          <w:color w:val="auto"/>
          <w:sz w:val="24"/>
          <w:szCs w:val="24"/>
          <w:highlight w:val="none"/>
          <w:lang w:val="en-US" w:eastAsia="zh-CN"/>
        </w:rPr>
        <w:t>最大质量浓度为</w:t>
      </w:r>
      <w:r>
        <w:rPr>
          <w:rFonts w:hint="default" w:ascii="Times New Roman" w:hAnsi="Times New Roman" w:eastAsia="宋体" w:cs="Times New Roman"/>
          <w:i w:val="0"/>
          <w:iCs w:val="0"/>
          <w:color w:val="auto"/>
          <w:kern w:val="2"/>
          <w:sz w:val="24"/>
          <w:szCs w:val="24"/>
          <w:highlight w:val="none"/>
          <w:lang w:val="en-US" w:eastAsia="zh-CN" w:bidi="ar-SA"/>
        </w:rPr>
        <w:t>0.11</w:t>
      </w:r>
      <w:r>
        <w:rPr>
          <w:rFonts w:hint="default" w:ascii="Times New Roman" w:hAnsi="Times New Roman" w:eastAsia="宋体" w:cs="Times New Roman"/>
          <w:snapToGrid w:val="0"/>
          <w:color w:val="auto"/>
          <w:sz w:val="24"/>
          <w:szCs w:val="24"/>
          <w:highlight w:val="none"/>
        </w:rPr>
        <w:t>μg/m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、最大质量浓度占标率</w:t>
      </w:r>
      <w:r>
        <w:rPr>
          <w:rFonts w:hint="default" w:ascii="Times New Roman" w:hAnsi="Times New Roman" w:eastAsia="宋体" w:cs="Times New Roman"/>
          <w:i w:val="0"/>
          <w:iCs w:val="0"/>
          <w:color w:val="auto"/>
          <w:kern w:val="2"/>
          <w:sz w:val="24"/>
          <w:szCs w:val="24"/>
          <w:highlight w:val="none"/>
          <w:lang w:val="en-US" w:eastAsia="zh-CN" w:bidi="ar-SA"/>
        </w:rPr>
        <w:t>1.10</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无组织排放的NH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lang w:val="en-US" w:eastAsia="zh-CN"/>
        </w:rPr>
        <w:t>最大质量浓度为</w:t>
      </w:r>
      <w:r>
        <w:rPr>
          <w:rFonts w:hint="default" w:ascii="Times New Roman" w:hAnsi="Times New Roman" w:eastAsia="宋体" w:cs="Times New Roman"/>
          <w:i w:val="0"/>
          <w:iCs w:val="0"/>
          <w:color w:val="auto"/>
          <w:kern w:val="2"/>
          <w:sz w:val="24"/>
          <w:szCs w:val="24"/>
          <w:highlight w:val="none"/>
          <w:lang w:val="en-US" w:eastAsia="zh-CN" w:bidi="ar-SA"/>
        </w:rPr>
        <w:t>16.62</w:t>
      </w:r>
      <w:r>
        <w:rPr>
          <w:rFonts w:hint="default" w:ascii="Times New Roman" w:hAnsi="Times New Roman" w:eastAsia="宋体" w:cs="Times New Roman"/>
          <w:snapToGrid w:val="0"/>
          <w:color w:val="auto"/>
          <w:sz w:val="24"/>
          <w:szCs w:val="24"/>
          <w:highlight w:val="none"/>
        </w:rPr>
        <w:t>μg/m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、最大质量浓度占标率</w:t>
      </w:r>
      <w:r>
        <w:rPr>
          <w:rFonts w:hint="default" w:ascii="Times New Roman" w:hAnsi="Times New Roman" w:eastAsia="宋体" w:cs="Times New Roman"/>
          <w:i w:val="0"/>
          <w:iCs w:val="0"/>
          <w:color w:val="auto"/>
          <w:kern w:val="2"/>
          <w:sz w:val="24"/>
          <w:szCs w:val="24"/>
          <w:highlight w:val="none"/>
          <w:lang w:val="en-US" w:eastAsia="zh-CN" w:bidi="ar-SA"/>
        </w:rPr>
        <w:t>8.31</w:t>
      </w:r>
      <w:r>
        <w:rPr>
          <w:rFonts w:hint="default" w:ascii="Times New Roman" w:hAnsi="Times New Roman" w:eastAsia="宋体" w:cs="Times New Roman"/>
          <w:color w:val="auto"/>
          <w:sz w:val="24"/>
          <w:szCs w:val="24"/>
          <w:highlight w:val="none"/>
          <w:lang w:eastAsia="zh-CN"/>
        </w:rPr>
        <w:t>%，H</w:t>
      </w:r>
      <w:r>
        <w:rPr>
          <w:rFonts w:hint="default" w:ascii="Times New Roman" w:hAnsi="Times New Roman" w:eastAsia="宋体" w:cs="Times New Roman"/>
          <w:color w:val="auto"/>
          <w:sz w:val="24"/>
          <w:szCs w:val="24"/>
          <w:highlight w:val="none"/>
          <w:vertAlign w:val="subscript"/>
          <w:lang w:eastAsia="zh-CN"/>
        </w:rPr>
        <w:t>2</w:t>
      </w:r>
      <w:r>
        <w:rPr>
          <w:rFonts w:hint="default" w:ascii="Times New Roman" w:hAnsi="Times New Roman" w:eastAsia="宋体" w:cs="Times New Roman"/>
          <w:color w:val="auto"/>
          <w:sz w:val="24"/>
          <w:szCs w:val="24"/>
          <w:highlight w:val="none"/>
          <w:lang w:eastAsia="zh-CN"/>
        </w:rPr>
        <w:t>S</w:t>
      </w:r>
      <w:r>
        <w:rPr>
          <w:rFonts w:hint="default" w:ascii="Times New Roman" w:hAnsi="Times New Roman" w:eastAsia="宋体" w:cs="Times New Roman"/>
          <w:color w:val="auto"/>
          <w:sz w:val="24"/>
          <w:szCs w:val="24"/>
          <w:highlight w:val="none"/>
          <w:lang w:val="en-US" w:eastAsia="zh-CN"/>
        </w:rPr>
        <w:t>最大质量浓度为</w:t>
      </w:r>
      <w:r>
        <w:rPr>
          <w:rFonts w:hint="default" w:ascii="Times New Roman" w:hAnsi="Times New Roman" w:eastAsia="宋体" w:cs="Times New Roman"/>
          <w:i w:val="0"/>
          <w:iCs w:val="0"/>
          <w:color w:val="auto"/>
          <w:kern w:val="2"/>
          <w:sz w:val="24"/>
          <w:szCs w:val="24"/>
          <w:highlight w:val="none"/>
          <w:lang w:val="en-US" w:eastAsia="zh-CN" w:bidi="ar-SA"/>
        </w:rPr>
        <w:t>0.22</w:t>
      </w:r>
      <w:r>
        <w:rPr>
          <w:rFonts w:hint="default" w:ascii="Times New Roman" w:hAnsi="Times New Roman" w:eastAsia="宋体" w:cs="Times New Roman"/>
          <w:snapToGrid w:val="0"/>
          <w:color w:val="auto"/>
          <w:sz w:val="24"/>
          <w:szCs w:val="24"/>
          <w:highlight w:val="none"/>
        </w:rPr>
        <w:t>μg/m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、最大质量浓度占标率</w:t>
      </w:r>
      <w:r>
        <w:rPr>
          <w:rFonts w:hint="default" w:ascii="Times New Roman" w:hAnsi="Times New Roman" w:eastAsia="宋体" w:cs="Times New Roman"/>
          <w:i w:val="0"/>
          <w:iCs w:val="0"/>
          <w:color w:val="auto"/>
          <w:kern w:val="2"/>
          <w:sz w:val="24"/>
          <w:szCs w:val="24"/>
          <w:highlight w:val="none"/>
          <w:lang w:val="en-US" w:eastAsia="zh-CN" w:bidi="ar-SA"/>
        </w:rPr>
        <w:t>2.19</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日粮搅拌车间</w:t>
      </w:r>
      <w:r>
        <w:rPr>
          <w:rFonts w:hint="default" w:ascii="Times New Roman" w:hAnsi="Times New Roman" w:eastAsia="宋体" w:cs="Times New Roman"/>
          <w:color w:val="auto"/>
          <w:sz w:val="24"/>
          <w:szCs w:val="24"/>
          <w:highlight w:val="none"/>
        </w:rPr>
        <w:t>无组织排放的TSP</w:t>
      </w:r>
      <w:r>
        <w:rPr>
          <w:rFonts w:hint="default" w:ascii="Times New Roman" w:hAnsi="Times New Roman" w:eastAsia="宋体" w:cs="Times New Roman"/>
          <w:color w:val="auto"/>
          <w:sz w:val="24"/>
          <w:szCs w:val="24"/>
          <w:highlight w:val="none"/>
          <w:lang w:val="en-US" w:eastAsia="zh-CN"/>
        </w:rPr>
        <w:t>最大质量浓度为76.91</w:t>
      </w:r>
      <w:r>
        <w:rPr>
          <w:rFonts w:hint="default" w:ascii="Times New Roman" w:hAnsi="Times New Roman" w:eastAsia="宋体" w:cs="Times New Roman"/>
          <w:snapToGrid w:val="0"/>
          <w:color w:val="auto"/>
          <w:sz w:val="24"/>
          <w:szCs w:val="24"/>
          <w:highlight w:val="none"/>
        </w:rPr>
        <w:t>μg/m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、最大质量浓度占标率8.55%。</w:t>
      </w:r>
    </w:p>
    <w:p w14:paraId="011A689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污染物最大地面浓度占标率1%≤Pmax</w:t>
      </w:r>
      <w:r>
        <w:rPr>
          <w:rFonts w:hint="default" w:ascii="Times New Roman" w:hAnsi="Times New Roman" w:eastAsia="宋体" w:cs="Times New Roman"/>
          <w:color w:val="auto"/>
          <w:sz w:val="24"/>
          <w:szCs w:val="24"/>
          <w:highlight w:val="none"/>
          <w:lang w:val="en-US" w:eastAsia="zh-CN"/>
        </w:rPr>
        <w:t>=8.55%</w:t>
      </w:r>
      <w:r>
        <w:rPr>
          <w:rFonts w:hint="default" w:ascii="Times New Roman" w:hAnsi="Times New Roman" w:eastAsia="宋体" w:cs="Times New Roman"/>
          <w:color w:val="auto"/>
          <w:sz w:val="24"/>
          <w:szCs w:val="24"/>
          <w:highlight w:val="none"/>
        </w:rPr>
        <w:t>＜10%，确定本项目的大气环境评价工作等级为二级。</w:t>
      </w:r>
    </w:p>
    <w:p w14:paraId="59E9B85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（2）评价范围</w:t>
      </w:r>
    </w:p>
    <w:p w14:paraId="67D10CB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评价范围根据建设项目排放污染物的最远影响距离（D10%）确定大气环境影响评价范围，本项目D10%未出现，当D10%小于2.5km时，评价范围边长取5km。因此，本次评价大气环境影响评价范围边长取5km的矩形区域。</w:t>
      </w:r>
    </w:p>
    <w:p w14:paraId="63E7257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项目大气环境评价范围如2.6-1所示。</w:t>
      </w:r>
    </w:p>
    <w:p w14:paraId="3810135F">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178" w:name="_Toc28706"/>
      <w:bookmarkStart w:id="179" w:name="_Toc512871531"/>
      <w:bookmarkStart w:id="180" w:name="_Toc453603068"/>
      <w:bookmarkStart w:id="181" w:name="_Toc452567813"/>
      <w:bookmarkStart w:id="182" w:name="_Toc23971"/>
      <w:r>
        <w:rPr>
          <w:rFonts w:hint="default" w:ascii="Times New Roman" w:hAnsi="Times New Roman" w:eastAsia="宋体" w:cs="Times New Roman"/>
          <w:color w:val="auto"/>
          <w:highlight w:val="none"/>
        </w:rPr>
        <w:t>2.5.2地表水环境</w:t>
      </w:r>
      <w:bookmarkEnd w:id="178"/>
    </w:p>
    <w:p w14:paraId="4D3F77E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本项目为水污染影响型建设项目，</w:t>
      </w:r>
      <w:r>
        <w:rPr>
          <w:rFonts w:hint="default" w:ascii="Times New Roman" w:hAnsi="Times New Roman" w:eastAsia="宋体" w:cs="Times New Roman"/>
          <w:color w:val="auto"/>
          <w:highlight w:val="none"/>
          <w:lang w:eastAsia="zh-CN"/>
        </w:rPr>
        <w:t>无</w:t>
      </w:r>
      <w:r>
        <w:rPr>
          <w:rFonts w:hint="default" w:ascii="Times New Roman" w:hAnsi="Times New Roman" w:eastAsia="宋体" w:cs="Times New Roman"/>
          <w:color w:val="auto"/>
          <w:highlight w:val="none"/>
          <w:lang w:val="en-US" w:eastAsia="zh-CN"/>
        </w:rPr>
        <w:t>羊尿液</w:t>
      </w:r>
      <w:r>
        <w:rPr>
          <w:rFonts w:hint="default" w:ascii="Times New Roman" w:hAnsi="Times New Roman" w:eastAsia="宋体" w:cs="Times New Roman"/>
          <w:color w:val="auto"/>
          <w:highlight w:val="none"/>
          <w:lang w:eastAsia="zh-CN"/>
        </w:rPr>
        <w:t>排放；</w:t>
      </w:r>
      <w:r>
        <w:rPr>
          <w:rFonts w:hint="default" w:ascii="Times New Roman" w:hAnsi="Times New Roman" w:eastAsia="宋体" w:cs="Times New Roman"/>
          <w:color w:val="auto"/>
          <w:highlight w:val="none"/>
        </w:rPr>
        <w:t>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定期由当地环卫部门清运处置，不排放。</w:t>
      </w: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地表水环境》（HJ2.3-2018）进行评价等级判定，见下表。</w:t>
      </w:r>
    </w:p>
    <w:p w14:paraId="417D306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水污染影响型建设项目评价等级判定表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91"/>
        <w:gridCol w:w="1892"/>
        <w:gridCol w:w="4494"/>
      </w:tblGrid>
      <w:tr w14:paraId="360E52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Merge w:val="restart"/>
            <w:tcBorders>
              <w:top w:val="single" w:color="auto" w:sz="4" w:space="0"/>
              <w:left w:val="single" w:color="auto" w:sz="4" w:space="0"/>
              <w:bottom w:val="single" w:color="auto" w:sz="4" w:space="0"/>
              <w:right w:val="single" w:color="auto" w:sz="4" w:space="0"/>
            </w:tcBorders>
            <w:vAlign w:val="center"/>
          </w:tcPr>
          <w:p w14:paraId="2D66505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评级等级</w:t>
            </w:r>
          </w:p>
        </w:tc>
        <w:tc>
          <w:tcPr>
            <w:tcW w:w="6952" w:type="dxa"/>
            <w:gridSpan w:val="2"/>
            <w:tcBorders>
              <w:top w:val="single" w:color="auto" w:sz="4" w:space="0"/>
              <w:left w:val="single" w:color="auto" w:sz="4" w:space="0"/>
              <w:bottom w:val="single" w:color="auto" w:sz="4" w:space="0"/>
              <w:right w:val="single" w:color="auto" w:sz="4" w:space="0"/>
            </w:tcBorders>
            <w:vAlign w:val="center"/>
          </w:tcPr>
          <w:p w14:paraId="4774F1CE">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判定依据</w:t>
            </w:r>
          </w:p>
        </w:tc>
      </w:tr>
      <w:tr w14:paraId="671AC8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Merge w:val="continue"/>
            <w:tcBorders>
              <w:top w:val="single" w:color="auto" w:sz="4" w:space="0"/>
              <w:left w:val="single" w:color="auto" w:sz="4" w:space="0"/>
              <w:bottom w:val="single" w:color="auto" w:sz="4" w:space="0"/>
              <w:right w:val="single" w:color="auto" w:sz="4" w:space="0"/>
            </w:tcBorders>
            <w:vAlign w:val="center"/>
          </w:tcPr>
          <w:p w14:paraId="24E0E8E0">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p>
        </w:tc>
        <w:tc>
          <w:tcPr>
            <w:tcW w:w="2051" w:type="dxa"/>
            <w:tcBorders>
              <w:top w:val="single" w:color="auto" w:sz="4" w:space="0"/>
              <w:left w:val="single" w:color="auto" w:sz="4" w:space="0"/>
              <w:bottom w:val="single" w:color="auto" w:sz="4" w:space="0"/>
              <w:right w:val="single" w:color="auto" w:sz="4" w:space="0"/>
            </w:tcBorders>
            <w:vAlign w:val="center"/>
          </w:tcPr>
          <w:p w14:paraId="7610858E">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排放方式</w:t>
            </w:r>
          </w:p>
        </w:tc>
        <w:tc>
          <w:tcPr>
            <w:tcW w:w="4901" w:type="dxa"/>
            <w:tcBorders>
              <w:top w:val="single" w:color="auto" w:sz="4" w:space="0"/>
              <w:left w:val="single" w:color="auto" w:sz="4" w:space="0"/>
              <w:bottom w:val="single" w:color="auto" w:sz="4" w:space="0"/>
              <w:right w:val="single" w:color="auto" w:sz="4" w:space="0"/>
            </w:tcBorders>
            <w:vAlign w:val="center"/>
          </w:tcPr>
          <w:p w14:paraId="223442D0">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废水排放量Q/（m</w:t>
            </w:r>
            <w:r>
              <w:rPr>
                <w:rFonts w:hint="default" w:ascii="Times New Roman" w:hAnsi="Times New Roman" w:eastAsia="宋体" w:cs="Times New Roman"/>
                <w:color w:val="auto"/>
                <w:sz w:val="21"/>
                <w:highlight w:val="none"/>
                <w:vertAlign w:val="superscript"/>
              </w:rPr>
              <w:t>3</w:t>
            </w:r>
            <w:r>
              <w:rPr>
                <w:rFonts w:hint="default" w:ascii="Times New Roman" w:hAnsi="Times New Roman" w:eastAsia="宋体" w:cs="Times New Roman"/>
                <w:color w:val="auto"/>
                <w:sz w:val="21"/>
                <w:highlight w:val="none"/>
              </w:rPr>
              <w:t>/d）</w:t>
            </w:r>
          </w:p>
          <w:p w14:paraId="7ED18712">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水污染物当量W/（量纲一）</w:t>
            </w:r>
          </w:p>
        </w:tc>
      </w:tr>
      <w:tr w14:paraId="71702B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tcBorders>
              <w:top w:val="single" w:color="auto" w:sz="4" w:space="0"/>
              <w:left w:val="single" w:color="auto" w:sz="4" w:space="0"/>
              <w:bottom w:val="single" w:color="auto" w:sz="4" w:space="0"/>
              <w:right w:val="single" w:color="auto" w:sz="4" w:space="0"/>
            </w:tcBorders>
            <w:vAlign w:val="center"/>
          </w:tcPr>
          <w:p w14:paraId="1EBBA4F2">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一级</w:t>
            </w:r>
          </w:p>
        </w:tc>
        <w:tc>
          <w:tcPr>
            <w:tcW w:w="2051" w:type="dxa"/>
            <w:tcBorders>
              <w:top w:val="single" w:color="auto" w:sz="4" w:space="0"/>
              <w:left w:val="single" w:color="auto" w:sz="4" w:space="0"/>
              <w:bottom w:val="single" w:color="auto" w:sz="4" w:space="0"/>
              <w:right w:val="single" w:color="auto" w:sz="4" w:space="0"/>
            </w:tcBorders>
            <w:vAlign w:val="center"/>
          </w:tcPr>
          <w:p w14:paraId="656A6819">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直接排放</w:t>
            </w:r>
          </w:p>
        </w:tc>
        <w:tc>
          <w:tcPr>
            <w:tcW w:w="4901" w:type="dxa"/>
            <w:tcBorders>
              <w:top w:val="single" w:color="auto" w:sz="4" w:space="0"/>
              <w:left w:val="single" w:color="auto" w:sz="4" w:space="0"/>
              <w:bottom w:val="single" w:color="auto" w:sz="4" w:space="0"/>
              <w:right w:val="single" w:color="auto" w:sz="4" w:space="0"/>
            </w:tcBorders>
            <w:vAlign w:val="center"/>
          </w:tcPr>
          <w:p w14:paraId="1398B0B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Q≥20000或W≥600000</w:t>
            </w:r>
          </w:p>
        </w:tc>
      </w:tr>
      <w:tr w14:paraId="4D1817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tcBorders>
              <w:top w:val="single" w:color="auto" w:sz="4" w:space="0"/>
              <w:left w:val="single" w:color="auto" w:sz="4" w:space="0"/>
              <w:bottom w:val="single" w:color="auto" w:sz="4" w:space="0"/>
              <w:right w:val="single" w:color="auto" w:sz="4" w:space="0"/>
            </w:tcBorders>
            <w:vAlign w:val="center"/>
          </w:tcPr>
          <w:p w14:paraId="49B1E31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二级</w:t>
            </w:r>
          </w:p>
        </w:tc>
        <w:tc>
          <w:tcPr>
            <w:tcW w:w="2051" w:type="dxa"/>
            <w:tcBorders>
              <w:top w:val="single" w:color="auto" w:sz="4" w:space="0"/>
              <w:left w:val="single" w:color="auto" w:sz="4" w:space="0"/>
              <w:bottom w:val="single" w:color="auto" w:sz="4" w:space="0"/>
              <w:right w:val="single" w:color="auto" w:sz="4" w:space="0"/>
            </w:tcBorders>
            <w:vAlign w:val="center"/>
          </w:tcPr>
          <w:p w14:paraId="4ED73F49">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直接排放</w:t>
            </w:r>
          </w:p>
        </w:tc>
        <w:tc>
          <w:tcPr>
            <w:tcW w:w="4901" w:type="dxa"/>
            <w:tcBorders>
              <w:top w:val="single" w:color="auto" w:sz="4" w:space="0"/>
              <w:left w:val="single" w:color="auto" w:sz="4" w:space="0"/>
              <w:bottom w:val="single" w:color="auto" w:sz="4" w:space="0"/>
              <w:right w:val="single" w:color="auto" w:sz="4" w:space="0"/>
            </w:tcBorders>
            <w:vAlign w:val="center"/>
          </w:tcPr>
          <w:p w14:paraId="3D89DB0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其他</w:t>
            </w:r>
          </w:p>
        </w:tc>
      </w:tr>
      <w:tr w14:paraId="1877B7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tcBorders>
              <w:top w:val="single" w:color="auto" w:sz="4" w:space="0"/>
              <w:left w:val="single" w:color="auto" w:sz="4" w:space="0"/>
              <w:bottom w:val="single" w:color="auto" w:sz="4" w:space="0"/>
              <w:right w:val="single" w:color="auto" w:sz="4" w:space="0"/>
            </w:tcBorders>
            <w:vAlign w:val="center"/>
          </w:tcPr>
          <w:p w14:paraId="4613DE8B">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三级A</w:t>
            </w:r>
          </w:p>
        </w:tc>
        <w:tc>
          <w:tcPr>
            <w:tcW w:w="2051" w:type="dxa"/>
            <w:tcBorders>
              <w:top w:val="single" w:color="auto" w:sz="4" w:space="0"/>
              <w:left w:val="single" w:color="auto" w:sz="4" w:space="0"/>
              <w:bottom w:val="single" w:color="auto" w:sz="4" w:space="0"/>
              <w:right w:val="single" w:color="auto" w:sz="4" w:space="0"/>
            </w:tcBorders>
            <w:vAlign w:val="center"/>
          </w:tcPr>
          <w:p w14:paraId="7BE49F4F">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直接排放</w:t>
            </w:r>
          </w:p>
        </w:tc>
        <w:tc>
          <w:tcPr>
            <w:tcW w:w="4901" w:type="dxa"/>
            <w:tcBorders>
              <w:top w:val="single" w:color="auto" w:sz="4" w:space="0"/>
              <w:left w:val="single" w:color="auto" w:sz="4" w:space="0"/>
              <w:bottom w:val="single" w:color="auto" w:sz="4" w:space="0"/>
              <w:right w:val="single" w:color="auto" w:sz="4" w:space="0"/>
            </w:tcBorders>
            <w:vAlign w:val="center"/>
          </w:tcPr>
          <w:p w14:paraId="270AF59D">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Q＜200且W＜6000</w:t>
            </w:r>
          </w:p>
        </w:tc>
      </w:tr>
      <w:tr w14:paraId="711CB8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tcBorders>
              <w:top w:val="single" w:color="auto" w:sz="4" w:space="0"/>
              <w:left w:val="single" w:color="auto" w:sz="4" w:space="0"/>
              <w:bottom w:val="single" w:color="auto" w:sz="4" w:space="0"/>
              <w:right w:val="single" w:color="auto" w:sz="4" w:space="0"/>
            </w:tcBorders>
            <w:vAlign w:val="center"/>
          </w:tcPr>
          <w:p w14:paraId="1B1605BC">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三级B</w:t>
            </w:r>
          </w:p>
        </w:tc>
        <w:tc>
          <w:tcPr>
            <w:tcW w:w="2051" w:type="dxa"/>
            <w:tcBorders>
              <w:top w:val="single" w:color="auto" w:sz="4" w:space="0"/>
              <w:left w:val="single" w:color="auto" w:sz="4" w:space="0"/>
              <w:bottom w:val="single" w:color="auto" w:sz="4" w:space="0"/>
              <w:right w:val="single" w:color="auto" w:sz="4" w:space="0"/>
            </w:tcBorders>
            <w:vAlign w:val="center"/>
          </w:tcPr>
          <w:p w14:paraId="19ED431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间接排放</w:t>
            </w:r>
          </w:p>
        </w:tc>
        <w:tc>
          <w:tcPr>
            <w:tcW w:w="4901" w:type="dxa"/>
            <w:tcBorders>
              <w:top w:val="single" w:color="auto" w:sz="4" w:space="0"/>
              <w:left w:val="single" w:color="auto" w:sz="4" w:space="0"/>
              <w:bottom w:val="single" w:color="auto" w:sz="4" w:space="0"/>
              <w:right w:val="single" w:color="auto" w:sz="4" w:space="0"/>
            </w:tcBorders>
            <w:vAlign w:val="center"/>
          </w:tcPr>
          <w:p w14:paraId="42C1062D">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w:t>
            </w:r>
          </w:p>
        </w:tc>
      </w:tr>
    </w:tbl>
    <w:p w14:paraId="192E1C7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lang w:val="en-US" w:eastAsia="zh-CN"/>
        </w:rPr>
        <w:t>运营期</w:t>
      </w:r>
      <w:r>
        <w:rPr>
          <w:rFonts w:hint="default" w:ascii="Times New Roman" w:hAnsi="Times New Roman" w:eastAsia="宋体" w:cs="Times New Roman"/>
          <w:color w:val="auto"/>
          <w:highlight w:val="none"/>
          <w:lang w:val="en-US" w:eastAsia="zh-CN"/>
        </w:rPr>
        <w:t>无废水</w:t>
      </w:r>
      <w:r>
        <w:rPr>
          <w:rFonts w:hint="default" w:ascii="Times New Roman" w:hAnsi="Times New Roman" w:eastAsia="宋体" w:cs="Times New Roman"/>
          <w:color w:val="auto"/>
          <w:highlight w:val="none"/>
          <w:lang w:val="en-US" w:eastAsia="zh-CN"/>
        </w:rPr>
        <w:t>直接</w:t>
      </w:r>
      <w:r>
        <w:rPr>
          <w:rFonts w:hint="default" w:ascii="Times New Roman" w:hAnsi="Times New Roman" w:eastAsia="宋体" w:cs="Times New Roman"/>
          <w:color w:val="auto"/>
          <w:highlight w:val="none"/>
          <w:lang w:eastAsia="zh-CN"/>
        </w:rPr>
        <w:t>排放到外环境，</w:t>
      </w:r>
      <w:r>
        <w:rPr>
          <w:rFonts w:hint="default" w:ascii="Times New Roman" w:hAnsi="Times New Roman" w:eastAsia="宋体" w:cs="Times New Roman"/>
          <w:color w:val="auto"/>
          <w:highlight w:val="none"/>
        </w:rPr>
        <w:t>因此</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项目地表水评价等级为三级B。</w:t>
      </w:r>
    </w:p>
    <w:p w14:paraId="596F388A">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183" w:name="_Toc15016"/>
      <w:r>
        <w:rPr>
          <w:rFonts w:hint="default" w:ascii="Times New Roman" w:hAnsi="Times New Roman" w:eastAsia="宋体" w:cs="Times New Roman"/>
          <w:color w:val="auto"/>
          <w:highlight w:val="none"/>
        </w:rPr>
        <w:t>2.5.3地下水环境</w:t>
      </w:r>
      <w:bookmarkEnd w:id="179"/>
      <w:bookmarkEnd w:id="180"/>
      <w:bookmarkEnd w:id="181"/>
      <w:bookmarkEnd w:id="182"/>
      <w:bookmarkEnd w:id="183"/>
    </w:p>
    <w:p w14:paraId="21C39CE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（1）项目类别</w:t>
      </w:r>
    </w:p>
    <w:p w14:paraId="70E59F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拟建项目位于</w:t>
      </w:r>
      <w:r>
        <w:rPr>
          <w:rFonts w:hint="default" w:ascii="Times New Roman" w:hAnsi="Times New Roman" w:eastAsia="宋体" w:cs="Times New Roman"/>
          <w:color w:val="auto"/>
          <w:sz w:val="24"/>
          <w:szCs w:val="24"/>
          <w:highlight w:val="none"/>
          <w:lang w:eastAsia="zh-CN"/>
        </w:rPr>
        <w:t>内蒙古自治区巴彦淖尔市五原县胜丰镇新丰村三社</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地下水环境》（HJ610-2016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Cs w:val="24"/>
          <w:highlight w:val="none"/>
        </w:rPr>
        <w:t>附录A</w:t>
      </w:r>
      <w:r>
        <w:rPr>
          <w:rFonts w:hint="default" w:ascii="Times New Roman" w:hAnsi="Times New Roman" w:eastAsia="宋体" w:cs="Times New Roman"/>
          <w:color w:val="auto"/>
          <w:highlight w:val="none"/>
        </w:rPr>
        <w:t>地下水环境影响评价行业分类表，</w:t>
      </w:r>
      <w:r>
        <w:rPr>
          <w:rFonts w:hint="default" w:ascii="Times New Roman" w:hAnsi="Times New Roman" w:eastAsia="宋体" w:cs="Times New Roman"/>
          <w:color w:val="auto"/>
          <w:highlight w:val="none"/>
          <w:lang w:eastAsia="zh-CN"/>
        </w:rPr>
        <w:t>属于</w:t>
      </w:r>
      <w:r>
        <w:rPr>
          <w:rFonts w:hint="default" w:ascii="Times New Roman" w:hAnsi="Times New Roman" w:eastAsia="宋体" w:cs="Times New Roman"/>
          <w:color w:val="auto"/>
          <w:highlight w:val="none"/>
          <w:lang w:val="en-US" w:eastAsia="zh-CN"/>
        </w:rPr>
        <w:t>B农、林、牧、渔、海洋--14、</w:t>
      </w:r>
      <w:r>
        <w:rPr>
          <w:rFonts w:hint="default" w:ascii="Times New Roman" w:hAnsi="Times New Roman" w:eastAsia="宋体" w:cs="Times New Roman"/>
          <w:color w:val="auto"/>
          <w:highlight w:val="none"/>
        </w:rPr>
        <w:t>畜禽养殖场、养殖小区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确定</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szCs w:val="24"/>
          <w:highlight w:val="none"/>
        </w:rPr>
        <w:t>地下水环境影响评价项目</w:t>
      </w:r>
      <w:r>
        <w:rPr>
          <w:rFonts w:hint="default" w:ascii="Times New Roman" w:hAnsi="Times New Roman" w:eastAsia="宋体" w:cs="Times New Roman"/>
          <w:color w:val="auto"/>
          <w:szCs w:val="24"/>
          <w:highlight w:val="none"/>
          <w:lang w:eastAsia="zh-CN"/>
        </w:rPr>
        <w:t>类别为</w:t>
      </w:r>
      <w:r>
        <w:rPr>
          <w:rFonts w:hint="default" w:ascii="Times New Roman" w:hAnsi="Times New Roman" w:eastAsia="宋体" w:cs="Times New Roman"/>
          <w:color w:val="auto"/>
          <w:szCs w:val="24"/>
          <w:highlight w:val="none"/>
        </w:rPr>
        <w:t>Ⅲ类</w:t>
      </w:r>
      <w:r>
        <w:rPr>
          <w:rFonts w:hint="default" w:ascii="Times New Roman" w:hAnsi="Times New Roman" w:eastAsia="宋体" w:cs="Times New Roman"/>
          <w:color w:val="auto"/>
          <w:szCs w:val="24"/>
          <w:highlight w:val="none"/>
          <w:lang w:eastAsia="zh-CN"/>
        </w:rPr>
        <w:t>。</w:t>
      </w:r>
    </w:p>
    <w:p w14:paraId="4EE7D93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（2）地下水环境敏感程度</w:t>
      </w:r>
    </w:p>
    <w:p w14:paraId="4714C865">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地下水环境》（HJ610-2016），依据表2.5-</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判别本区地下水环境敏感程度。</w:t>
      </w:r>
    </w:p>
    <w:p w14:paraId="635DC902">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地下水环境敏感程度分级表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83"/>
        <w:gridCol w:w="7194"/>
      </w:tblGrid>
      <w:tr w14:paraId="0F41F0A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14:paraId="5123DBAB">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敏感程度</w:t>
            </w:r>
          </w:p>
        </w:tc>
        <w:tc>
          <w:tcPr>
            <w:tcW w:w="7840" w:type="dxa"/>
            <w:tcBorders>
              <w:top w:val="single" w:color="auto" w:sz="4" w:space="0"/>
              <w:left w:val="single" w:color="auto" w:sz="4" w:space="0"/>
              <w:bottom w:val="single" w:color="auto" w:sz="4" w:space="0"/>
              <w:right w:val="single" w:color="auto" w:sz="4" w:space="0"/>
            </w:tcBorders>
            <w:vAlign w:val="center"/>
          </w:tcPr>
          <w:p w14:paraId="5943259B">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地下水环境敏感特征</w:t>
            </w:r>
          </w:p>
        </w:tc>
      </w:tr>
      <w:tr w14:paraId="22BD163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14:paraId="5089A12F">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w:t>
            </w:r>
          </w:p>
        </w:tc>
        <w:tc>
          <w:tcPr>
            <w:tcW w:w="7840" w:type="dxa"/>
            <w:tcBorders>
              <w:top w:val="single" w:color="auto" w:sz="4" w:space="0"/>
              <w:left w:val="single" w:color="auto" w:sz="4" w:space="0"/>
              <w:bottom w:val="single" w:color="auto" w:sz="4" w:space="0"/>
              <w:right w:val="single" w:color="auto" w:sz="4" w:space="0"/>
            </w:tcBorders>
            <w:vAlign w:val="center"/>
          </w:tcPr>
          <w:p w14:paraId="45D72E23">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14:paraId="0B36325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14:paraId="219BD9CC">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较敏感</w:t>
            </w:r>
          </w:p>
        </w:tc>
        <w:tc>
          <w:tcPr>
            <w:tcW w:w="7840" w:type="dxa"/>
            <w:tcBorders>
              <w:top w:val="single" w:color="auto" w:sz="4" w:space="0"/>
              <w:left w:val="single" w:color="auto" w:sz="4" w:space="0"/>
              <w:bottom w:val="single" w:color="auto" w:sz="4" w:space="0"/>
              <w:right w:val="single" w:color="auto" w:sz="4" w:space="0"/>
            </w:tcBorders>
            <w:vAlign w:val="center"/>
          </w:tcPr>
          <w:p w14:paraId="2575A2E4">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14:paraId="32D5D83C">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14:paraId="537B0E07">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不敏感</w:t>
            </w:r>
          </w:p>
        </w:tc>
        <w:tc>
          <w:tcPr>
            <w:tcW w:w="7840" w:type="dxa"/>
            <w:tcBorders>
              <w:top w:val="single" w:color="auto" w:sz="4" w:space="0"/>
              <w:left w:val="single" w:color="auto" w:sz="4" w:space="0"/>
              <w:bottom w:val="single" w:color="auto" w:sz="4" w:space="0"/>
              <w:right w:val="single" w:color="auto" w:sz="4" w:space="0"/>
            </w:tcBorders>
            <w:vAlign w:val="center"/>
          </w:tcPr>
          <w:p w14:paraId="4A5463D5">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上述地区之外其他地区a</w:t>
            </w:r>
          </w:p>
        </w:tc>
      </w:tr>
      <w:tr w14:paraId="1BCC5A3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003" w:type="dxa"/>
            <w:gridSpan w:val="2"/>
            <w:tcBorders>
              <w:top w:val="single" w:color="auto" w:sz="4" w:space="0"/>
              <w:left w:val="single" w:color="auto" w:sz="4" w:space="0"/>
              <w:bottom w:val="single" w:color="auto" w:sz="4" w:space="0"/>
              <w:right w:val="single" w:color="auto" w:sz="4" w:space="0"/>
            </w:tcBorders>
            <w:vAlign w:val="center"/>
          </w:tcPr>
          <w:p w14:paraId="097BF88F">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注：a“环境敏感区”是指《建设项目环境影响评价分类管理名录》中所界定的涉及地下水的环境敏感区。</w:t>
            </w:r>
          </w:p>
        </w:tc>
      </w:tr>
    </w:tbl>
    <w:p w14:paraId="49514A04">
      <w:pPr>
        <w:pageBreakBefore w:val="0"/>
        <w:shd w:val="clear"/>
        <w:kinsoku/>
        <w:wordWrap/>
        <w:overflowPunct w:val="0"/>
        <w:bidi w:val="0"/>
        <w:adjustRightInd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zh-CN"/>
        </w:rPr>
        <w:t>本项目区不属于集中式、分散式饮用水源地准保护区、特殊地下水资源保护区、补给径流区和特殊地下水资源保护区，但周边存在分散式饮用水水源井，</w:t>
      </w:r>
      <w:r>
        <w:rPr>
          <w:rFonts w:hint="default" w:ascii="Times New Roman" w:hAnsi="Times New Roman" w:eastAsia="宋体" w:cs="Times New Roman"/>
          <w:color w:val="auto"/>
          <w:highlight w:val="none"/>
        </w:rPr>
        <w:t>因此，地下水环境敏感程度为“较敏感”。</w:t>
      </w:r>
    </w:p>
    <w:p w14:paraId="3992DDF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（3）评价等级确定</w:t>
      </w:r>
    </w:p>
    <w:p w14:paraId="2D4895D2">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地下水环境》（HJ610-2016），根据地下水环境敏感程度、项目地下水环境影响评价类别依据下表确定评价等级。</w:t>
      </w:r>
    </w:p>
    <w:p w14:paraId="6FB4CC6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地下水评价工作等级分级表</w:t>
      </w:r>
    </w:p>
    <w:tbl>
      <w:tblPr>
        <w:tblStyle w:val="42"/>
        <w:tblW w:w="82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69"/>
        <w:gridCol w:w="2069"/>
        <w:gridCol w:w="2069"/>
        <w:gridCol w:w="2070"/>
      </w:tblGrid>
      <w:tr w14:paraId="52BE4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2250" w:type="dxa"/>
            <w:tcBorders>
              <w:top w:val="single" w:color="auto" w:sz="4" w:space="0"/>
              <w:left w:val="single" w:color="auto" w:sz="4" w:space="0"/>
              <w:bottom w:val="single" w:color="auto" w:sz="4" w:space="0"/>
              <w:right w:val="single" w:color="auto" w:sz="4" w:space="0"/>
              <w:tl2br w:val="single" w:color="auto" w:sz="4" w:space="0"/>
            </w:tcBorders>
            <w:vAlign w:val="center"/>
          </w:tcPr>
          <w:p w14:paraId="5A999A98">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项目类别</w:t>
            </w:r>
          </w:p>
          <w:p w14:paraId="15C0711B">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环境敏感程度</w:t>
            </w:r>
          </w:p>
        </w:tc>
        <w:tc>
          <w:tcPr>
            <w:tcW w:w="2251" w:type="dxa"/>
            <w:tcBorders>
              <w:top w:val="single" w:color="auto" w:sz="4" w:space="0"/>
              <w:left w:val="single" w:color="auto" w:sz="4" w:space="0"/>
              <w:bottom w:val="single" w:color="auto" w:sz="4" w:space="0"/>
              <w:right w:val="single" w:color="auto" w:sz="4" w:space="0"/>
            </w:tcBorders>
            <w:vAlign w:val="center"/>
          </w:tcPr>
          <w:p w14:paraId="0E027F17">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fldChar w:fldCharType="begin"/>
            </w:r>
            <w:r>
              <w:rPr>
                <w:rFonts w:hint="default" w:ascii="Times New Roman" w:hAnsi="Times New Roman" w:eastAsia="宋体" w:cs="Times New Roman"/>
                <w:color w:val="auto"/>
                <w:sz w:val="21"/>
                <w:highlight w:val="none"/>
              </w:rPr>
              <w:instrText xml:space="preserve"> = 1 \* ROMAN </w:instrText>
            </w:r>
            <w:r>
              <w:rPr>
                <w:rFonts w:hint="default" w:ascii="Times New Roman" w:hAnsi="Times New Roman" w:eastAsia="宋体" w:cs="Times New Roman"/>
                <w:color w:val="auto"/>
                <w:sz w:val="21"/>
                <w:highlight w:val="none"/>
              </w:rPr>
              <w:fldChar w:fldCharType="separate"/>
            </w:r>
            <w:r>
              <w:rPr>
                <w:rFonts w:hint="default" w:ascii="Times New Roman" w:hAnsi="Times New Roman" w:eastAsia="宋体" w:cs="Times New Roman"/>
                <w:color w:val="auto"/>
                <w:sz w:val="21"/>
                <w:highlight w:val="none"/>
              </w:rPr>
              <w:t>I</w:t>
            </w:r>
            <w:r>
              <w:rPr>
                <w:rFonts w:hint="default" w:ascii="Times New Roman" w:hAnsi="Times New Roman" w:eastAsia="宋体" w:cs="Times New Roman"/>
                <w:color w:val="auto"/>
                <w:sz w:val="21"/>
                <w:highlight w:val="none"/>
              </w:rPr>
              <w:fldChar w:fldCharType="end"/>
            </w:r>
            <w:r>
              <w:rPr>
                <w:rFonts w:hint="default" w:ascii="Times New Roman" w:hAnsi="Times New Roman" w:eastAsia="宋体" w:cs="Times New Roman"/>
                <w:color w:val="auto"/>
                <w:sz w:val="21"/>
                <w:highlight w:val="none"/>
              </w:rPr>
              <w:t>类项目</w:t>
            </w:r>
          </w:p>
        </w:tc>
        <w:tc>
          <w:tcPr>
            <w:tcW w:w="2251" w:type="dxa"/>
            <w:tcBorders>
              <w:top w:val="single" w:color="auto" w:sz="4" w:space="0"/>
              <w:left w:val="single" w:color="auto" w:sz="4" w:space="0"/>
              <w:bottom w:val="single" w:color="auto" w:sz="4" w:space="0"/>
              <w:right w:val="single" w:color="auto" w:sz="4" w:space="0"/>
            </w:tcBorders>
            <w:vAlign w:val="center"/>
          </w:tcPr>
          <w:p w14:paraId="6B4C434D">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fldChar w:fldCharType="begin"/>
            </w:r>
            <w:r>
              <w:rPr>
                <w:rFonts w:hint="default" w:ascii="Times New Roman" w:hAnsi="Times New Roman" w:eastAsia="宋体" w:cs="Times New Roman"/>
                <w:color w:val="auto"/>
                <w:sz w:val="21"/>
                <w:highlight w:val="none"/>
              </w:rPr>
              <w:instrText xml:space="preserve"> = 2 \* ROMAN </w:instrText>
            </w:r>
            <w:r>
              <w:rPr>
                <w:rFonts w:hint="default" w:ascii="Times New Roman" w:hAnsi="Times New Roman" w:eastAsia="宋体" w:cs="Times New Roman"/>
                <w:color w:val="auto"/>
                <w:sz w:val="21"/>
                <w:highlight w:val="none"/>
              </w:rPr>
              <w:fldChar w:fldCharType="separate"/>
            </w:r>
            <w:r>
              <w:rPr>
                <w:rFonts w:hint="default" w:ascii="Times New Roman" w:hAnsi="Times New Roman" w:eastAsia="宋体" w:cs="Times New Roman"/>
                <w:color w:val="auto"/>
                <w:sz w:val="21"/>
                <w:highlight w:val="none"/>
                <w:lang w:eastAsia="zh-CN"/>
              </w:rPr>
              <w:t>Ⅱ</w:t>
            </w:r>
            <w:r>
              <w:rPr>
                <w:rFonts w:hint="default" w:ascii="Times New Roman" w:hAnsi="Times New Roman" w:eastAsia="宋体" w:cs="Times New Roman"/>
                <w:color w:val="auto"/>
                <w:sz w:val="21"/>
                <w:highlight w:val="none"/>
              </w:rPr>
              <w:fldChar w:fldCharType="end"/>
            </w:r>
            <w:r>
              <w:rPr>
                <w:rFonts w:hint="default" w:ascii="Times New Roman" w:hAnsi="Times New Roman" w:eastAsia="宋体" w:cs="Times New Roman"/>
                <w:color w:val="auto"/>
                <w:sz w:val="21"/>
                <w:highlight w:val="none"/>
              </w:rPr>
              <w:t>类项目</w:t>
            </w:r>
          </w:p>
        </w:tc>
        <w:tc>
          <w:tcPr>
            <w:tcW w:w="2251" w:type="dxa"/>
            <w:tcBorders>
              <w:top w:val="single" w:color="auto" w:sz="4" w:space="0"/>
              <w:left w:val="single" w:color="auto" w:sz="4" w:space="0"/>
              <w:bottom w:val="single" w:color="auto" w:sz="4" w:space="0"/>
              <w:right w:val="single" w:color="auto" w:sz="4" w:space="0"/>
            </w:tcBorders>
            <w:vAlign w:val="center"/>
          </w:tcPr>
          <w:p w14:paraId="6DA2C2AE">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fldChar w:fldCharType="begin"/>
            </w:r>
            <w:r>
              <w:rPr>
                <w:rFonts w:hint="default" w:ascii="Times New Roman" w:hAnsi="Times New Roman" w:eastAsia="宋体" w:cs="Times New Roman"/>
                <w:color w:val="auto"/>
                <w:sz w:val="21"/>
                <w:highlight w:val="none"/>
              </w:rPr>
              <w:instrText xml:space="preserve"> = 3 \* ROMAN </w:instrText>
            </w:r>
            <w:r>
              <w:rPr>
                <w:rFonts w:hint="default" w:ascii="Times New Roman" w:hAnsi="Times New Roman" w:eastAsia="宋体" w:cs="Times New Roman"/>
                <w:color w:val="auto"/>
                <w:sz w:val="21"/>
                <w:highlight w:val="none"/>
              </w:rPr>
              <w:fldChar w:fldCharType="separate"/>
            </w:r>
            <w:r>
              <w:rPr>
                <w:rFonts w:hint="default" w:ascii="Times New Roman" w:hAnsi="Times New Roman" w:eastAsia="宋体" w:cs="Times New Roman"/>
                <w:color w:val="auto"/>
                <w:sz w:val="21"/>
                <w:highlight w:val="none"/>
                <w:lang w:eastAsia="zh-CN"/>
              </w:rPr>
              <w:t>Ⅲ</w:t>
            </w:r>
            <w:r>
              <w:rPr>
                <w:rFonts w:hint="default" w:ascii="Times New Roman" w:hAnsi="Times New Roman" w:eastAsia="宋体" w:cs="Times New Roman"/>
                <w:color w:val="auto"/>
                <w:sz w:val="21"/>
                <w:highlight w:val="none"/>
              </w:rPr>
              <w:fldChar w:fldCharType="end"/>
            </w:r>
            <w:r>
              <w:rPr>
                <w:rFonts w:hint="default" w:ascii="Times New Roman" w:hAnsi="Times New Roman" w:eastAsia="宋体" w:cs="Times New Roman"/>
                <w:color w:val="auto"/>
                <w:sz w:val="21"/>
                <w:highlight w:val="none"/>
              </w:rPr>
              <w:t>类项目</w:t>
            </w:r>
          </w:p>
        </w:tc>
      </w:tr>
      <w:tr w14:paraId="4608E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top w:val="single" w:color="auto" w:sz="4" w:space="0"/>
              <w:left w:val="single" w:color="auto" w:sz="4" w:space="0"/>
              <w:bottom w:val="single" w:color="auto" w:sz="4" w:space="0"/>
              <w:right w:val="single" w:color="auto" w:sz="4" w:space="0"/>
            </w:tcBorders>
            <w:vAlign w:val="center"/>
          </w:tcPr>
          <w:p w14:paraId="50577CF6">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敏感</w:t>
            </w:r>
          </w:p>
        </w:tc>
        <w:tc>
          <w:tcPr>
            <w:tcW w:w="2251" w:type="dxa"/>
            <w:tcBorders>
              <w:top w:val="single" w:color="auto" w:sz="4" w:space="0"/>
              <w:left w:val="single" w:color="auto" w:sz="4" w:space="0"/>
              <w:bottom w:val="single" w:color="auto" w:sz="4" w:space="0"/>
              <w:right w:val="single" w:color="auto" w:sz="4" w:space="0"/>
            </w:tcBorders>
            <w:vAlign w:val="center"/>
          </w:tcPr>
          <w:p w14:paraId="36B63166">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一</w:t>
            </w:r>
          </w:p>
        </w:tc>
        <w:tc>
          <w:tcPr>
            <w:tcW w:w="2251" w:type="dxa"/>
            <w:tcBorders>
              <w:top w:val="single" w:color="auto" w:sz="4" w:space="0"/>
              <w:left w:val="single" w:color="auto" w:sz="4" w:space="0"/>
              <w:bottom w:val="single" w:color="auto" w:sz="4" w:space="0"/>
              <w:right w:val="single" w:color="auto" w:sz="4" w:space="0"/>
            </w:tcBorders>
            <w:vAlign w:val="center"/>
          </w:tcPr>
          <w:p w14:paraId="1707DCC1">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一</w:t>
            </w:r>
          </w:p>
        </w:tc>
        <w:tc>
          <w:tcPr>
            <w:tcW w:w="2251" w:type="dxa"/>
            <w:tcBorders>
              <w:top w:val="single" w:color="auto" w:sz="4" w:space="0"/>
              <w:left w:val="single" w:color="auto" w:sz="4" w:space="0"/>
              <w:bottom w:val="single" w:color="auto" w:sz="4" w:space="0"/>
              <w:right w:val="single" w:color="auto" w:sz="4" w:space="0"/>
            </w:tcBorders>
            <w:vAlign w:val="center"/>
          </w:tcPr>
          <w:p w14:paraId="533C92C0">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二</w:t>
            </w:r>
          </w:p>
        </w:tc>
      </w:tr>
      <w:tr w14:paraId="09CE4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top w:val="single" w:color="auto" w:sz="4" w:space="0"/>
              <w:left w:val="single" w:color="auto" w:sz="4" w:space="0"/>
              <w:bottom w:val="single" w:color="auto" w:sz="4" w:space="0"/>
              <w:right w:val="single" w:color="auto" w:sz="4" w:space="0"/>
            </w:tcBorders>
            <w:vAlign w:val="center"/>
          </w:tcPr>
          <w:p w14:paraId="1365C7A4">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较敏感</w:t>
            </w:r>
          </w:p>
        </w:tc>
        <w:tc>
          <w:tcPr>
            <w:tcW w:w="2251" w:type="dxa"/>
            <w:tcBorders>
              <w:top w:val="single" w:color="auto" w:sz="4" w:space="0"/>
              <w:left w:val="single" w:color="auto" w:sz="4" w:space="0"/>
              <w:bottom w:val="single" w:color="auto" w:sz="4" w:space="0"/>
              <w:right w:val="single" w:color="auto" w:sz="4" w:space="0"/>
            </w:tcBorders>
            <w:vAlign w:val="center"/>
          </w:tcPr>
          <w:p w14:paraId="016B1358">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一</w:t>
            </w:r>
          </w:p>
        </w:tc>
        <w:tc>
          <w:tcPr>
            <w:tcW w:w="2251" w:type="dxa"/>
            <w:tcBorders>
              <w:top w:val="single" w:color="auto" w:sz="4" w:space="0"/>
              <w:left w:val="single" w:color="auto" w:sz="4" w:space="0"/>
              <w:bottom w:val="single" w:color="auto" w:sz="4" w:space="0"/>
              <w:right w:val="single" w:color="auto" w:sz="4" w:space="0"/>
            </w:tcBorders>
            <w:vAlign w:val="center"/>
          </w:tcPr>
          <w:p w14:paraId="08E5DC31">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二</w:t>
            </w:r>
          </w:p>
        </w:tc>
        <w:tc>
          <w:tcPr>
            <w:tcW w:w="2251" w:type="dxa"/>
            <w:tcBorders>
              <w:top w:val="single" w:color="auto" w:sz="4" w:space="0"/>
              <w:left w:val="single" w:color="auto" w:sz="4" w:space="0"/>
              <w:bottom w:val="single" w:color="auto" w:sz="4" w:space="0"/>
              <w:right w:val="single" w:color="auto" w:sz="4" w:space="0"/>
            </w:tcBorders>
            <w:shd w:val="clear" w:color="auto" w:fill="A5A5A5" w:themeFill="background1" w:themeFillShade="A6"/>
            <w:vAlign w:val="center"/>
          </w:tcPr>
          <w:p w14:paraId="0D15507C">
            <w:pPr>
              <w:keepNext w:val="0"/>
              <w:keepLines w:val="0"/>
              <w:pageBreakBefore w:val="0"/>
              <w:widowControl w:val="0"/>
              <w:shd w:val="clear"/>
              <w:kinsoku/>
              <w:wordWrap/>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三</w:t>
            </w:r>
          </w:p>
        </w:tc>
      </w:tr>
      <w:tr w14:paraId="72B6C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top w:val="single" w:color="auto" w:sz="4" w:space="0"/>
              <w:left w:val="single" w:color="auto" w:sz="4" w:space="0"/>
              <w:bottom w:val="single" w:color="auto" w:sz="4" w:space="0"/>
              <w:right w:val="single" w:color="auto" w:sz="4" w:space="0"/>
            </w:tcBorders>
            <w:vAlign w:val="center"/>
          </w:tcPr>
          <w:p w14:paraId="0AF0DB3C">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不敏感</w:t>
            </w:r>
          </w:p>
        </w:tc>
        <w:tc>
          <w:tcPr>
            <w:tcW w:w="2251" w:type="dxa"/>
            <w:tcBorders>
              <w:top w:val="single" w:color="auto" w:sz="4" w:space="0"/>
              <w:left w:val="single" w:color="auto" w:sz="4" w:space="0"/>
              <w:bottom w:val="single" w:color="auto" w:sz="4" w:space="0"/>
              <w:right w:val="single" w:color="auto" w:sz="4" w:space="0"/>
            </w:tcBorders>
            <w:vAlign w:val="center"/>
          </w:tcPr>
          <w:p w14:paraId="51C0AE4C">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二</w:t>
            </w:r>
          </w:p>
        </w:tc>
        <w:tc>
          <w:tcPr>
            <w:tcW w:w="2251" w:type="dxa"/>
            <w:tcBorders>
              <w:top w:val="single" w:color="auto" w:sz="4" w:space="0"/>
              <w:left w:val="single" w:color="auto" w:sz="4" w:space="0"/>
              <w:bottom w:val="single" w:color="auto" w:sz="4" w:space="0"/>
              <w:right w:val="single" w:color="auto" w:sz="4" w:space="0"/>
            </w:tcBorders>
            <w:vAlign w:val="center"/>
          </w:tcPr>
          <w:p w14:paraId="0CF02CDF">
            <w:pPr>
              <w:keepNext w:val="0"/>
              <w:keepLines w:val="0"/>
              <w:pageBreakBefore w:val="0"/>
              <w:widowControl w:val="0"/>
              <w:shd w:val="clear"/>
              <w:kinsoku/>
              <w:wordWrap/>
              <w:overflowPunct w:val="0"/>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三</w:t>
            </w:r>
          </w:p>
        </w:tc>
        <w:tc>
          <w:tcPr>
            <w:tcW w:w="2251" w:type="dxa"/>
            <w:tcBorders>
              <w:top w:val="single" w:color="auto" w:sz="4" w:space="0"/>
              <w:left w:val="single" w:color="auto" w:sz="4" w:space="0"/>
              <w:bottom w:val="single" w:color="auto" w:sz="4" w:space="0"/>
              <w:right w:val="single" w:color="auto" w:sz="4" w:space="0"/>
            </w:tcBorders>
            <w:shd w:val="clear" w:color="auto" w:fill="auto"/>
            <w:vAlign w:val="center"/>
          </w:tcPr>
          <w:p w14:paraId="31CE3D61">
            <w:pPr>
              <w:keepNext w:val="0"/>
              <w:keepLines w:val="0"/>
              <w:pageBreakBefore w:val="0"/>
              <w:widowControl w:val="0"/>
              <w:shd w:val="clear"/>
              <w:kinsoku/>
              <w:wordWrap/>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2"/>
                <w:highlight w:val="none"/>
                <w:lang w:val="en-GB" w:eastAsia="zh-CN" w:bidi="ar-SA"/>
              </w:rPr>
            </w:pPr>
            <w:r>
              <w:rPr>
                <w:rFonts w:hint="default" w:ascii="Times New Roman" w:hAnsi="Times New Roman" w:eastAsia="宋体" w:cs="Times New Roman"/>
                <w:color w:val="auto"/>
                <w:kern w:val="2"/>
                <w:sz w:val="21"/>
                <w:szCs w:val="22"/>
                <w:highlight w:val="none"/>
                <w:lang w:val="en-GB" w:eastAsia="zh-CN" w:bidi="ar-SA"/>
              </w:rPr>
              <w:t>三</w:t>
            </w:r>
          </w:p>
        </w:tc>
      </w:tr>
    </w:tbl>
    <w:p w14:paraId="4D8BE26D">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依据建设项目地下水环境影响评价工作等级划分中的要求，</w:t>
      </w:r>
      <w:r>
        <w:rPr>
          <w:rFonts w:hint="default" w:ascii="Times New Roman" w:hAnsi="Times New Roman" w:eastAsia="宋体" w:cs="Times New Roman"/>
          <w:color w:val="auto"/>
          <w:highlight w:val="none"/>
          <w:lang w:eastAsia="zh-CN"/>
        </w:rPr>
        <w:t>本</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类别</w:t>
      </w:r>
      <w:r>
        <w:rPr>
          <w:rFonts w:hint="default" w:ascii="Times New Roman" w:hAnsi="Times New Roman" w:eastAsia="宋体" w:cs="Times New Roman"/>
          <w:color w:val="auto"/>
          <w:highlight w:val="none"/>
        </w:rPr>
        <w:t>为Ⅲ类</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环境敏感程度为“</w:t>
      </w:r>
      <w:r>
        <w:rPr>
          <w:rFonts w:hint="default" w:ascii="Times New Roman" w:hAnsi="Times New Roman" w:eastAsia="宋体" w:cs="Times New Roman"/>
          <w:color w:val="auto"/>
          <w:highlight w:val="none"/>
          <w:lang w:eastAsia="zh-CN"/>
        </w:rPr>
        <w:t>较</w:t>
      </w:r>
      <w:r>
        <w:rPr>
          <w:rFonts w:hint="default" w:ascii="Times New Roman" w:hAnsi="Times New Roman" w:eastAsia="宋体" w:cs="Times New Roman"/>
          <w:color w:val="auto"/>
          <w:highlight w:val="none"/>
        </w:rPr>
        <w:t>敏感”，确定本项目地下水评价工作等级为三级。</w:t>
      </w:r>
    </w:p>
    <w:p w14:paraId="5EF736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（4）地下水评价范围</w:t>
      </w:r>
    </w:p>
    <w:p w14:paraId="3702516F">
      <w:pPr>
        <w:pageBreakBefore w:val="0"/>
        <w:shd w:val="clear"/>
        <w:kinsoku/>
        <w:wordWrap/>
        <w:topLinePunct w:val="0"/>
        <w:autoSpaceDE/>
        <w:bidi w:val="0"/>
        <w:snapToGrid w:val="0"/>
        <w:spacing w:line="360" w:lineRule="auto"/>
        <w:ind w:left="0" w:leftChars="0" w:right="0" w:rightChars="0" w:firstLine="480"/>
        <w:rPr>
          <w:rFonts w:hint="default" w:ascii="Times New Roman" w:hAnsi="Times New Roman" w:eastAsia="宋体" w:cs="Times New Roman"/>
          <w:color w:val="auto"/>
          <w:szCs w:val="24"/>
          <w:highlight w:val="none"/>
          <w:lang w:val="zh-CN"/>
        </w:rPr>
      </w:pPr>
      <w:r>
        <w:rPr>
          <w:rFonts w:hint="default" w:ascii="Times New Roman" w:hAnsi="Times New Roman" w:eastAsia="宋体" w:cs="Times New Roman"/>
          <w:color w:val="auto"/>
          <w:szCs w:val="24"/>
          <w:highlight w:val="none"/>
          <w:lang w:val="zh-CN"/>
        </w:rPr>
        <w:t>根据《环境影响评价技术导则</w:t>
      </w:r>
      <w:r>
        <w:rPr>
          <w:rFonts w:hint="default" w:ascii="Times New Roman" w:hAnsi="Times New Roman" w:eastAsia="宋体" w:cs="Times New Roman"/>
          <w:color w:val="auto"/>
          <w:szCs w:val="24"/>
          <w:highlight w:val="none"/>
          <w:lang w:val="en-US" w:eastAsia="zh-CN"/>
        </w:rPr>
        <w:t xml:space="preserve"> </w:t>
      </w:r>
      <w:r>
        <w:rPr>
          <w:rFonts w:hint="default" w:ascii="Times New Roman" w:hAnsi="Times New Roman" w:eastAsia="宋体" w:cs="Times New Roman"/>
          <w:color w:val="auto"/>
          <w:szCs w:val="24"/>
          <w:highlight w:val="none"/>
          <w:lang w:val="zh-CN"/>
        </w:rPr>
        <w:t>地下水环境》（HJ610-2016），建设项目地下水环境影响现状调查评价范围可采用公式法、查表法和自定义法确定。本次评价采用查表法确定地下水评价范围。地下水环境现状调查评价范围参照表见下表。</w:t>
      </w:r>
    </w:p>
    <w:p w14:paraId="6C00F39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地下水环境现状调查评价范围参照表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3254"/>
        <w:gridCol w:w="2836"/>
      </w:tblGrid>
      <w:tr w14:paraId="73CC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vAlign w:val="center"/>
          </w:tcPr>
          <w:p w14:paraId="2B78EA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评价等级</w:t>
            </w:r>
          </w:p>
        </w:tc>
        <w:tc>
          <w:tcPr>
            <w:tcW w:w="3543" w:type="dxa"/>
            <w:vAlign w:val="center"/>
          </w:tcPr>
          <w:p w14:paraId="488D01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调查评价范围（km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085" w:type="dxa"/>
            <w:vAlign w:val="center"/>
          </w:tcPr>
          <w:p w14:paraId="70F6AD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p>
        </w:tc>
      </w:tr>
      <w:tr w14:paraId="0F46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vAlign w:val="center"/>
          </w:tcPr>
          <w:p w14:paraId="5152DC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一级</w:t>
            </w:r>
          </w:p>
        </w:tc>
        <w:tc>
          <w:tcPr>
            <w:tcW w:w="3543" w:type="dxa"/>
            <w:vAlign w:val="center"/>
          </w:tcPr>
          <w:p w14:paraId="0876A3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3085" w:type="dxa"/>
            <w:vMerge w:val="restart"/>
            <w:vAlign w:val="center"/>
          </w:tcPr>
          <w:p w14:paraId="6D9468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应包括重要的地下水环境保护目标，必要时适当扩大范围。</w:t>
            </w:r>
          </w:p>
        </w:tc>
      </w:tr>
      <w:tr w14:paraId="30FF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vAlign w:val="center"/>
          </w:tcPr>
          <w:p w14:paraId="668A19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二级</w:t>
            </w:r>
          </w:p>
        </w:tc>
        <w:tc>
          <w:tcPr>
            <w:tcW w:w="3543" w:type="dxa"/>
            <w:vAlign w:val="center"/>
          </w:tcPr>
          <w:p w14:paraId="774D88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3085" w:type="dxa"/>
            <w:vMerge w:val="continue"/>
            <w:vAlign w:val="center"/>
          </w:tcPr>
          <w:p w14:paraId="368BD4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5123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vAlign w:val="center"/>
          </w:tcPr>
          <w:p w14:paraId="494228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三级</w:t>
            </w:r>
          </w:p>
        </w:tc>
        <w:tc>
          <w:tcPr>
            <w:tcW w:w="3543" w:type="dxa"/>
            <w:vAlign w:val="center"/>
          </w:tcPr>
          <w:p w14:paraId="708786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085" w:type="dxa"/>
            <w:vMerge w:val="continue"/>
            <w:vAlign w:val="center"/>
          </w:tcPr>
          <w:p w14:paraId="278644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bl>
    <w:p w14:paraId="1C0FAC7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本项目区下游无集中式地下水源地，</w:t>
      </w:r>
      <w:r>
        <w:rPr>
          <w:rFonts w:hint="default" w:ascii="Times New Roman" w:hAnsi="Times New Roman" w:eastAsia="宋体" w:cs="Times New Roman"/>
          <w:color w:val="auto"/>
          <w:highlight w:val="none"/>
          <w:lang w:eastAsia="zh-CN"/>
        </w:rPr>
        <w:t>地下水流向由西南向东北</w:t>
      </w:r>
      <w:r>
        <w:rPr>
          <w:rFonts w:hint="default" w:ascii="Times New Roman" w:hAnsi="Times New Roman" w:eastAsia="宋体" w:cs="Times New Roman"/>
          <w:color w:val="auto"/>
          <w:highlight w:val="none"/>
        </w:rPr>
        <w:t>；本次调查评价范围：上游</w:t>
      </w:r>
      <w:r>
        <w:rPr>
          <w:rFonts w:hint="default" w:ascii="Times New Roman" w:hAnsi="Times New Roman" w:eastAsia="宋体" w:cs="Times New Roman"/>
          <w:color w:val="auto"/>
          <w:highlight w:val="none"/>
          <w:lang w:eastAsia="zh-CN"/>
        </w:rPr>
        <w:t>西</w:t>
      </w:r>
      <w:r>
        <w:rPr>
          <w:rFonts w:hint="default" w:ascii="Times New Roman" w:hAnsi="Times New Roman" w:eastAsia="宋体" w:cs="Times New Roman"/>
          <w:color w:val="auto"/>
          <w:highlight w:val="none"/>
          <w:lang w:val="en-US" w:eastAsia="zh-CN"/>
        </w:rPr>
        <w:t>北</w:t>
      </w:r>
      <w:r>
        <w:rPr>
          <w:rFonts w:hint="default" w:ascii="Times New Roman" w:hAnsi="Times New Roman" w:eastAsia="宋体" w:cs="Times New Roman"/>
          <w:color w:val="auto"/>
          <w:highlight w:val="none"/>
        </w:rPr>
        <w:t>侧扩展</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km为界，</w:t>
      </w:r>
      <w:r>
        <w:rPr>
          <w:rFonts w:hint="default" w:ascii="Times New Roman" w:hAnsi="Times New Roman" w:eastAsia="宋体" w:cs="Times New Roman"/>
          <w:color w:val="auto"/>
          <w:highlight w:val="none"/>
          <w:lang w:eastAsia="zh-CN"/>
        </w:rPr>
        <w:t>两</w:t>
      </w:r>
      <w:r>
        <w:rPr>
          <w:rFonts w:hint="default" w:ascii="Times New Roman" w:hAnsi="Times New Roman" w:eastAsia="宋体" w:cs="Times New Roman"/>
          <w:color w:val="auto"/>
          <w:highlight w:val="none"/>
        </w:rPr>
        <w:t>侧向外扩展1.0km为界，下游</w:t>
      </w:r>
      <w:r>
        <w:rPr>
          <w:rFonts w:hint="default" w:ascii="Times New Roman" w:hAnsi="Times New Roman" w:eastAsia="宋体" w:cs="Times New Roman"/>
          <w:color w:val="auto"/>
          <w:highlight w:val="none"/>
          <w:lang w:eastAsia="zh-CN"/>
        </w:rPr>
        <w:t>东</w:t>
      </w:r>
      <w:r>
        <w:rPr>
          <w:rFonts w:hint="default" w:ascii="Times New Roman" w:hAnsi="Times New Roman" w:eastAsia="宋体" w:cs="Times New Roman"/>
          <w:color w:val="auto"/>
          <w:highlight w:val="none"/>
          <w:lang w:val="en-US" w:eastAsia="zh-CN"/>
        </w:rPr>
        <w:t>南</w:t>
      </w:r>
      <w:r>
        <w:rPr>
          <w:rFonts w:hint="default" w:ascii="Times New Roman" w:hAnsi="Times New Roman" w:eastAsia="宋体" w:cs="Times New Roman"/>
          <w:color w:val="auto"/>
          <w:highlight w:val="none"/>
          <w:lang w:eastAsia="zh-CN"/>
        </w:rPr>
        <w:t>侧</w:t>
      </w:r>
      <w:r>
        <w:rPr>
          <w:rFonts w:hint="default" w:ascii="Times New Roman" w:hAnsi="Times New Roman" w:eastAsia="宋体" w:cs="Times New Roman"/>
          <w:color w:val="auto"/>
          <w:highlight w:val="none"/>
        </w:rPr>
        <w:t>扩展</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km为界，面积约为6.0km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，如图2.6-1所示。</w:t>
      </w:r>
    </w:p>
    <w:p w14:paraId="7CF341A6">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lang w:val="en-GB"/>
        </w:rPr>
      </w:pPr>
      <w:bookmarkStart w:id="184" w:name="_Toc25491"/>
      <w:r>
        <w:rPr>
          <w:rFonts w:hint="default" w:ascii="Times New Roman" w:hAnsi="Times New Roman" w:eastAsia="宋体" w:cs="Times New Roman"/>
          <w:color w:val="auto"/>
          <w:highlight w:val="none"/>
          <w:lang w:val="en-GB"/>
        </w:rPr>
        <w:t>2.5.4土壤环境</w:t>
      </w:r>
      <w:bookmarkEnd w:id="184"/>
    </w:p>
    <w:p w14:paraId="4BDEF3F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（1）项目类别</w:t>
      </w:r>
    </w:p>
    <w:p w14:paraId="2434A2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位于</w:t>
      </w:r>
      <w:r>
        <w:rPr>
          <w:rFonts w:hint="default" w:ascii="Times New Roman" w:hAnsi="Times New Roman" w:eastAsia="宋体" w:cs="Times New Roman"/>
          <w:color w:val="auto"/>
          <w:sz w:val="24"/>
          <w:szCs w:val="24"/>
          <w:highlight w:val="none"/>
          <w:lang w:eastAsia="zh-CN"/>
        </w:rPr>
        <w:t>内蒙古自治区巴彦淖尔市五原县胜丰镇新丰村三社</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val="en-GB"/>
        </w:rPr>
        <w:t>《</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GB"/>
        </w:rPr>
        <w:t>土壤环境（试行）》（HJ964-2018）</w:t>
      </w:r>
      <w:r>
        <w:rPr>
          <w:rFonts w:hint="default" w:ascii="Times New Roman" w:hAnsi="Times New Roman" w:eastAsia="宋体" w:cs="Times New Roman"/>
          <w:color w:val="auto"/>
          <w:szCs w:val="24"/>
          <w:highlight w:val="none"/>
        </w:rPr>
        <w:t>附录A</w:t>
      </w:r>
      <w:r>
        <w:rPr>
          <w:rFonts w:hint="default" w:ascii="Times New Roman" w:hAnsi="Times New Roman" w:eastAsia="宋体" w:cs="Times New Roman"/>
          <w:color w:val="auto"/>
          <w:highlight w:val="none"/>
        </w:rPr>
        <w:t>土壤环境影响评价行业分类表，本项目</w:t>
      </w:r>
      <w:r>
        <w:rPr>
          <w:rFonts w:hint="default" w:ascii="Times New Roman" w:hAnsi="Times New Roman" w:eastAsia="宋体" w:cs="Times New Roman"/>
          <w:color w:val="auto"/>
          <w:szCs w:val="24"/>
          <w:highlight w:val="none"/>
        </w:rPr>
        <w:t>土壤环境影响评价项目</w:t>
      </w:r>
      <w:r>
        <w:rPr>
          <w:rFonts w:hint="default" w:ascii="Times New Roman" w:hAnsi="Times New Roman" w:eastAsia="宋体" w:cs="Times New Roman"/>
          <w:color w:val="auto"/>
          <w:szCs w:val="24"/>
          <w:highlight w:val="none"/>
          <w:lang w:eastAsia="zh-CN"/>
        </w:rPr>
        <w:t>类别为</w:t>
      </w:r>
      <w:r>
        <w:rPr>
          <w:rFonts w:hint="default" w:ascii="Times New Roman" w:hAnsi="Times New Roman" w:eastAsia="宋体" w:cs="Times New Roman"/>
          <w:color w:val="auto"/>
          <w:szCs w:val="24"/>
          <w:highlight w:val="none"/>
        </w:rPr>
        <w:fldChar w:fldCharType="begin"/>
      </w:r>
      <w:r>
        <w:rPr>
          <w:rFonts w:hint="default" w:ascii="Times New Roman" w:hAnsi="Times New Roman" w:eastAsia="宋体" w:cs="Times New Roman"/>
          <w:color w:val="auto"/>
          <w:szCs w:val="24"/>
          <w:highlight w:val="none"/>
        </w:rPr>
        <w:instrText xml:space="preserve"> = 3 \* ROMAN \* MERGEFORMAT </w:instrText>
      </w:r>
      <w:r>
        <w:rPr>
          <w:rFonts w:hint="default" w:ascii="Times New Roman" w:hAnsi="Times New Roman" w:eastAsia="宋体" w:cs="Times New Roman"/>
          <w:color w:val="auto"/>
          <w:szCs w:val="24"/>
          <w:highlight w:val="none"/>
        </w:rPr>
        <w:fldChar w:fldCharType="separate"/>
      </w:r>
      <w:r>
        <w:rPr>
          <w:rFonts w:hint="default" w:ascii="Times New Roman" w:hAnsi="Times New Roman" w:eastAsia="宋体" w:cs="Times New Roman"/>
          <w:color w:val="auto"/>
          <w:highlight w:val="none"/>
          <w:lang w:eastAsia="zh-CN"/>
        </w:rPr>
        <w:t>Ⅲ</w:t>
      </w:r>
      <w:r>
        <w:rPr>
          <w:rFonts w:hint="default" w:ascii="Times New Roman" w:hAnsi="Times New Roman" w:eastAsia="宋体" w:cs="Times New Roman"/>
          <w:color w:val="auto"/>
          <w:szCs w:val="24"/>
          <w:highlight w:val="none"/>
        </w:rPr>
        <w:fldChar w:fldCharType="end"/>
      </w:r>
      <w:r>
        <w:rPr>
          <w:rFonts w:hint="default" w:ascii="Times New Roman" w:hAnsi="Times New Roman" w:eastAsia="宋体" w:cs="Times New Roman"/>
          <w:color w:val="auto"/>
          <w:szCs w:val="24"/>
          <w:highlight w:val="none"/>
        </w:rPr>
        <w:t>类。</w:t>
      </w:r>
    </w:p>
    <w:p w14:paraId="72C3452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GB"/>
        </w:rPr>
        <w:t>）</w:t>
      </w:r>
      <w:r>
        <w:rPr>
          <w:rFonts w:hint="default" w:ascii="Times New Roman" w:hAnsi="Times New Roman" w:eastAsia="宋体" w:cs="Times New Roman"/>
          <w:color w:val="auto"/>
          <w:highlight w:val="none"/>
          <w:lang w:eastAsia="zh-CN"/>
        </w:rPr>
        <w:t>土壤</w:t>
      </w:r>
      <w:r>
        <w:rPr>
          <w:rFonts w:hint="default" w:ascii="Times New Roman" w:hAnsi="Times New Roman" w:eastAsia="宋体" w:cs="Times New Roman"/>
          <w:color w:val="auto"/>
          <w:highlight w:val="none"/>
        </w:rPr>
        <w:t>环境敏感程度</w:t>
      </w:r>
    </w:p>
    <w:p w14:paraId="7594C4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依据《</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GB"/>
        </w:rPr>
        <w:t>土壤环境（试行）》（HJ964-2018），建设项目所在地周边的土壤环境敏感程度分为敏感、较敏感、不敏感，判别依据见表2.5-</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lang w:val="en-GB"/>
        </w:rPr>
        <w:t>。</w:t>
      </w:r>
    </w:p>
    <w:p w14:paraId="19747E99">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表2.5-</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污染影响型敏感程度分级表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75"/>
        <w:gridCol w:w="6602"/>
      </w:tblGrid>
      <w:tr w14:paraId="5E1296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0" w:type="dxa"/>
            <w:tcBorders>
              <w:top w:val="single" w:color="auto" w:sz="4" w:space="0"/>
              <w:left w:val="single" w:color="auto" w:sz="4" w:space="0"/>
              <w:bottom w:val="single" w:color="auto" w:sz="4" w:space="0"/>
              <w:right w:val="single" w:color="auto" w:sz="4" w:space="0"/>
            </w:tcBorders>
            <w:vAlign w:val="center"/>
          </w:tcPr>
          <w:p w14:paraId="6BB767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敏感程度</w:t>
            </w:r>
          </w:p>
        </w:tc>
        <w:tc>
          <w:tcPr>
            <w:tcW w:w="7193" w:type="dxa"/>
            <w:tcBorders>
              <w:top w:val="single" w:color="auto" w:sz="4" w:space="0"/>
              <w:left w:val="single" w:color="auto" w:sz="4" w:space="0"/>
              <w:bottom w:val="single" w:color="auto" w:sz="4" w:space="0"/>
              <w:right w:val="single" w:color="auto" w:sz="4" w:space="0"/>
            </w:tcBorders>
            <w:vAlign w:val="center"/>
          </w:tcPr>
          <w:p w14:paraId="2BAECA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判别依据</w:t>
            </w:r>
          </w:p>
        </w:tc>
      </w:tr>
      <w:tr w14:paraId="2265C9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0" w:type="dxa"/>
            <w:tcBorders>
              <w:top w:val="single" w:color="auto" w:sz="4" w:space="0"/>
              <w:left w:val="single" w:color="auto" w:sz="4" w:space="0"/>
              <w:bottom w:val="single" w:color="auto" w:sz="4" w:space="0"/>
              <w:right w:val="single" w:color="auto" w:sz="4" w:space="0"/>
            </w:tcBorders>
            <w:vAlign w:val="center"/>
          </w:tcPr>
          <w:p w14:paraId="7FACB2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敏感</w:t>
            </w:r>
          </w:p>
        </w:tc>
        <w:tc>
          <w:tcPr>
            <w:tcW w:w="7193" w:type="dxa"/>
            <w:tcBorders>
              <w:top w:val="single" w:color="auto" w:sz="4" w:space="0"/>
              <w:left w:val="single" w:color="auto" w:sz="4" w:space="0"/>
              <w:bottom w:val="single" w:color="auto" w:sz="4" w:space="0"/>
              <w:right w:val="single" w:color="auto" w:sz="4" w:space="0"/>
            </w:tcBorders>
            <w:vAlign w:val="center"/>
          </w:tcPr>
          <w:p w14:paraId="7C0DEC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建设项目周边存在耕地、园地、牧草地、饮用水水源地或居民区、学校、医院、疗养院、养老院等土壤环境敏感目标的</w:t>
            </w:r>
          </w:p>
        </w:tc>
      </w:tr>
      <w:tr w14:paraId="7C7B16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0" w:type="dxa"/>
            <w:tcBorders>
              <w:top w:val="single" w:color="auto" w:sz="4" w:space="0"/>
              <w:left w:val="single" w:color="auto" w:sz="4" w:space="0"/>
              <w:bottom w:val="single" w:color="auto" w:sz="4" w:space="0"/>
              <w:right w:val="single" w:color="auto" w:sz="4" w:space="0"/>
            </w:tcBorders>
            <w:vAlign w:val="center"/>
          </w:tcPr>
          <w:p w14:paraId="6843DA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较敏感</w:t>
            </w:r>
          </w:p>
        </w:tc>
        <w:tc>
          <w:tcPr>
            <w:tcW w:w="7193" w:type="dxa"/>
            <w:tcBorders>
              <w:top w:val="single" w:color="auto" w:sz="4" w:space="0"/>
              <w:left w:val="single" w:color="auto" w:sz="4" w:space="0"/>
              <w:bottom w:val="single" w:color="auto" w:sz="4" w:space="0"/>
              <w:right w:val="single" w:color="auto" w:sz="4" w:space="0"/>
            </w:tcBorders>
            <w:vAlign w:val="center"/>
          </w:tcPr>
          <w:p w14:paraId="67095F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建设项目周边存在其他土壤环境敏感目标的</w:t>
            </w:r>
          </w:p>
        </w:tc>
      </w:tr>
      <w:tr w14:paraId="19879A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10" w:type="dxa"/>
            <w:tcBorders>
              <w:top w:val="single" w:color="auto" w:sz="4" w:space="0"/>
              <w:left w:val="single" w:color="auto" w:sz="4" w:space="0"/>
              <w:bottom w:val="single" w:color="auto" w:sz="4" w:space="0"/>
              <w:right w:val="single" w:color="auto" w:sz="4" w:space="0"/>
            </w:tcBorders>
            <w:vAlign w:val="center"/>
          </w:tcPr>
          <w:p w14:paraId="101208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不敏感</w:t>
            </w:r>
          </w:p>
        </w:tc>
        <w:tc>
          <w:tcPr>
            <w:tcW w:w="7193" w:type="dxa"/>
            <w:tcBorders>
              <w:top w:val="single" w:color="auto" w:sz="4" w:space="0"/>
              <w:left w:val="single" w:color="auto" w:sz="4" w:space="0"/>
              <w:bottom w:val="single" w:color="auto" w:sz="4" w:space="0"/>
              <w:right w:val="single" w:color="auto" w:sz="4" w:space="0"/>
            </w:tcBorders>
            <w:vAlign w:val="center"/>
          </w:tcPr>
          <w:p w14:paraId="34C31B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其他情况</w:t>
            </w:r>
          </w:p>
        </w:tc>
      </w:tr>
    </w:tbl>
    <w:p w14:paraId="09D5F9D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eastAsia="zh-CN"/>
        </w:rPr>
      </w:pPr>
      <w:r>
        <w:rPr>
          <w:rFonts w:hint="default" w:ascii="Times New Roman" w:hAnsi="Times New Roman" w:eastAsia="宋体" w:cs="Times New Roman"/>
          <w:color w:val="auto"/>
          <w:highlight w:val="none"/>
          <w:lang w:val="en-GB"/>
        </w:rPr>
        <w:t>本项目周边存在</w:t>
      </w:r>
      <w:r>
        <w:rPr>
          <w:rFonts w:hint="default" w:ascii="Times New Roman" w:hAnsi="Times New Roman" w:eastAsia="宋体" w:cs="Times New Roman"/>
          <w:color w:val="auto"/>
          <w:highlight w:val="none"/>
          <w:lang w:val="en-GB" w:eastAsia="zh-CN"/>
        </w:rPr>
        <w:t>耕地等</w:t>
      </w:r>
      <w:r>
        <w:rPr>
          <w:rFonts w:hint="default" w:ascii="Times New Roman" w:hAnsi="Times New Roman" w:eastAsia="宋体" w:cs="Times New Roman"/>
          <w:color w:val="auto"/>
          <w:highlight w:val="none"/>
          <w:lang w:val="en-GB"/>
        </w:rPr>
        <w:t>土壤环境敏感目标，敏感程度属于敏感</w:t>
      </w:r>
      <w:r>
        <w:rPr>
          <w:rFonts w:hint="default" w:ascii="Times New Roman" w:hAnsi="Times New Roman" w:eastAsia="宋体" w:cs="Times New Roman"/>
          <w:color w:val="auto"/>
          <w:highlight w:val="none"/>
          <w:lang w:val="en-GB" w:eastAsia="zh-CN"/>
        </w:rPr>
        <w:t>。</w:t>
      </w:r>
    </w:p>
    <w:p w14:paraId="67D733A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eastAsia="zh-CN"/>
        </w:rPr>
      </w:pPr>
      <w:r>
        <w:rPr>
          <w:rFonts w:hint="default" w:ascii="Times New Roman" w:hAnsi="Times New Roman" w:eastAsia="宋体" w:cs="Times New Roman"/>
          <w:color w:val="auto"/>
          <w:highlight w:val="none"/>
          <w:lang w:val="en-GB"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GB" w:eastAsia="zh-CN"/>
        </w:rPr>
        <w:t>）</w:t>
      </w:r>
      <w:r>
        <w:rPr>
          <w:rFonts w:hint="default" w:ascii="Times New Roman" w:hAnsi="Times New Roman" w:eastAsia="宋体" w:cs="Times New Roman"/>
          <w:color w:val="auto"/>
          <w:highlight w:val="none"/>
          <w:lang w:val="en-GB"/>
        </w:rPr>
        <w:t>占地规模</w:t>
      </w:r>
    </w:p>
    <w:p w14:paraId="32CCF09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eastAsia="zh-CN"/>
        </w:rPr>
      </w:pPr>
      <w:r>
        <w:rPr>
          <w:rFonts w:hint="default" w:ascii="Times New Roman" w:hAnsi="Times New Roman" w:eastAsia="宋体" w:cs="Times New Roman"/>
          <w:color w:val="auto"/>
          <w:highlight w:val="none"/>
          <w:lang w:val="en-GB"/>
        </w:rPr>
        <w:t>本项目占地规模5hm</w:t>
      </w:r>
      <w:r>
        <w:rPr>
          <w:rFonts w:hint="default" w:ascii="Times New Roman" w:hAnsi="Times New Roman" w:eastAsia="宋体" w:cs="Times New Roman"/>
          <w:color w:val="auto"/>
          <w:highlight w:val="none"/>
          <w:vertAlign w:val="superscript"/>
          <w:lang w:val="en-GB"/>
        </w:rPr>
        <w:t>2</w:t>
      </w:r>
      <w:r>
        <w:rPr>
          <w:rFonts w:hint="default" w:ascii="Times New Roman" w:hAnsi="Times New Roman" w:eastAsia="宋体" w:cs="Times New Roman"/>
          <w:color w:val="auto"/>
          <w:highlight w:val="none"/>
          <w:lang w:val="en-GB" w:eastAsia="zh-CN"/>
        </w:rPr>
        <w:t>＜5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GB" w:eastAsia="zh-CN"/>
        </w:rPr>
        <w:t>16</w:t>
      </w:r>
      <w:r>
        <w:rPr>
          <w:rFonts w:hint="default" w:ascii="Times New Roman" w:hAnsi="Times New Roman" w:eastAsia="宋体" w:cs="Times New Roman"/>
          <w:color w:val="auto"/>
          <w:highlight w:val="none"/>
          <w:lang w:val="en-GB"/>
        </w:rPr>
        <w:t>hm</w:t>
      </w:r>
      <w:r>
        <w:rPr>
          <w:rFonts w:hint="default" w:ascii="Times New Roman" w:hAnsi="Times New Roman" w:eastAsia="宋体" w:cs="Times New Roman"/>
          <w:color w:val="auto"/>
          <w:highlight w:val="none"/>
          <w:vertAlign w:val="superscript"/>
          <w:lang w:val="en-GB"/>
        </w:rPr>
        <w:t>2</w:t>
      </w:r>
      <w:r>
        <w:rPr>
          <w:rFonts w:hint="default" w:ascii="Times New Roman" w:hAnsi="Times New Roman" w:eastAsia="宋体" w:cs="Times New Roman"/>
          <w:color w:val="auto"/>
          <w:highlight w:val="none"/>
          <w:lang w:val="en-GB" w:eastAsia="zh-CN"/>
        </w:rPr>
        <w:t>＜</w:t>
      </w:r>
      <w:r>
        <w:rPr>
          <w:rFonts w:hint="default" w:ascii="Times New Roman" w:hAnsi="Times New Roman" w:eastAsia="宋体" w:cs="Times New Roman"/>
          <w:color w:val="auto"/>
          <w:highlight w:val="none"/>
          <w:lang w:val="en-GB"/>
        </w:rPr>
        <w:t>50hm</w:t>
      </w:r>
      <w:r>
        <w:rPr>
          <w:rFonts w:hint="default" w:ascii="Times New Roman" w:hAnsi="Times New Roman" w:eastAsia="宋体" w:cs="Times New Roman"/>
          <w:color w:val="auto"/>
          <w:highlight w:val="none"/>
          <w:vertAlign w:val="superscript"/>
          <w:lang w:val="en-GB"/>
        </w:rPr>
        <w:t>2</w:t>
      </w:r>
      <w:r>
        <w:rPr>
          <w:rFonts w:hint="default" w:ascii="Times New Roman" w:hAnsi="Times New Roman" w:eastAsia="宋体" w:cs="Times New Roman"/>
          <w:color w:val="auto"/>
          <w:highlight w:val="none"/>
          <w:lang w:val="en-GB"/>
        </w:rPr>
        <w:t>，占地规模为</w:t>
      </w:r>
      <w:r>
        <w:rPr>
          <w:rFonts w:hint="default" w:ascii="Times New Roman" w:hAnsi="Times New Roman" w:eastAsia="宋体" w:cs="Times New Roman"/>
          <w:color w:val="auto"/>
          <w:highlight w:val="none"/>
          <w:lang w:val="en-GB" w:eastAsia="zh-CN"/>
        </w:rPr>
        <w:t>中</w:t>
      </w:r>
      <w:r>
        <w:rPr>
          <w:rFonts w:hint="default" w:ascii="Times New Roman" w:hAnsi="Times New Roman" w:eastAsia="宋体" w:cs="Times New Roman"/>
          <w:color w:val="auto"/>
          <w:highlight w:val="none"/>
          <w:lang w:val="en-GB"/>
        </w:rPr>
        <w:t>型</w:t>
      </w:r>
      <w:r>
        <w:rPr>
          <w:rFonts w:hint="default" w:ascii="Times New Roman" w:hAnsi="Times New Roman" w:eastAsia="宋体" w:cs="Times New Roman"/>
          <w:color w:val="auto"/>
          <w:highlight w:val="none"/>
          <w:lang w:val="en-GB" w:eastAsia="zh-CN"/>
        </w:rPr>
        <w:t>。</w:t>
      </w:r>
    </w:p>
    <w:p w14:paraId="3253854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项目为污染影响型建设项目，评价工作等级划分见下表。</w:t>
      </w:r>
    </w:p>
    <w:p w14:paraId="45051C8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val="en-GB"/>
        </w:rPr>
      </w:pPr>
      <w:r>
        <w:rPr>
          <w:rFonts w:hint="default" w:ascii="Times New Roman" w:hAnsi="Times New Roman" w:eastAsia="宋体" w:cs="Times New Roman"/>
          <w:color w:val="auto"/>
          <w:sz w:val="24"/>
          <w:szCs w:val="24"/>
          <w:highlight w:val="none"/>
          <w:lang w:val="en-GB"/>
        </w:rPr>
        <w:t>表2.5-</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GB"/>
        </w:rPr>
        <w:t>污染影响型评价工作等级划分表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70"/>
        <w:gridCol w:w="723"/>
        <w:gridCol w:w="723"/>
        <w:gridCol w:w="723"/>
        <w:gridCol w:w="723"/>
        <w:gridCol w:w="723"/>
        <w:gridCol w:w="723"/>
        <w:gridCol w:w="723"/>
        <w:gridCol w:w="723"/>
        <w:gridCol w:w="723"/>
      </w:tblGrid>
      <w:tr w14:paraId="6DFD72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vMerge w:val="restart"/>
            <w:tcBorders>
              <w:top w:val="single" w:color="auto" w:sz="4" w:space="0"/>
              <w:left w:val="single" w:color="auto" w:sz="4" w:space="0"/>
              <w:bottom w:val="single" w:color="auto" w:sz="4" w:space="0"/>
              <w:right w:val="single" w:color="auto" w:sz="4" w:space="0"/>
            </w:tcBorders>
            <w:shd w:val="clear" w:color="auto" w:fill="auto"/>
            <w:vAlign w:val="center"/>
            <mc:AlternateContent>
              <mc:Choice Requires="wpsCustomData">
                <wpsCustomData:diagonals>
                  <wpsCustomData:diagonal from="14800" to="30000">
                    <wpsCustomData:border w:val="single" w:color="auto" w:sz="4" w:space="0"/>
                  </wpsCustomData:diagonal>
                  <wpsCustomData:diagonal from="30000" to="6300">
                    <wpsCustomData:border w:val="single" w:color="auto" w:sz="4" w:space="0"/>
                  </wpsCustomData:diagonal>
                </wpsCustomData:diagonals>
              </mc:Choice>
            </mc:AlternateContent>
          </w:tcPr>
          <w:p w14:paraId="3B7A6E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mc:AlternateContent>
                <mc:Choice Requires="wpsCustomData">
                  <wpsCustomData:diagonalParaType/>
                </mc:Choice>
              </mc:AlternateContent>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敏感程度</w:t>
            </w:r>
          </w:p>
          <w:p w14:paraId="7629C6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mc:AlternateContent>
                <mc:Choice Requires="wpsCustomData">
                  <wpsCustomData:diagonalParaType/>
                </mc:Choice>
              </mc:AlternateContent>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评价工作等级</w:t>
            </w:r>
          </w:p>
          <w:p w14:paraId="43995E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占地规模</w:t>
            </w:r>
          </w:p>
        </w:tc>
        <w:tc>
          <w:tcPr>
            <w:tcW w:w="23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7979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Ⅰ类</w:t>
            </w:r>
          </w:p>
        </w:tc>
        <w:tc>
          <w:tcPr>
            <w:tcW w:w="23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FC5E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Ⅱ类</w:t>
            </w:r>
          </w:p>
        </w:tc>
        <w:tc>
          <w:tcPr>
            <w:tcW w:w="23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3623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Ⅲ类</w:t>
            </w:r>
          </w:p>
        </w:tc>
      </w:tr>
      <w:tr w14:paraId="7DFC7E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57" w:hRule="atLeast"/>
          <w:jc w:val="center"/>
        </w:trPr>
        <w:tc>
          <w:tcPr>
            <w:tcW w:w="195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3FE8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5A4874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EE038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中</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2C3384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小</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0C473C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302691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中</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C0F72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小</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24B8E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78407C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中</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39910E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小</w:t>
            </w:r>
          </w:p>
        </w:tc>
      </w:tr>
      <w:tr w14:paraId="45F8BD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tcBorders>
              <w:top w:val="single" w:color="auto" w:sz="4" w:space="0"/>
              <w:left w:val="single" w:color="auto" w:sz="4" w:space="0"/>
              <w:bottom w:val="single" w:color="auto" w:sz="4" w:space="0"/>
              <w:right w:val="single" w:color="auto" w:sz="4" w:space="0"/>
            </w:tcBorders>
            <w:shd w:val="clear" w:color="auto" w:fill="auto"/>
            <w:vAlign w:val="center"/>
          </w:tcPr>
          <w:p w14:paraId="26F82A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敏感</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060A9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80AB1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845A0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85E99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shd w:val="clear"/>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3D549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7E4150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7FA7A8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b w:val="0"/>
                <w:bCs w:val="0"/>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26DF5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GB"/>
              </w:rPr>
            </w:pPr>
            <w:r>
              <w:rPr>
                <w:rFonts w:hint="default" w:ascii="Times New Roman" w:hAnsi="Times New Roman" w:eastAsia="宋体" w:cs="Times New Roman"/>
                <w:b/>
                <w:bCs w:val="0"/>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22055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r>
      <w:tr w14:paraId="7E8894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tcBorders>
              <w:top w:val="single" w:color="auto" w:sz="4" w:space="0"/>
              <w:left w:val="single" w:color="auto" w:sz="4" w:space="0"/>
              <w:bottom w:val="single" w:color="auto" w:sz="4" w:space="0"/>
              <w:right w:val="single" w:color="auto" w:sz="4" w:space="0"/>
            </w:tcBorders>
            <w:shd w:val="clear" w:color="auto" w:fill="auto"/>
            <w:vAlign w:val="center"/>
          </w:tcPr>
          <w:p w14:paraId="138EB3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较敏感</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13E2F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2909B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7341FD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FB71F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3F0EE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136265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274193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39B51B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2597B0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r>
      <w:tr w14:paraId="2ACF0F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tcBorders>
              <w:top w:val="single" w:color="auto" w:sz="4" w:space="0"/>
              <w:left w:val="single" w:color="auto" w:sz="4" w:space="0"/>
              <w:bottom w:val="single" w:color="auto" w:sz="4" w:space="0"/>
              <w:right w:val="single" w:color="auto" w:sz="4" w:space="0"/>
            </w:tcBorders>
            <w:shd w:val="clear" w:color="auto" w:fill="auto"/>
            <w:vAlign w:val="center"/>
          </w:tcPr>
          <w:p w14:paraId="686560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不敏感</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534DE2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一级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3CD35A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05675D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GB"/>
              </w:rPr>
            </w:pPr>
            <w:r>
              <w:rPr>
                <w:rFonts w:hint="default" w:ascii="Times New Roman" w:hAnsi="Times New Roman" w:eastAsia="宋体" w:cs="Times New Roman"/>
                <w:bCs/>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4DF90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二级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64A5E7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27651E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74F14D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三级</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442E29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c>
          <w:tcPr>
            <w:tcW w:w="783" w:type="dxa"/>
            <w:tcBorders>
              <w:top w:val="single" w:color="auto" w:sz="4" w:space="0"/>
              <w:left w:val="single" w:color="auto" w:sz="4" w:space="0"/>
              <w:bottom w:val="single" w:color="auto" w:sz="4" w:space="0"/>
              <w:right w:val="single" w:color="auto" w:sz="4" w:space="0"/>
            </w:tcBorders>
            <w:shd w:val="clear" w:color="auto" w:fill="auto"/>
            <w:vAlign w:val="center"/>
          </w:tcPr>
          <w:p w14:paraId="094AB5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r>
    </w:tbl>
    <w:p w14:paraId="5C0F6FF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对照上表</w:t>
      </w:r>
      <w:r>
        <w:rPr>
          <w:rFonts w:hint="default" w:ascii="Times New Roman" w:hAnsi="Times New Roman" w:eastAsia="宋体" w:cs="Times New Roman"/>
          <w:color w:val="auto"/>
          <w:highlight w:val="none"/>
          <w:lang w:val="en-GB" w:eastAsia="zh-CN"/>
        </w:rPr>
        <w:t>，</w:t>
      </w:r>
      <w:r>
        <w:rPr>
          <w:rFonts w:hint="default" w:ascii="Times New Roman" w:hAnsi="Times New Roman" w:eastAsia="宋体" w:cs="Times New Roman"/>
          <w:color w:val="auto"/>
          <w:highlight w:val="none"/>
          <w:lang w:val="en-GB"/>
        </w:rPr>
        <w:t>确定项目土壤评价等级为</w:t>
      </w:r>
      <w:r>
        <w:rPr>
          <w:rFonts w:hint="default" w:ascii="Times New Roman" w:hAnsi="Times New Roman" w:eastAsia="宋体" w:cs="Times New Roman"/>
          <w:color w:val="auto"/>
          <w:highlight w:val="none"/>
          <w:lang w:val="en-GB" w:eastAsia="zh-CN"/>
        </w:rPr>
        <w:t>三</w:t>
      </w:r>
      <w:r>
        <w:rPr>
          <w:rFonts w:hint="default" w:ascii="Times New Roman" w:hAnsi="Times New Roman" w:eastAsia="宋体" w:cs="Times New Roman"/>
          <w:color w:val="auto"/>
          <w:highlight w:val="none"/>
          <w:lang w:val="en-GB"/>
        </w:rPr>
        <w:t>级。</w:t>
      </w:r>
    </w:p>
    <w:p w14:paraId="023C9C8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GB"/>
        </w:rPr>
        <w:t>）评价范围</w:t>
      </w:r>
    </w:p>
    <w:p w14:paraId="7B0CE0D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依据《</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GB"/>
        </w:rPr>
        <w:t>土壤环境（试行）》（HJ964-2018），项目为污染影响型，确定评价范围为工程占地范围及周边</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GB"/>
        </w:rPr>
        <w:t>0m范围内，如图2.6-</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GB"/>
        </w:rPr>
        <w:t>所示。</w:t>
      </w:r>
    </w:p>
    <w:p w14:paraId="410FA0C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lang w:val="en-GB"/>
        </w:rPr>
      </w:pPr>
      <w:bookmarkStart w:id="185" w:name="_Toc8905"/>
      <w:r>
        <w:rPr>
          <w:rFonts w:hint="default" w:ascii="Times New Roman" w:hAnsi="Times New Roman" w:eastAsia="宋体" w:cs="Times New Roman"/>
          <w:color w:val="auto"/>
          <w:highlight w:val="none"/>
          <w:lang w:val="en-GB"/>
        </w:rPr>
        <w:t>2.5.5声环境</w:t>
      </w:r>
      <w:bookmarkEnd w:id="185"/>
    </w:p>
    <w:p w14:paraId="68033323">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lang w:val="en-GB"/>
        </w:rPr>
      </w:pPr>
      <w:bookmarkStart w:id="186" w:name="_Toc31992"/>
      <w:bookmarkStart w:id="187" w:name="_Toc9487"/>
      <w:bookmarkStart w:id="188" w:name="_Toc19691"/>
      <w:bookmarkStart w:id="189" w:name="_Toc4020"/>
      <w:r>
        <w:rPr>
          <w:rFonts w:hint="default" w:ascii="Times New Roman" w:hAnsi="Times New Roman" w:eastAsia="宋体" w:cs="Times New Roman"/>
          <w:color w:val="auto"/>
          <w:highlight w:val="none"/>
          <w:lang w:val="en-GB"/>
        </w:rPr>
        <w:t>（1）评价等级</w:t>
      </w:r>
      <w:bookmarkEnd w:id="186"/>
      <w:bookmarkEnd w:id="187"/>
      <w:bookmarkEnd w:id="188"/>
      <w:bookmarkEnd w:id="189"/>
    </w:p>
    <w:p w14:paraId="02CC0CD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根据《</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GB" w:eastAsia="zh-CN"/>
        </w:rPr>
        <w:t>声</w:t>
      </w:r>
      <w:r>
        <w:rPr>
          <w:rFonts w:hint="default" w:ascii="Times New Roman" w:hAnsi="Times New Roman" w:eastAsia="宋体" w:cs="Times New Roman"/>
          <w:color w:val="auto"/>
          <w:highlight w:val="none"/>
          <w:lang w:val="en-GB"/>
        </w:rPr>
        <w:t>环境》（</w:t>
      </w:r>
      <w:r>
        <w:rPr>
          <w:rFonts w:hint="default" w:ascii="Times New Roman" w:hAnsi="Times New Roman" w:eastAsia="宋体" w:cs="Times New Roman"/>
          <w:color w:val="auto"/>
          <w:highlight w:val="none"/>
          <w:lang w:val="en-GB" w:eastAsia="zh-CN"/>
        </w:rPr>
        <w:t>HJ2.4-2021</w:t>
      </w:r>
      <w:r>
        <w:rPr>
          <w:rFonts w:hint="default" w:ascii="Times New Roman" w:hAnsi="Times New Roman" w:eastAsia="宋体" w:cs="Times New Roman"/>
          <w:color w:val="auto"/>
          <w:highlight w:val="none"/>
          <w:lang w:val="en-GB"/>
        </w:rPr>
        <w:t>）中评价等级的划分，“建设项目所处的声环境功能区为《声环境质量标准》（GB3096-2008）规定的1类、2类地区，或建设项目建设前后评价范围内敏感目标噪声级增高量达3dB</w:t>
      </w:r>
      <w:r>
        <w:rPr>
          <w:rFonts w:hint="default" w:ascii="Times New Roman" w:hAnsi="Times New Roman" w:eastAsia="宋体" w:cs="Times New Roman"/>
          <w:color w:val="auto"/>
          <w:highlight w:val="none"/>
          <w:lang w:val="en-GB" w:eastAsia="zh-CN"/>
        </w:rPr>
        <w:t>（A）～</w:t>
      </w:r>
      <w:r>
        <w:rPr>
          <w:rFonts w:hint="default" w:ascii="Times New Roman" w:hAnsi="Times New Roman" w:eastAsia="宋体" w:cs="Times New Roman"/>
          <w:color w:val="auto"/>
          <w:highlight w:val="none"/>
          <w:lang w:val="en-GB"/>
        </w:rPr>
        <w:t>5dB</w:t>
      </w:r>
      <w:r>
        <w:rPr>
          <w:rFonts w:hint="default" w:ascii="Times New Roman" w:hAnsi="Times New Roman" w:eastAsia="宋体" w:cs="Times New Roman"/>
          <w:color w:val="auto"/>
          <w:highlight w:val="none"/>
          <w:lang w:val="en-GB" w:eastAsia="zh-CN"/>
        </w:rPr>
        <w:t>（A）</w:t>
      </w:r>
      <w:r>
        <w:rPr>
          <w:rFonts w:hint="default" w:ascii="Times New Roman" w:hAnsi="Times New Roman" w:eastAsia="宋体" w:cs="Times New Roman"/>
          <w:color w:val="auto"/>
          <w:highlight w:val="none"/>
          <w:lang w:val="en-GB"/>
        </w:rPr>
        <w:t>（含5dB</w:t>
      </w:r>
      <w:r>
        <w:rPr>
          <w:rFonts w:hint="default" w:ascii="Times New Roman" w:hAnsi="Times New Roman" w:eastAsia="宋体" w:cs="Times New Roman"/>
          <w:color w:val="auto"/>
          <w:highlight w:val="none"/>
          <w:lang w:val="en-GB" w:eastAsia="zh-CN"/>
        </w:rPr>
        <w:t>（A）</w:t>
      </w:r>
      <w:r>
        <w:rPr>
          <w:rFonts w:hint="default" w:ascii="Times New Roman" w:hAnsi="Times New Roman" w:eastAsia="宋体" w:cs="Times New Roman"/>
          <w:color w:val="auto"/>
          <w:highlight w:val="none"/>
          <w:lang w:val="en-GB"/>
        </w:rPr>
        <w:t>），或受噪声影响人口数量增加较多时，按二级评价”。</w:t>
      </w:r>
    </w:p>
    <w:p w14:paraId="1676723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本项目所处区域为（GB3096-2008）规定的</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GB"/>
        </w:rPr>
        <w:t>类区，项目建成后噪声增加值小于3dB</w:t>
      </w:r>
      <w:r>
        <w:rPr>
          <w:rFonts w:hint="default" w:ascii="Times New Roman" w:hAnsi="Times New Roman" w:eastAsia="宋体" w:cs="Times New Roman"/>
          <w:color w:val="auto"/>
          <w:highlight w:val="none"/>
          <w:lang w:val="en-GB" w:eastAsia="zh-CN"/>
        </w:rPr>
        <w:t>（A）</w:t>
      </w:r>
      <w:r>
        <w:rPr>
          <w:rFonts w:hint="default" w:ascii="Times New Roman" w:hAnsi="Times New Roman" w:eastAsia="宋体" w:cs="Times New Roman"/>
          <w:color w:val="auto"/>
          <w:highlight w:val="none"/>
          <w:lang w:val="en-GB"/>
        </w:rPr>
        <w:t>，且受项目噪声影响人口数量较小，根据《</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GB"/>
        </w:rPr>
        <w:t>声环境》（</w:t>
      </w:r>
      <w:r>
        <w:rPr>
          <w:rFonts w:hint="default" w:ascii="Times New Roman" w:hAnsi="Times New Roman" w:eastAsia="宋体" w:cs="Times New Roman"/>
          <w:color w:val="auto"/>
          <w:highlight w:val="none"/>
          <w:lang w:val="en-GB" w:eastAsia="zh-CN"/>
        </w:rPr>
        <w:t>HJ2.4-2021</w:t>
      </w:r>
      <w:r>
        <w:rPr>
          <w:rFonts w:hint="default" w:ascii="Times New Roman" w:hAnsi="Times New Roman" w:eastAsia="宋体" w:cs="Times New Roman"/>
          <w:color w:val="auto"/>
          <w:highlight w:val="none"/>
          <w:lang w:val="en-GB"/>
        </w:rPr>
        <w:t>）中规定，确定噪声评价等级为二级。</w:t>
      </w:r>
    </w:p>
    <w:p w14:paraId="39DDC98E">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lang w:val="en-GB"/>
        </w:rPr>
      </w:pPr>
      <w:bookmarkStart w:id="190" w:name="_Toc5613"/>
      <w:bookmarkStart w:id="191" w:name="_Toc15656"/>
      <w:bookmarkStart w:id="192" w:name="_Toc12331"/>
      <w:bookmarkStart w:id="193" w:name="_Toc16115"/>
      <w:r>
        <w:rPr>
          <w:rFonts w:hint="default" w:ascii="Times New Roman" w:hAnsi="Times New Roman" w:eastAsia="宋体" w:cs="Times New Roman"/>
          <w:color w:val="auto"/>
          <w:highlight w:val="none"/>
          <w:lang w:val="en-GB"/>
        </w:rPr>
        <w:t>（2）评价范围</w:t>
      </w:r>
      <w:bookmarkEnd w:id="190"/>
      <w:bookmarkEnd w:id="191"/>
      <w:bookmarkEnd w:id="192"/>
      <w:bookmarkEnd w:id="193"/>
    </w:p>
    <w:p w14:paraId="531565B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根据项目特点，声环境评价范围确定为项目拟建厂边界外200m范围。</w:t>
      </w:r>
    </w:p>
    <w:p w14:paraId="39F1A8B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highlight w:val="none"/>
          <w:lang w:val="en-GB"/>
        </w:rPr>
        <w:t>项目声环境评价范围如图2.6-</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GB"/>
        </w:rPr>
        <w:t>所示。</w:t>
      </w:r>
    </w:p>
    <w:p w14:paraId="55D3F1F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194" w:name="_Toc512871534"/>
      <w:bookmarkStart w:id="195" w:name="_Toc18355"/>
      <w:bookmarkStart w:id="196" w:name="_Toc14069"/>
      <w:r>
        <w:rPr>
          <w:rFonts w:hint="default" w:ascii="Times New Roman" w:hAnsi="Times New Roman" w:eastAsia="宋体" w:cs="Times New Roman"/>
          <w:color w:val="auto"/>
          <w:highlight w:val="none"/>
        </w:rPr>
        <w:t>2.5.6环境风险</w:t>
      </w:r>
      <w:bookmarkEnd w:id="194"/>
      <w:bookmarkEnd w:id="195"/>
      <w:bookmarkEnd w:id="196"/>
    </w:p>
    <w:p w14:paraId="2BEB4116">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197" w:name="_Toc452567815"/>
      <w:bookmarkStart w:id="198" w:name="_Toc13748"/>
      <w:bookmarkStart w:id="199" w:name="_Toc453603070"/>
      <w:bookmarkStart w:id="200" w:name="_Toc512871533"/>
      <w:r>
        <w:rPr>
          <w:rFonts w:hint="default" w:ascii="Times New Roman" w:hAnsi="Times New Roman" w:eastAsia="宋体" w:cs="Times New Roman"/>
          <w:color w:val="auto"/>
          <w:highlight w:val="none"/>
        </w:rPr>
        <w:t>根据《建设项目环境风险评价技术导则》（HJ169-2018），环境风险评价等级划分为一级、二级、三级。根据建设项目涉及的物质及工艺系统危险性和所在地的环境敏感性确定环境风险潜势，然后根据风险潜势等级确定风险评价工作等级。</w:t>
      </w:r>
    </w:p>
    <w:p w14:paraId="3CFE6F7F">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本项目生产、使用、储存过程原辅料精饲料</w:t>
      </w:r>
      <w:r>
        <w:rPr>
          <w:rFonts w:hint="default" w:ascii="Times New Roman" w:hAnsi="Times New Roman" w:eastAsia="宋体" w:cs="Times New Roman"/>
          <w:color w:val="auto"/>
          <w:highlight w:val="none"/>
          <w:lang w:val="en-US" w:eastAsia="zh-CN"/>
        </w:rPr>
        <w:t>和</w:t>
      </w:r>
      <w:r>
        <w:rPr>
          <w:rFonts w:hint="default" w:ascii="Times New Roman" w:hAnsi="Times New Roman" w:eastAsia="宋体" w:cs="Times New Roman"/>
          <w:color w:val="auto"/>
          <w:highlight w:val="none"/>
        </w:rPr>
        <w:t>草料、产品</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lang w:val="en-US" w:eastAsia="zh-CN"/>
        </w:rPr>
        <w:t>等均</w:t>
      </w:r>
      <w:r>
        <w:rPr>
          <w:rFonts w:hint="default" w:ascii="Times New Roman" w:hAnsi="Times New Roman" w:eastAsia="宋体" w:cs="Times New Roman"/>
          <w:color w:val="auto"/>
          <w:highlight w:val="none"/>
        </w:rPr>
        <w:t>不涉及《建设项目环境风险评价技术导则》（HJ169-2018）附录B1中的“有毒有害、易燃易爆物质”的使用和储存；养殖区、</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臭气（主要成分NH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S）以无组织形式排放；危险废物主要为少量</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，对照附录B2，属于健康危险急性毒性物质，临界量为5t，</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年产生量0.</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5t，Q＜1，风险潜势为I，评价工作等级为简单分析，按照《建设项目环境风险评价技术导则》（HJ169-2018））中关于风险评价级别的确定依据，本次环境风险评价工作等级为简单分析。</w:t>
      </w:r>
    </w:p>
    <w:p w14:paraId="65126CFA">
      <w:pPr>
        <w:keepNext/>
        <w:keepLines/>
        <w:pageBreakBefore w:val="0"/>
        <w:shd w:val="clear"/>
        <w:kinsoku/>
        <w:wordWrap/>
        <w:bidi w:val="0"/>
        <w:snapToGrid w:val="0"/>
        <w:spacing w:line="360" w:lineRule="auto"/>
        <w:ind w:left="0" w:leftChars="0" w:right="0" w:rightChars="0" w:firstLine="0" w:firstLineChars="0"/>
        <w:jc w:val="center"/>
        <w:outlineLvl w:val="4"/>
        <w:rPr>
          <w:rFonts w:hint="default" w:ascii="Times New Roman" w:hAnsi="Times New Roman" w:eastAsia="宋体" w:cs="Times New Roman"/>
          <w:b/>
          <w:bCs/>
          <w:color w:val="auto"/>
          <w:szCs w:val="28"/>
          <w:highlight w:val="none"/>
        </w:rPr>
      </w:pPr>
      <w:r>
        <w:rPr>
          <w:rFonts w:hint="default" w:ascii="Times New Roman" w:hAnsi="Times New Roman" w:eastAsia="宋体" w:cs="Times New Roman"/>
          <w:b/>
          <w:bCs/>
          <w:color w:val="auto"/>
          <w:szCs w:val="28"/>
          <w:highlight w:val="none"/>
        </w:rPr>
        <w:t>表2.5-</w:t>
      </w:r>
      <w:r>
        <w:rPr>
          <w:rFonts w:hint="default" w:ascii="Times New Roman" w:hAnsi="Times New Roman" w:eastAsia="宋体" w:cs="Times New Roman"/>
          <w:b/>
          <w:bCs/>
          <w:color w:val="auto"/>
          <w:szCs w:val="28"/>
          <w:highlight w:val="none"/>
          <w:lang w:val="en-US" w:eastAsia="zh-CN"/>
        </w:rPr>
        <w:t>1</w:t>
      </w:r>
      <w:r>
        <w:rPr>
          <w:rFonts w:hint="default" w:ascii="Times New Roman" w:hAnsi="Times New Roman" w:eastAsia="宋体" w:cs="Times New Roman"/>
          <w:b/>
          <w:bCs/>
          <w:color w:val="auto"/>
          <w:szCs w:val="28"/>
          <w:highlight w:val="none"/>
          <w:lang w:val="en-US" w:eastAsia="zh-CN"/>
        </w:rPr>
        <w:t>2</w:t>
      </w:r>
      <w:r>
        <w:rPr>
          <w:rFonts w:hint="default" w:ascii="Times New Roman" w:hAnsi="Times New Roman" w:eastAsia="宋体" w:cs="Times New Roman"/>
          <w:b/>
          <w:bCs/>
          <w:color w:val="auto"/>
          <w:szCs w:val="28"/>
          <w:highlight w:val="none"/>
          <w:lang w:val="en-US" w:eastAsia="zh-CN"/>
        </w:rPr>
        <w:t xml:space="preserve">  </w:t>
      </w:r>
      <w:r>
        <w:rPr>
          <w:rFonts w:hint="default" w:ascii="Times New Roman" w:hAnsi="Times New Roman" w:eastAsia="宋体" w:cs="Times New Roman"/>
          <w:b/>
          <w:bCs/>
          <w:color w:val="auto"/>
          <w:szCs w:val="28"/>
          <w:highlight w:val="none"/>
        </w:rPr>
        <w:t>环境风险评价工作等级划分表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518"/>
        <w:gridCol w:w="1793"/>
        <w:gridCol w:w="2068"/>
        <w:gridCol w:w="1518"/>
      </w:tblGrid>
      <w:tr w14:paraId="59A919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dxa"/>
            <w:tcBorders>
              <w:top w:val="single" w:color="auto" w:sz="4" w:space="0"/>
              <w:left w:val="single" w:color="auto" w:sz="4" w:space="0"/>
            </w:tcBorders>
            <w:tcMar>
              <w:left w:w="0" w:type="dxa"/>
              <w:right w:w="0" w:type="dxa"/>
            </w:tcMar>
            <w:vAlign w:val="center"/>
          </w:tcPr>
          <w:p w14:paraId="660B9C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环境风险潜势</w:t>
            </w:r>
          </w:p>
        </w:tc>
        <w:tc>
          <w:tcPr>
            <w:tcW w:w="1622" w:type="dxa"/>
            <w:tcBorders>
              <w:top w:val="single" w:color="auto" w:sz="4" w:space="0"/>
            </w:tcBorders>
            <w:tcMar>
              <w:left w:w="0" w:type="dxa"/>
              <w:right w:w="0" w:type="dxa"/>
            </w:tcMar>
            <w:vAlign w:val="center"/>
          </w:tcPr>
          <w:p w14:paraId="3B9BA3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4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Ⅳ</w: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4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Ⅳ</w: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w:t>
            </w:r>
          </w:p>
        </w:tc>
        <w:tc>
          <w:tcPr>
            <w:tcW w:w="1916" w:type="dxa"/>
            <w:tcBorders>
              <w:top w:val="single" w:color="auto" w:sz="4" w:space="0"/>
            </w:tcBorders>
            <w:tcMar>
              <w:left w:w="0" w:type="dxa"/>
              <w:right w:w="0" w:type="dxa"/>
            </w:tcMar>
            <w:vAlign w:val="center"/>
          </w:tcPr>
          <w:p w14:paraId="1142B4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3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Ⅲ</w:t>
            </w:r>
            <w:r>
              <w:rPr>
                <w:rFonts w:hint="default" w:ascii="Times New Roman" w:hAnsi="Times New Roman" w:eastAsia="宋体" w:cs="Times New Roman"/>
                <w:color w:val="auto"/>
                <w:sz w:val="21"/>
                <w:szCs w:val="21"/>
                <w:highlight w:val="none"/>
              </w:rPr>
              <w:fldChar w:fldCharType="end"/>
            </w:r>
          </w:p>
        </w:tc>
        <w:tc>
          <w:tcPr>
            <w:tcW w:w="2210" w:type="dxa"/>
            <w:tcBorders>
              <w:top w:val="single" w:color="auto" w:sz="4" w:space="0"/>
            </w:tcBorders>
            <w:tcMar>
              <w:left w:w="0" w:type="dxa"/>
              <w:right w:w="0" w:type="dxa"/>
            </w:tcMar>
            <w:vAlign w:val="center"/>
          </w:tcPr>
          <w:p w14:paraId="60D802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2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Ⅱ</w:t>
            </w:r>
            <w:r>
              <w:rPr>
                <w:rFonts w:hint="default" w:ascii="Times New Roman" w:hAnsi="Times New Roman" w:eastAsia="宋体" w:cs="Times New Roman"/>
                <w:color w:val="auto"/>
                <w:sz w:val="21"/>
                <w:szCs w:val="21"/>
                <w:highlight w:val="none"/>
              </w:rPr>
              <w:fldChar w:fldCharType="end"/>
            </w:r>
          </w:p>
        </w:tc>
        <w:tc>
          <w:tcPr>
            <w:tcW w:w="1622" w:type="dxa"/>
            <w:tcBorders>
              <w:top w:val="single" w:color="auto" w:sz="4" w:space="0"/>
              <w:right w:val="single" w:color="auto" w:sz="4" w:space="0"/>
            </w:tcBorders>
            <w:tcMar>
              <w:left w:w="0" w:type="dxa"/>
              <w:right w:w="0" w:type="dxa"/>
            </w:tcMar>
            <w:vAlign w:val="center"/>
          </w:tcPr>
          <w:p w14:paraId="5B863B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1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rPr>
              <w:t>I</w:t>
            </w:r>
            <w:r>
              <w:rPr>
                <w:rFonts w:hint="default" w:ascii="Times New Roman" w:hAnsi="Times New Roman" w:eastAsia="宋体" w:cs="Times New Roman"/>
                <w:color w:val="auto"/>
                <w:sz w:val="21"/>
                <w:szCs w:val="21"/>
                <w:highlight w:val="none"/>
              </w:rPr>
              <w:fldChar w:fldCharType="end"/>
            </w:r>
          </w:p>
        </w:tc>
      </w:tr>
      <w:tr w14:paraId="5A486F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dxa"/>
            <w:tcBorders>
              <w:left w:val="single" w:color="auto" w:sz="4" w:space="0"/>
            </w:tcBorders>
            <w:tcMar>
              <w:left w:w="0" w:type="dxa"/>
              <w:right w:w="0" w:type="dxa"/>
            </w:tcMar>
            <w:vAlign w:val="center"/>
          </w:tcPr>
          <w:p w14:paraId="2C98D7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评价工作等级</w:t>
            </w:r>
          </w:p>
        </w:tc>
        <w:tc>
          <w:tcPr>
            <w:tcW w:w="1622" w:type="dxa"/>
            <w:tcMar>
              <w:left w:w="0" w:type="dxa"/>
              <w:right w:w="0" w:type="dxa"/>
            </w:tcMar>
            <w:vAlign w:val="center"/>
          </w:tcPr>
          <w:p w14:paraId="5D061A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w:t>
            </w:r>
          </w:p>
        </w:tc>
        <w:tc>
          <w:tcPr>
            <w:tcW w:w="1916" w:type="dxa"/>
            <w:tcMar>
              <w:left w:w="0" w:type="dxa"/>
              <w:right w:w="0" w:type="dxa"/>
            </w:tcMar>
            <w:vAlign w:val="center"/>
          </w:tcPr>
          <w:p w14:paraId="7742DF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w:t>
            </w:r>
          </w:p>
        </w:tc>
        <w:tc>
          <w:tcPr>
            <w:tcW w:w="2210" w:type="dxa"/>
            <w:tcMar>
              <w:left w:w="0" w:type="dxa"/>
              <w:right w:w="0" w:type="dxa"/>
            </w:tcMar>
            <w:vAlign w:val="center"/>
          </w:tcPr>
          <w:p w14:paraId="5F7027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w:t>
            </w:r>
          </w:p>
        </w:tc>
        <w:tc>
          <w:tcPr>
            <w:tcW w:w="1622" w:type="dxa"/>
            <w:tcBorders>
              <w:right w:val="single" w:color="auto" w:sz="4" w:space="0"/>
            </w:tcBorders>
            <w:tcMar>
              <w:left w:w="0" w:type="dxa"/>
              <w:right w:w="0" w:type="dxa"/>
            </w:tcMar>
            <w:vAlign w:val="center"/>
          </w:tcPr>
          <w:p w14:paraId="41BB1A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简单分析</w:t>
            </w:r>
          </w:p>
        </w:tc>
      </w:tr>
      <w:tr w14:paraId="4988A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44" w:type="dxa"/>
            <w:gridSpan w:val="5"/>
            <w:tcBorders>
              <w:left w:val="single" w:color="auto" w:sz="4" w:space="0"/>
              <w:bottom w:val="single" w:color="auto" w:sz="4" w:space="0"/>
              <w:right w:val="single" w:color="auto" w:sz="4" w:space="0"/>
            </w:tcBorders>
            <w:tcMar>
              <w:left w:w="0" w:type="dxa"/>
              <w:right w:w="0" w:type="dxa"/>
            </w:tcMar>
            <w:vAlign w:val="center"/>
          </w:tcPr>
          <w:p w14:paraId="4420CA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简单分析是相对于详细评价工作内容而言，在描述危险物质、环境影响途径、环境危害后果、风险防范措施等方面给出定性的说明</w:t>
            </w:r>
          </w:p>
        </w:tc>
      </w:tr>
    </w:tbl>
    <w:p w14:paraId="47161B1B">
      <w:pPr>
        <w:pageBreakBefore w:val="0"/>
        <w:widowControl w:val="0"/>
        <w:shd w:val="clear"/>
        <w:kinsoku/>
        <w:wordWrap/>
        <w:topLinePunct/>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由上表可知，本项目环境风险潜势I级，本次环境风险评价等级为简单分析，不设评价范围。</w:t>
      </w:r>
    </w:p>
    <w:p w14:paraId="18026C98">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01" w:name="_Toc8926"/>
      <w:r>
        <w:rPr>
          <w:rFonts w:hint="default" w:ascii="Times New Roman" w:hAnsi="Times New Roman" w:eastAsia="宋体" w:cs="Times New Roman"/>
          <w:color w:val="auto"/>
          <w:highlight w:val="none"/>
        </w:rPr>
        <w:t>2.5.7生态环境</w:t>
      </w:r>
      <w:bookmarkEnd w:id="197"/>
      <w:bookmarkEnd w:id="198"/>
      <w:bookmarkEnd w:id="199"/>
      <w:bookmarkEnd w:id="200"/>
      <w:bookmarkEnd w:id="201"/>
    </w:p>
    <w:p w14:paraId="0FBEA9AE">
      <w:pPr>
        <w:keepNext w:val="0"/>
        <w:keepLines w:val="0"/>
        <w:pageBreakBefore w:val="0"/>
        <w:widowControl w:val="0"/>
        <w:shd w:val="clear"/>
        <w:kinsoku/>
        <w:wordWrap/>
        <w:topLinePunct/>
        <w:autoSpaceDE w:val="0"/>
        <w:autoSpaceDN/>
        <w:bidi w:val="0"/>
        <w:adjustRightInd/>
        <w:snapToGrid w:val="0"/>
        <w:spacing w:line="360" w:lineRule="auto"/>
        <w:ind w:left="0" w:leftChars="0" w:right="0" w:rightChars="0" w:firstLine="480" w:firstLineChars="200"/>
        <w:jc w:val="both"/>
        <w:textAlignment w:val="auto"/>
        <w:outlineLvl w:val="2"/>
        <w:rPr>
          <w:rFonts w:hint="default" w:ascii="Times New Roman" w:hAnsi="Times New Roman" w:eastAsia="宋体" w:cs="Times New Roman"/>
          <w:color w:val="auto"/>
          <w:szCs w:val="24"/>
          <w:highlight w:val="none"/>
        </w:rPr>
      </w:pPr>
      <w:bookmarkStart w:id="202" w:name="_Toc7980"/>
      <w:bookmarkStart w:id="203" w:name="_Toc3018"/>
      <w:bookmarkStart w:id="204" w:name="_Toc16297"/>
      <w:bookmarkStart w:id="205" w:name="_Toc19609"/>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1）工作等级</w:t>
      </w:r>
      <w:bookmarkEnd w:id="202"/>
      <w:bookmarkEnd w:id="203"/>
      <w:bookmarkEnd w:id="204"/>
      <w:bookmarkEnd w:id="205"/>
    </w:p>
    <w:p w14:paraId="01D32F79">
      <w:pPr>
        <w:keepNext w:val="0"/>
        <w:keepLines w:val="0"/>
        <w:pageBreakBefore w:val="0"/>
        <w:widowControl w:val="0"/>
        <w:shd w:val="clear"/>
        <w:kinsoku/>
        <w:wordWrap/>
        <w:topLinePunct/>
        <w:autoSpaceDE w:val="0"/>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根据《</w:t>
      </w:r>
      <w:r>
        <w:rPr>
          <w:rFonts w:hint="default" w:ascii="Times New Roman" w:hAnsi="Times New Roman" w:eastAsia="宋体" w:cs="Times New Roman"/>
          <w:color w:val="auto"/>
          <w:szCs w:val="24"/>
          <w:highlight w:val="none"/>
          <w:lang w:eastAsia="zh-CN"/>
        </w:rPr>
        <w:t>环境影响评价技术导则</w:t>
      </w:r>
      <w:r>
        <w:rPr>
          <w:rFonts w:hint="default" w:ascii="Times New Roman" w:hAnsi="Times New Roman" w:eastAsia="宋体" w:cs="Times New Roman"/>
          <w:color w:val="auto"/>
          <w:szCs w:val="24"/>
          <w:highlight w:val="none"/>
          <w:lang w:val="en-US" w:eastAsia="zh-CN"/>
        </w:rPr>
        <w:t xml:space="preserve"> </w:t>
      </w:r>
      <w:r>
        <w:rPr>
          <w:rFonts w:hint="default" w:ascii="Times New Roman" w:hAnsi="Times New Roman" w:eastAsia="宋体" w:cs="Times New Roman"/>
          <w:color w:val="auto"/>
          <w:szCs w:val="24"/>
          <w:highlight w:val="none"/>
        </w:rPr>
        <w:t>生态影响》（HJ19-2022）对项目的生态环境评价工作进行分级，本项目拟建位置不涉及国家公园、自然保护区、世界自然遗产、重要生境、自然公园、生态保护红线；不属于水文要素影响型且地表水评价等级不低于二级的建设项目；地下水水位和土壤影响范围内没有天然林、公益林、湿地等生态保护目标；工程永久占地和临时占地小于20km</w:t>
      </w:r>
      <w:r>
        <w:rPr>
          <w:rFonts w:hint="default" w:ascii="Times New Roman" w:hAnsi="Times New Roman" w:eastAsia="宋体" w:cs="Times New Roman"/>
          <w:color w:val="auto"/>
          <w:szCs w:val="24"/>
          <w:highlight w:val="none"/>
          <w:vertAlign w:val="superscript"/>
        </w:rPr>
        <w:t>2</w:t>
      </w:r>
      <w:r>
        <w:rPr>
          <w:rFonts w:hint="default" w:ascii="Times New Roman" w:hAnsi="Times New Roman" w:eastAsia="宋体" w:cs="Times New Roman"/>
          <w:color w:val="auto"/>
          <w:szCs w:val="24"/>
          <w:highlight w:val="none"/>
        </w:rPr>
        <w:t>范围。因此，本项目生态影响评价等级为三级。</w:t>
      </w:r>
    </w:p>
    <w:p w14:paraId="48E40352">
      <w:pPr>
        <w:keepNext w:val="0"/>
        <w:keepLines w:val="0"/>
        <w:pageBreakBefore w:val="0"/>
        <w:widowControl w:val="0"/>
        <w:shd w:val="clear"/>
        <w:kinsoku/>
        <w:wordWrap/>
        <w:topLinePunct/>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Cs w:val="24"/>
          <w:highlight w:val="none"/>
        </w:rPr>
      </w:pPr>
      <w:bookmarkStart w:id="206" w:name="_Toc25662"/>
      <w:bookmarkStart w:id="207" w:name="_Toc13890"/>
      <w:bookmarkStart w:id="208" w:name="_Toc4155"/>
      <w:bookmarkStart w:id="209" w:name="_Toc14241"/>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2）评价范围</w:t>
      </w:r>
      <w:bookmarkEnd w:id="206"/>
      <w:bookmarkEnd w:id="207"/>
      <w:bookmarkEnd w:id="208"/>
      <w:bookmarkEnd w:id="209"/>
    </w:p>
    <w:p w14:paraId="021DE6CE">
      <w:pPr>
        <w:keepNext w:val="0"/>
        <w:keepLines w:val="0"/>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szCs w:val="24"/>
          <w:highlight w:val="none"/>
        </w:rPr>
        <w:t>项目生态影响评价工作等级为三级，且项目对生态影响较小，生态影响评价范围为项目边界外延1000m区域。具体见图2.</w:t>
      </w:r>
      <w:r>
        <w:rPr>
          <w:rFonts w:hint="default" w:ascii="Times New Roman" w:hAnsi="Times New Roman" w:eastAsia="宋体" w:cs="Times New Roman"/>
          <w:color w:val="auto"/>
          <w:szCs w:val="24"/>
          <w:highlight w:val="none"/>
          <w:lang w:val="en-US" w:eastAsia="zh-CN"/>
        </w:rPr>
        <w:t>6</w:t>
      </w:r>
      <w:r>
        <w:rPr>
          <w:rFonts w:hint="default" w:ascii="Times New Roman" w:hAnsi="Times New Roman" w:eastAsia="宋体" w:cs="Times New Roman"/>
          <w:color w:val="auto"/>
          <w:szCs w:val="24"/>
          <w:highlight w:val="none"/>
        </w:rPr>
        <w:t>-3</w:t>
      </w:r>
      <w:r>
        <w:rPr>
          <w:rFonts w:hint="default" w:ascii="Times New Roman" w:hAnsi="Times New Roman" w:eastAsia="宋体" w:cs="Times New Roman"/>
          <w:color w:val="auto"/>
          <w:highlight w:val="none"/>
        </w:rPr>
        <w:t>。</w:t>
      </w:r>
    </w:p>
    <w:p w14:paraId="6C8AC422">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210" w:name="_Toc12308"/>
      <w:bookmarkStart w:id="211" w:name="_Toc512871538"/>
      <w:r>
        <w:rPr>
          <w:rFonts w:hint="default" w:ascii="Times New Roman" w:hAnsi="Times New Roman" w:eastAsia="宋体" w:cs="Times New Roman"/>
          <w:color w:val="auto"/>
          <w:highlight w:val="none"/>
        </w:rPr>
        <w:t>2.6环境保护目标</w:t>
      </w:r>
      <w:bookmarkEnd w:id="210"/>
      <w:bookmarkEnd w:id="211"/>
    </w:p>
    <w:p w14:paraId="28822E8F">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本次评价与环境保护目标的关系及其保护目标见表2.6-1，项目大气环境、地下水环境评价范围如图2.6-1所示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土壤环境、声环境评价范围如图2.6-</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所示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生态环境</w:t>
      </w:r>
      <w:r>
        <w:rPr>
          <w:rFonts w:hint="default" w:ascii="Times New Roman" w:hAnsi="Times New Roman" w:eastAsia="宋体" w:cs="Times New Roman"/>
          <w:color w:val="auto"/>
          <w:highlight w:val="none"/>
        </w:rPr>
        <w:t>评价范围如图2.6-</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所示。</w:t>
      </w:r>
    </w:p>
    <w:p w14:paraId="37EAF08E">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7" w:h="16839"/>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1045EDF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表2.6-1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环境保护目标一览表</w:t>
      </w:r>
    </w:p>
    <w:tbl>
      <w:tblPr>
        <w:tblStyle w:val="42"/>
        <w:tblW w:w="13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1709"/>
        <w:gridCol w:w="1710"/>
        <w:gridCol w:w="1710"/>
        <w:gridCol w:w="864"/>
        <w:gridCol w:w="864"/>
        <w:gridCol w:w="864"/>
        <w:gridCol w:w="1428"/>
        <w:gridCol w:w="1261"/>
        <w:gridCol w:w="1753"/>
      </w:tblGrid>
      <w:tr w14:paraId="62FF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restart"/>
            <w:vAlign w:val="center"/>
          </w:tcPr>
          <w:p w14:paraId="1CCACB9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环境要素</w:t>
            </w:r>
          </w:p>
        </w:tc>
        <w:tc>
          <w:tcPr>
            <w:tcW w:w="3419" w:type="dxa"/>
            <w:gridSpan w:val="2"/>
            <w:vAlign w:val="center"/>
          </w:tcPr>
          <w:p w14:paraId="1E6A7A2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坐标</w:t>
            </w:r>
          </w:p>
        </w:tc>
        <w:tc>
          <w:tcPr>
            <w:tcW w:w="1710" w:type="dxa"/>
            <w:vMerge w:val="restart"/>
            <w:vAlign w:val="center"/>
          </w:tcPr>
          <w:p w14:paraId="4E5B1CD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保护对象</w:t>
            </w:r>
          </w:p>
        </w:tc>
        <w:tc>
          <w:tcPr>
            <w:tcW w:w="2592" w:type="dxa"/>
            <w:gridSpan w:val="3"/>
            <w:vAlign w:val="center"/>
          </w:tcPr>
          <w:p w14:paraId="6C4A845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保护内容</w:t>
            </w:r>
          </w:p>
        </w:tc>
        <w:tc>
          <w:tcPr>
            <w:tcW w:w="1428" w:type="dxa"/>
            <w:vMerge w:val="restart"/>
            <w:vAlign w:val="center"/>
          </w:tcPr>
          <w:p w14:paraId="207D7BE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相对厂址方位</w:t>
            </w:r>
          </w:p>
        </w:tc>
        <w:tc>
          <w:tcPr>
            <w:tcW w:w="1261" w:type="dxa"/>
            <w:vMerge w:val="restart"/>
            <w:vAlign w:val="center"/>
          </w:tcPr>
          <w:p w14:paraId="7B27F0C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相对厂界距离（m）</w:t>
            </w:r>
          </w:p>
        </w:tc>
        <w:tc>
          <w:tcPr>
            <w:tcW w:w="1753" w:type="dxa"/>
            <w:vMerge w:val="restart"/>
            <w:vAlign w:val="center"/>
          </w:tcPr>
          <w:p w14:paraId="3EE21D1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环境功能区</w:t>
            </w:r>
          </w:p>
        </w:tc>
      </w:tr>
      <w:tr w14:paraId="4999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24A60F5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vAlign w:val="center"/>
          </w:tcPr>
          <w:p w14:paraId="47017E9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w:t>
            </w:r>
          </w:p>
        </w:tc>
        <w:tc>
          <w:tcPr>
            <w:tcW w:w="1710" w:type="dxa"/>
            <w:vAlign w:val="center"/>
          </w:tcPr>
          <w:p w14:paraId="0132FA4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Y</w:t>
            </w:r>
          </w:p>
        </w:tc>
        <w:tc>
          <w:tcPr>
            <w:tcW w:w="1710" w:type="dxa"/>
            <w:vMerge w:val="continue"/>
            <w:vAlign w:val="center"/>
          </w:tcPr>
          <w:p w14:paraId="712C340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64" w:type="dxa"/>
            <w:vAlign w:val="center"/>
          </w:tcPr>
          <w:p w14:paraId="283FCCA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内容</w:t>
            </w:r>
          </w:p>
        </w:tc>
        <w:tc>
          <w:tcPr>
            <w:tcW w:w="864" w:type="dxa"/>
            <w:vAlign w:val="center"/>
          </w:tcPr>
          <w:p w14:paraId="24E3E43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户数</w:t>
            </w:r>
          </w:p>
        </w:tc>
        <w:tc>
          <w:tcPr>
            <w:tcW w:w="864" w:type="dxa"/>
            <w:vAlign w:val="center"/>
          </w:tcPr>
          <w:p w14:paraId="7906142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人数</w:t>
            </w:r>
          </w:p>
        </w:tc>
        <w:tc>
          <w:tcPr>
            <w:tcW w:w="1428" w:type="dxa"/>
            <w:vMerge w:val="continue"/>
            <w:vAlign w:val="center"/>
          </w:tcPr>
          <w:p w14:paraId="6116256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61" w:type="dxa"/>
            <w:vMerge w:val="continue"/>
            <w:vAlign w:val="center"/>
          </w:tcPr>
          <w:p w14:paraId="57BC949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53" w:type="dxa"/>
            <w:vMerge w:val="continue"/>
            <w:vAlign w:val="center"/>
          </w:tcPr>
          <w:p w14:paraId="5607155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677F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restart"/>
            <w:vAlign w:val="center"/>
          </w:tcPr>
          <w:p w14:paraId="6DFFC06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环境空气</w:t>
            </w:r>
          </w:p>
        </w:tc>
        <w:tc>
          <w:tcPr>
            <w:tcW w:w="1709" w:type="dxa"/>
            <w:vAlign w:val="center"/>
          </w:tcPr>
          <w:p w14:paraId="62C0FFD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46.9</w:t>
            </w:r>
            <w:r>
              <w:rPr>
                <w:rFonts w:hint="default" w:ascii="Times New Roman" w:hAnsi="Times New Roman" w:eastAsia="宋体" w:cs="Times New Roman"/>
                <w:color w:val="auto"/>
                <w:sz w:val="21"/>
                <w:szCs w:val="21"/>
                <w:highlight w:val="none"/>
              </w:rPr>
              <w:t>"</w:t>
            </w:r>
          </w:p>
        </w:tc>
        <w:tc>
          <w:tcPr>
            <w:tcW w:w="1710" w:type="dxa"/>
            <w:vAlign w:val="center"/>
          </w:tcPr>
          <w:p w14:paraId="45F489F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34.2</w:t>
            </w:r>
            <w:r>
              <w:rPr>
                <w:rFonts w:hint="default" w:ascii="Times New Roman" w:hAnsi="Times New Roman" w:eastAsia="宋体" w:cs="Times New Roman"/>
                <w:color w:val="auto"/>
                <w:sz w:val="21"/>
                <w:szCs w:val="21"/>
                <w:highlight w:val="none"/>
              </w:rPr>
              <w:t>"</w:t>
            </w:r>
          </w:p>
        </w:tc>
        <w:tc>
          <w:tcPr>
            <w:tcW w:w="1710" w:type="dxa"/>
            <w:vAlign w:val="center"/>
          </w:tcPr>
          <w:p w14:paraId="24F3364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小刘红眼</w:t>
            </w:r>
          </w:p>
        </w:tc>
        <w:tc>
          <w:tcPr>
            <w:tcW w:w="864" w:type="dxa"/>
            <w:vAlign w:val="center"/>
          </w:tcPr>
          <w:p w14:paraId="572B29A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居民</w:t>
            </w:r>
          </w:p>
        </w:tc>
        <w:tc>
          <w:tcPr>
            <w:tcW w:w="864" w:type="dxa"/>
            <w:vAlign w:val="center"/>
          </w:tcPr>
          <w:p w14:paraId="7E0026A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w:t>
            </w:r>
          </w:p>
        </w:tc>
        <w:tc>
          <w:tcPr>
            <w:tcW w:w="864" w:type="dxa"/>
            <w:vAlign w:val="center"/>
          </w:tcPr>
          <w:p w14:paraId="2898DF8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66</w:t>
            </w:r>
          </w:p>
        </w:tc>
        <w:tc>
          <w:tcPr>
            <w:tcW w:w="1428" w:type="dxa"/>
            <w:vAlign w:val="center"/>
          </w:tcPr>
          <w:p w14:paraId="3C35F82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东北侧</w:t>
            </w:r>
          </w:p>
        </w:tc>
        <w:tc>
          <w:tcPr>
            <w:tcW w:w="1261" w:type="dxa"/>
            <w:vAlign w:val="center"/>
          </w:tcPr>
          <w:p w14:paraId="4BC15B4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1555</w:t>
            </w:r>
          </w:p>
        </w:tc>
        <w:tc>
          <w:tcPr>
            <w:tcW w:w="1753" w:type="dxa"/>
            <w:vMerge w:val="restart"/>
            <w:vAlign w:val="center"/>
          </w:tcPr>
          <w:p w14:paraId="428669B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《环境空气质量标准》（GB3095-2012）二类功能区标准</w:t>
            </w:r>
          </w:p>
        </w:tc>
      </w:tr>
      <w:tr w14:paraId="75D2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072C33E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13C24B3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12.4</w:t>
            </w:r>
            <w:r>
              <w:rPr>
                <w:rFonts w:hint="default" w:ascii="Times New Roman" w:hAnsi="Times New Roman" w:eastAsia="宋体" w:cs="Times New Roman"/>
                <w:color w:val="auto"/>
                <w:sz w:val="21"/>
                <w:szCs w:val="21"/>
                <w:highlight w:val="none"/>
              </w:rPr>
              <w:t>"</w:t>
            </w:r>
          </w:p>
        </w:tc>
        <w:tc>
          <w:tcPr>
            <w:tcW w:w="1710" w:type="dxa"/>
            <w:vAlign w:val="center"/>
          </w:tcPr>
          <w:p w14:paraId="6FBB47D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6.1</w:t>
            </w:r>
            <w:r>
              <w:rPr>
                <w:rFonts w:hint="default" w:ascii="Times New Roman" w:hAnsi="Times New Roman" w:eastAsia="宋体" w:cs="Times New Roman"/>
                <w:color w:val="auto"/>
                <w:sz w:val="21"/>
                <w:szCs w:val="21"/>
                <w:highlight w:val="none"/>
              </w:rPr>
              <w:t>"</w:t>
            </w:r>
          </w:p>
        </w:tc>
        <w:tc>
          <w:tcPr>
            <w:tcW w:w="1710" w:type="dxa"/>
            <w:vAlign w:val="center"/>
          </w:tcPr>
          <w:p w14:paraId="121428A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新丰村</w:t>
            </w:r>
          </w:p>
        </w:tc>
        <w:tc>
          <w:tcPr>
            <w:tcW w:w="864" w:type="dxa"/>
            <w:vAlign w:val="center"/>
          </w:tcPr>
          <w:p w14:paraId="783EE78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居民</w:t>
            </w:r>
          </w:p>
        </w:tc>
        <w:tc>
          <w:tcPr>
            <w:tcW w:w="864" w:type="dxa"/>
            <w:vAlign w:val="center"/>
          </w:tcPr>
          <w:p w14:paraId="3FBB4E5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145</w:t>
            </w:r>
          </w:p>
        </w:tc>
        <w:tc>
          <w:tcPr>
            <w:tcW w:w="864" w:type="dxa"/>
            <w:vAlign w:val="center"/>
          </w:tcPr>
          <w:p w14:paraId="2FD945C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320</w:t>
            </w:r>
          </w:p>
        </w:tc>
        <w:tc>
          <w:tcPr>
            <w:tcW w:w="1428" w:type="dxa"/>
            <w:vAlign w:val="center"/>
          </w:tcPr>
          <w:p w14:paraId="6DAA015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东侧</w:t>
            </w:r>
          </w:p>
        </w:tc>
        <w:tc>
          <w:tcPr>
            <w:tcW w:w="1261" w:type="dxa"/>
            <w:vAlign w:val="center"/>
          </w:tcPr>
          <w:p w14:paraId="74916CF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1606</w:t>
            </w:r>
          </w:p>
        </w:tc>
        <w:tc>
          <w:tcPr>
            <w:tcW w:w="1753" w:type="dxa"/>
            <w:vMerge w:val="continue"/>
            <w:vAlign w:val="center"/>
          </w:tcPr>
          <w:p w14:paraId="1CFF6E0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5A25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21FBD8D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068B844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46.9</w:t>
            </w:r>
            <w:r>
              <w:rPr>
                <w:rFonts w:hint="default" w:ascii="Times New Roman" w:hAnsi="Times New Roman" w:eastAsia="宋体" w:cs="Times New Roman"/>
                <w:color w:val="auto"/>
                <w:sz w:val="21"/>
                <w:szCs w:val="21"/>
                <w:highlight w:val="none"/>
              </w:rPr>
              <w:t>"</w:t>
            </w:r>
          </w:p>
        </w:tc>
        <w:tc>
          <w:tcPr>
            <w:tcW w:w="1710" w:type="dxa"/>
            <w:vAlign w:val="center"/>
          </w:tcPr>
          <w:p w14:paraId="2FB8F7F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34.2</w:t>
            </w:r>
            <w:r>
              <w:rPr>
                <w:rFonts w:hint="default" w:ascii="Times New Roman" w:hAnsi="Times New Roman" w:eastAsia="宋体" w:cs="Times New Roman"/>
                <w:color w:val="auto"/>
                <w:sz w:val="21"/>
                <w:szCs w:val="21"/>
                <w:highlight w:val="none"/>
              </w:rPr>
              <w:t>"</w:t>
            </w:r>
          </w:p>
        </w:tc>
        <w:tc>
          <w:tcPr>
            <w:tcW w:w="1710" w:type="dxa"/>
            <w:vAlign w:val="center"/>
          </w:tcPr>
          <w:p w14:paraId="2F492DB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老王圪卜</w:t>
            </w:r>
          </w:p>
        </w:tc>
        <w:tc>
          <w:tcPr>
            <w:tcW w:w="864" w:type="dxa"/>
            <w:vAlign w:val="center"/>
          </w:tcPr>
          <w:p w14:paraId="4338EB5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居民</w:t>
            </w:r>
          </w:p>
        </w:tc>
        <w:tc>
          <w:tcPr>
            <w:tcW w:w="864" w:type="dxa"/>
            <w:vAlign w:val="center"/>
          </w:tcPr>
          <w:p w14:paraId="4654662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33</w:t>
            </w:r>
          </w:p>
        </w:tc>
        <w:tc>
          <w:tcPr>
            <w:tcW w:w="864" w:type="dxa"/>
            <w:vAlign w:val="center"/>
          </w:tcPr>
          <w:p w14:paraId="33BA7A7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68</w:t>
            </w:r>
          </w:p>
        </w:tc>
        <w:tc>
          <w:tcPr>
            <w:tcW w:w="1428" w:type="dxa"/>
            <w:vAlign w:val="center"/>
          </w:tcPr>
          <w:p w14:paraId="27AD23C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东侧</w:t>
            </w:r>
          </w:p>
        </w:tc>
        <w:tc>
          <w:tcPr>
            <w:tcW w:w="1261" w:type="dxa"/>
            <w:vAlign w:val="center"/>
          </w:tcPr>
          <w:p w14:paraId="7A23EEE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2116</w:t>
            </w:r>
          </w:p>
        </w:tc>
        <w:tc>
          <w:tcPr>
            <w:tcW w:w="1753" w:type="dxa"/>
            <w:vMerge w:val="continue"/>
            <w:vAlign w:val="center"/>
          </w:tcPr>
          <w:p w14:paraId="19F365E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71C0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0D933BB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2203AD9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29.1</w:t>
            </w:r>
            <w:r>
              <w:rPr>
                <w:rFonts w:hint="default" w:ascii="Times New Roman" w:hAnsi="Times New Roman" w:eastAsia="宋体" w:cs="Times New Roman"/>
                <w:color w:val="auto"/>
                <w:sz w:val="21"/>
                <w:szCs w:val="21"/>
                <w:highlight w:val="none"/>
              </w:rPr>
              <w:t>"</w:t>
            </w:r>
          </w:p>
        </w:tc>
        <w:tc>
          <w:tcPr>
            <w:tcW w:w="1710" w:type="dxa"/>
            <w:vAlign w:val="center"/>
          </w:tcPr>
          <w:p w14:paraId="488B97F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25.9</w:t>
            </w:r>
            <w:r>
              <w:rPr>
                <w:rFonts w:hint="default" w:ascii="Times New Roman" w:hAnsi="Times New Roman" w:eastAsia="宋体" w:cs="Times New Roman"/>
                <w:color w:val="auto"/>
                <w:sz w:val="21"/>
                <w:szCs w:val="21"/>
                <w:highlight w:val="none"/>
              </w:rPr>
              <w:t>"</w:t>
            </w:r>
          </w:p>
        </w:tc>
        <w:tc>
          <w:tcPr>
            <w:tcW w:w="1710" w:type="dxa"/>
            <w:vAlign w:val="center"/>
          </w:tcPr>
          <w:p w14:paraId="1F2F94D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吴四圪堵</w:t>
            </w:r>
          </w:p>
        </w:tc>
        <w:tc>
          <w:tcPr>
            <w:tcW w:w="864" w:type="dxa"/>
            <w:vAlign w:val="center"/>
          </w:tcPr>
          <w:p w14:paraId="1C22838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居民</w:t>
            </w:r>
          </w:p>
        </w:tc>
        <w:tc>
          <w:tcPr>
            <w:tcW w:w="864" w:type="dxa"/>
            <w:vAlign w:val="center"/>
          </w:tcPr>
          <w:p w14:paraId="4C413B0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864" w:type="dxa"/>
            <w:vAlign w:val="center"/>
          </w:tcPr>
          <w:p w14:paraId="23F11A6F">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112</w:t>
            </w:r>
          </w:p>
        </w:tc>
        <w:tc>
          <w:tcPr>
            <w:tcW w:w="1428" w:type="dxa"/>
            <w:vAlign w:val="center"/>
          </w:tcPr>
          <w:p w14:paraId="758BA15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1261" w:type="dxa"/>
            <w:vAlign w:val="center"/>
          </w:tcPr>
          <w:p w14:paraId="012A891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1229</w:t>
            </w:r>
          </w:p>
        </w:tc>
        <w:tc>
          <w:tcPr>
            <w:tcW w:w="1753" w:type="dxa"/>
            <w:vMerge w:val="continue"/>
            <w:vAlign w:val="center"/>
          </w:tcPr>
          <w:p w14:paraId="15C535B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2A2D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73D3E75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0921917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41.3</w:t>
            </w:r>
            <w:r>
              <w:rPr>
                <w:rFonts w:hint="default" w:ascii="Times New Roman" w:hAnsi="Times New Roman" w:eastAsia="宋体" w:cs="Times New Roman"/>
                <w:color w:val="auto"/>
                <w:sz w:val="21"/>
                <w:szCs w:val="21"/>
                <w:highlight w:val="none"/>
              </w:rPr>
              <w:t>"</w:t>
            </w:r>
          </w:p>
        </w:tc>
        <w:tc>
          <w:tcPr>
            <w:tcW w:w="1710" w:type="dxa"/>
            <w:vAlign w:val="center"/>
          </w:tcPr>
          <w:p w14:paraId="3033A39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8.4</w:t>
            </w:r>
            <w:r>
              <w:rPr>
                <w:rFonts w:hint="default" w:ascii="Times New Roman" w:hAnsi="Times New Roman" w:eastAsia="宋体" w:cs="Times New Roman"/>
                <w:color w:val="auto"/>
                <w:sz w:val="21"/>
                <w:szCs w:val="21"/>
                <w:highlight w:val="none"/>
              </w:rPr>
              <w:t>"</w:t>
            </w:r>
          </w:p>
        </w:tc>
        <w:tc>
          <w:tcPr>
            <w:tcW w:w="1710" w:type="dxa"/>
            <w:vAlign w:val="center"/>
          </w:tcPr>
          <w:p w14:paraId="2354427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胜丰镇</w:t>
            </w:r>
          </w:p>
        </w:tc>
        <w:tc>
          <w:tcPr>
            <w:tcW w:w="864" w:type="dxa"/>
            <w:vAlign w:val="center"/>
          </w:tcPr>
          <w:p w14:paraId="76C3679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居民</w:t>
            </w:r>
          </w:p>
        </w:tc>
        <w:tc>
          <w:tcPr>
            <w:tcW w:w="864" w:type="dxa"/>
            <w:vAlign w:val="center"/>
          </w:tcPr>
          <w:p w14:paraId="5C5C2D0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433</w:t>
            </w:r>
          </w:p>
        </w:tc>
        <w:tc>
          <w:tcPr>
            <w:tcW w:w="864" w:type="dxa"/>
            <w:vAlign w:val="center"/>
          </w:tcPr>
          <w:p w14:paraId="5322D3D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768</w:t>
            </w:r>
          </w:p>
        </w:tc>
        <w:tc>
          <w:tcPr>
            <w:tcW w:w="1428" w:type="dxa"/>
            <w:vAlign w:val="center"/>
          </w:tcPr>
          <w:p w14:paraId="7658804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1261" w:type="dxa"/>
            <w:vAlign w:val="center"/>
          </w:tcPr>
          <w:p w14:paraId="5239253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2303</w:t>
            </w:r>
          </w:p>
        </w:tc>
        <w:tc>
          <w:tcPr>
            <w:tcW w:w="1753" w:type="dxa"/>
            <w:vMerge w:val="continue"/>
            <w:vAlign w:val="center"/>
          </w:tcPr>
          <w:p w14:paraId="10947BB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C93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73FD626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7CFF9A9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21.3</w:t>
            </w:r>
            <w:r>
              <w:rPr>
                <w:rFonts w:hint="default" w:ascii="Times New Roman" w:hAnsi="Times New Roman" w:eastAsia="宋体" w:cs="Times New Roman"/>
                <w:color w:val="auto"/>
                <w:sz w:val="21"/>
                <w:szCs w:val="21"/>
                <w:highlight w:val="none"/>
              </w:rPr>
              <w:t>"</w:t>
            </w:r>
          </w:p>
        </w:tc>
        <w:tc>
          <w:tcPr>
            <w:tcW w:w="1710" w:type="dxa"/>
            <w:vAlign w:val="center"/>
          </w:tcPr>
          <w:p w14:paraId="498C02A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33.9</w:t>
            </w:r>
            <w:r>
              <w:rPr>
                <w:rFonts w:hint="default" w:ascii="Times New Roman" w:hAnsi="Times New Roman" w:eastAsia="宋体" w:cs="Times New Roman"/>
                <w:color w:val="auto"/>
                <w:sz w:val="21"/>
                <w:szCs w:val="21"/>
                <w:highlight w:val="none"/>
              </w:rPr>
              <w:t>"</w:t>
            </w:r>
          </w:p>
        </w:tc>
        <w:tc>
          <w:tcPr>
            <w:tcW w:w="1710" w:type="dxa"/>
            <w:vAlign w:val="center"/>
          </w:tcPr>
          <w:p w14:paraId="07F8327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宴安和桥</w:t>
            </w:r>
          </w:p>
        </w:tc>
        <w:tc>
          <w:tcPr>
            <w:tcW w:w="864" w:type="dxa"/>
            <w:vAlign w:val="center"/>
          </w:tcPr>
          <w:p w14:paraId="42C4CE0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居民</w:t>
            </w:r>
          </w:p>
        </w:tc>
        <w:tc>
          <w:tcPr>
            <w:tcW w:w="864" w:type="dxa"/>
            <w:vAlign w:val="center"/>
          </w:tcPr>
          <w:p w14:paraId="2B5E326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864" w:type="dxa"/>
            <w:vAlign w:val="center"/>
          </w:tcPr>
          <w:p w14:paraId="561249E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58</w:t>
            </w:r>
          </w:p>
        </w:tc>
        <w:tc>
          <w:tcPr>
            <w:tcW w:w="1428" w:type="dxa"/>
            <w:vAlign w:val="center"/>
          </w:tcPr>
          <w:p w14:paraId="68B58E1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1261" w:type="dxa"/>
            <w:vAlign w:val="center"/>
          </w:tcPr>
          <w:p w14:paraId="580DC97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1387</w:t>
            </w:r>
          </w:p>
        </w:tc>
        <w:tc>
          <w:tcPr>
            <w:tcW w:w="1753" w:type="dxa"/>
            <w:vMerge w:val="continue"/>
            <w:vAlign w:val="center"/>
          </w:tcPr>
          <w:p w14:paraId="482F7D3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754A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189F5CB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2534582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40.1</w:t>
            </w:r>
            <w:r>
              <w:rPr>
                <w:rFonts w:hint="default" w:ascii="Times New Roman" w:hAnsi="Times New Roman" w:eastAsia="宋体" w:cs="Times New Roman"/>
                <w:color w:val="auto"/>
                <w:sz w:val="21"/>
                <w:szCs w:val="21"/>
                <w:highlight w:val="none"/>
              </w:rPr>
              <w:t>"</w:t>
            </w:r>
          </w:p>
        </w:tc>
        <w:tc>
          <w:tcPr>
            <w:tcW w:w="1710" w:type="dxa"/>
            <w:vAlign w:val="center"/>
          </w:tcPr>
          <w:p w14:paraId="19804EA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43.1</w:t>
            </w:r>
            <w:r>
              <w:rPr>
                <w:rFonts w:hint="default" w:ascii="Times New Roman" w:hAnsi="Times New Roman" w:eastAsia="宋体" w:cs="Times New Roman"/>
                <w:color w:val="auto"/>
                <w:sz w:val="21"/>
                <w:szCs w:val="21"/>
                <w:highlight w:val="none"/>
              </w:rPr>
              <w:t>"</w:t>
            </w:r>
          </w:p>
        </w:tc>
        <w:tc>
          <w:tcPr>
            <w:tcW w:w="1710" w:type="dxa"/>
            <w:vAlign w:val="center"/>
          </w:tcPr>
          <w:p w14:paraId="3B973C8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白三柜</w:t>
            </w:r>
          </w:p>
        </w:tc>
        <w:tc>
          <w:tcPr>
            <w:tcW w:w="864" w:type="dxa"/>
            <w:vAlign w:val="center"/>
          </w:tcPr>
          <w:p w14:paraId="49F7224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居民</w:t>
            </w:r>
          </w:p>
        </w:tc>
        <w:tc>
          <w:tcPr>
            <w:tcW w:w="864" w:type="dxa"/>
            <w:vAlign w:val="center"/>
          </w:tcPr>
          <w:p w14:paraId="23387D6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51</w:t>
            </w:r>
          </w:p>
        </w:tc>
        <w:tc>
          <w:tcPr>
            <w:tcW w:w="864" w:type="dxa"/>
            <w:vAlign w:val="center"/>
          </w:tcPr>
          <w:p w14:paraId="69CA5EF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132</w:t>
            </w:r>
          </w:p>
        </w:tc>
        <w:tc>
          <w:tcPr>
            <w:tcW w:w="1428" w:type="dxa"/>
            <w:vAlign w:val="center"/>
          </w:tcPr>
          <w:p w14:paraId="6213182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1261" w:type="dxa"/>
            <w:vAlign w:val="center"/>
          </w:tcPr>
          <w:p w14:paraId="6D0E4EC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2091</w:t>
            </w:r>
          </w:p>
        </w:tc>
        <w:tc>
          <w:tcPr>
            <w:tcW w:w="1753" w:type="dxa"/>
            <w:vMerge w:val="continue"/>
            <w:vAlign w:val="center"/>
          </w:tcPr>
          <w:p w14:paraId="57C86D6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CA7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157923B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shd w:val="clear" w:color="auto" w:fill="auto"/>
            <w:vAlign w:val="center"/>
          </w:tcPr>
          <w:p w14:paraId="1AA2075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28.7</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1451A61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9.62</w:t>
            </w:r>
            <w:r>
              <w:rPr>
                <w:rFonts w:hint="default" w:ascii="Times New Roman" w:hAnsi="Times New Roman" w:eastAsia="宋体" w:cs="Times New Roman"/>
                <w:color w:val="auto"/>
                <w:sz w:val="21"/>
                <w:szCs w:val="21"/>
                <w:highlight w:val="none"/>
              </w:rPr>
              <w:t>"</w:t>
            </w:r>
          </w:p>
        </w:tc>
        <w:tc>
          <w:tcPr>
            <w:tcW w:w="1710" w:type="dxa"/>
            <w:vAlign w:val="center"/>
          </w:tcPr>
          <w:p w14:paraId="62659CD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天义城</w:t>
            </w:r>
          </w:p>
        </w:tc>
        <w:tc>
          <w:tcPr>
            <w:tcW w:w="864" w:type="dxa"/>
            <w:shd w:val="clear" w:color="auto" w:fill="auto"/>
            <w:vAlign w:val="center"/>
          </w:tcPr>
          <w:p w14:paraId="7D35545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居民</w:t>
            </w:r>
          </w:p>
        </w:tc>
        <w:tc>
          <w:tcPr>
            <w:tcW w:w="864" w:type="dxa"/>
            <w:shd w:val="clear" w:color="auto" w:fill="auto"/>
            <w:vAlign w:val="center"/>
          </w:tcPr>
          <w:p w14:paraId="61A631E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128</w:t>
            </w:r>
          </w:p>
        </w:tc>
        <w:tc>
          <w:tcPr>
            <w:tcW w:w="864" w:type="dxa"/>
            <w:shd w:val="clear" w:color="auto" w:fill="auto"/>
            <w:vAlign w:val="center"/>
          </w:tcPr>
          <w:p w14:paraId="676B6EE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260</w:t>
            </w:r>
          </w:p>
        </w:tc>
        <w:tc>
          <w:tcPr>
            <w:tcW w:w="1428" w:type="dxa"/>
            <w:vAlign w:val="center"/>
          </w:tcPr>
          <w:p w14:paraId="0B7845F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1261" w:type="dxa"/>
            <w:vAlign w:val="center"/>
          </w:tcPr>
          <w:p w14:paraId="2B8D9BD7">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2482</w:t>
            </w:r>
          </w:p>
        </w:tc>
        <w:tc>
          <w:tcPr>
            <w:tcW w:w="1753" w:type="dxa"/>
            <w:vMerge w:val="continue"/>
            <w:vAlign w:val="center"/>
          </w:tcPr>
          <w:p w14:paraId="1FBD5CE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FEF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0986E24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09" w:type="dxa"/>
            <w:vAlign w:val="center"/>
          </w:tcPr>
          <w:p w14:paraId="30A155A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54.9</w:t>
            </w:r>
            <w:r>
              <w:rPr>
                <w:rFonts w:hint="default" w:ascii="Times New Roman" w:hAnsi="Times New Roman" w:eastAsia="宋体" w:cs="Times New Roman"/>
                <w:color w:val="auto"/>
                <w:sz w:val="21"/>
                <w:szCs w:val="21"/>
                <w:highlight w:val="none"/>
              </w:rPr>
              <w:t>"</w:t>
            </w:r>
          </w:p>
        </w:tc>
        <w:tc>
          <w:tcPr>
            <w:tcW w:w="1710" w:type="dxa"/>
            <w:vAlign w:val="center"/>
          </w:tcPr>
          <w:p w14:paraId="6C0CB51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44.9</w:t>
            </w:r>
            <w:r>
              <w:rPr>
                <w:rFonts w:hint="default" w:ascii="Times New Roman" w:hAnsi="Times New Roman" w:eastAsia="宋体" w:cs="Times New Roman"/>
                <w:color w:val="auto"/>
                <w:sz w:val="21"/>
                <w:szCs w:val="21"/>
                <w:highlight w:val="none"/>
              </w:rPr>
              <w:t>"</w:t>
            </w:r>
          </w:p>
        </w:tc>
        <w:tc>
          <w:tcPr>
            <w:tcW w:w="1710" w:type="dxa"/>
            <w:vAlign w:val="center"/>
          </w:tcPr>
          <w:p w14:paraId="753911B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新丰村三社</w:t>
            </w:r>
          </w:p>
        </w:tc>
        <w:tc>
          <w:tcPr>
            <w:tcW w:w="864" w:type="dxa"/>
            <w:vAlign w:val="center"/>
          </w:tcPr>
          <w:p w14:paraId="40A24EA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居民</w:t>
            </w:r>
          </w:p>
        </w:tc>
        <w:tc>
          <w:tcPr>
            <w:tcW w:w="864" w:type="dxa"/>
            <w:vAlign w:val="center"/>
          </w:tcPr>
          <w:p w14:paraId="7D4D23A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56</w:t>
            </w:r>
          </w:p>
        </w:tc>
        <w:tc>
          <w:tcPr>
            <w:tcW w:w="864" w:type="dxa"/>
            <w:vAlign w:val="center"/>
          </w:tcPr>
          <w:p w14:paraId="7BFFB63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146</w:t>
            </w:r>
          </w:p>
        </w:tc>
        <w:tc>
          <w:tcPr>
            <w:tcW w:w="1428" w:type="dxa"/>
            <w:vAlign w:val="center"/>
          </w:tcPr>
          <w:p w14:paraId="147E235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西侧</w:t>
            </w:r>
          </w:p>
        </w:tc>
        <w:tc>
          <w:tcPr>
            <w:tcW w:w="1261" w:type="dxa"/>
            <w:vAlign w:val="center"/>
          </w:tcPr>
          <w:p w14:paraId="348FE9FF">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70</w:t>
            </w:r>
          </w:p>
        </w:tc>
        <w:tc>
          <w:tcPr>
            <w:tcW w:w="1753" w:type="dxa"/>
            <w:vMerge w:val="continue"/>
            <w:vAlign w:val="center"/>
          </w:tcPr>
          <w:p w14:paraId="2A700A5F">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0561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Align w:val="center"/>
          </w:tcPr>
          <w:p w14:paraId="50EA09E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声环境</w:t>
            </w:r>
          </w:p>
        </w:tc>
        <w:tc>
          <w:tcPr>
            <w:tcW w:w="1709" w:type="dxa"/>
            <w:shd w:val="clear" w:color="auto" w:fill="auto"/>
            <w:vAlign w:val="center"/>
          </w:tcPr>
          <w:p w14:paraId="636F86D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N4</w:t>
            </w:r>
            <w:r>
              <w:rPr>
                <w:rFonts w:hint="default" w:ascii="Times New Roman" w:hAnsi="Times New Roman" w:eastAsia="宋体" w:cs="Times New Roman"/>
                <w:color w:val="FF0000"/>
                <w:sz w:val="21"/>
                <w:szCs w:val="21"/>
                <w:highlight w:val="none"/>
                <w:lang w:val="en-US" w:eastAsia="zh-CN"/>
              </w:rPr>
              <w:t>1</w:t>
            </w:r>
            <w:r>
              <w:rPr>
                <w:rFonts w:hint="default" w:ascii="Times New Roman" w:hAnsi="Times New Roman" w:eastAsia="宋体" w:cs="Times New Roman"/>
                <w:color w:val="FF0000"/>
                <w:sz w:val="21"/>
                <w:szCs w:val="21"/>
                <w:highlight w:val="none"/>
              </w:rPr>
              <w:t>°</w:t>
            </w:r>
            <w:r>
              <w:rPr>
                <w:rFonts w:hint="default" w:ascii="Times New Roman" w:hAnsi="Times New Roman" w:eastAsia="宋体" w:cs="Times New Roman"/>
                <w:color w:val="FF0000"/>
                <w:sz w:val="21"/>
                <w:szCs w:val="21"/>
                <w:highlight w:val="none"/>
                <w:lang w:val="en-US" w:eastAsia="zh-CN"/>
              </w:rPr>
              <w:t>03</w:t>
            </w:r>
            <w:r>
              <w:rPr>
                <w:rFonts w:hint="default" w:ascii="Times New Roman" w:hAnsi="Times New Roman" w:eastAsia="宋体" w:cs="Times New Roman"/>
                <w:color w:val="FF0000"/>
                <w:sz w:val="21"/>
                <w:szCs w:val="21"/>
                <w:highlight w:val="none"/>
              </w:rPr>
              <w:t>'</w:t>
            </w:r>
            <w:r>
              <w:rPr>
                <w:rFonts w:hint="default" w:ascii="Times New Roman" w:hAnsi="Times New Roman" w:eastAsia="宋体" w:cs="Times New Roman"/>
                <w:color w:val="FF0000"/>
                <w:sz w:val="21"/>
                <w:szCs w:val="21"/>
                <w:highlight w:val="none"/>
                <w:lang w:val="en-US" w:eastAsia="zh-CN"/>
              </w:rPr>
              <w:t>54.9</w:t>
            </w:r>
            <w:r>
              <w:rPr>
                <w:rFonts w:hint="default" w:ascii="Times New Roman" w:hAnsi="Times New Roman" w:eastAsia="宋体" w:cs="Times New Roman"/>
                <w:color w:val="FF0000"/>
                <w:sz w:val="21"/>
                <w:szCs w:val="21"/>
                <w:highlight w:val="none"/>
              </w:rPr>
              <w:t>"</w:t>
            </w:r>
          </w:p>
        </w:tc>
        <w:tc>
          <w:tcPr>
            <w:tcW w:w="1710" w:type="dxa"/>
            <w:shd w:val="clear" w:color="auto" w:fill="auto"/>
            <w:vAlign w:val="center"/>
          </w:tcPr>
          <w:p w14:paraId="4463F1D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E10</w:t>
            </w:r>
            <w:r>
              <w:rPr>
                <w:rFonts w:hint="default" w:ascii="Times New Roman" w:hAnsi="Times New Roman" w:eastAsia="宋体" w:cs="Times New Roman"/>
                <w:color w:val="FF0000"/>
                <w:sz w:val="21"/>
                <w:szCs w:val="21"/>
                <w:highlight w:val="none"/>
                <w:lang w:val="en-US" w:eastAsia="zh-CN"/>
              </w:rPr>
              <w:t>8</w:t>
            </w:r>
            <w:r>
              <w:rPr>
                <w:rFonts w:hint="default" w:ascii="Times New Roman" w:hAnsi="Times New Roman" w:eastAsia="宋体" w:cs="Times New Roman"/>
                <w:color w:val="FF0000"/>
                <w:sz w:val="21"/>
                <w:szCs w:val="21"/>
                <w:highlight w:val="none"/>
              </w:rPr>
              <w:t>°</w:t>
            </w:r>
            <w:r>
              <w:rPr>
                <w:rFonts w:hint="default" w:ascii="Times New Roman" w:hAnsi="Times New Roman" w:eastAsia="宋体" w:cs="Times New Roman"/>
                <w:color w:val="FF0000"/>
                <w:sz w:val="21"/>
                <w:szCs w:val="21"/>
                <w:highlight w:val="none"/>
                <w:lang w:val="en-US" w:eastAsia="zh-CN"/>
              </w:rPr>
              <w:t>22</w:t>
            </w:r>
            <w:r>
              <w:rPr>
                <w:rFonts w:hint="default" w:ascii="Times New Roman" w:hAnsi="Times New Roman" w:eastAsia="宋体" w:cs="Times New Roman"/>
                <w:color w:val="FF0000"/>
                <w:sz w:val="21"/>
                <w:szCs w:val="21"/>
                <w:highlight w:val="none"/>
              </w:rPr>
              <w:t>'</w:t>
            </w:r>
            <w:r>
              <w:rPr>
                <w:rFonts w:hint="default" w:ascii="Times New Roman" w:hAnsi="Times New Roman" w:eastAsia="宋体" w:cs="Times New Roman"/>
                <w:color w:val="FF0000"/>
                <w:sz w:val="21"/>
                <w:szCs w:val="21"/>
                <w:highlight w:val="none"/>
                <w:lang w:val="en-US" w:eastAsia="zh-CN"/>
              </w:rPr>
              <w:t>44.9</w:t>
            </w:r>
            <w:r>
              <w:rPr>
                <w:rFonts w:hint="default" w:ascii="Times New Roman" w:hAnsi="Times New Roman" w:eastAsia="宋体" w:cs="Times New Roman"/>
                <w:color w:val="FF0000"/>
                <w:sz w:val="21"/>
                <w:szCs w:val="21"/>
                <w:highlight w:val="none"/>
              </w:rPr>
              <w:t>"</w:t>
            </w:r>
          </w:p>
        </w:tc>
        <w:tc>
          <w:tcPr>
            <w:tcW w:w="1710" w:type="dxa"/>
            <w:shd w:val="clear" w:color="auto" w:fill="auto"/>
            <w:vAlign w:val="center"/>
          </w:tcPr>
          <w:p w14:paraId="562B99A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新丰村三社</w:t>
            </w:r>
          </w:p>
        </w:tc>
        <w:tc>
          <w:tcPr>
            <w:tcW w:w="864" w:type="dxa"/>
            <w:shd w:val="clear" w:color="auto" w:fill="auto"/>
            <w:vAlign w:val="center"/>
          </w:tcPr>
          <w:p w14:paraId="7BD9255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居民</w:t>
            </w:r>
          </w:p>
        </w:tc>
        <w:tc>
          <w:tcPr>
            <w:tcW w:w="864" w:type="dxa"/>
            <w:shd w:val="clear" w:color="auto" w:fill="auto"/>
            <w:vAlign w:val="center"/>
          </w:tcPr>
          <w:p w14:paraId="7E11BDA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11</w:t>
            </w:r>
          </w:p>
        </w:tc>
        <w:tc>
          <w:tcPr>
            <w:tcW w:w="864" w:type="dxa"/>
            <w:shd w:val="clear" w:color="auto" w:fill="auto"/>
            <w:vAlign w:val="center"/>
          </w:tcPr>
          <w:p w14:paraId="3196CDC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29</w:t>
            </w:r>
          </w:p>
        </w:tc>
        <w:tc>
          <w:tcPr>
            <w:tcW w:w="1428" w:type="dxa"/>
            <w:shd w:val="clear" w:color="auto" w:fill="auto"/>
            <w:vAlign w:val="center"/>
          </w:tcPr>
          <w:p w14:paraId="2D3E1E1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西侧</w:t>
            </w:r>
          </w:p>
        </w:tc>
        <w:tc>
          <w:tcPr>
            <w:tcW w:w="1261" w:type="dxa"/>
            <w:shd w:val="clear" w:color="auto" w:fill="auto"/>
            <w:vAlign w:val="center"/>
          </w:tcPr>
          <w:p w14:paraId="2C59806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70</w:t>
            </w:r>
          </w:p>
        </w:tc>
        <w:tc>
          <w:tcPr>
            <w:tcW w:w="1753" w:type="dxa"/>
            <w:vAlign w:val="center"/>
          </w:tcPr>
          <w:p w14:paraId="2675577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《声环境质量标准》（GB3096-2008）</w:t>
            </w:r>
            <w:r>
              <w:rPr>
                <w:rFonts w:hint="default" w:ascii="Times New Roman" w:hAnsi="Times New Roman" w:eastAsia="宋体" w:cs="Times New Roman"/>
                <w:color w:val="FF0000"/>
                <w:sz w:val="21"/>
                <w:szCs w:val="21"/>
                <w:highlight w:val="none"/>
                <w:lang w:val="en-US" w:eastAsia="zh-CN"/>
              </w:rPr>
              <w:t>2</w:t>
            </w:r>
            <w:r>
              <w:rPr>
                <w:rFonts w:hint="default" w:ascii="Times New Roman" w:hAnsi="Times New Roman" w:eastAsia="宋体" w:cs="Times New Roman"/>
                <w:color w:val="FF0000"/>
                <w:sz w:val="21"/>
                <w:szCs w:val="21"/>
                <w:highlight w:val="none"/>
              </w:rPr>
              <w:t>类标准</w:t>
            </w:r>
          </w:p>
        </w:tc>
      </w:tr>
      <w:tr w14:paraId="28F4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restart"/>
            <w:vAlign w:val="center"/>
          </w:tcPr>
          <w:p w14:paraId="6C2AA93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地下水环境</w:t>
            </w:r>
          </w:p>
        </w:tc>
        <w:tc>
          <w:tcPr>
            <w:tcW w:w="1709" w:type="dxa"/>
            <w:shd w:val="clear" w:color="auto" w:fill="auto"/>
            <w:vAlign w:val="center"/>
          </w:tcPr>
          <w:p w14:paraId="5CA6429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45.2</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3EBB2E4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37.3</w:t>
            </w:r>
            <w:r>
              <w:rPr>
                <w:rFonts w:hint="default" w:ascii="Times New Roman" w:hAnsi="Times New Roman" w:eastAsia="宋体" w:cs="Times New Roman"/>
                <w:color w:val="auto"/>
                <w:sz w:val="21"/>
                <w:szCs w:val="21"/>
                <w:highlight w:val="none"/>
              </w:rPr>
              <w:t>"</w:t>
            </w:r>
          </w:p>
        </w:tc>
        <w:tc>
          <w:tcPr>
            <w:tcW w:w="1710" w:type="dxa"/>
            <w:vAlign w:val="center"/>
          </w:tcPr>
          <w:p w14:paraId="6098B4E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地下水上游</w:t>
            </w:r>
          </w:p>
        </w:tc>
        <w:tc>
          <w:tcPr>
            <w:tcW w:w="2592" w:type="dxa"/>
            <w:gridSpan w:val="3"/>
            <w:vAlign w:val="center"/>
          </w:tcPr>
          <w:p w14:paraId="22B4872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428" w:type="dxa"/>
            <w:shd w:val="clear" w:color="auto" w:fill="auto"/>
            <w:vAlign w:val="center"/>
          </w:tcPr>
          <w:p w14:paraId="35B85C2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东北侧</w:t>
            </w:r>
          </w:p>
        </w:tc>
        <w:tc>
          <w:tcPr>
            <w:tcW w:w="1261" w:type="dxa"/>
            <w:vAlign w:val="center"/>
          </w:tcPr>
          <w:p w14:paraId="759E29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530</w:t>
            </w:r>
          </w:p>
        </w:tc>
        <w:tc>
          <w:tcPr>
            <w:tcW w:w="1753" w:type="dxa"/>
            <w:vMerge w:val="restart"/>
            <w:vAlign w:val="center"/>
          </w:tcPr>
          <w:p w14:paraId="0108165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地下水质量标准</w:t>
            </w:r>
            <w:r>
              <w:rPr>
                <w:rFonts w:hint="default" w:ascii="Times New Roman" w:hAnsi="Times New Roman" w:eastAsia="宋体" w:cs="Times New Roman"/>
                <w:color w:val="auto"/>
                <w:sz w:val="21"/>
                <w:szCs w:val="21"/>
                <w:highlight w:val="none"/>
              </w:rPr>
              <w:t>》（GB/T14848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2017）的</w:t>
            </w:r>
            <w:r>
              <w:rPr>
                <w:rFonts w:hint="default" w:ascii="Times New Roman" w:hAnsi="Times New Roman" w:eastAsia="宋体" w:cs="Times New Roman"/>
                <w:color w:val="auto"/>
                <w:sz w:val="21"/>
                <w:szCs w:val="21"/>
                <w:highlight w:val="none"/>
                <w:lang w:eastAsia="zh-CN"/>
              </w:rPr>
              <w:t>Ⅲ</w:t>
            </w:r>
            <w:r>
              <w:rPr>
                <w:rFonts w:hint="default" w:ascii="Times New Roman" w:hAnsi="Times New Roman" w:eastAsia="宋体" w:cs="Times New Roman"/>
                <w:color w:val="auto"/>
                <w:sz w:val="21"/>
                <w:szCs w:val="21"/>
                <w:highlight w:val="none"/>
              </w:rPr>
              <w:t>类标准</w:t>
            </w:r>
          </w:p>
        </w:tc>
      </w:tr>
      <w:tr w14:paraId="19DC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3AAF42D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shd w:val="clear" w:color="auto" w:fill="auto"/>
            <w:vAlign w:val="center"/>
          </w:tcPr>
          <w:p w14:paraId="1E845DF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10.6</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6DA1C28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4.5</w:t>
            </w:r>
            <w:r>
              <w:rPr>
                <w:rFonts w:hint="default" w:ascii="Times New Roman" w:hAnsi="Times New Roman" w:eastAsia="宋体" w:cs="Times New Roman"/>
                <w:color w:val="auto"/>
                <w:sz w:val="21"/>
                <w:szCs w:val="21"/>
                <w:highlight w:val="none"/>
              </w:rPr>
              <w:t>"</w:t>
            </w:r>
          </w:p>
        </w:tc>
        <w:tc>
          <w:tcPr>
            <w:tcW w:w="1710" w:type="dxa"/>
            <w:vAlign w:val="center"/>
          </w:tcPr>
          <w:p w14:paraId="2D155EE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2592" w:type="dxa"/>
            <w:gridSpan w:val="3"/>
            <w:vAlign w:val="center"/>
          </w:tcPr>
          <w:p w14:paraId="22B2FEF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生活水井</w:t>
            </w:r>
          </w:p>
        </w:tc>
        <w:tc>
          <w:tcPr>
            <w:tcW w:w="1428" w:type="dxa"/>
            <w:shd w:val="clear" w:color="auto" w:fill="auto"/>
            <w:vAlign w:val="center"/>
          </w:tcPr>
          <w:p w14:paraId="420E093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东侧</w:t>
            </w:r>
          </w:p>
        </w:tc>
        <w:tc>
          <w:tcPr>
            <w:tcW w:w="1261" w:type="dxa"/>
            <w:vAlign w:val="center"/>
          </w:tcPr>
          <w:p w14:paraId="64F3DE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370</w:t>
            </w:r>
          </w:p>
        </w:tc>
        <w:tc>
          <w:tcPr>
            <w:tcW w:w="1753" w:type="dxa"/>
            <w:vMerge w:val="continue"/>
            <w:vAlign w:val="center"/>
          </w:tcPr>
          <w:p w14:paraId="69E190C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1B5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282BFC0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shd w:val="clear" w:color="auto" w:fill="auto"/>
            <w:vAlign w:val="center"/>
          </w:tcPr>
          <w:p w14:paraId="174EDBE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27.5</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2396DF4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25.9</w:t>
            </w:r>
            <w:r>
              <w:rPr>
                <w:rFonts w:hint="default" w:ascii="Times New Roman" w:hAnsi="Times New Roman" w:eastAsia="宋体" w:cs="Times New Roman"/>
                <w:color w:val="auto"/>
                <w:sz w:val="21"/>
                <w:szCs w:val="21"/>
                <w:highlight w:val="none"/>
              </w:rPr>
              <w:t>"</w:t>
            </w:r>
          </w:p>
        </w:tc>
        <w:tc>
          <w:tcPr>
            <w:tcW w:w="1710" w:type="dxa"/>
            <w:vAlign w:val="center"/>
          </w:tcPr>
          <w:p w14:paraId="5CB07A6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地下水两侧</w:t>
            </w:r>
          </w:p>
        </w:tc>
        <w:tc>
          <w:tcPr>
            <w:tcW w:w="2592" w:type="dxa"/>
            <w:gridSpan w:val="3"/>
            <w:vAlign w:val="center"/>
          </w:tcPr>
          <w:p w14:paraId="1746B2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生活水井</w:t>
            </w:r>
          </w:p>
        </w:tc>
        <w:tc>
          <w:tcPr>
            <w:tcW w:w="1428" w:type="dxa"/>
            <w:vAlign w:val="center"/>
          </w:tcPr>
          <w:p w14:paraId="0308F5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南侧</w:t>
            </w:r>
          </w:p>
        </w:tc>
        <w:tc>
          <w:tcPr>
            <w:tcW w:w="1261" w:type="dxa"/>
            <w:vAlign w:val="center"/>
          </w:tcPr>
          <w:p w14:paraId="43E95D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1050</w:t>
            </w:r>
          </w:p>
        </w:tc>
        <w:tc>
          <w:tcPr>
            <w:tcW w:w="1753" w:type="dxa"/>
            <w:vMerge w:val="continue"/>
            <w:vAlign w:val="center"/>
          </w:tcPr>
          <w:p w14:paraId="39B79CF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62E4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2832ACF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shd w:val="clear" w:color="auto" w:fill="auto"/>
            <w:vAlign w:val="center"/>
          </w:tcPr>
          <w:p w14:paraId="5936DCD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22.8</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67E18A4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37.5</w:t>
            </w:r>
            <w:r>
              <w:rPr>
                <w:rFonts w:hint="default" w:ascii="Times New Roman" w:hAnsi="Times New Roman" w:eastAsia="宋体" w:cs="Times New Roman"/>
                <w:color w:val="auto"/>
                <w:sz w:val="21"/>
                <w:szCs w:val="21"/>
                <w:highlight w:val="none"/>
              </w:rPr>
              <w:t>"</w:t>
            </w:r>
          </w:p>
        </w:tc>
        <w:tc>
          <w:tcPr>
            <w:tcW w:w="1710" w:type="dxa"/>
            <w:vAlign w:val="center"/>
          </w:tcPr>
          <w:p w14:paraId="5CB40E9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地下水两侧</w:t>
            </w:r>
          </w:p>
        </w:tc>
        <w:tc>
          <w:tcPr>
            <w:tcW w:w="2592" w:type="dxa"/>
            <w:gridSpan w:val="3"/>
            <w:vAlign w:val="center"/>
          </w:tcPr>
          <w:p w14:paraId="34612D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428" w:type="dxa"/>
            <w:shd w:val="clear" w:color="auto" w:fill="auto"/>
            <w:vAlign w:val="center"/>
          </w:tcPr>
          <w:p w14:paraId="5EBB4D1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西南侧</w:t>
            </w:r>
          </w:p>
        </w:tc>
        <w:tc>
          <w:tcPr>
            <w:tcW w:w="1261" w:type="dxa"/>
            <w:vAlign w:val="center"/>
          </w:tcPr>
          <w:p w14:paraId="1E60E8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960</w:t>
            </w:r>
          </w:p>
        </w:tc>
        <w:tc>
          <w:tcPr>
            <w:tcW w:w="1753" w:type="dxa"/>
            <w:vMerge w:val="continue"/>
            <w:vAlign w:val="center"/>
          </w:tcPr>
          <w:p w14:paraId="717C823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20FB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3059F57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shd w:val="clear" w:color="auto" w:fill="auto"/>
            <w:vAlign w:val="center"/>
          </w:tcPr>
          <w:p w14:paraId="4991F73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44.8</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6113A97A">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41.5</w:t>
            </w:r>
            <w:r>
              <w:rPr>
                <w:rFonts w:hint="default" w:ascii="Times New Roman" w:hAnsi="Times New Roman" w:eastAsia="宋体" w:cs="Times New Roman"/>
                <w:color w:val="auto"/>
                <w:sz w:val="21"/>
                <w:szCs w:val="21"/>
                <w:highlight w:val="none"/>
              </w:rPr>
              <w:t>"</w:t>
            </w:r>
          </w:p>
        </w:tc>
        <w:tc>
          <w:tcPr>
            <w:tcW w:w="1710" w:type="dxa"/>
            <w:vAlign w:val="center"/>
          </w:tcPr>
          <w:p w14:paraId="37499F2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地下水下游</w:t>
            </w:r>
          </w:p>
        </w:tc>
        <w:tc>
          <w:tcPr>
            <w:tcW w:w="2592" w:type="dxa"/>
            <w:gridSpan w:val="3"/>
            <w:vAlign w:val="center"/>
          </w:tcPr>
          <w:p w14:paraId="2F76D3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428" w:type="dxa"/>
            <w:shd w:val="clear" w:color="auto" w:fill="auto"/>
            <w:vAlign w:val="center"/>
          </w:tcPr>
          <w:p w14:paraId="40D48B6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西北侧</w:t>
            </w:r>
          </w:p>
        </w:tc>
        <w:tc>
          <w:tcPr>
            <w:tcW w:w="1261" w:type="dxa"/>
            <w:vAlign w:val="center"/>
          </w:tcPr>
          <w:p w14:paraId="42430C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704</w:t>
            </w:r>
          </w:p>
        </w:tc>
        <w:tc>
          <w:tcPr>
            <w:tcW w:w="1753" w:type="dxa"/>
            <w:vMerge w:val="continue"/>
            <w:vAlign w:val="center"/>
          </w:tcPr>
          <w:p w14:paraId="3FB95D8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5DC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Merge w:val="continue"/>
            <w:vAlign w:val="center"/>
          </w:tcPr>
          <w:p w14:paraId="06D8B2A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709" w:type="dxa"/>
            <w:shd w:val="clear" w:color="auto" w:fill="auto"/>
            <w:vAlign w:val="center"/>
          </w:tcPr>
          <w:p w14:paraId="60F58DE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N4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50.5</w:t>
            </w:r>
            <w:r>
              <w:rPr>
                <w:rFonts w:hint="default" w:ascii="Times New Roman" w:hAnsi="Times New Roman" w:eastAsia="宋体" w:cs="Times New Roman"/>
                <w:color w:val="auto"/>
                <w:sz w:val="21"/>
                <w:szCs w:val="21"/>
                <w:highlight w:val="none"/>
              </w:rPr>
              <w:t>"</w:t>
            </w:r>
          </w:p>
        </w:tc>
        <w:tc>
          <w:tcPr>
            <w:tcW w:w="1710" w:type="dxa"/>
            <w:shd w:val="clear" w:color="auto" w:fill="auto"/>
            <w:vAlign w:val="center"/>
          </w:tcPr>
          <w:p w14:paraId="1EEE0D4F">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E10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47.8</w:t>
            </w:r>
            <w:r>
              <w:rPr>
                <w:rFonts w:hint="default" w:ascii="Times New Roman" w:hAnsi="Times New Roman" w:eastAsia="宋体" w:cs="Times New Roman"/>
                <w:color w:val="auto"/>
                <w:sz w:val="21"/>
                <w:szCs w:val="21"/>
                <w:highlight w:val="none"/>
              </w:rPr>
              <w:t>"</w:t>
            </w:r>
          </w:p>
        </w:tc>
        <w:tc>
          <w:tcPr>
            <w:tcW w:w="1710" w:type="dxa"/>
            <w:vAlign w:val="center"/>
          </w:tcPr>
          <w:p w14:paraId="482136F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地下水下游</w:t>
            </w:r>
          </w:p>
        </w:tc>
        <w:tc>
          <w:tcPr>
            <w:tcW w:w="2592" w:type="dxa"/>
            <w:gridSpan w:val="3"/>
            <w:vAlign w:val="center"/>
          </w:tcPr>
          <w:p w14:paraId="4F0683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428" w:type="dxa"/>
            <w:vAlign w:val="center"/>
          </w:tcPr>
          <w:p w14:paraId="39B0F5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西侧</w:t>
            </w:r>
          </w:p>
        </w:tc>
        <w:tc>
          <w:tcPr>
            <w:tcW w:w="1261" w:type="dxa"/>
            <w:vAlign w:val="center"/>
          </w:tcPr>
          <w:p w14:paraId="6D366A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150</w:t>
            </w:r>
          </w:p>
        </w:tc>
        <w:tc>
          <w:tcPr>
            <w:tcW w:w="1753" w:type="dxa"/>
            <w:vMerge w:val="continue"/>
            <w:vAlign w:val="center"/>
          </w:tcPr>
          <w:p w14:paraId="2AB18FC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1E09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Align w:val="center"/>
          </w:tcPr>
          <w:p w14:paraId="1B6B349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土壤环境</w:t>
            </w:r>
          </w:p>
        </w:tc>
        <w:tc>
          <w:tcPr>
            <w:tcW w:w="10410" w:type="dxa"/>
            <w:gridSpan w:val="8"/>
            <w:vAlign w:val="center"/>
          </w:tcPr>
          <w:p w14:paraId="15E9DAA0">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周边</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0m范围内的</w:t>
            </w:r>
            <w:r>
              <w:rPr>
                <w:rFonts w:hint="default" w:ascii="Times New Roman" w:hAnsi="Times New Roman" w:eastAsia="宋体" w:cs="Times New Roman"/>
                <w:color w:val="auto"/>
                <w:sz w:val="21"/>
                <w:szCs w:val="21"/>
                <w:highlight w:val="none"/>
                <w:lang w:eastAsia="zh-CN"/>
              </w:rPr>
              <w:t>草地、耕地</w:t>
            </w:r>
          </w:p>
        </w:tc>
        <w:tc>
          <w:tcPr>
            <w:tcW w:w="1753" w:type="dxa"/>
            <w:vAlign w:val="center"/>
          </w:tcPr>
          <w:p w14:paraId="08C5655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土壤环境质量 建设用地土壤污染风险管控标准</w:t>
            </w:r>
            <w:r>
              <w:rPr>
                <w:rFonts w:hint="default" w:ascii="Times New Roman" w:hAnsi="Times New Roman" w:eastAsia="宋体" w:cs="Times New Roman"/>
                <w:color w:val="auto"/>
                <w:sz w:val="21"/>
                <w:szCs w:val="21"/>
                <w:highlight w:val="none"/>
                <w:lang w:eastAsia="zh-CN"/>
              </w:rPr>
              <w:t>（试行）》（GB36600-2018）第二类用地筛选值的限值要求</w:t>
            </w:r>
          </w:p>
        </w:tc>
      </w:tr>
      <w:tr w14:paraId="3865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3" w:type="dxa"/>
            <w:vAlign w:val="center"/>
          </w:tcPr>
          <w:p w14:paraId="6A9CD96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w:t>
            </w:r>
          </w:p>
        </w:tc>
        <w:tc>
          <w:tcPr>
            <w:tcW w:w="10410" w:type="dxa"/>
            <w:gridSpan w:val="8"/>
            <w:vAlign w:val="center"/>
          </w:tcPr>
          <w:p w14:paraId="20AD32F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周边</w:t>
            </w:r>
            <w:r>
              <w:rPr>
                <w:rFonts w:hint="default" w:ascii="Times New Roman" w:hAnsi="Times New Roman" w:eastAsia="宋体" w:cs="Times New Roman"/>
                <w:color w:val="auto"/>
                <w:sz w:val="21"/>
                <w:szCs w:val="21"/>
                <w:highlight w:val="none"/>
                <w:lang w:val="en-US" w:eastAsia="zh-CN"/>
              </w:rPr>
              <w:t>100</w:t>
            </w:r>
            <w:r>
              <w:rPr>
                <w:rFonts w:hint="default" w:ascii="Times New Roman" w:hAnsi="Times New Roman" w:eastAsia="宋体" w:cs="Times New Roman"/>
                <w:color w:val="auto"/>
                <w:sz w:val="21"/>
                <w:szCs w:val="21"/>
                <w:highlight w:val="none"/>
              </w:rPr>
              <w:t>0m范围内的植物、动物及其生态系统</w:t>
            </w:r>
          </w:p>
        </w:tc>
        <w:tc>
          <w:tcPr>
            <w:tcW w:w="1753" w:type="dxa"/>
            <w:vAlign w:val="center"/>
          </w:tcPr>
          <w:p w14:paraId="5CFA9A3B">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14:paraId="395AF14D">
      <w:pPr>
        <w:pageBreakBefore w:val="0"/>
        <w:shd w:val="clear"/>
        <w:kinsoku/>
        <w:wordWrap/>
        <w:bidi w:val="0"/>
        <w:ind w:left="0" w:leftChars="0"/>
        <w:rPr>
          <w:rFonts w:hint="default" w:ascii="Times New Roman" w:hAnsi="Times New Roman" w:eastAsia="宋体" w:cs="Times New Roman"/>
          <w:color w:val="auto"/>
          <w:highlight w:val="none"/>
        </w:rPr>
      </w:pPr>
    </w:p>
    <w:p w14:paraId="1830733C">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rPr>
        <w:sectPr>
          <w:pgSz w:w="16839" w:h="11907"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6D04A3B8">
      <w:pPr>
        <w:pageBreakBefore w:val="0"/>
        <w:shd w:val="clear"/>
        <w:kinsoku/>
        <w:wordWrap/>
        <w:bidi w:val="0"/>
        <w:spacing w:line="360" w:lineRule="auto"/>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anchor distT="0" distB="0" distL="114300" distR="114300" simplePos="0" relativeHeight="251684864" behindDoc="0" locked="0" layoutInCell="1" allowOverlap="1">
            <wp:simplePos x="0" y="0"/>
            <wp:positionH relativeFrom="column">
              <wp:posOffset>7073265</wp:posOffset>
            </wp:positionH>
            <wp:positionV relativeFrom="page">
              <wp:posOffset>1160780</wp:posOffset>
            </wp:positionV>
            <wp:extent cx="984250" cy="1080135"/>
            <wp:effectExtent l="0" t="0" r="6350" b="5715"/>
            <wp:wrapNone/>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pic:cNvPicPr>
                      <a:picLocks noChangeAspect="1"/>
                    </pic:cNvPicPr>
                  </pic:nvPicPr>
                  <pic:blipFill>
                    <a:blip r:embed="rId17"/>
                    <a:srcRect l="3538" r="4555"/>
                    <a:stretch>
                      <a:fillRect/>
                    </a:stretch>
                  </pic:blipFill>
                  <pic:spPr>
                    <a:xfrm>
                      <a:off x="0" y="0"/>
                      <a:ext cx="984250" cy="1080135"/>
                    </a:xfrm>
                    <a:prstGeom prst="rect">
                      <a:avLst/>
                    </a:prstGeom>
                    <a:noFill/>
                    <a:ln>
                      <a:noFill/>
                    </a:ln>
                  </pic:spPr>
                </pic:pic>
              </a:graphicData>
            </a:graphic>
          </wp:anchor>
        </w:drawing>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8176" behindDoc="0" locked="0" layoutInCell="1" allowOverlap="1">
                <wp:simplePos x="0" y="0"/>
                <wp:positionH relativeFrom="column">
                  <wp:posOffset>3928110</wp:posOffset>
                </wp:positionH>
                <wp:positionV relativeFrom="paragraph">
                  <wp:posOffset>2994660</wp:posOffset>
                </wp:positionV>
                <wp:extent cx="107950" cy="179705"/>
                <wp:effectExtent l="12700" t="12700" r="12700" b="17145"/>
                <wp:wrapNone/>
                <wp:docPr id="9" name="菱形 9"/>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09.3pt;margin-top:235.8pt;height:14.15pt;width:8.5pt;z-index:251698176;v-text-anchor:middle;mso-width-relative:page;mso-height-relative:page;" fillcolor="#000000 [3213]" filled="t" stroked="t" coordsize="21600,21600" o:gfxdata="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VsyFbYAAAACwEAAA8AAAAAAAAAAQAgAAAAIgAAAGRycy9kb3ducmV2LnhtbFBL&#10;AQIUABQAAAAIAIdO4kDo1aUTaAIAAN8EAAAOAAAAAAAAAAEAIAAAACcBAABkcnMvZTJvRG9jLnht&#10;bFBLBQYAAAAABgAGAFkBAAABBg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9200" behindDoc="0" locked="0" layoutInCell="1" allowOverlap="1">
                <wp:simplePos x="0" y="0"/>
                <wp:positionH relativeFrom="column">
                  <wp:posOffset>4103370</wp:posOffset>
                </wp:positionH>
                <wp:positionV relativeFrom="paragraph">
                  <wp:posOffset>2609850</wp:posOffset>
                </wp:positionV>
                <wp:extent cx="107950" cy="179705"/>
                <wp:effectExtent l="12700" t="12700" r="12700" b="17145"/>
                <wp:wrapNone/>
                <wp:docPr id="10" name="菱形 10"/>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23.1pt;margin-top:205.5pt;height:14.15pt;width:8.5pt;z-index:251699200;v-text-anchor:middle;mso-width-relative:page;mso-height-relative:page;" fillcolor="#000000 [3213]" filled="t" stroked="t" coordsize="21600,21600" o:gfxdata="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sKFfG1gAAAAsBAAAPAAAAAAAAAAEAIAAAACIAAABkcnMvZG93bnJldi54bWxQSwEC&#10;FAAUAAAACACHTuJA3FJHT2gCAADhBAAADgAAAAAAAAABACAAAAAlAQAAZHJzL2Uyb0RvYy54bWxQ&#10;SwUGAAAAAAYABgBZAQAA/wU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6128" behindDoc="0" locked="0" layoutInCell="1" allowOverlap="1">
                <wp:simplePos x="0" y="0"/>
                <wp:positionH relativeFrom="column">
                  <wp:posOffset>4424680</wp:posOffset>
                </wp:positionH>
                <wp:positionV relativeFrom="paragraph">
                  <wp:posOffset>2719070</wp:posOffset>
                </wp:positionV>
                <wp:extent cx="107950" cy="179705"/>
                <wp:effectExtent l="12700" t="12700" r="12700" b="17145"/>
                <wp:wrapNone/>
                <wp:docPr id="6" name="菱形 6"/>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48.4pt;margin-top:214.1pt;height:14.15pt;width:8.5pt;z-index:251696128;v-text-anchor:middle;mso-width-relative:page;mso-height-relative:page;" fillcolor="#000000 [3213]" filled="t" stroked="t" coordsize="21600,21600" o:gfxdata="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Lufh3XAAAACwEAAA8AAAAAAAAAAQAgAAAAIgAAAGRycy9kb3ducmV2LnhtbFBL&#10;AQIUABQAAAAIAIdO4kDeLC5xaQIAAN8EAAAOAAAAAAAAAAEAIAAAACYBAABkcnMvZTJvRG9jLnht&#10;bFBLBQYAAAAABgAGAFkBAAABBg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4377055</wp:posOffset>
                </wp:positionH>
                <wp:positionV relativeFrom="paragraph">
                  <wp:posOffset>2404745</wp:posOffset>
                </wp:positionV>
                <wp:extent cx="107950" cy="179705"/>
                <wp:effectExtent l="12700" t="12700" r="12700" b="17145"/>
                <wp:wrapNone/>
                <wp:docPr id="5" name="菱形 5"/>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44.65pt;margin-top:189.35pt;height:14.15pt;width:8.5pt;z-index:251695104;v-text-anchor:middle;mso-width-relative:page;mso-height-relative:page;" fillcolor="#000000 [3213]" filled="t" stroked="t" coordsize="21600,21600" o:gfxdata="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RCPu62AAAAAsBAAAPAAAAAAAAAAEAIAAAACIAAABkcnMvZG93bnJldi54bWxQ&#10;SwECFAAUAAAACACHTuJA+h0ztWkCAADfBAAADgAAAAAAAAABACAAAAAnAQAAZHJzL2Uyb0RvYy54&#10;bWxQSwUGAAAAAAYABgBZAQAAAgY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5648" behindDoc="0" locked="0" layoutInCell="1" allowOverlap="1">
                <wp:simplePos x="0" y="0"/>
                <wp:positionH relativeFrom="column">
                  <wp:posOffset>5193030</wp:posOffset>
                </wp:positionH>
                <wp:positionV relativeFrom="paragraph">
                  <wp:posOffset>3259455</wp:posOffset>
                </wp:positionV>
                <wp:extent cx="107950" cy="179705"/>
                <wp:effectExtent l="12700" t="12700" r="12700" b="17145"/>
                <wp:wrapNone/>
                <wp:docPr id="51" name="菱形 51"/>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08.9pt;margin-top:256.65pt;height:14.15pt;width:8.5pt;z-index:251675648;v-text-anchor:middle;mso-width-relative:page;mso-height-relative:page;" fillcolor="#000000 [3213]" filled="t" stroked="t" coordsize="21600,21600" o:gfxdata="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dLFFb9cAAAALAQAADwAAAAAAAAABACAAAAAiAAAAZHJzL2Rvd25yZXYueG1sUEsB&#10;AhQAFAAAAAgAh07iQJzD0QdoAgAA4QQAAA4AAAAAAAAAAQAgAAAAJgEAAGRycy9lMm9Eb2MueG1s&#10;UEsFBgAAAAAGAAYAWQEAAAAGA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7152" behindDoc="0" locked="0" layoutInCell="1" allowOverlap="1">
                <wp:simplePos x="0" y="0"/>
                <wp:positionH relativeFrom="column">
                  <wp:posOffset>4266565</wp:posOffset>
                </wp:positionH>
                <wp:positionV relativeFrom="paragraph">
                  <wp:posOffset>3942715</wp:posOffset>
                </wp:positionV>
                <wp:extent cx="107950" cy="179705"/>
                <wp:effectExtent l="12700" t="12700" r="12700" b="17145"/>
                <wp:wrapNone/>
                <wp:docPr id="7" name="菱形 7"/>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35.95pt;margin-top:310.45pt;height:14.15pt;width:8.5pt;z-index:251697152;v-text-anchor:middle;mso-width-relative:page;mso-height-relative:page;" fillcolor="#000000 [3213]" filled="t" stroked="t" coordsize="21600,21600" o:gfxdata="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2vQWL9cAAAALAQAADwAAAAAAAAABACAAAAAiAAAAZHJzL2Rvd25yZXYueG1sUEsB&#10;AhQAFAAAAAgAh07iQMLD2jJoAgAA3wQAAA4AAAAAAAAAAQAgAAAAJgEAAGRycy9lMm9Eb2MueG1s&#10;UEsFBgAAAAAGAAYAWQEAAAAGA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3122930</wp:posOffset>
                </wp:positionH>
                <wp:positionV relativeFrom="paragraph">
                  <wp:posOffset>1515110</wp:posOffset>
                </wp:positionV>
                <wp:extent cx="1479550" cy="339725"/>
                <wp:effectExtent l="0" t="0" r="0" b="0"/>
                <wp:wrapNone/>
                <wp:docPr id="20" name="矩形 20"/>
                <wp:cNvGraphicFramePr/>
                <a:graphic xmlns:a="http://schemas.openxmlformats.org/drawingml/2006/main">
                  <a:graphicData uri="http://schemas.microsoft.com/office/word/2010/wordprocessingShape">
                    <wps:wsp>
                      <wps:cNvSpPr/>
                      <wps:spPr>
                        <a:xfrm>
                          <a:off x="0" y="0"/>
                          <a:ext cx="1479550" cy="3397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528DF">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eastAsia="宋体"/>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9pt;margin-top:119.3pt;height:26.75pt;width:116.5pt;z-index:251692032;v-text-anchor:middle;mso-width-relative:page;mso-height-relative:page;" filled="f" stroked="f" coordsize="21600,21600" o:gfxdata="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sTL4fZAAAACwEA&#10;AA8AAAAAAAAAAQAgAAAAIgAAAGRycy9kb3ducmV2LnhtbFBLAQIUABQAAAAIAIdO4kBuvHcUUgIA&#10;AJgEAAAOAAAAAAAAAAEAIAAAACgBAABkcnMvZTJvRG9jLnhtbFBLBQYAAAAABgAGAFkBAADsBQAA&#10;AAA=&#10;">
                <v:fill on="f" focussize="0,0"/>
                <v:stroke on="f" weight="2pt"/>
                <v:imagedata o:title=""/>
                <o:lock v:ext="edit" aspectratio="f"/>
                <v:textbox>
                  <w:txbxContent>
                    <w:p w14:paraId="7DD528DF">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eastAsia="宋体"/>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v:textbox>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91008" behindDoc="0" locked="0" layoutInCell="1" allowOverlap="1">
                <wp:simplePos x="0" y="0"/>
                <wp:positionH relativeFrom="column">
                  <wp:posOffset>3871595</wp:posOffset>
                </wp:positionH>
                <wp:positionV relativeFrom="paragraph">
                  <wp:posOffset>1611630</wp:posOffset>
                </wp:positionV>
                <wp:extent cx="142240" cy="488950"/>
                <wp:effectExtent l="0" t="106045" r="0" b="132715"/>
                <wp:wrapNone/>
                <wp:docPr id="1" name="下箭头 1"/>
                <wp:cNvGraphicFramePr/>
                <a:graphic xmlns:a="http://schemas.openxmlformats.org/drawingml/2006/main">
                  <a:graphicData uri="http://schemas.microsoft.com/office/word/2010/wordprocessingShape">
                    <wps:wsp>
                      <wps:cNvSpPr/>
                      <wps:spPr>
                        <a:xfrm rot="13860000">
                          <a:off x="7291070" y="2783205"/>
                          <a:ext cx="142240" cy="488950"/>
                        </a:xfrm>
                        <a:prstGeom prst="downArrow">
                          <a:avLst/>
                        </a:prstGeom>
                        <a:solidFill>
                          <a:schemeClr val="tx1"/>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304.85pt;margin-top:126.9pt;height:38.5pt;width:11.2pt;rotation:-8454144f;z-index:251691008;v-text-anchor:middle;mso-width-relative:page;mso-height-relative:page;" fillcolor="#000000 [3213]" filled="t" stroked="t" coordsize="21600,21600" o:gfxdata="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ipQQi2QAAAAsBAAAPAAAA&#10;AAAAAAEAIAAAACIAAABkcnMvZG93bnJldi54bWxQSwECFAAUAAAACACHTuJAuq6jfIYCAAD/BAAA&#10;DgAAAAAAAAABACAAAAAoAQAAZHJzL2Uyb0RvYy54bWxQSwUGAAAAAAYABgBZAQAAIAYAAAAA&#10;" adj="18459,5400">
                <v:fill on="t" focussize="0,0"/>
                <v:stroke weight="2pt" color="#00B0F0 [24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4624" behindDoc="0" locked="0" layoutInCell="1" allowOverlap="1">
                <wp:simplePos x="0" y="0"/>
                <wp:positionH relativeFrom="column">
                  <wp:posOffset>1219835</wp:posOffset>
                </wp:positionH>
                <wp:positionV relativeFrom="paragraph">
                  <wp:posOffset>4944745</wp:posOffset>
                </wp:positionV>
                <wp:extent cx="107950" cy="179705"/>
                <wp:effectExtent l="12700" t="12700" r="12700" b="17145"/>
                <wp:wrapNone/>
                <wp:docPr id="47" name="菱形 47"/>
                <wp:cNvGraphicFramePr/>
                <a:graphic xmlns:a="http://schemas.openxmlformats.org/drawingml/2006/main">
                  <a:graphicData uri="http://schemas.microsoft.com/office/word/2010/wordprocessingShape">
                    <wps:wsp>
                      <wps:cNvSpPr/>
                      <wps:spPr>
                        <a:xfrm>
                          <a:off x="3806825" y="3043555"/>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96.05pt;margin-top:389.35pt;height:14.15pt;width:8.5pt;z-index:251674624;v-text-anchor:middle;mso-width-relative:page;mso-height-relative:page;" fillcolor="#000000 [3213]" filled="t" stroked="t" coordsize="21600,21600" o:gfxdata="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rT2HvXAAAACwEAAA8AAAAAAAAAAQAgAAAAIgAAAGRy&#10;cy9kb3ducmV2LnhtbFBLAQIUABQAAAAIAIdO4kADR8TDeAIAAO0EAAAOAAAAAAAAAAEAIAAAACYB&#10;AABkcnMvZTJvRG9jLnhtbFBLBQYAAAAABgAGAFkBAAAQBg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1151890</wp:posOffset>
                </wp:positionH>
                <wp:positionV relativeFrom="paragraph">
                  <wp:posOffset>4759960</wp:posOffset>
                </wp:positionV>
                <wp:extent cx="288290" cy="107950"/>
                <wp:effectExtent l="12700" t="12700" r="22860" b="12700"/>
                <wp:wrapNone/>
                <wp:docPr id="18" name="矩形 18"/>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7pt;margin-top:374.8pt;height:8.5pt;width:22.7pt;z-index:251672576;v-text-anchor:middle;mso-width-relative:page;mso-height-relative:page;" filled="f" stroked="t" coordsize="21600,21600" o:gfxdata="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z&#10;AQa72AAAAAsBAAAPAAAAAAAAAAEAIAAAACIAAABkcnMvZG93bnJldi54bWxQSwECFAAUAAAACACH&#10;TuJALi3Hol0CAAC1BAAADgAAAAAAAAABACAAAAAnAQAAZHJzL2Uyb0RvYy54bWxQSwUGAAAAAAYA&#10;BgBZAQAA9gUAAAAA&#10;">
                <v:fill on="f" focussize="0,0"/>
                <v:stroke weight="2pt" color="#00B0F0 [3204]" joinstyle="round"/>
                <v:imagedata o:title=""/>
                <o:lock v:ext="edit" aspectratio="f"/>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1053465</wp:posOffset>
                </wp:positionH>
                <wp:positionV relativeFrom="paragraph">
                  <wp:posOffset>4549775</wp:posOffset>
                </wp:positionV>
                <wp:extent cx="107950" cy="107950"/>
                <wp:effectExtent l="12700" t="12700" r="12700" b="12700"/>
                <wp:wrapNone/>
                <wp:docPr id="46" name="椭圆 46"/>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2.95pt;margin-top:358.25pt;height:8.5pt;width:8.5pt;z-index:251673600;v-text-anchor:middle;mso-width-relative:page;mso-height-relative:page;" fillcolor="#000000 [3213]" filled="t" stroked="t" coordsize="21600,21600" o:gfxdata="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s/Ru9kAAAALAQAADwAAAAAAAAABACAAAAAiAAAAZHJzL2Rvd25yZXYueG1sUEsBAhQA&#10;FAAAAAgAh07iQJ5pYHhjAgAA4QQAAA4AAAAAAAAAAQAgAAAAKAEAAGRycy9lMm9Eb2MueG1sUEsF&#10;BgAAAAAGAAYAWQEAAP0FAAAAAA==&#10;">
                <v:fill on="t" focussize="0,0"/>
                <v:stroke weight="2pt" color="#FF000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1049020</wp:posOffset>
                </wp:positionH>
                <wp:positionV relativeFrom="paragraph">
                  <wp:posOffset>4367530</wp:posOffset>
                </wp:positionV>
                <wp:extent cx="288290" cy="107950"/>
                <wp:effectExtent l="12700" t="12700" r="22860" b="12700"/>
                <wp:wrapNone/>
                <wp:docPr id="16" name="矩形 16"/>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6pt;margin-top:343.9pt;height:8.5pt;width:22.7pt;z-index:251671552;v-text-anchor:middle;mso-width-relative:page;mso-height-relative:page;" filled="f" stroked="t" coordsize="21600,21600" o:gfxdata="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hIqzbdkAAAALAQAADwAAAAAAAAABACAAAAAiAAAAZHJzL2Rvd25yZXYueG1sUEsBAhQAFAAAAAgA&#10;h07iQNP5TaFdAgAAtQQAAA4AAAAAAAAAAQAgAAAAKAEAAGRycy9lMm9Eb2MueG1sUEsFBgAAAAAG&#10;AAYAWQEAAPcFAAAAAA==&#10;">
                <v:fill on="f" focussize="0,0"/>
                <v:stroke weight="2pt" color="#FF0000 [3204]" joinstyle="round"/>
                <v:imagedata o:title=""/>
                <o:lock v:ext="edit" aspectratio="f"/>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207645</wp:posOffset>
                </wp:positionH>
                <wp:positionV relativeFrom="paragraph">
                  <wp:posOffset>4163695</wp:posOffset>
                </wp:positionV>
                <wp:extent cx="288290" cy="107950"/>
                <wp:effectExtent l="12700" t="12700" r="22860" b="12700"/>
                <wp:wrapNone/>
                <wp:docPr id="15" name="矩形 15"/>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35pt;margin-top:327.85pt;height:8.5pt;width:22.7pt;z-index:251670528;v-text-anchor:middle;mso-width-relative:page;mso-height-relative:page;" filled="f" stroked="t" coordsize="21600,21600" o:gfxdata="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OGJL&#10;hdgAAAAJAQAADwAAAAAAAAABACAAAAAiAAAAZHJzL2Rvd25yZXYueG1sUEsBAhQAFAAAAAgAh07i&#10;QM1qgOFbAgAAtQQAAA4AAAAAAAAAAQAgAAAAJwEAAGRycy9lMm9Eb2MueG1sUEsFBgAAAAAGAAYA&#10;WQEAAPQFAAAAAA==&#10;">
                <v:fill on="f" focussize="0,0"/>
                <v:stroke weight="2pt" color="#000000 [3213]" joinstyle="round"/>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-243205</wp:posOffset>
                </wp:positionH>
                <wp:positionV relativeFrom="paragraph">
                  <wp:posOffset>3838575</wp:posOffset>
                </wp:positionV>
                <wp:extent cx="1951990" cy="1359535"/>
                <wp:effectExtent l="12700" t="12700" r="16510" b="18415"/>
                <wp:wrapNone/>
                <wp:docPr id="13" name="矩形 13"/>
                <wp:cNvGraphicFramePr/>
                <a:graphic xmlns:a="http://schemas.openxmlformats.org/drawingml/2006/main">
                  <a:graphicData uri="http://schemas.microsoft.com/office/word/2010/wordprocessingShape">
                    <wps:wsp>
                      <wps:cNvSpPr/>
                      <wps:spPr>
                        <a:xfrm>
                          <a:off x="0" y="0"/>
                          <a:ext cx="1951990" cy="1359535"/>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1D5B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1D7154A8">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107B3F86">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14:paraId="2E62A8BF">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大气环境保护目标</w:t>
                            </w:r>
                          </w:p>
                          <w:p w14:paraId="3378A488">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14:paraId="6E11E34F">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地下水环境保护目标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15pt;margin-top:302.25pt;height:107.05pt;width:153.7pt;z-index:251669504;v-text-anchor:middle;mso-width-relative:page;mso-height-relative:page;" fillcolor="#D7E4BD [1302]" filled="t" stroked="t" coordsize="21600,21600" o:gfxdata="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8TIp8doAAAAL&#10;AQAADwAAAAAAAAABACAAAAAiAAAAZHJzL2Rvd25yZXYueG1sUEsBAhQAFAAAAAgAh07iQHOhV1uM&#10;AgAAJAUAAA4AAAAAAAAAAQAgAAAAKQEAAGRycy9lMm9Eb2MueG1sUEsFBgAAAAAGAAYAWQEAACcG&#10;AAAAAA==&#10;">
                <v:fill on="t" focussize="0,0"/>
                <v:stroke weight="2pt" color="#000000 [3213]" joinstyle="round"/>
                <v:imagedata o:title=""/>
                <o:lock v:ext="edit" aspectratio="f"/>
                <v:textbox>
                  <w:txbxContent>
                    <w:p w14:paraId="5FB1D5B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1D7154A8">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107B3F86">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14:paraId="2E62A8BF">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大气环境保护目标</w:t>
                      </w:r>
                    </w:p>
                    <w:p w14:paraId="3378A488">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14:paraId="6E11E34F">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地下水环境保护目标</w:t>
                      </w:r>
                    </w:p>
                  </w:txbxContent>
                </v:textbox>
              </v:rect>
            </w:pict>
          </mc:Fallback>
        </mc:AlternateContent>
      </w:r>
      <w:r>
        <w:rPr>
          <w:rFonts w:hint="default" w:ascii="Times New Roman" w:hAnsi="Times New Roman" w:eastAsia="宋体" w:cs="Times New Roman"/>
          <w:color w:val="auto"/>
          <w:highlight w:val="none"/>
        </w:rPr>
        <w:object>
          <v:shape id="_x0000_i1026" o:spt="75" type="#_x0000_t75" style="height:413.85pt;width:530.55pt;" o:ole="t" filled="f" o:preferrelative="t" stroked="f" coordsize="21600,21600">
            <v:path/>
            <v:fill on="f" focussize="0,0"/>
            <v:stroke on="f"/>
            <v:imagedata r:id="rId19" o:title=""/>
            <o:lock v:ext="edit" aspectratio="t"/>
            <w10:wrap type="none"/>
            <w10:anchorlock/>
          </v:shape>
          <o:OLEObject Type="Embed" ProgID="Visio.Drawing.11" ShapeID="_x0000_i1026" DrawAspect="Content" ObjectID="_1468075726" r:id="rId18">
            <o:LockedField>false</o:LockedField>
          </o:OLEObject>
        </w:object>
      </w:r>
    </w:p>
    <w:p w14:paraId="27030696">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图2.6-1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项目环境</w:t>
      </w:r>
      <w:r>
        <w:rPr>
          <w:rFonts w:hint="default" w:ascii="Times New Roman" w:hAnsi="Times New Roman" w:eastAsia="宋体" w:cs="Times New Roman"/>
          <w:b/>
          <w:bCs/>
          <w:color w:val="auto"/>
          <w:highlight w:val="none"/>
          <w:lang w:eastAsia="zh-CN"/>
        </w:rPr>
        <w:t>空气和地下水环境</w:t>
      </w:r>
      <w:r>
        <w:rPr>
          <w:rFonts w:hint="default" w:ascii="Times New Roman" w:hAnsi="Times New Roman" w:eastAsia="宋体" w:cs="Times New Roman"/>
          <w:b/>
          <w:bCs/>
          <w:color w:val="auto"/>
          <w:highlight w:val="none"/>
        </w:rPr>
        <w:t>保护目标及评价范围图</w:t>
      </w:r>
      <w:r>
        <w:rPr>
          <w:rFonts w:hint="default" w:ascii="Times New Roman" w:hAnsi="Times New Roman" w:eastAsia="宋体" w:cs="Times New Roman"/>
          <w:sz w:val="24"/>
          <w:highlight w:val="none"/>
        </w:rPr>
        <mc:AlternateContent>
          <mc:Choice Requires="wps">
            <w:drawing>
              <wp:anchor distT="0" distB="0" distL="114300" distR="114300" simplePos="0" relativeHeight="251737088" behindDoc="0" locked="0" layoutInCell="1" allowOverlap="1">
                <wp:simplePos x="0" y="0"/>
                <wp:positionH relativeFrom="column">
                  <wp:posOffset>2555875</wp:posOffset>
                </wp:positionH>
                <wp:positionV relativeFrom="paragraph">
                  <wp:posOffset>3166745</wp:posOffset>
                </wp:positionV>
                <wp:extent cx="1153795" cy="381000"/>
                <wp:effectExtent l="0" t="0" r="0" b="0"/>
                <wp:wrapNone/>
                <wp:docPr id="102" name="矩形 102"/>
                <wp:cNvGraphicFramePr/>
                <a:graphic xmlns:a="http://schemas.openxmlformats.org/drawingml/2006/main">
                  <a:graphicData uri="http://schemas.microsoft.com/office/word/2010/wordprocessingShape">
                    <wps:wsp>
                      <wps:cNvSpPr/>
                      <wps:spPr>
                        <a:xfrm>
                          <a:off x="3127375" y="2430145"/>
                          <a:ext cx="1153795" cy="38100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7890E16">
                            <w:pPr>
                              <w:spacing w:line="240" w:lineRule="auto"/>
                              <w:ind w:left="0" w:leftChars="0" w:firstLine="0" w:firstLineChars="0"/>
                              <w:jc w:val="both"/>
                              <w:rPr>
                                <w:b/>
                                <w:bCs/>
                                <w:color w:val="FFFF00"/>
                                <w:sz w:val="28"/>
                                <w:szCs w:val="28"/>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default" w:ascii="Times New Roman" w:hAnsi="Times New Roman" w:eastAsia="宋体" w:cs="Times New Roman"/>
                                <w:b/>
                                <w:bCs/>
                                <w:color w:val="FFFF00"/>
                                <w:sz w:val="28"/>
                                <w:szCs w:val="28"/>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新丰村三社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25pt;margin-top:249.35pt;height:30pt;width:90.85pt;z-index:251737088;v-text-anchor:middle;mso-width-relative:page;mso-height-relative:page;" filled="f" stroked="f" coordsize="21600,21600" o:gfxdata="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oUPL7YAAAACwEAAA8AAAAAAAAAAQAgAAAAIgAAAGRycy9kb3ducmV2LnhtbFBLAQIUABQA&#10;AAAIAIdO4kAMXeppYgIAAKYEAAAOAAAAAAAAAAEAIAAAACcBAABkcnMvZTJvRG9jLnhtbFBLBQYA&#10;AAAABgAGAFkBAAD7BQAAAAA=&#10;">
                <v:fill on="f" focussize="0,0"/>
                <v:stroke on="f" weight="2pt"/>
                <v:imagedata o:title=""/>
                <o:lock v:ext="edit" aspectratio="f"/>
                <v:textbox>
                  <w:txbxContent>
                    <w:p w14:paraId="17890E16">
                      <w:pPr>
                        <w:spacing w:line="240" w:lineRule="auto"/>
                        <w:ind w:left="0" w:leftChars="0" w:firstLine="0" w:firstLineChars="0"/>
                        <w:jc w:val="both"/>
                        <w:rPr>
                          <w:b/>
                          <w:bCs/>
                          <w:color w:val="FFFF00"/>
                          <w:sz w:val="28"/>
                          <w:szCs w:val="28"/>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default" w:ascii="Times New Roman" w:hAnsi="Times New Roman" w:eastAsia="宋体" w:cs="Times New Roman"/>
                          <w:b/>
                          <w:bCs/>
                          <w:color w:val="FFFF00"/>
                          <w:sz w:val="28"/>
                          <w:szCs w:val="28"/>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新丰村三社</w:t>
                      </w:r>
                    </w:p>
                  </w:txbxContent>
                </v:textbox>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78720" behindDoc="0" locked="0" layoutInCell="1" allowOverlap="1">
                <wp:simplePos x="0" y="0"/>
                <wp:positionH relativeFrom="column">
                  <wp:posOffset>1656080</wp:posOffset>
                </wp:positionH>
                <wp:positionV relativeFrom="paragraph">
                  <wp:posOffset>4622165</wp:posOffset>
                </wp:positionV>
                <wp:extent cx="288290" cy="107950"/>
                <wp:effectExtent l="12700" t="12700" r="22860" b="12700"/>
                <wp:wrapNone/>
                <wp:docPr id="87" name="矩形 87"/>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0.4pt;margin-top:363.95pt;height:8.5pt;width:22.7pt;z-index:251678720;v-text-anchor:middle;mso-width-relative:page;mso-height-relative:page;" filled="f" stroked="t" coordsize="21600,21600" o:gfxdata="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mSU4x2wAAAAsBAAAPAAAAAAAAAAEAIAAAACIAAABkcnMvZG93bnJldi54bWxQSwECFAAUAAAA&#10;CACHTuJAHsSa1l0CAAC1BAAADgAAAAAAAAABACAAAAAqAQAAZHJzL2Uyb0RvYy54bWxQSwUGAAAA&#10;AAYABgBZAQAA+QUAAAAA&#10;">
                <v:fill on="f" focussize="0,0"/>
                <v:stroke weight="2pt" color="#00B050 [32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79744" behindDoc="0" locked="0" layoutInCell="1" allowOverlap="1">
                <wp:simplePos x="0" y="0"/>
                <wp:positionH relativeFrom="column">
                  <wp:posOffset>1524635</wp:posOffset>
                </wp:positionH>
                <wp:positionV relativeFrom="paragraph">
                  <wp:posOffset>4957445</wp:posOffset>
                </wp:positionV>
                <wp:extent cx="288290" cy="107950"/>
                <wp:effectExtent l="12700" t="12700" r="22860" b="12700"/>
                <wp:wrapNone/>
                <wp:docPr id="89" name="矩形 89"/>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0.05pt;margin-top:390.35pt;height:8.5pt;width:22.7pt;z-index:251679744;v-text-anchor:middle;mso-width-relative:page;mso-height-relative:page;" filled="f" stroked="t" coordsize="21600,21600" o:gfxdata="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uqv/doAAAALAQAADwAAAAAAAAABACAAAAAiAAAAZHJzL2Rvd25yZXYueG1sUEsBAhQAFAAAAAgA&#10;h07iQOt8HINcAgAAtQQAAA4AAAAAAAAAAQAgAAAAKQEAAGRycy9lMm9Eb2MueG1sUEsFBgAAAAAG&#10;AAYAWQEAAPcFAAAAAA==&#10;">
                <v:fill on="f" focussize="0,0"/>
                <v:stroke weight="2pt" color="#FFFF00 [32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77696" behindDoc="0" locked="0" layoutInCell="1" allowOverlap="1">
                <wp:simplePos x="0" y="0"/>
                <wp:positionH relativeFrom="column">
                  <wp:posOffset>732790</wp:posOffset>
                </wp:positionH>
                <wp:positionV relativeFrom="paragraph">
                  <wp:posOffset>4295775</wp:posOffset>
                </wp:positionV>
                <wp:extent cx="288290" cy="107950"/>
                <wp:effectExtent l="12700" t="12700" r="22860" b="12700"/>
                <wp:wrapNone/>
                <wp:docPr id="86" name="矩形 86"/>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7pt;margin-top:338.25pt;height:8.5pt;width:22.7pt;z-index:251677696;v-text-anchor:middle;mso-width-relative:page;mso-height-relative:page;" filled="f" stroked="t" coordsize="21600,21600" o:gfxdata="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xz&#10;S2bYAAAACwEAAA8AAAAAAAAAAQAgAAAAIgAAAGRycy9kb3ducmV2LnhtbFBLAQIUABQAAAAIAIdO&#10;4kDsKjvRXAIAALUEAAAOAAAAAAAAAAEAIAAAACcBAABkcnMvZTJvRG9jLnhtbFBLBQYAAAAABgAG&#10;AFkBAAD1BQAAAAA=&#10;">
                <v:fill on="f" focussize="0,0"/>
                <v:stroke weight="2pt" color="#000000 [3213]"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76672" behindDoc="0" locked="0" layoutInCell="1" allowOverlap="1">
                <wp:simplePos x="0" y="0"/>
                <wp:positionH relativeFrom="column">
                  <wp:posOffset>286385</wp:posOffset>
                </wp:positionH>
                <wp:positionV relativeFrom="paragraph">
                  <wp:posOffset>3867150</wp:posOffset>
                </wp:positionV>
                <wp:extent cx="1806575" cy="1334135"/>
                <wp:effectExtent l="12700" t="12700" r="28575" b="24765"/>
                <wp:wrapNone/>
                <wp:docPr id="85" name="矩形 85"/>
                <wp:cNvGraphicFramePr/>
                <a:graphic xmlns:a="http://schemas.openxmlformats.org/drawingml/2006/main">
                  <a:graphicData uri="http://schemas.microsoft.com/office/word/2010/wordprocessingShape">
                    <wps:wsp>
                      <wps:cNvSpPr/>
                      <wps:spPr>
                        <a:xfrm>
                          <a:off x="0" y="0"/>
                          <a:ext cx="1806575" cy="1334135"/>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4440AC">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59236A85">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1285CF98">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土壤环境评价范围</w:t>
                            </w:r>
                          </w:p>
                          <w:p w14:paraId="489AF3A8">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5pt;margin-top:304.5pt;height:105.05pt;width:142.25pt;z-index:251676672;v-text-anchor:middle;mso-width-relative:page;mso-height-relative:page;" fillcolor="#D7E4BD [1302]" filled="t" stroked="t" coordsize="21600,21600" o:gfxdata="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e4PX+2QAAAAoB&#10;AAAPAAAAAAAAAAEAIAAAACIAAABkcnMvZG93bnJldi54bWxQSwECFAAUAAAACACHTuJAZwRZQYwC&#10;AAAkBQAADgAAAAAAAAABACAAAAAoAQAAZHJzL2Uyb0RvYy54bWxQSwUGAAAAAAYABgBZAQAAJgYA&#10;AAAA&#10;">
                <v:fill on="t" focussize="0,0"/>
                <v:stroke weight="2pt" color="#000000 [3213]" joinstyle="round"/>
                <v:imagedata o:title=""/>
                <o:lock v:ext="edit" aspectratio="f"/>
                <v:textbox>
                  <w:txbxContent>
                    <w:p w14:paraId="624440AC">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59236A85">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1285CF98">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土壤环境评价范围</w:t>
                      </w:r>
                    </w:p>
                    <w:p w14:paraId="489AF3A8">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v:textbox>
              </v:rect>
            </w:pict>
          </mc:Fallback>
        </mc:AlternateContent>
      </w:r>
      <w:r>
        <w:rPr>
          <w:rFonts w:hint="default" w:ascii="Times New Roman" w:hAnsi="Times New Roman" w:eastAsia="宋体" w:cs="Times New Roman"/>
          <w:color w:val="auto"/>
          <w:highlight w:val="none"/>
        </w:rPr>
        <w:drawing>
          <wp:anchor distT="0" distB="0" distL="114300" distR="114300" simplePos="0" relativeHeight="251683840" behindDoc="0" locked="0" layoutInCell="1" allowOverlap="1">
            <wp:simplePos x="0" y="0"/>
            <wp:positionH relativeFrom="column">
              <wp:posOffset>6746240</wp:posOffset>
            </wp:positionH>
            <wp:positionV relativeFrom="paragraph">
              <wp:posOffset>29845</wp:posOffset>
            </wp:positionV>
            <wp:extent cx="654050" cy="720090"/>
            <wp:effectExtent l="0" t="0" r="12700" b="3810"/>
            <wp:wrapNone/>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0"/>
                    <a:stretch>
                      <a:fillRect/>
                    </a:stretch>
                  </pic:blipFill>
                  <pic:spPr>
                    <a:xfrm>
                      <a:off x="0" y="0"/>
                      <a:ext cx="654050" cy="720090"/>
                    </a:xfrm>
                    <a:prstGeom prst="rect">
                      <a:avLst/>
                    </a:prstGeom>
                    <a:noFill/>
                    <a:ln>
                      <a:noFill/>
                    </a:ln>
                  </pic:spPr>
                </pic:pic>
              </a:graphicData>
            </a:graphic>
          </wp:anchor>
        </w:drawing>
      </w:r>
      <w:r>
        <w:rPr>
          <w:rFonts w:hint="default" w:ascii="Times New Roman" w:hAnsi="Times New Roman" w:eastAsia="宋体" w:cs="Times New Roman"/>
          <w:color w:val="auto"/>
          <w:highlight w:val="none"/>
          <w:lang w:eastAsia="zh-CN"/>
        </w:rPr>
        <w:object>
          <v:shape id="_x0000_i1027" o:spt="75" type="#_x0000_t75" style="height:413.85pt;width:513.2pt;" o:ole="t" filled="f" o:preferrelative="t" stroked="f" coordsize="21600,21600">
            <v:path/>
            <v:fill on="f" focussize="0,0"/>
            <v:stroke on="f"/>
            <v:imagedata r:id="rId22" o:title=""/>
            <o:lock v:ext="edit" aspectratio="t"/>
            <w10:wrap type="none"/>
            <w10:anchorlock/>
          </v:shape>
          <o:OLEObject Type="Embed" ProgID="Visio.Drawing.11" ShapeID="_x0000_i1027" DrawAspect="Content" ObjectID="_1468075727" r:id="rId21">
            <o:LockedField>false</o:LockedField>
          </o:OLEObject>
        </w:object>
      </w:r>
    </w:p>
    <w:p w14:paraId="320D9FAF">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图2.6-</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w:t>
      </w:r>
      <w:r>
        <w:rPr>
          <w:rFonts w:hint="default" w:ascii="Times New Roman" w:hAnsi="Times New Roman" w:eastAsia="宋体" w:cs="Times New Roman"/>
          <w:b/>
          <w:bCs/>
          <w:color w:val="auto"/>
          <w:highlight w:val="none"/>
          <w:lang w:val="en-US" w:eastAsia="zh-CN"/>
        </w:rPr>
        <w:t>土壤</w:t>
      </w:r>
      <w:r>
        <w:rPr>
          <w:rFonts w:hint="default" w:ascii="Times New Roman" w:hAnsi="Times New Roman" w:eastAsia="宋体" w:cs="Times New Roman"/>
          <w:b/>
          <w:bCs/>
          <w:color w:val="auto"/>
          <w:highlight w:val="none"/>
        </w:rPr>
        <w:t>环境</w:t>
      </w:r>
      <w:r>
        <w:rPr>
          <w:rFonts w:hint="default" w:ascii="Times New Roman" w:hAnsi="Times New Roman" w:eastAsia="宋体" w:cs="Times New Roman"/>
          <w:b/>
          <w:bCs/>
          <w:color w:val="auto"/>
          <w:highlight w:val="none"/>
          <w:lang w:eastAsia="zh-CN"/>
        </w:rPr>
        <w:t>和</w:t>
      </w:r>
      <w:r>
        <w:rPr>
          <w:rFonts w:hint="default" w:ascii="Times New Roman" w:hAnsi="Times New Roman" w:eastAsia="宋体" w:cs="Times New Roman"/>
          <w:b/>
          <w:bCs/>
          <w:color w:val="auto"/>
          <w:highlight w:val="none"/>
          <w:lang w:val="en-US" w:eastAsia="zh-CN"/>
        </w:rPr>
        <w:t>声</w:t>
      </w:r>
      <w:r>
        <w:rPr>
          <w:rFonts w:hint="default" w:ascii="Times New Roman" w:hAnsi="Times New Roman" w:eastAsia="宋体" w:cs="Times New Roman"/>
          <w:b/>
          <w:bCs/>
          <w:color w:val="auto"/>
          <w:highlight w:val="none"/>
          <w:lang w:eastAsia="zh-CN"/>
        </w:rPr>
        <w:t>环境</w:t>
      </w:r>
      <w:r>
        <w:rPr>
          <w:rFonts w:hint="default" w:ascii="Times New Roman" w:hAnsi="Times New Roman" w:eastAsia="宋体" w:cs="Times New Roman"/>
          <w:b/>
          <w:bCs/>
          <w:color w:val="auto"/>
          <w:highlight w:val="none"/>
        </w:rPr>
        <w:t>保护目标及评价范围图</w:t>
      </w:r>
    </w:p>
    <w:p w14:paraId="0106F966">
      <w:pPr>
        <w:pageBreakBefore w:val="0"/>
        <w:shd w:val="clear"/>
        <w:kinsoku/>
        <w:wordWrap/>
        <w:overflowPunct w:val="0"/>
        <w:bidi w:val="0"/>
        <w:snapToGrid w:val="0"/>
        <w:spacing w:line="360" w:lineRule="auto"/>
        <w:ind w:left="0" w:leftChars="0" w:right="0" w:rightChars="0" w:firstLine="0" w:firstLineChars="0"/>
        <w:rPr>
          <w:rFonts w:hint="default" w:ascii="Times New Roman" w:hAnsi="Times New Roman" w:eastAsia="宋体" w:cs="Times New Roman"/>
          <w:color w:val="auto"/>
          <w:highlight w:val="none"/>
        </w:rPr>
        <w:sectPr>
          <w:pgSz w:w="16839" w:h="11907"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545BAC6E">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7433310" cy="5255895"/>
            <wp:effectExtent l="0" t="0" r="15240" b="1905"/>
            <wp:docPr id="59" name="图片 59" descr="评价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评价范围"/>
                    <pic:cNvPicPr>
                      <a:picLocks noChangeAspect="1"/>
                    </pic:cNvPicPr>
                  </pic:nvPicPr>
                  <pic:blipFill>
                    <a:blip r:embed="rId23"/>
                    <a:stretch>
                      <a:fillRect/>
                    </a:stretch>
                  </pic:blipFill>
                  <pic:spPr>
                    <a:xfrm>
                      <a:off x="0" y="0"/>
                      <a:ext cx="7433310" cy="5255895"/>
                    </a:xfrm>
                    <a:prstGeom prst="rect">
                      <a:avLst/>
                    </a:prstGeom>
                  </pic:spPr>
                </pic:pic>
              </a:graphicData>
            </a:graphic>
          </wp:inline>
        </w:drawing>
      </w:r>
    </w:p>
    <w:p w14:paraId="6054E806">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lang w:eastAsia="zh-CN"/>
        </w:rPr>
        <w:sectPr>
          <w:pgSz w:w="16839" w:h="11907" w:orient="landscape"/>
          <w:pgMar w:top="1440" w:right="1800" w:bottom="1440" w:left="1800" w:header="850" w:footer="1134" w:gutter="0"/>
          <w:pgBorders>
            <w:top w:val="none" w:sz="0" w:space="0"/>
            <w:left w:val="none" w:sz="0" w:space="0"/>
            <w:bottom w:val="none" w:sz="0" w:space="0"/>
            <w:right w:val="none" w:sz="0" w:space="0"/>
          </w:pgBorders>
          <w:pgNumType w:fmt="decimal"/>
          <w:cols w:space="720" w:num="1"/>
          <w:docGrid w:linePitch="326" w:charSpace="0"/>
        </w:sectPr>
      </w:pPr>
      <w:r>
        <w:rPr>
          <w:rFonts w:hint="default" w:ascii="Times New Roman" w:hAnsi="Times New Roman" w:eastAsia="宋体" w:cs="Times New Roman"/>
          <w:b/>
          <w:bCs/>
          <w:color w:val="auto"/>
          <w:highlight w:val="none"/>
        </w:rPr>
        <w:t>图2.6-</w:t>
      </w: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rPr>
        <w:t>项目</w:t>
      </w:r>
      <w:r>
        <w:rPr>
          <w:rFonts w:hint="default" w:ascii="Times New Roman" w:hAnsi="Times New Roman" w:eastAsia="宋体" w:cs="Times New Roman"/>
          <w:b/>
          <w:bCs/>
          <w:color w:val="auto"/>
          <w:highlight w:val="none"/>
          <w:lang w:val="en-US" w:eastAsia="zh-CN"/>
        </w:rPr>
        <w:t>生态</w:t>
      </w:r>
      <w:r>
        <w:rPr>
          <w:rFonts w:hint="default" w:ascii="Times New Roman" w:hAnsi="Times New Roman" w:eastAsia="宋体" w:cs="Times New Roman"/>
          <w:b/>
          <w:bCs/>
          <w:color w:val="auto"/>
          <w:highlight w:val="none"/>
        </w:rPr>
        <w:t>环境保护目标及评价范围</w:t>
      </w:r>
      <w:r>
        <w:rPr>
          <w:rFonts w:hint="default" w:ascii="Times New Roman" w:hAnsi="Times New Roman" w:eastAsia="宋体" w:cs="Times New Roman"/>
          <w:b/>
          <w:bCs/>
          <w:color w:val="auto"/>
          <w:highlight w:val="none"/>
          <w:lang w:eastAsia="zh-CN"/>
        </w:rPr>
        <w:t>图</w:t>
      </w:r>
    </w:p>
    <w:p w14:paraId="5941432D">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sz w:val="28"/>
          <w:szCs w:val="32"/>
          <w:highlight w:val="none"/>
        </w:rPr>
      </w:pPr>
      <w:bookmarkStart w:id="212" w:name="_Toc905"/>
      <w:r>
        <w:rPr>
          <w:rFonts w:hint="default" w:ascii="Times New Roman" w:hAnsi="Times New Roman" w:eastAsia="宋体" w:cs="Times New Roman"/>
          <w:color w:val="auto"/>
          <w:sz w:val="28"/>
          <w:szCs w:val="32"/>
          <w:highlight w:val="none"/>
        </w:rPr>
        <w:t>2.7项目符合性分析</w:t>
      </w:r>
      <w:bookmarkEnd w:id="212"/>
    </w:p>
    <w:p w14:paraId="01438A3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sz w:val="24"/>
          <w:szCs w:val="32"/>
          <w:highlight w:val="none"/>
        </w:rPr>
      </w:pPr>
      <w:bookmarkStart w:id="213" w:name="_Toc22129"/>
      <w:r>
        <w:rPr>
          <w:rFonts w:hint="default" w:ascii="Times New Roman" w:hAnsi="Times New Roman" w:eastAsia="宋体" w:cs="Times New Roman"/>
          <w:color w:val="auto"/>
          <w:sz w:val="24"/>
          <w:szCs w:val="32"/>
          <w:highlight w:val="none"/>
        </w:rPr>
        <w:t>2.7.1《产业结构调整指导目录（20</w:t>
      </w:r>
      <w:r>
        <w:rPr>
          <w:rFonts w:hint="default" w:ascii="Times New Roman" w:hAnsi="Times New Roman" w:eastAsia="宋体" w:cs="Times New Roman"/>
          <w:color w:val="auto"/>
          <w:sz w:val="24"/>
          <w:szCs w:val="32"/>
          <w:highlight w:val="none"/>
          <w:lang w:val="en-US" w:eastAsia="zh-CN"/>
        </w:rPr>
        <w:t>24</w:t>
      </w:r>
      <w:r>
        <w:rPr>
          <w:rFonts w:hint="default" w:ascii="Times New Roman" w:hAnsi="Times New Roman" w:eastAsia="宋体" w:cs="Times New Roman"/>
          <w:color w:val="auto"/>
          <w:sz w:val="24"/>
          <w:szCs w:val="32"/>
          <w:highlight w:val="none"/>
        </w:rPr>
        <w:t>年本）》符合性</w:t>
      </w:r>
      <w:bookmarkEnd w:id="213"/>
    </w:p>
    <w:p w14:paraId="5F9CB0E7">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本项目为</w:t>
      </w:r>
      <w:r>
        <w:rPr>
          <w:rFonts w:hint="default" w:ascii="Times New Roman" w:hAnsi="Times New Roman" w:eastAsia="宋体" w:cs="Times New Roman"/>
          <w:color w:val="auto"/>
          <w:sz w:val="24"/>
          <w:szCs w:val="22"/>
          <w:highlight w:val="none"/>
          <w:lang w:eastAsia="zh-CN"/>
        </w:rPr>
        <w:t>规模化肉羊养殖项目</w:t>
      </w:r>
      <w:r>
        <w:rPr>
          <w:rFonts w:hint="default" w:ascii="Times New Roman" w:hAnsi="Times New Roman" w:eastAsia="宋体" w:cs="Times New Roman"/>
          <w:color w:val="auto"/>
          <w:sz w:val="24"/>
          <w:szCs w:val="22"/>
          <w:highlight w:val="none"/>
        </w:rPr>
        <w:t>，根据</w:t>
      </w:r>
      <w:r>
        <w:rPr>
          <w:rFonts w:hint="default" w:ascii="Times New Roman" w:hAnsi="Times New Roman" w:eastAsia="宋体" w:cs="Times New Roman"/>
          <w:color w:val="auto"/>
          <w:highlight w:val="none"/>
        </w:rPr>
        <w:t>《产业结构调整指导目录（20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w:t>
      </w:r>
      <w:r>
        <w:rPr>
          <w:rFonts w:hint="default" w:ascii="Times New Roman" w:hAnsi="Times New Roman" w:eastAsia="宋体" w:cs="Times New Roman"/>
          <w:color w:val="auto"/>
          <w:highlight w:val="none"/>
          <w:lang w:eastAsia="zh-CN"/>
        </w:rPr>
        <w:t>中华人民共和国国家发展和改革委员会令第</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eastAsia="zh-CN"/>
        </w:rPr>
        <w:t>号</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szCs w:val="22"/>
          <w:highlight w:val="none"/>
        </w:rPr>
        <w:t>，本项目属于“第一类鼓励类”中“一、农林业--</w:t>
      </w:r>
      <w:r>
        <w:rPr>
          <w:rFonts w:hint="default" w:ascii="Times New Roman" w:hAnsi="Times New Roman" w:eastAsia="宋体" w:cs="Times New Roman"/>
          <w:color w:val="auto"/>
          <w:sz w:val="24"/>
          <w:szCs w:val="22"/>
          <w:highlight w:val="none"/>
          <w:lang w:val="en-US" w:eastAsia="zh-CN"/>
        </w:rPr>
        <w:t>1</w:t>
      </w:r>
      <w:r>
        <w:rPr>
          <w:rFonts w:hint="default" w:ascii="Times New Roman" w:hAnsi="Times New Roman" w:eastAsia="宋体" w:cs="Times New Roman"/>
          <w:color w:val="auto"/>
          <w:sz w:val="24"/>
          <w:szCs w:val="22"/>
          <w:highlight w:val="none"/>
        </w:rPr>
        <w:t>4、畜禽标准化规模养殖技术开发与应用”。</w:t>
      </w:r>
    </w:p>
    <w:p w14:paraId="175E05CA">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highlight w:val="none"/>
          <w:lang w:eastAsia="zh-CN"/>
        </w:rPr>
        <w:t>本</w:t>
      </w:r>
      <w:r>
        <w:rPr>
          <w:rFonts w:hint="default" w:ascii="Times New Roman" w:hAnsi="Times New Roman" w:eastAsia="宋体" w:cs="Times New Roman"/>
          <w:color w:val="auto"/>
          <w:highlight w:val="none"/>
        </w:rPr>
        <w:t>项目</w:t>
      </w:r>
      <w:r>
        <w:rPr>
          <w:rFonts w:hint="default" w:ascii="Times New Roman" w:hAnsi="Times New Roman" w:eastAsia="宋体" w:cs="Times New Roman"/>
          <w:bCs/>
          <w:color w:val="auto"/>
          <w:szCs w:val="21"/>
          <w:highlight w:val="none"/>
          <w:lang w:val="en-US" w:eastAsia="zh-CN"/>
        </w:rPr>
        <w:t>于2024年7月11日</w:t>
      </w:r>
      <w:r>
        <w:rPr>
          <w:rFonts w:hint="default" w:ascii="Times New Roman" w:hAnsi="Times New Roman" w:eastAsia="宋体" w:cs="Times New Roman"/>
          <w:color w:val="auto"/>
          <w:highlight w:val="none"/>
        </w:rPr>
        <w:t>取得</w:t>
      </w:r>
      <w:r>
        <w:rPr>
          <w:rFonts w:hint="default" w:ascii="Times New Roman" w:hAnsi="Times New Roman" w:eastAsia="宋体" w:cs="Times New Roman"/>
          <w:color w:val="auto"/>
          <w:highlight w:val="none"/>
          <w:lang w:eastAsia="zh-CN"/>
        </w:rPr>
        <w:t>了五原县发展和改革委员会出具的</w:t>
      </w:r>
      <w:r>
        <w:rPr>
          <w:rFonts w:hint="default" w:ascii="Times New Roman" w:hAnsi="Times New Roman" w:eastAsia="宋体" w:cs="Times New Roman"/>
          <w:color w:val="auto"/>
          <w:highlight w:val="none"/>
        </w:rPr>
        <w:t>《项目备案告知书》</w:t>
      </w:r>
      <w:r>
        <w:rPr>
          <w:rFonts w:hint="default" w:ascii="Times New Roman" w:hAnsi="Times New Roman" w:eastAsia="宋体" w:cs="Times New Roman"/>
          <w:color w:val="auto"/>
          <w:highlight w:val="none"/>
          <w:lang w:eastAsia="zh-CN"/>
        </w:rPr>
        <w:t>，项目代码：</w:t>
      </w:r>
      <w:r>
        <w:rPr>
          <w:rFonts w:hint="default" w:ascii="Times New Roman" w:hAnsi="Times New Roman" w:eastAsia="宋体" w:cs="Times New Roman"/>
          <w:color w:val="auto"/>
          <w:highlight w:val="none"/>
          <w:lang w:val="en-US" w:eastAsia="zh-CN"/>
        </w:rPr>
        <w:t>2407-150821-04-01-213103，本项目符合产业政策和市场准入标准</w:t>
      </w:r>
      <w:r>
        <w:rPr>
          <w:rFonts w:hint="default" w:ascii="Times New Roman" w:hAnsi="Times New Roman" w:eastAsia="宋体" w:cs="Times New Roman"/>
          <w:color w:val="auto"/>
          <w:sz w:val="24"/>
          <w:szCs w:val="22"/>
          <w:highlight w:val="none"/>
        </w:rPr>
        <w:t>。</w:t>
      </w:r>
    </w:p>
    <w:p w14:paraId="35944864">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因此，本项目的实施符合国家现行产业政策要求。</w:t>
      </w:r>
    </w:p>
    <w:p w14:paraId="147BDC9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sz w:val="24"/>
          <w:szCs w:val="32"/>
          <w:highlight w:val="none"/>
        </w:rPr>
      </w:pPr>
      <w:bookmarkStart w:id="214" w:name="_Toc10959"/>
      <w:r>
        <w:rPr>
          <w:rFonts w:hint="default" w:ascii="Times New Roman" w:hAnsi="Times New Roman" w:eastAsia="宋体" w:cs="Times New Roman"/>
          <w:color w:val="auto"/>
          <w:sz w:val="24"/>
          <w:szCs w:val="32"/>
          <w:highlight w:val="none"/>
        </w:rPr>
        <w:t>2.7.2相关法律、法规的符合性</w:t>
      </w:r>
      <w:bookmarkEnd w:id="214"/>
    </w:p>
    <w:p w14:paraId="73735474">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本项目与目前我国有关畜禽养殖污染物防治的法律法规符合性分析见表2.7-1。</w:t>
      </w:r>
    </w:p>
    <w:p w14:paraId="62F424C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sz w:val="24"/>
          <w:szCs w:val="32"/>
          <w:highlight w:val="none"/>
        </w:rPr>
      </w:pPr>
      <w:bookmarkStart w:id="215" w:name="_Toc26531"/>
      <w:r>
        <w:rPr>
          <w:rFonts w:hint="default" w:ascii="Times New Roman" w:hAnsi="Times New Roman" w:eastAsia="宋体" w:cs="Times New Roman"/>
          <w:color w:val="auto"/>
          <w:sz w:val="24"/>
          <w:szCs w:val="32"/>
          <w:highlight w:val="none"/>
        </w:rPr>
        <w:t>2.7.3相关规范符合性分析</w:t>
      </w:r>
      <w:bookmarkEnd w:id="215"/>
    </w:p>
    <w:p w14:paraId="1D5DEEE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本项目与目前我国有关畜禽养殖污染物防治的相关规范符合性分析见表2.7-2。</w:t>
      </w:r>
    </w:p>
    <w:p w14:paraId="6E80C48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sz w:val="24"/>
          <w:szCs w:val="32"/>
          <w:highlight w:val="none"/>
        </w:rPr>
      </w:pPr>
      <w:bookmarkStart w:id="216" w:name="_Toc24530"/>
      <w:r>
        <w:rPr>
          <w:rFonts w:hint="default" w:ascii="Times New Roman" w:hAnsi="Times New Roman" w:eastAsia="宋体" w:cs="Times New Roman"/>
          <w:color w:val="auto"/>
          <w:sz w:val="24"/>
          <w:szCs w:val="32"/>
          <w:highlight w:val="none"/>
        </w:rPr>
        <w:t>2.7.4相关政策符合性分析</w:t>
      </w:r>
      <w:bookmarkEnd w:id="216"/>
    </w:p>
    <w:p w14:paraId="556383B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本项目的建设与目前我国有关畜禽养殖污染物防治的政策符合性分析见表2.7-3。</w:t>
      </w:r>
    </w:p>
    <w:p w14:paraId="3EFF605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2"/>
          <w:highlight w:val="none"/>
          <w:lang w:eastAsia="zh-CN"/>
        </w:rPr>
      </w:pPr>
    </w:p>
    <w:p w14:paraId="2F80F11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2"/>
          <w:highlight w:val="none"/>
          <w:lang w:eastAsia="zh-CN"/>
        </w:rPr>
      </w:pPr>
    </w:p>
    <w:p w14:paraId="3A29D9A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2"/>
          <w:highlight w:val="none"/>
        </w:rPr>
      </w:pPr>
    </w:p>
    <w:p w14:paraId="57CAFBD6">
      <w:pPr>
        <w:pStyle w:val="24"/>
        <w:pageBreakBefore w:val="0"/>
        <w:shd w:val="clear"/>
        <w:kinsoku/>
        <w:wordWrap/>
        <w:bidi w:val="0"/>
        <w:snapToGrid w:val="0"/>
        <w:spacing w:after="0" w:line="360" w:lineRule="auto"/>
        <w:ind w:left="0" w:leftChars="0" w:right="0" w:rightChars="0" w:firstLine="480"/>
        <w:rPr>
          <w:rFonts w:hint="default" w:ascii="Times New Roman" w:hAnsi="Times New Roman" w:eastAsia="宋体" w:cs="Times New Roman"/>
          <w:color w:val="auto"/>
          <w:highlight w:val="none"/>
        </w:rPr>
      </w:pPr>
    </w:p>
    <w:p w14:paraId="21682695">
      <w:pPr>
        <w:pStyle w:val="24"/>
        <w:pageBreakBefore w:val="0"/>
        <w:shd w:val="clear"/>
        <w:kinsoku/>
        <w:wordWrap/>
        <w:bidi w:val="0"/>
        <w:snapToGrid w:val="0"/>
        <w:spacing w:after="0"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2337B73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outlineLvl w:val="2"/>
        <w:rPr>
          <w:rFonts w:hint="default" w:ascii="Times New Roman" w:hAnsi="Times New Roman" w:eastAsia="宋体" w:cs="Times New Roman"/>
          <w:color w:val="auto"/>
          <w:sz w:val="24"/>
          <w:szCs w:val="24"/>
          <w:highlight w:val="none"/>
        </w:rPr>
      </w:pPr>
      <w:bookmarkStart w:id="217" w:name="_Toc5620"/>
      <w:bookmarkStart w:id="218" w:name="_Toc31890"/>
      <w:bookmarkStart w:id="219" w:name="_Toc6276"/>
      <w:bookmarkStart w:id="220" w:name="_Toc3080"/>
      <w:r>
        <w:rPr>
          <w:rFonts w:hint="default" w:ascii="Times New Roman" w:hAnsi="Times New Roman" w:eastAsia="宋体" w:cs="Times New Roman"/>
          <w:color w:val="auto"/>
          <w:sz w:val="24"/>
          <w:szCs w:val="24"/>
          <w:highlight w:val="none"/>
        </w:rPr>
        <w:t>表2.7-1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本项目建设与畜禽养殖污染防治的相关法律法规符合性分析</w:t>
      </w:r>
      <w:bookmarkEnd w:id="217"/>
      <w:bookmarkEnd w:id="218"/>
      <w:bookmarkEnd w:id="219"/>
      <w:bookmarkEnd w:id="220"/>
    </w:p>
    <w:tbl>
      <w:tblPr>
        <w:tblStyle w:val="42"/>
        <w:tblW w:w="13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7089"/>
        <w:gridCol w:w="4286"/>
        <w:gridCol w:w="647"/>
      </w:tblGrid>
      <w:tr w14:paraId="2B80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14:paraId="68BCB6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政策法规</w:t>
            </w:r>
          </w:p>
        </w:tc>
        <w:tc>
          <w:tcPr>
            <w:tcW w:w="7512" w:type="dxa"/>
            <w:vAlign w:val="center"/>
          </w:tcPr>
          <w:p w14:paraId="18E6C6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相关条款及规定</w:t>
            </w:r>
          </w:p>
        </w:tc>
        <w:tc>
          <w:tcPr>
            <w:tcW w:w="4536" w:type="dxa"/>
            <w:vAlign w:val="center"/>
          </w:tcPr>
          <w:p w14:paraId="354BFD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符合性分析</w:t>
            </w:r>
          </w:p>
        </w:tc>
        <w:tc>
          <w:tcPr>
            <w:tcW w:w="673" w:type="dxa"/>
            <w:vAlign w:val="center"/>
          </w:tcPr>
          <w:p w14:paraId="4AC622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w:t>
            </w:r>
          </w:p>
          <w:p w14:paraId="415439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情况</w:t>
            </w:r>
          </w:p>
        </w:tc>
      </w:tr>
      <w:tr w14:paraId="3E8D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14:paraId="6251D2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《中华人民共和国水污染防治法》（2017）</w:t>
            </w:r>
          </w:p>
        </w:tc>
        <w:tc>
          <w:tcPr>
            <w:tcW w:w="7512" w:type="dxa"/>
            <w:vAlign w:val="center"/>
          </w:tcPr>
          <w:p w14:paraId="455C6A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国家支持畜禽养殖场、养殖小区建设畜禽粪便、废水的综合利用或者无害化处理设施。</w:t>
            </w:r>
          </w:p>
          <w:p w14:paraId="2CAF61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畜禽养殖场、养殖小区应当保证其畜禽粪便、废水的综合利用或者无害化处理设施正常运转，保证污水达标排放，防止污染水环境。</w:t>
            </w:r>
          </w:p>
        </w:tc>
        <w:tc>
          <w:tcPr>
            <w:tcW w:w="4536" w:type="dxa"/>
            <w:vAlign w:val="center"/>
          </w:tcPr>
          <w:p w14:paraId="73340E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eastAsia="zh-CN"/>
              </w:rPr>
              <w:t>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p>
          <w:p w14:paraId="6CDC09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lang w:eastAsia="zh-CN"/>
              </w:rPr>
              <w:t>，在养殖区排放的尿液大部分由于当地气候干燥蒸发，剩余尿液与粪便完全黏结混合在一起，一起运往堆肥场储存并堆肥，因此，没有尿液排放。</w:t>
            </w:r>
          </w:p>
        </w:tc>
        <w:tc>
          <w:tcPr>
            <w:tcW w:w="673" w:type="dxa"/>
            <w:vAlign w:val="center"/>
          </w:tcPr>
          <w:p w14:paraId="51D06B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613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14:paraId="7E0B72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《中华人民共和国固体废物污染环境防治法》（2016）</w:t>
            </w:r>
          </w:p>
        </w:tc>
        <w:tc>
          <w:tcPr>
            <w:tcW w:w="7512" w:type="dxa"/>
            <w:vAlign w:val="center"/>
          </w:tcPr>
          <w:p w14:paraId="3F4ED6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从事畜禽规模养殖应按照国家有关规定收集、贮存、利用或者处理养殖过程中产生的粪便，防止污染环境。</w:t>
            </w:r>
          </w:p>
        </w:tc>
        <w:tc>
          <w:tcPr>
            <w:tcW w:w="4536" w:type="dxa"/>
            <w:vAlign w:val="center"/>
          </w:tcPr>
          <w:p w14:paraId="6A39FF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eastAsia="zh-CN"/>
              </w:rPr>
              <w:t>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lang w:val="en-US" w:eastAsia="zh-CN"/>
              </w:rPr>
              <w:t>不污染环境。</w:t>
            </w:r>
          </w:p>
        </w:tc>
        <w:tc>
          <w:tcPr>
            <w:tcW w:w="673" w:type="dxa"/>
            <w:vAlign w:val="center"/>
          </w:tcPr>
          <w:p w14:paraId="58D9CC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76A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14:paraId="0A2B94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《中华人民共和国畜牧法》（2015）</w:t>
            </w:r>
          </w:p>
        </w:tc>
        <w:tc>
          <w:tcPr>
            <w:tcW w:w="7512" w:type="dxa"/>
            <w:vAlign w:val="center"/>
          </w:tcPr>
          <w:p w14:paraId="6916B4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畜禽养殖场、养殖小区应当保证畜禽粪便、废水及其他固体废弃物综合利用或者无害化处理设施的正常运转，保证污染物达标排放，防止污染环境。</w:t>
            </w:r>
          </w:p>
          <w:p w14:paraId="40116B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禁止在生活饮用水的水源保护区，风景名胜区，以及自然保护区的核心区和缓冲区；城镇居民区、文化教育科学研究区等人口集中区域；法律法规规定的其他禁养区域内建设畜禽养殖场、养殖小区。</w:t>
            </w:r>
          </w:p>
        </w:tc>
        <w:tc>
          <w:tcPr>
            <w:tcW w:w="4536" w:type="dxa"/>
            <w:vAlign w:val="center"/>
          </w:tcPr>
          <w:p w14:paraId="10EE23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项目羊粪便经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rPr>
              <w:t>，符合要求。</w:t>
            </w:r>
          </w:p>
          <w:p w14:paraId="634F6D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lang w:eastAsia="zh-CN"/>
              </w:rPr>
              <w:t>，在养殖区排放的尿液大部分由于当地气候干燥蒸发，剩余尿液与粪便完全黏结混合在一起，一起运往堆肥场储存并堆肥，因此，没有尿液排放。</w:t>
            </w:r>
          </w:p>
          <w:p w14:paraId="47E660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项目选址不在生活饮用水的水源保护区，风景名胜区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自然保护区；城镇居民区、文化教育科学研究区等人口集中区域；法律法规规定的其他禁养区域内建设畜禽养殖场、养殖小区。</w:t>
            </w:r>
          </w:p>
        </w:tc>
        <w:tc>
          <w:tcPr>
            <w:tcW w:w="673" w:type="dxa"/>
            <w:vAlign w:val="center"/>
          </w:tcPr>
          <w:p w14:paraId="3AD702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7DEE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14:paraId="52256A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《中华人民共和国农业法》（2013修正）</w:t>
            </w:r>
          </w:p>
        </w:tc>
        <w:tc>
          <w:tcPr>
            <w:tcW w:w="7512" w:type="dxa"/>
            <w:vAlign w:val="center"/>
          </w:tcPr>
          <w:p w14:paraId="486897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从事畜禽规模养殖的单位和个人应对粪便、废水及废弃物进行无害化处理或者综合利用。</w:t>
            </w:r>
          </w:p>
        </w:tc>
        <w:tc>
          <w:tcPr>
            <w:tcW w:w="4536" w:type="dxa"/>
            <w:vAlign w:val="center"/>
          </w:tcPr>
          <w:p w14:paraId="1F4E86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项目羊粪便经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rPr>
              <w:t>，符合要求。</w:t>
            </w:r>
          </w:p>
        </w:tc>
        <w:tc>
          <w:tcPr>
            <w:tcW w:w="673" w:type="dxa"/>
            <w:vAlign w:val="center"/>
          </w:tcPr>
          <w:p w14:paraId="184B1B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62F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restart"/>
            <w:vAlign w:val="center"/>
          </w:tcPr>
          <w:p w14:paraId="46E6D5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《畜禽规模养殖污染防治条例》（国务院令第643号）</w:t>
            </w:r>
          </w:p>
        </w:tc>
        <w:tc>
          <w:tcPr>
            <w:tcW w:w="7512" w:type="dxa"/>
            <w:vAlign w:val="center"/>
          </w:tcPr>
          <w:p w14:paraId="2A3E20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4536" w:type="dxa"/>
            <w:vAlign w:val="center"/>
          </w:tcPr>
          <w:p w14:paraId="058821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项目建设区域</w:t>
            </w:r>
            <w:r>
              <w:rPr>
                <w:rFonts w:hint="default" w:ascii="Times New Roman" w:hAnsi="Times New Roman" w:eastAsia="宋体" w:cs="Times New Roman"/>
                <w:color w:val="auto"/>
                <w:sz w:val="21"/>
                <w:szCs w:val="21"/>
                <w:highlight w:val="none"/>
                <w:lang w:eastAsia="zh-CN"/>
              </w:rPr>
              <w:t>周边</w:t>
            </w:r>
            <w:r>
              <w:rPr>
                <w:rFonts w:hint="default" w:ascii="Times New Roman" w:hAnsi="Times New Roman" w:eastAsia="宋体" w:cs="Times New Roman"/>
                <w:color w:val="auto"/>
                <w:sz w:val="21"/>
                <w:szCs w:val="21"/>
                <w:highlight w:val="none"/>
              </w:rPr>
              <w:t>无（一）饮用水水源保护区，风景名胜区；（二）自然保护区的核心区和缓冲区；（三）城镇居民区、文化教育科学研究区等人口集中区域；（四）法律、法规规定的其他禁止养殖区域，符合要求。</w:t>
            </w:r>
          </w:p>
        </w:tc>
        <w:tc>
          <w:tcPr>
            <w:tcW w:w="673" w:type="dxa"/>
            <w:vAlign w:val="center"/>
          </w:tcPr>
          <w:p w14:paraId="5F1B17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61D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14:paraId="17971A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7512" w:type="dxa"/>
            <w:vAlign w:val="center"/>
          </w:tcPr>
          <w:p w14:paraId="533136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4536" w:type="dxa"/>
            <w:vAlign w:val="center"/>
          </w:tcPr>
          <w:p w14:paraId="66A489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项目全场采取雨污分流，设置</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等粪污处理设施，项目采用干清粪工艺，</w:t>
            </w:r>
            <w:r>
              <w:rPr>
                <w:rFonts w:hint="default" w:ascii="Times New Roman" w:hAnsi="Times New Roman" w:eastAsia="宋体" w:cs="Times New Roman"/>
                <w:color w:val="auto"/>
                <w:sz w:val="21"/>
                <w:szCs w:val="21"/>
                <w:highlight w:val="none"/>
                <w:lang w:eastAsia="zh-CN"/>
              </w:rPr>
              <w:t>项目羊粪便经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rPr>
              <w:t>，符合要求。</w:t>
            </w:r>
          </w:p>
          <w:p w14:paraId="29A678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lang w:eastAsia="zh-CN"/>
              </w:rPr>
              <w:t>，在养殖区排放的尿液大部分由于当地气候干燥蒸发，剩余尿液与粪便完全黏结混合在一起，一起运往堆肥场储存并堆肥，因此，没有尿液排放。</w:t>
            </w:r>
          </w:p>
        </w:tc>
        <w:tc>
          <w:tcPr>
            <w:tcW w:w="673" w:type="dxa"/>
            <w:vAlign w:val="center"/>
          </w:tcPr>
          <w:p w14:paraId="53CF7E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E05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14:paraId="346D98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7512" w:type="dxa"/>
            <w:vAlign w:val="center"/>
          </w:tcPr>
          <w:p w14:paraId="459BF2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第十五条国家鼓励和支持采取粪肥还田、制取沼气、制造有机肥等方法，对畜禽养殖废弃物进行综合利用。</w:t>
            </w:r>
          </w:p>
        </w:tc>
        <w:tc>
          <w:tcPr>
            <w:tcW w:w="4536" w:type="dxa"/>
            <w:vAlign w:val="center"/>
          </w:tcPr>
          <w:p w14:paraId="22CBCD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项目羊粪便经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rPr>
              <w:t>，符合要求。</w:t>
            </w:r>
          </w:p>
        </w:tc>
        <w:tc>
          <w:tcPr>
            <w:tcW w:w="673" w:type="dxa"/>
            <w:vAlign w:val="center"/>
          </w:tcPr>
          <w:p w14:paraId="28E256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3AD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14:paraId="37164B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7512" w:type="dxa"/>
            <w:vAlign w:val="center"/>
          </w:tcPr>
          <w:p w14:paraId="1019E6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第十六条国家鼓励和支持采取种植和养殖相结合的方式消纳利用畜禽养殖废弃物，促进畜禽粪便、污水等废弃物就地就近利用。</w:t>
            </w:r>
          </w:p>
        </w:tc>
        <w:tc>
          <w:tcPr>
            <w:tcW w:w="4536" w:type="dxa"/>
            <w:vAlign w:val="center"/>
          </w:tcPr>
          <w:p w14:paraId="7A0957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eastAsia="zh-CN"/>
              </w:rPr>
              <w:t>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eastAsia="zh-CN"/>
              </w:rPr>
              <w:t>无害化处理后还田综合利用</w:t>
            </w:r>
            <w:r>
              <w:rPr>
                <w:rFonts w:hint="default" w:ascii="Times New Roman" w:hAnsi="Times New Roman" w:eastAsia="宋体" w:cs="Times New Roman"/>
                <w:color w:val="auto"/>
                <w:sz w:val="21"/>
                <w:szCs w:val="21"/>
                <w:highlight w:val="none"/>
              </w:rPr>
              <w:t>，符合要求。</w:t>
            </w:r>
          </w:p>
          <w:p w14:paraId="0F357A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lang w:eastAsia="zh-CN"/>
              </w:rPr>
              <w:t>，在养殖区排放的尿液大部分由于当地气候干燥蒸发，剩余尿液与粪便完全黏结混合在一起，一起运往堆肥场储存并堆肥，因此，没有尿液排放。</w:t>
            </w:r>
          </w:p>
        </w:tc>
        <w:tc>
          <w:tcPr>
            <w:tcW w:w="673" w:type="dxa"/>
            <w:vAlign w:val="center"/>
          </w:tcPr>
          <w:p w14:paraId="68FCC9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61AFDC2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根据上表的分析可知，本项目的建设可满足养殖类相关法律、法规及相关政策的要求。</w:t>
      </w:r>
    </w:p>
    <w:p w14:paraId="5AED296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7D1CAD06">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outlineLvl w:val="2"/>
        <w:rPr>
          <w:rFonts w:hint="default" w:ascii="Times New Roman" w:hAnsi="Times New Roman" w:eastAsia="宋体" w:cs="Times New Roman"/>
          <w:color w:val="auto"/>
          <w:sz w:val="24"/>
          <w:szCs w:val="24"/>
          <w:highlight w:val="none"/>
        </w:rPr>
      </w:pPr>
      <w:bookmarkStart w:id="221" w:name="_Toc22862"/>
      <w:bookmarkStart w:id="222" w:name="_Toc30590"/>
      <w:bookmarkStart w:id="223" w:name="_Toc18567"/>
      <w:bookmarkStart w:id="224" w:name="_Toc22384"/>
      <w:r>
        <w:rPr>
          <w:rFonts w:hint="default" w:ascii="Times New Roman" w:hAnsi="Times New Roman" w:eastAsia="宋体" w:cs="Times New Roman"/>
          <w:color w:val="auto"/>
          <w:sz w:val="24"/>
          <w:szCs w:val="24"/>
          <w:highlight w:val="none"/>
        </w:rPr>
        <w:t>表2.7-2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本项目建设与畜禽养殖污染防治的相关规范符合性分析</w:t>
      </w:r>
      <w:bookmarkEnd w:id="221"/>
      <w:bookmarkEnd w:id="222"/>
      <w:bookmarkEnd w:id="223"/>
      <w:bookmarkEnd w:id="224"/>
    </w:p>
    <w:tbl>
      <w:tblPr>
        <w:tblStyle w:val="42"/>
        <w:tblW w:w="1360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49"/>
        <w:gridCol w:w="947"/>
        <w:gridCol w:w="5882"/>
        <w:gridCol w:w="5082"/>
        <w:gridCol w:w="646"/>
      </w:tblGrid>
      <w:tr w14:paraId="44A7CE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2093" w:type="dxa"/>
            <w:gridSpan w:val="2"/>
            <w:tcBorders>
              <w:top w:val="single" w:color="auto" w:sz="4" w:space="0"/>
              <w:left w:val="single" w:color="auto" w:sz="4" w:space="0"/>
              <w:bottom w:val="single" w:color="auto" w:sz="4" w:space="0"/>
              <w:right w:val="single" w:color="auto" w:sz="4" w:space="0"/>
            </w:tcBorders>
            <w:vAlign w:val="center"/>
          </w:tcPr>
          <w:p w14:paraId="519ED0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6237" w:type="dxa"/>
            <w:tcBorders>
              <w:top w:val="single" w:color="auto" w:sz="4" w:space="0"/>
              <w:left w:val="single" w:color="auto" w:sz="4" w:space="0"/>
              <w:bottom w:val="single" w:color="auto" w:sz="4" w:space="0"/>
              <w:right w:val="single" w:color="auto" w:sz="4" w:space="0"/>
            </w:tcBorders>
            <w:vAlign w:val="center"/>
          </w:tcPr>
          <w:p w14:paraId="4A0E46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相关规定</w:t>
            </w:r>
          </w:p>
        </w:tc>
        <w:tc>
          <w:tcPr>
            <w:tcW w:w="5386" w:type="dxa"/>
            <w:tcBorders>
              <w:top w:val="single" w:color="auto" w:sz="4" w:space="0"/>
              <w:left w:val="single" w:color="auto" w:sz="4" w:space="0"/>
              <w:bottom w:val="single" w:color="auto" w:sz="4" w:space="0"/>
              <w:right w:val="single" w:color="auto" w:sz="4" w:space="0"/>
            </w:tcBorders>
            <w:vAlign w:val="center"/>
          </w:tcPr>
          <w:p w14:paraId="524AFE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本项目情况</w:t>
            </w:r>
          </w:p>
        </w:tc>
        <w:tc>
          <w:tcPr>
            <w:tcW w:w="673" w:type="dxa"/>
            <w:tcBorders>
              <w:top w:val="single" w:color="auto" w:sz="4" w:space="0"/>
              <w:left w:val="single" w:color="auto" w:sz="4" w:space="0"/>
              <w:bottom w:val="single" w:color="auto" w:sz="4" w:space="0"/>
              <w:right w:val="single" w:color="auto" w:sz="4" w:space="0"/>
            </w:tcBorders>
            <w:vAlign w:val="center"/>
          </w:tcPr>
          <w:p w14:paraId="256A16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符合情况</w:t>
            </w:r>
          </w:p>
        </w:tc>
      </w:tr>
      <w:tr w14:paraId="5CE395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restart"/>
            <w:tcBorders>
              <w:top w:val="single" w:color="auto" w:sz="4" w:space="0"/>
              <w:left w:val="single" w:color="auto" w:sz="4" w:space="0"/>
              <w:bottom w:val="single" w:color="auto" w:sz="4" w:space="0"/>
              <w:right w:val="single" w:color="auto" w:sz="4" w:space="0"/>
            </w:tcBorders>
            <w:vAlign w:val="center"/>
          </w:tcPr>
          <w:p w14:paraId="005101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《畜禽养殖业污染治理工程技术规范》（HJ497-2009）</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4A5059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场区布局与清粪工艺</w:t>
            </w:r>
          </w:p>
        </w:tc>
        <w:tc>
          <w:tcPr>
            <w:tcW w:w="6237" w:type="dxa"/>
            <w:tcBorders>
              <w:top w:val="single" w:color="auto" w:sz="4" w:space="0"/>
              <w:left w:val="single" w:color="auto" w:sz="4" w:space="0"/>
              <w:bottom w:val="single" w:color="auto" w:sz="4" w:space="0"/>
              <w:right w:val="single" w:color="auto" w:sz="4" w:space="0"/>
            </w:tcBorders>
            <w:vAlign w:val="center"/>
          </w:tcPr>
          <w:p w14:paraId="2AA378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4.1新建、改建、扩建的畜禽养殖场应实现生产区、生活管理区的隔离，粪便污水处理设施和</w:t>
            </w:r>
            <w:r>
              <w:rPr>
                <w:rFonts w:hint="default" w:ascii="Times New Roman" w:hAnsi="Times New Roman" w:eastAsia="宋体" w:cs="Times New Roman"/>
                <w:color w:val="auto"/>
                <w:sz w:val="21"/>
                <w:szCs w:val="21"/>
                <w:highlight w:val="none"/>
                <w:lang w:eastAsia="zh-CN"/>
              </w:rPr>
              <w:t>畜禽</w:t>
            </w:r>
            <w:r>
              <w:rPr>
                <w:rFonts w:hint="default" w:ascii="Times New Roman" w:hAnsi="Times New Roman" w:eastAsia="宋体" w:cs="Times New Roman"/>
                <w:color w:val="auto"/>
                <w:sz w:val="21"/>
                <w:szCs w:val="21"/>
                <w:highlight w:val="none"/>
              </w:rPr>
              <w:t>尸体焚烧炉应设在养殖场的生产区、生活管理区的常年主导风向的下风向或侧风向处。</w:t>
            </w:r>
          </w:p>
        </w:tc>
        <w:tc>
          <w:tcPr>
            <w:tcW w:w="5386" w:type="dxa"/>
            <w:tcBorders>
              <w:top w:val="single" w:color="auto" w:sz="4" w:space="0"/>
              <w:left w:val="single" w:color="auto" w:sz="4" w:space="0"/>
              <w:bottom w:val="single" w:color="auto" w:sz="4" w:space="0"/>
              <w:right w:val="single" w:color="auto" w:sz="4" w:space="0"/>
            </w:tcBorders>
            <w:vAlign w:val="center"/>
          </w:tcPr>
          <w:p w14:paraId="1BB81D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项目生活管理区与生产区、</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lang w:val="en-US" w:eastAsia="zh-CN"/>
              </w:rPr>
              <w:t>隔离</w:t>
            </w:r>
            <w:r>
              <w:rPr>
                <w:rFonts w:hint="default" w:ascii="Times New Roman" w:hAnsi="Times New Roman" w:eastAsia="宋体" w:cs="Times New Roman"/>
                <w:color w:val="auto"/>
                <w:sz w:val="21"/>
                <w:szCs w:val="21"/>
                <w:highlight w:val="none"/>
              </w:rPr>
              <w:t>设置</w:t>
            </w:r>
            <w:r>
              <w:rPr>
                <w:rFonts w:hint="default" w:ascii="Times New Roman" w:hAnsi="Times New Roman" w:eastAsia="宋体" w:cs="Times New Roman"/>
                <w:color w:val="auto"/>
                <w:sz w:val="21"/>
                <w:szCs w:val="21"/>
                <w:highlight w:val="none"/>
                <w:lang w:eastAsia="zh-CN"/>
              </w:rPr>
              <w:t>；</w:t>
            </w:r>
          </w:p>
          <w:p w14:paraId="536774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FF0000"/>
                <w:sz w:val="21"/>
                <w:szCs w:val="21"/>
                <w:highlight w:val="none"/>
              </w:rPr>
              <w:t>堆肥场位于厂区南侧，该地区年主导风向为ENE风，本项目堆肥场位于养殖区及生活区南侧，属于当地20年主导风向的侧风向</w:t>
            </w:r>
            <w:r>
              <w:rPr>
                <w:rFonts w:hint="default" w:ascii="Times New Roman" w:hAnsi="Times New Roman" w:eastAsia="宋体" w:cs="Times New Roman"/>
                <w:color w:val="FF0000"/>
                <w:sz w:val="21"/>
                <w:szCs w:val="21"/>
                <w:highlight w:val="none"/>
                <w:lang w:val="en-US" w:eastAsia="zh-CN"/>
              </w:rPr>
              <w:t>。</w:t>
            </w:r>
          </w:p>
        </w:tc>
        <w:tc>
          <w:tcPr>
            <w:tcW w:w="673" w:type="dxa"/>
            <w:tcBorders>
              <w:top w:val="single" w:color="auto" w:sz="4" w:space="0"/>
              <w:left w:val="single" w:color="auto" w:sz="4" w:space="0"/>
              <w:bottom w:val="single" w:color="auto" w:sz="4" w:space="0"/>
              <w:right w:val="single" w:color="auto" w:sz="4" w:space="0"/>
            </w:tcBorders>
            <w:vAlign w:val="center"/>
          </w:tcPr>
          <w:p w14:paraId="35375E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51D655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562A5B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1E59C8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4A5CF4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4.2养殖场的排水系统应实行雨水和污水收集输送系统分离，在场区内外设置的污水收集输送系统，不得采取明沟布设。</w:t>
            </w:r>
          </w:p>
        </w:tc>
        <w:tc>
          <w:tcPr>
            <w:tcW w:w="5386" w:type="dxa"/>
            <w:tcBorders>
              <w:top w:val="single" w:color="auto" w:sz="4" w:space="0"/>
              <w:left w:val="single" w:color="auto" w:sz="4" w:space="0"/>
              <w:bottom w:val="single" w:color="auto" w:sz="4" w:space="0"/>
              <w:right w:val="single" w:color="auto" w:sz="4" w:space="0"/>
            </w:tcBorders>
            <w:vAlign w:val="center"/>
          </w:tcPr>
          <w:p w14:paraId="292599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养殖废水主要为羊圈内收集的羊尿液，本项目为肉羊养殖场项目，</w:t>
            </w:r>
            <w:r>
              <w:rPr>
                <w:rFonts w:hint="default" w:ascii="Times New Roman" w:hAnsi="Times New Roman" w:eastAsia="宋体" w:cs="Times New Roman"/>
                <w:color w:val="auto"/>
                <w:sz w:val="21"/>
                <w:szCs w:val="21"/>
                <w:highlight w:val="none"/>
                <w:lang w:eastAsia="zh-CN"/>
              </w:rPr>
              <w:t>羊粪便含水率较低，在养殖区排放的尿液大部分由于当地气候干燥蒸发，剩余尿液与粪便完全黏结混合在一起，一起运往堆肥场储存并堆肥，因此，没有尿液排放</w:t>
            </w:r>
            <w:r>
              <w:rPr>
                <w:rFonts w:hint="default" w:ascii="Times New Roman" w:hAnsi="Times New Roman" w:eastAsia="宋体" w:cs="Times New Roman"/>
                <w:color w:val="auto"/>
                <w:sz w:val="21"/>
                <w:szCs w:val="21"/>
                <w:highlight w:val="none"/>
                <w:lang w:eastAsia="zh-CN"/>
              </w:rPr>
              <w:t>；</w:t>
            </w:r>
          </w:p>
          <w:p w14:paraId="02D652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养殖区场地不采取水冲洗方式清理，采用消毒水每周喷洒消毒2～3次，因此，养殖区不产生冲洗废水。</w:t>
            </w:r>
          </w:p>
        </w:tc>
        <w:tc>
          <w:tcPr>
            <w:tcW w:w="673" w:type="dxa"/>
            <w:tcBorders>
              <w:top w:val="single" w:color="auto" w:sz="4" w:space="0"/>
              <w:left w:val="single" w:color="auto" w:sz="4" w:space="0"/>
              <w:bottom w:val="single" w:color="auto" w:sz="4" w:space="0"/>
              <w:right w:val="single" w:color="auto" w:sz="4" w:space="0"/>
            </w:tcBorders>
            <w:vAlign w:val="center"/>
          </w:tcPr>
          <w:p w14:paraId="3492DC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17B200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57321B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B758C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65398A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4.3新建、改建、扩建的畜禽养殖场应采取干法清粪工艺，采取有效</w:t>
            </w:r>
            <w:r>
              <w:rPr>
                <w:rFonts w:hint="default" w:ascii="Times New Roman" w:hAnsi="Times New Roman" w:eastAsia="宋体" w:cs="Times New Roman"/>
                <w:color w:val="auto"/>
                <w:sz w:val="21"/>
                <w:szCs w:val="21"/>
                <w:highlight w:val="none"/>
                <w:lang w:eastAsia="zh-CN"/>
              </w:rPr>
              <w:t>措施</w:t>
            </w:r>
            <w:r>
              <w:rPr>
                <w:rFonts w:hint="default" w:ascii="Times New Roman" w:hAnsi="Times New Roman" w:eastAsia="宋体" w:cs="Times New Roman"/>
                <w:color w:val="auto"/>
                <w:sz w:val="21"/>
                <w:szCs w:val="21"/>
                <w:highlight w:val="none"/>
              </w:rPr>
              <w:t>将粪及时、单独清出，不可与尿、污水混合排出，并将产生的渣及时运至贮存或处理场所，实现日产日清。采用水冲、水泡粪湿法清粪工艺的养殖场，要逐步改为干法清粪工艺。</w:t>
            </w:r>
          </w:p>
        </w:tc>
        <w:tc>
          <w:tcPr>
            <w:tcW w:w="5386" w:type="dxa"/>
            <w:tcBorders>
              <w:top w:val="single" w:color="auto" w:sz="4" w:space="0"/>
              <w:left w:val="single" w:color="auto" w:sz="4" w:space="0"/>
              <w:bottom w:val="single" w:color="auto" w:sz="4" w:space="0"/>
              <w:right w:val="single" w:color="auto" w:sz="4" w:space="0"/>
            </w:tcBorders>
            <w:vAlign w:val="center"/>
          </w:tcPr>
          <w:p w14:paraId="02FB3E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项目采用干清粪工艺，</w:t>
            </w:r>
            <w:r>
              <w:rPr>
                <w:rFonts w:hint="default" w:ascii="Times New Roman" w:hAnsi="Times New Roman" w:eastAsia="宋体" w:cs="Times New Roman"/>
                <w:color w:val="FF0000"/>
                <w:sz w:val="21"/>
                <w:szCs w:val="21"/>
                <w:highlight w:val="none"/>
                <w:lang w:eastAsia="zh-CN"/>
              </w:rPr>
              <w:t>羊粪便</w:t>
            </w:r>
            <w:r>
              <w:rPr>
                <w:rFonts w:hint="default" w:ascii="Times New Roman" w:hAnsi="Times New Roman" w:eastAsia="宋体" w:cs="Times New Roman"/>
                <w:color w:val="FF0000"/>
                <w:sz w:val="21"/>
                <w:szCs w:val="21"/>
                <w:highlight w:val="none"/>
                <w:lang w:val="en-US" w:eastAsia="zh-CN"/>
              </w:rPr>
              <w:t>定期清运至</w:t>
            </w:r>
            <w:r>
              <w:rPr>
                <w:rFonts w:hint="default" w:ascii="Times New Roman" w:hAnsi="Times New Roman" w:eastAsia="宋体" w:cs="Times New Roman"/>
                <w:color w:val="FF0000"/>
                <w:sz w:val="21"/>
                <w:szCs w:val="21"/>
                <w:highlight w:val="none"/>
                <w:lang w:val="en-US" w:eastAsia="zh-CN"/>
              </w:rPr>
              <w:t>堆肥场储存并堆肥</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lang w:eastAsia="zh-CN"/>
              </w:rPr>
              <w:t>作为有机肥</w:t>
            </w:r>
            <w:r>
              <w:rPr>
                <w:rFonts w:hint="default" w:ascii="Times New Roman" w:hAnsi="Times New Roman" w:eastAsia="宋体" w:cs="Times New Roman"/>
                <w:color w:val="FF0000"/>
                <w:sz w:val="21"/>
                <w:szCs w:val="21"/>
                <w:highlight w:val="none"/>
                <w:lang w:val="en-US" w:eastAsia="zh-CN"/>
              </w:rPr>
              <w:t>外售</w:t>
            </w:r>
            <w:r>
              <w:rPr>
                <w:rFonts w:hint="default" w:ascii="Times New Roman" w:hAnsi="Times New Roman" w:eastAsia="宋体" w:cs="Times New Roman"/>
                <w:color w:val="FF0000"/>
                <w:sz w:val="21"/>
                <w:szCs w:val="21"/>
                <w:highlight w:val="none"/>
                <w:lang w:eastAsia="zh-CN"/>
              </w:rPr>
              <w:t>还田</w:t>
            </w:r>
            <w:r>
              <w:rPr>
                <w:rFonts w:hint="default" w:ascii="Times New Roman" w:hAnsi="Times New Roman" w:eastAsia="宋体" w:cs="Times New Roman"/>
                <w:color w:val="FF0000"/>
                <w:sz w:val="21"/>
                <w:szCs w:val="21"/>
                <w:highlight w:val="none"/>
                <w:lang w:val="en-US" w:eastAsia="zh-CN"/>
              </w:rPr>
              <w:t>综合</w:t>
            </w:r>
            <w:r>
              <w:rPr>
                <w:rFonts w:hint="default" w:ascii="Times New Roman" w:hAnsi="Times New Roman" w:eastAsia="宋体" w:cs="Times New Roman"/>
                <w:color w:val="FF0000"/>
                <w:sz w:val="21"/>
                <w:szCs w:val="21"/>
                <w:highlight w:val="none"/>
                <w:lang w:eastAsia="zh-CN"/>
              </w:rPr>
              <w:t>利用。</w:t>
            </w:r>
          </w:p>
        </w:tc>
        <w:tc>
          <w:tcPr>
            <w:tcW w:w="673" w:type="dxa"/>
            <w:tcBorders>
              <w:top w:val="single" w:color="auto" w:sz="4" w:space="0"/>
              <w:left w:val="single" w:color="auto" w:sz="4" w:space="0"/>
              <w:bottom w:val="single" w:color="auto" w:sz="4" w:space="0"/>
              <w:right w:val="single" w:color="auto" w:sz="4" w:space="0"/>
            </w:tcBorders>
            <w:vAlign w:val="center"/>
          </w:tcPr>
          <w:p w14:paraId="785BF3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1B4C4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5ED1F8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643A6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畜禽粪便的贮存</w:t>
            </w:r>
          </w:p>
        </w:tc>
        <w:tc>
          <w:tcPr>
            <w:tcW w:w="6237" w:type="dxa"/>
            <w:tcBorders>
              <w:top w:val="single" w:color="auto" w:sz="4" w:space="0"/>
              <w:left w:val="single" w:color="auto" w:sz="4" w:space="0"/>
              <w:bottom w:val="single" w:color="auto" w:sz="4" w:space="0"/>
              <w:right w:val="single" w:color="auto" w:sz="4" w:space="0"/>
            </w:tcBorders>
            <w:vAlign w:val="center"/>
          </w:tcPr>
          <w:p w14:paraId="348749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①畜禽养殖场产生的畜禽粪便应设置专门的贮存设施，其恶臭及污染物排放应符合《畜禽养殖业污染物排放标准》。</w:t>
            </w:r>
          </w:p>
          <w:p w14:paraId="31210C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②贮存设施的位置必须远离各类功能地表水体</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距离不得小于400m</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，并应设在养殖场生产及生活管理区的常年主导风向的下风向或侧风向处。</w:t>
            </w:r>
          </w:p>
          <w:p w14:paraId="2F39A9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③对于种养结合的养殖场，畜禽粪便，贮存设施的总容积不得低于当地农林作物生产用肥的最大间隔时间内本养殖场所产生粪便的总量。</w:t>
            </w:r>
          </w:p>
          <w:p w14:paraId="0B4B60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④贮存设施应采取设置顶盖等防止降雨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进入的措施。</w:t>
            </w:r>
          </w:p>
        </w:tc>
        <w:tc>
          <w:tcPr>
            <w:tcW w:w="5386" w:type="dxa"/>
            <w:tcBorders>
              <w:top w:val="single" w:color="auto" w:sz="4" w:space="0"/>
              <w:left w:val="single" w:color="auto" w:sz="4" w:space="0"/>
              <w:bottom w:val="single" w:color="auto" w:sz="4" w:space="0"/>
              <w:right w:val="single" w:color="auto" w:sz="4" w:space="0"/>
            </w:tcBorders>
            <w:vAlign w:val="center"/>
          </w:tcPr>
          <w:p w14:paraId="3E847E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①项目设置</w:t>
            </w:r>
            <w:r>
              <w:rPr>
                <w:rFonts w:hint="default" w:ascii="Times New Roman" w:hAnsi="Times New Roman" w:eastAsia="宋体" w:cs="Times New Roman"/>
                <w:color w:val="auto"/>
                <w:sz w:val="21"/>
                <w:szCs w:val="21"/>
                <w:highlight w:val="none"/>
                <w:lang w:eastAsia="zh-CN"/>
              </w:rPr>
              <w:t>堆肥场，为羊粪便</w:t>
            </w:r>
            <w:r>
              <w:rPr>
                <w:rFonts w:hint="default" w:ascii="Times New Roman" w:hAnsi="Times New Roman" w:eastAsia="宋体" w:cs="Times New Roman"/>
                <w:color w:val="auto"/>
                <w:sz w:val="21"/>
                <w:szCs w:val="21"/>
                <w:highlight w:val="none"/>
              </w:rPr>
              <w:t>收集贮存设施，恶臭污染物排放满足《畜禽养殖业污染物排放标准》要求；</w:t>
            </w:r>
          </w:p>
          <w:p w14:paraId="04C293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rPr>
              <w:t>②</w:t>
            </w:r>
            <w:r>
              <w:rPr>
                <w:rFonts w:hint="default" w:ascii="Times New Roman" w:hAnsi="Times New Roman" w:eastAsia="宋体" w:cs="Times New Roman"/>
                <w:color w:val="FF0000"/>
                <w:sz w:val="21"/>
                <w:szCs w:val="21"/>
                <w:highlight w:val="none"/>
                <w:lang w:eastAsia="zh-CN"/>
              </w:rPr>
              <w:t>堆肥场</w:t>
            </w:r>
            <w:r>
              <w:rPr>
                <w:rFonts w:hint="default" w:ascii="Times New Roman" w:hAnsi="Times New Roman" w:eastAsia="宋体" w:cs="Times New Roman"/>
                <w:color w:val="FF0000"/>
                <w:sz w:val="21"/>
                <w:szCs w:val="21"/>
                <w:highlight w:val="none"/>
                <w:lang w:val="en-US" w:eastAsia="zh-CN"/>
              </w:rPr>
              <w:t>位于厂区南侧，</w:t>
            </w:r>
            <w:r>
              <w:rPr>
                <w:rFonts w:hint="default" w:ascii="Times New Roman" w:hAnsi="Times New Roman" w:eastAsia="宋体" w:cs="Times New Roman"/>
                <w:color w:val="FF0000"/>
                <w:sz w:val="21"/>
                <w:szCs w:val="21"/>
                <w:highlight w:val="none"/>
                <w:lang w:eastAsia="zh-CN"/>
              </w:rPr>
              <w:t>该地区年主导风向为ENE风，本项目堆肥场位于养殖区及生活区南侧，属于当地20年主导风向的</w:t>
            </w:r>
            <w:r>
              <w:rPr>
                <w:rFonts w:hint="default" w:ascii="Times New Roman" w:hAnsi="Times New Roman" w:eastAsia="宋体" w:cs="Times New Roman"/>
                <w:color w:val="FF0000"/>
                <w:sz w:val="21"/>
                <w:szCs w:val="21"/>
                <w:highlight w:val="none"/>
                <w:lang w:val="en-US" w:eastAsia="zh-CN"/>
              </w:rPr>
              <w:t>侧</w:t>
            </w:r>
            <w:r>
              <w:rPr>
                <w:rFonts w:hint="default" w:ascii="Times New Roman" w:hAnsi="Times New Roman" w:eastAsia="宋体" w:cs="Times New Roman"/>
                <w:color w:val="FF0000"/>
                <w:sz w:val="21"/>
                <w:szCs w:val="21"/>
                <w:highlight w:val="none"/>
                <w:lang w:eastAsia="zh-CN"/>
              </w:rPr>
              <w:t>风向；</w:t>
            </w:r>
          </w:p>
          <w:p w14:paraId="7377F5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w:t>
            </w:r>
            <w:r>
              <w:rPr>
                <w:rFonts w:hint="default" w:ascii="Times New Roman" w:hAnsi="Times New Roman" w:eastAsia="宋体" w:cs="Times New Roman"/>
                <w:color w:val="auto"/>
                <w:sz w:val="21"/>
                <w:szCs w:val="21"/>
                <w:highlight w:val="none"/>
                <w:lang w:eastAsia="zh-CN"/>
              </w:rPr>
              <w:t>堆肥场面积</w:t>
            </w:r>
            <w:r>
              <w:rPr>
                <w:rFonts w:hint="default" w:ascii="Times New Roman" w:hAnsi="Times New Roman" w:eastAsia="宋体" w:cs="Times New Roman"/>
                <w:color w:val="auto"/>
                <w:sz w:val="21"/>
                <w:szCs w:val="21"/>
                <w:highlight w:val="none"/>
              </w:rPr>
              <w:t>等满足</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个月的还田间隔要求及存储容积要求。</w:t>
            </w:r>
          </w:p>
          <w:p w14:paraId="1D00FD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lang w:val="en-US" w:eastAsia="zh-CN"/>
              </w:rPr>
              <w:t>屋顶设置防雨设施，采用彩钢顶棚；四周</w:t>
            </w:r>
            <w:r>
              <w:rPr>
                <w:rFonts w:hint="default" w:ascii="Times New Roman" w:hAnsi="Times New Roman" w:eastAsia="宋体" w:cs="Times New Roman"/>
                <w:color w:val="auto"/>
                <w:sz w:val="21"/>
                <w:szCs w:val="21"/>
                <w:highlight w:val="none"/>
              </w:rPr>
              <w:t>设置挡水墙（坡道）及导流渠</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可防止降雨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的进入。</w:t>
            </w:r>
          </w:p>
        </w:tc>
        <w:tc>
          <w:tcPr>
            <w:tcW w:w="673" w:type="dxa"/>
            <w:tcBorders>
              <w:top w:val="single" w:color="auto" w:sz="4" w:space="0"/>
              <w:left w:val="single" w:color="auto" w:sz="4" w:space="0"/>
              <w:bottom w:val="single" w:color="auto" w:sz="4" w:space="0"/>
              <w:right w:val="single" w:color="auto" w:sz="4" w:space="0"/>
            </w:tcBorders>
            <w:vAlign w:val="center"/>
          </w:tcPr>
          <w:p w14:paraId="77DBB6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6D22C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4938B5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A857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污水的处理</w:t>
            </w:r>
          </w:p>
        </w:tc>
        <w:tc>
          <w:tcPr>
            <w:tcW w:w="6237" w:type="dxa"/>
            <w:tcBorders>
              <w:top w:val="single" w:color="auto" w:sz="4" w:space="0"/>
              <w:left w:val="single" w:color="auto" w:sz="4" w:space="0"/>
              <w:bottom w:val="single" w:color="auto" w:sz="4" w:space="0"/>
              <w:right w:val="single" w:color="auto" w:sz="4" w:space="0"/>
            </w:tcBorders>
            <w:vAlign w:val="center"/>
          </w:tcPr>
          <w:p w14:paraId="525466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畜禽养殖过程中产生的污水应坚持种养结合的原则，经无害化处理后尽量充分还田，实现污水资源化利用。</w:t>
            </w:r>
          </w:p>
        </w:tc>
        <w:tc>
          <w:tcPr>
            <w:tcW w:w="5386" w:type="dxa"/>
            <w:tcBorders>
              <w:top w:val="single" w:color="auto" w:sz="4" w:space="0"/>
              <w:left w:val="single" w:color="auto" w:sz="4" w:space="0"/>
              <w:bottom w:val="single" w:color="auto" w:sz="4" w:space="0"/>
              <w:right w:val="single" w:color="auto" w:sz="4" w:space="0"/>
            </w:tcBorders>
            <w:vAlign w:val="center"/>
          </w:tcPr>
          <w:p w14:paraId="608D3A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养殖废水主要为</w:t>
            </w:r>
            <w:r>
              <w:rPr>
                <w:rFonts w:hint="default" w:ascii="Times New Roman" w:hAnsi="Times New Roman" w:eastAsia="宋体" w:cs="Times New Roman"/>
                <w:color w:val="auto"/>
                <w:sz w:val="21"/>
                <w:szCs w:val="21"/>
                <w:highlight w:val="none"/>
                <w:lang w:val="en-US" w:eastAsia="zh-CN"/>
              </w:rPr>
              <w:t>羊圈</w:t>
            </w:r>
            <w:r>
              <w:rPr>
                <w:rFonts w:hint="default" w:ascii="Times New Roman" w:hAnsi="Times New Roman" w:eastAsia="宋体" w:cs="Times New Roman"/>
                <w:color w:val="auto"/>
                <w:sz w:val="21"/>
                <w:szCs w:val="21"/>
                <w:highlight w:val="none"/>
                <w:lang w:eastAsia="zh-CN"/>
              </w:rPr>
              <w:t>内收集的羊尿液，本项目为肉羊养殖场项目，</w:t>
            </w:r>
            <w:r>
              <w:rPr>
                <w:rFonts w:hint="default" w:ascii="Times New Roman" w:hAnsi="Times New Roman" w:eastAsia="宋体" w:cs="Times New Roman"/>
                <w:color w:val="auto"/>
                <w:sz w:val="21"/>
                <w:szCs w:val="21"/>
                <w:highlight w:val="none"/>
                <w:lang w:eastAsia="zh-CN"/>
              </w:rPr>
              <w:t>羊粪便含水率较低，在养殖区排放的尿液大部分由于当地气候干燥蒸发，剩余尿液与粪便完全黏结混合在一起，一起运往堆肥场储存并堆肥，因此，没有尿液排放</w:t>
            </w:r>
            <w:r>
              <w:rPr>
                <w:rFonts w:hint="default" w:ascii="Times New Roman" w:hAnsi="Times New Roman" w:eastAsia="宋体" w:cs="Times New Roman"/>
                <w:color w:val="auto"/>
                <w:sz w:val="21"/>
                <w:szCs w:val="21"/>
                <w:highlight w:val="none"/>
                <w:lang w:eastAsia="zh-CN"/>
              </w:rPr>
              <w:t>。</w:t>
            </w:r>
          </w:p>
          <w:p w14:paraId="02D782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养殖区场地不采取水冲洗方式清理，采用消毒水每周喷洒消毒2～3次，因此，养殖区不产生冲洗废水。</w:t>
            </w:r>
          </w:p>
        </w:tc>
        <w:tc>
          <w:tcPr>
            <w:tcW w:w="673" w:type="dxa"/>
            <w:tcBorders>
              <w:top w:val="single" w:color="auto" w:sz="4" w:space="0"/>
              <w:left w:val="single" w:color="auto" w:sz="4" w:space="0"/>
              <w:bottom w:val="single" w:color="auto" w:sz="4" w:space="0"/>
              <w:right w:val="single" w:color="auto" w:sz="4" w:space="0"/>
            </w:tcBorders>
            <w:vAlign w:val="center"/>
          </w:tcPr>
          <w:p w14:paraId="239D59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17993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4A00CA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9E42F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固体粪肥的处理利用</w:t>
            </w:r>
          </w:p>
        </w:tc>
        <w:tc>
          <w:tcPr>
            <w:tcW w:w="6237" w:type="dxa"/>
            <w:tcBorders>
              <w:top w:val="single" w:color="auto" w:sz="4" w:space="0"/>
              <w:left w:val="single" w:color="auto" w:sz="4" w:space="0"/>
              <w:bottom w:val="single" w:color="auto" w:sz="4" w:space="0"/>
              <w:right w:val="single" w:color="auto" w:sz="4" w:space="0"/>
            </w:tcBorders>
            <w:vAlign w:val="center"/>
          </w:tcPr>
          <w:p w14:paraId="1A30A8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①畜禽粪便必须经过无害化处理，并且须符合《粪便无害化卫生标准》后，才能进行土地利用，禁止未经处理的畜禽粪便直接施入农田。</w:t>
            </w:r>
          </w:p>
          <w:p w14:paraId="74F89B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w:t>
            </w:r>
          </w:p>
          <w:p w14:paraId="4C865C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③对高降雨区、坡地及沙质容易产生径流和渗透性较强的土壤，不适宜施用粪肥或粪肥使用量过高易使粪肥流失引起地表水或地下水污染时，应禁止或暂停使用粪肥。</w:t>
            </w:r>
          </w:p>
        </w:tc>
        <w:tc>
          <w:tcPr>
            <w:tcW w:w="5386" w:type="dxa"/>
            <w:tcBorders>
              <w:top w:val="single" w:color="auto" w:sz="4" w:space="0"/>
              <w:left w:val="single" w:color="auto" w:sz="4" w:space="0"/>
              <w:bottom w:val="single" w:color="auto" w:sz="4" w:space="0"/>
              <w:right w:val="single" w:color="auto" w:sz="4" w:space="0"/>
            </w:tcBorders>
            <w:vAlign w:val="center"/>
          </w:tcPr>
          <w:p w14:paraId="32A1E6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①本项目</w:t>
            </w:r>
            <w:r>
              <w:rPr>
                <w:rFonts w:hint="default" w:ascii="Times New Roman" w:hAnsi="Times New Roman" w:eastAsia="宋体" w:cs="Times New Roman"/>
                <w:color w:val="auto"/>
                <w:sz w:val="21"/>
                <w:szCs w:val="21"/>
                <w:highlight w:val="none"/>
                <w:lang w:eastAsia="zh-CN"/>
              </w:rPr>
              <w:t>羊粪便经</w:t>
            </w:r>
            <w:r>
              <w:rPr>
                <w:rFonts w:hint="default" w:ascii="Times New Roman" w:hAnsi="Times New Roman" w:eastAsia="宋体" w:cs="Times New Roman"/>
                <w:color w:val="auto"/>
                <w:sz w:val="21"/>
                <w:szCs w:val="21"/>
                <w:highlight w:val="none"/>
                <w:lang w:val="en-US" w:eastAsia="zh-CN"/>
              </w:rPr>
              <w:t>堆肥场储存并堆肥</w:t>
            </w:r>
            <w:r>
              <w:rPr>
                <w:rFonts w:hint="default" w:ascii="Times New Roman" w:hAnsi="Times New Roman" w:eastAsia="宋体" w:cs="Times New Roman"/>
                <w:color w:val="auto"/>
                <w:sz w:val="21"/>
                <w:szCs w:val="21"/>
                <w:highlight w:val="none"/>
                <w:lang w:eastAsia="zh-CN"/>
              </w:rPr>
              <w:t>后，</w:t>
            </w:r>
            <w:r>
              <w:rPr>
                <w:rFonts w:hint="default" w:ascii="Times New Roman" w:hAnsi="Times New Roman" w:eastAsia="宋体" w:cs="Times New Roman"/>
                <w:color w:val="auto"/>
                <w:sz w:val="21"/>
                <w:szCs w:val="21"/>
                <w:highlight w:val="none"/>
                <w:lang w:val="en-US" w:eastAsia="zh-CN"/>
              </w:rPr>
              <w:t>满足</w:t>
            </w:r>
            <w:r>
              <w:rPr>
                <w:rFonts w:hint="default" w:ascii="Times New Roman" w:hAnsi="Times New Roman" w:eastAsia="宋体" w:cs="Times New Roman"/>
                <w:color w:val="auto"/>
                <w:sz w:val="21"/>
                <w:szCs w:val="21"/>
                <w:highlight w:val="none"/>
              </w:rPr>
              <w:t>《粪便无害化卫生标准》</w:t>
            </w:r>
            <w:r>
              <w:rPr>
                <w:rFonts w:hint="default" w:ascii="Times New Roman" w:hAnsi="Times New Roman" w:eastAsia="宋体" w:cs="Times New Roman"/>
                <w:color w:val="auto"/>
                <w:sz w:val="21"/>
                <w:szCs w:val="21"/>
                <w:highlight w:val="none"/>
                <w:lang w:val="en-US" w:eastAsia="zh-CN"/>
              </w:rPr>
              <w:t>的要求</w:t>
            </w:r>
            <w:r>
              <w:rPr>
                <w:rFonts w:hint="default" w:ascii="Times New Roman" w:hAnsi="Times New Roman" w:eastAsia="宋体" w:cs="Times New Roman"/>
                <w:color w:val="auto"/>
                <w:sz w:val="21"/>
                <w:szCs w:val="21"/>
                <w:highlight w:val="none"/>
                <w:lang w:eastAsia="zh-CN"/>
              </w:rPr>
              <w:t>作为有机肥外售还田综合利用。</w:t>
            </w:r>
          </w:p>
          <w:p w14:paraId="4B65F7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②项目</w:t>
            </w: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rPr>
              <w:t>经</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个月好氧堆肥无害化处理后符合《粪便无害化卫生标准》后用于</w:t>
            </w:r>
            <w:r>
              <w:rPr>
                <w:rFonts w:hint="default" w:ascii="Times New Roman" w:hAnsi="Times New Roman" w:eastAsia="宋体" w:cs="Times New Roman"/>
                <w:color w:val="auto"/>
                <w:sz w:val="21"/>
                <w:szCs w:val="21"/>
                <w:highlight w:val="none"/>
                <w:lang w:eastAsia="zh-CN"/>
              </w:rPr>
              <w:t>周边农田</w:t>
            </w:r>
            <w:r>
              <w:rPr>
                <w:rFonts w:hint="default" w:ascii="Times New Roman" w:hAnsi="Times New Roman" w:eastAsia="宋体" w:cs="Times New Roman"/>
                <w:color w:val="auto"/>
                <w:sz w:val="21"/>
                <w:szCs w:val="21"/>
                <w:highlight w:val="none"/>
              </w:rPr>
              <w:t>还田，用量不超过作物当年生长所需养分的需求量，并符合当地环境容量的要求；</w:t>
            </w:r>
          </w:p>
          <w:p w14:paraId="621B0E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③项目周边</w:t>
            </w:r>
            <w:r>
              <w:rPr>
                <w:rFonts w:hint="default" w:ascii="Times New Roman" w:hAnsi="Times New Roman" w:eastAsia="宋体" w:cs="Times New Roman"/>
                <w:color w:val="auto"/>
                <w:sz w:val="21"/>
                <w:szCs w:val="21"/>
                <w:highlight w:val="none"/>
                <w:lang w:val="en-US" w:eastAsia="zh-CN"/>
              </w:rPr>
              <w:t>农田</w:t>
            </w:r>
            <w:r>
              <w:rPr>
                <w:rFonts w:hint="default" w:ascii="Times New Roman" w:hAnsi="Times New Roman" w:eastAsia="宋体" w:cs="Times New Roman"/>
                <w:color w:val="auto"/>
                <w:sz w:val="21"/>
                <w:szCs w:val="21"/>
                <w:highlight w:val="none"/>
              </w:rPr>
              <w:t>不属于高降雨区、坡地及沙质容易产生径流的土壤。</w:t>
            </w:r>
          </w:p>
        </w:tc>
        <w:tc>
          <w:tcPr>
            <w:tcW w:w="673" w:type="dxa"/>
            <w:tcBorders>
              <w:top w:val="single" w:color="auto" w:sz="4" w:space="0"/>
              <w:left w:val="single" w:color="auto" w:sz="4" w:space="0"/>
              <w:bottom w:val="single" w:color="auto" w:sz="4" w:space="0"/>
              <w:right w:val="single" w:color="auto" w:sz="4" w:space="0"/>
            </w:tcBorders>
            <w:vAlign w:val="center"/>
          </w:tcPr>
          <w:p w14:paraId="054AE1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F8B1B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122F61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4FD4E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饲料和饲养管理</w:t>
            </w:r>
          </w:p>
        </w:tc>
        <w:tc>
          <w:tcPr>
            <w:tcW w:w="6237" w:type="dxa"/>
            <w:tcBorders>
              <w:top w:val="single" w:color="auto" w:sz="4" w:space="0"/>
              <w:left w:val="single" w:color="auto" w:sz="4" w:space="0"/>
              <w:bottom w:val="single" w:color="auto" w:sz="4" w:space="0"/>
              <w:right w:val="single" w:color="auto" w:sz="4" w:space="0"/>
            </w:tcBorders>
            <w:vAlign w:val="center"/>
          </w:tcPr>
          <w:p w14:paraId="5B8DAA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①畜禽养殖饲料应采用合理配方，如理想蛋白质体系配等，提高蛋白质</w:t>
            </w:r>
            <w:r>
              <w:rPr>
                <w:rFonts w:hint="default" w:ascii="Times New Roman" w:hAnsi="Times New Roman" w:eastAsia="宋体" w:cs="Times New Roman"/>
                <w:color w:val="auto"/>
                <w:sz w:val="21"/>
                <w:szCs w:val="21"/>
                <w:highlight w:val="none"/>
                <w:lang w:eastAsia="zh-CN"/>
              </w:rPr>
              <w:t>及其他</w:t>
            </w:r>
            <w:r>
              <w:rPr>
                <w:rFonts w:hint="default" w:ascii="Times New Roman" w:hAnsi="Times New Roman" w:eastAsia="宋体" w:cs="Times New Roman"/>
                <w:color w:val="auto"/>
                <w:sz w:val="21"/>
                <w:szCs w:val="21"/>
                <w:highlight w:val="none"/>
              </w:rPr>
              <w:t>营养的吸收效率，减少氮的排放量和粪的生产量。</w:t>
            </w:r>
          </w:p>
          <w:p w14:paraId="2060C5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②提倡使用微生物制剂、酶制剂和植物提取液等活性物质，减少污染物排放和恶臭气体的产生。</w:t>
            </w:r>
          </w:p>
          <w:p w14:paraId="6C2420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③养殖场场区、畜禽舍、器械等消毒应采用环境友好的消毒剂和消毒措施</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包括紫外线、臭氧、双氧水等方法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，防止产生氯代有机物</w:t>
            </w:r>
            <w:r>
              <w:rPr>
                <w:rFonts w:hint="default" w:ascii="Times New Roman" w:hAnsi="Times New Roman" w:eastAsia="宋体" w:cs="Times New Roman"/>
                <w:color w:val="auto"/>
                <w:sz w:val="21"/>
                <w:szCs w:val="21"/>
                <w:highlight w:val="none"/>
                <w:lang w:eastAsia="zh-CN"/>
              </w:rPr>
              <w:t>及其他的</w:t>
            </w:r>
            <w:r>
              <w:rPr>
                <w:rFonts w:hint="default" w:ascii="Times New Roman" w:hAnsi="Times New Roman" w:eastAsia="宋体" w:cs="Times New Roman"/>
                <w:color w:val="auto"/>
                <w:sz w:val="21"/>
                <w:szCs w:val="21"/>
                <w:highlight w:val="none"/>
              </w:rPr>
              <w:t>二次污染物。</w:t>
            </w:r>
          </w:p>
        </w:tc>
        <w:tc>
          <w:tcPr>
            <w:tcW w:w="5386" w:type="dxa"/>
            <w:tcBorders>
              <w:top w:val="single" w:color="auto" w:sz="4" w:space="0"/>
              <w:left w:val="single" w:color="auto" w:sz="4" w:space="0"/>
              <w:bottom w:val="single" w:color="auto" w:sz="4" w:space="0"/>
              <w:right w:val="single" w:color="auto" w:sz="4" w:space="0"/>
            </w:tcBorders>
            <w:vAlign w:val="center"/>
          </w:tcPr>
          <w:p w14:paraId="5B129B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①项目采取科学的饲养方式，饲料中添加EM制剂，减少氮的排放量和粪的生产量，减少污染物排放和恶臭气体的产生。</w:t>
            </w:r>
          </w:p>
          <w:p w14:paraId="705B25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②</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kern w:val="0"/>
                <w:sz w:val="21"/>
                <w:szCs w:val="21"/>
                <w:highlight w:val="none"/>
              </w:rPr>
              <w:t>定期喷洒除臭剂，可减少臭气的产生</w:t>
            </w:r>
            <w:r>
              <w:rPr>
                <w:rFonts w:hint="default" w:ascii="Times New Roman" w:hAnsi="Times New Roman" w:eastAsia="宋体" w:cs="Times New Roman"/>
                <w:color w:val="auto"/>
                <w:sz w:val="21"/>
                <w:szCs w:val="21"/>
                <w:highlight w:val="none"/>
                <w:lang w:eastAsia="zh-CN"/>
              </w:rPr>
              <w:t>。</w:t>
            </w:r>
          </w:p>
          <w:p w14:paraId="51A762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③本项目进入</w:t>
            </w:r>
            <w:r>
              <w:rPr>
                <w:rFonts w:hint="default" w:ascii="Times New Roman" w:hAnsi="Times New Roman" w:eastAsia="宋体" w:cs="Times New Roman"/>
                <w:color w:val="auto"/>
                <w:sz w:val="21"/>
                <w:szCs w:val="21"/>
                <w:highlight w:val="none"/>
                <w:lang w:eastAsia="zh-CN"/>
              </w:rPr>
              <w:t>养殖场时需要进行</w:t>
            </w:r>
            <w:r>
              <w:rPr>
                <w:rFonts w:hint="default" w:ascii="Times New Roman" w:hAnsi="Times New Roman" w:eastAsia="宋体" w:cs="Times New Roman"/>
                <w:color w:val="auto"/>
                <w:sz w:val="21"/>
                <w:szCs w:val="21"/>
                <w:highlight w:val="none"/>
              </w:rPr>
              <w:t>消毒，消毒剂主要有</w:t>
            </w:r>
            <w:r>
              <w:rPr>
                <w:rFonts w:hint="default" w:ascii="Times New Roman" w:hAnsi="Times New Roman" w:eastAsia="宋体" w:cs="Times New Roman"/>
                <w:color w:val="auto"/>
                <w:sz w:val="21"/>
                <w:szCs w:val="21"/>
                <w:highlight w:val="none"/>
                <w:lang w:eastAsia="zh-CN"/>
              </w:rPr>
              <w:t>消毒液</w:t>
            </w:r>
            <w:r>
              <w:rPr>
                <w:rFonts w:hint="default" w:ascii="Times New Roman" w:hAnsi="Times New Roman" w:eastAsia="宋体" w:cs="Times New Roman"/>
                <w:color w:val="auto"/>
                <w:sz w:val="21"/>
                <w:szCs w:val="21"/>
                <w:highlight w:val="none"/>
              </w:rPr>
              <w:t>等，不会产生氯代有机物</w:t>
            </w:r>
            <w:r>
              <w:rPr>
                <w:rFonts w:hint="default" w:ascii="Times New Roman" w:hAnsi="Times New Roman" w:eastAsia="宋体" w:cs="Times New Roman"/>
                <w:color w:val="auto"/>
                <w:sz w:val="21"/>
                <w:szCs w:val="21"/>
                <w:highlight w:val="none"/>
                <w:lang w:eastAsia="zh-CN"/>
              </w:rPr>
              <w:t>及其他的</w:t>
            </w:r>
            <w:r>
              <w:rPr>
                <w:rFonts w:hint="default" w:ascii="Times New Roman" w:hAnsi="Times New Roman" w:eastAsia="宋体" w:cs="Times New Roman"/>
                <w:color w:val="auto"/>
                <w:sz w:val="21"/>
                <w:szCs w:val="21"/>
                <w:highlight w:val="none"/>
              </w:rPr>
              <w:t>二次污染物。</w:t>
            </w:r>
          </w:p>
        </w:tc>
        <w:tc>
          <w:tcPr>
            <w:tcW w:w="673" w:type="dxa"/>
            <w:tcBorders>
              <w:top w:val="single" w:color="auto" w:sz="4" w:space="0"/>
              <w:left w:val="single" w:color="auto" w:sz="4" w:space="0"/>
              <w:bottom w:val="single" w:color="auto" w:sz="4" w:space="0"/>
              <w:right w:val="single" w:color="auto" w:sz="4" w:space="0"/>
            </w:tcBorders>
            <w:vAlign w:val="center"/>
          </w:tcPr>
          <w:p w14:paraId="4689D7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1A9663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457EA7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646C5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病死畜禽尸体的处理和处置</w:t>
            </w:r>
          </w:p>
        </w:tc>
        <w:tc>
          <w:tcPr>
            <w:tcW w:w="6237" w:type="dxa"/>
            <w:tcBorders>
              <w:top w:val="single" w:color="auto" w:sz="4" w:space="0"/>
              <w:left w:val="single" w:color="auto" w:sz="4" w:space="0"/>
              <w:bottom w:val="single" w:color="auto" w:sz="4" w:space="0"/>
              <w:right w:val="single" w:color="auto" w:sz="4" w:space="0"/>
            </w:tcBorders>
            <w:vAlign w:val="center"/>
          </w:tcPr>
          <w:p w14:paraId="78E2C3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病死畜禽尸体要及时处理，严禁随意丢弃，严禁出售或作为饲料再利用。</w:t>
            </w:r>
          </w:p>
        </w:tc>
        <w:tc>
          <w:tcPr>
            <w:tcW w:w="5386" w:type="dxa"/>
            <w:tcBorders>
              <w:top w:val="single" w:color="auto" w:sz="4" w:space="0"/>
              <w:left w:val="single" w:color="auto" w:sz="4" w:space="0"/>
              <w:bottom w:val="single" w:color="auto" w:sz="4" w:space="0"/>
              <w:right w:val="single" w:color="auto" w:sz="4" w:space="0"/>
            </w:tcBorders>
            <w:vAlign w:val="center"/>
          </w:tcPr>
          <w:p w14:paraId="45D7FA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项目病死畜禽尸体不随意丢弃，不出售或作为饲料再利用，产生后及时交由巴彦淖尔市绿之源生物技术发展有限公司进行无害化处理</w:t>
            </w:r>
            <w:r>
              <w:rPr>
                <w:rFonts w:hint="default" w:ascii="Times New Roman" w:hAnsi="Times New Roman" w:eastAsia="宋体" w:cs="Times New Roman"/>
                <w:color w:val="auto"/>
                <w:sz w:val="21"/>
                <w:szCs w:val="21"/>
                <w:highlight w:val="none"/>
                <w:lang w:eastAsia="zh-CN"/>
              </w:rPr>
              <w:t>。</w:t>
            </w:r>
          </w:p>
        </w:tc>
        <w:tc>
          <w:tcPr>
            <w:tcW w:w="673" w:type="dxa"/>
            <w:tcBorders>
              <w:top w:val="single" w:color="auto" w:sz="4" w:space="0"/>
              <w:left w:val="single" w:color="auto" w:sz="4" w:space="0"/>
              <w:bottom w:val="single" w:color="auto" w:sz="4" w:space="0"/>
              <w:right w:val="single" w:color="auto" w:sz="4" w:space="0"/>
            </w:tcBorders>
            <w:vAlign w:val="center"/>
          </w:tcPr>
          <w:p w14:paraId="5583E4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B2EE2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5DA046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579E4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w:t>
            </w:r>
          </w:p>
        </w:tc>
        <w:tc>
          <w:tcPr>
            <w:tcW w:w="6237" w:type="dxa"/>
            <w:tcBorders>
              <w:top w:val="single" w:color="auto" w:sz="4" w:space="0"/>
              <w:left w:val="single" w:color="auto" w:sz="4" w:space="0"/>
              <w:bottom w:val="single" w:color="auto" w:sz="4" w:space="0"/>
              <w:right w:val="single" w:color="auto" w:sz="4" w:space="0"/>
            </w:tcBorders>
            <w:vAlign w:val="center"/>
          </w:tcPr>
          <w:p w14:paraId="38F87B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养殖场防疫、化验等产生的危险废水和固体废弃物应按国家的有关规定进行处理。</w:t>
            </w:r>
          </w:p>
        </w:tc>
        <w:tc>
          <w:tcPr>
            <w:tcW w:w="5386" w:type="dxa"/>
            <w:tcBorders>
              <w:top w:val="single" w:color="auto" w:sz="4" w:space="0"/>
              <w:left w:val="single" w:color="auto" w:sz="4" w:space="0"/>
              <w:bottom w:val="single" w:color="auto" w:sz="4" w:space="0"/>
              <w:right w:val="single" w:color="auto" w:sz="4" w:space="0"/>
            </w:tcBorders>
            <w:vAlign w:val="center"/>
          </w:tcPr>
          <w:p w14:paraId="35CB81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项目场址内设</w:t>
            </w:r>
            <w:r>
              <w:rPr>
                <w:rFonts w:hint="default" w:ascii="Times New Roman" w:hAnsi="Times New Roman" w:eastAsia="宋体" w:cs="Times New Roman"/>
                <w:color w:val="auto"/>
                <w:sz w:val="21"/>
                <w:szCs w:val="21"/>
                <w:highlight w:val="none"/>
                <w:lang w:eastAsia="zh-CN"/>
              </w:rPr>
              <w:t>有</w:t>
            </w:r>
            <w:r>
              <w:rPr>
                <w:rFonts w:hint="default" w:ascii="Times New Roman" w:hAnsi="Times New Roman" w:eastAsia="宋体" w:cs="Times New Roman"/>
                <w:color w:val="auto"/>
                <w:sz w:val="21"/>
                <w:szCs w:val="21"/>
                <w:highlight w:val="none"/>
              </w:rPr>
              <w:t>危废暂存间，产生的</w:t>
            </w:r>
            <w:r>
              <w:rPr>
                <w:rFonts w:hint="default" w:ascii="Times New Roman" w:hAnsi="Times New Roman" w:eastAsia="宋体" w:cs="Times New Roman"/>
                <w:color w:val="auto"/>
                <w:sz w:val="21"/>
                <w:szCs w:val="21"/>
                <w:highlight w:val="none"/>
                <w:lang w:eastAsia="zh-CN"/>
              </w:rPr>
              <w:t>医疗垃圾</w:t>
            </w:r>
            <w:r>
              <w:rPr>
                <w:rFonts w:hint="default" w:ascii="Times New Roman" w:hAnsi="Times New Roman" w:eastAsia="宋体" w:cs="Times New Roman"/>
                <w:color w:val="auto"/>
                <w:sz w:val="21"/>
                <w:szCs w:val="21"/>
                <w:highlight w:val="none"/>
              </w:rPr>
              <w:t>暂存后</w:t>
            </w:r>
            <w:r>
              <w:rPr>
                <w:rFonts w:hint="default" w:ascii="Times New Roman" w:hAnsi="Times New Roman" w:eastAsia="宋体" w:cs="Times New Roman"/>
                <w:color w:val="auto"/>
                <w:sz w:val="21"/>
                <w:szCs w:val="21"/>
                <w:highlight w:val="none"/>
                <w:lang w:val="en-US" w:eastAsia="zh-CN"/>
              </w:rPr>
              <w:t>委托</w:t>
            </w:r>
            <w:r>
              <w:rPr>
                <w:rFonts w:hint="default" w:ascii="Times New Roman" w:hAnsi="Times New Roman" w:eastAsia="宋体" w:cs="Times New Roman"/>
                <w:color w:val="auto"/>
                <w:sz w:val="21"/>
                <w:szCs w:val="21"/>
                <w:highlight w:val="none"/>
              </w:rPr>
              <w:t>有资质单位处理，养殖场不单独处理该类固体废物。</w:t>
            </w:r>
          </w:p>
        </w:tc>
        <w:tc>
          <w:tcPr>
            <w:tcW w:w="673" w:type="dxa"/>
            <w:tcBorders>
              <w:top w:val="single" w:color="auto" w:sz="4" w:space="0"/>
              <w:left w:val="single" w:color="auto" w:sz="4" w:space="0"/>
              <w:bottom w:val="single" w:color="auto" w:sz="4" w:space="0"/>
              <w:right w:val="single" w:color="auto" w:sz="4" w:space="0"/>
            </w:tcBorders>
            <w:vAlign w:val="center"/>
          </w:tcPr>
          <w:p w14:paraId="5AEF8A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B0831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restart"/>
            <w:tcBorders>
              <w:top w:val="single" w:color="auto" w:sz="4" w:space="0"/>
              <w:left w:val="single" w:color="auto" w:sz="4" w:space="0"/>
              <w:bottom w:val="single" w:color="auto" w:sz="4" w:space="0"/>
              <w:right w:val="single" w:color="auto" w:sz="4" w:space="0"/>
            </w:tcBorders>
            <w:vAlign w:val="center"/>
          </w:tcPr>
          <w:p w14:paraId="68F6FC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《畜禽规模化养殖场资源化利用设施建设规范（试行）》（农办牧</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2号）</w:t>
            </w:r>
          </w:p>
        </w:tc>
        <w:tc>
          <w:tcPr>
            <w:tcW w:w="6237" w:type="dxa"/>
            <w:tcBorders>
              <w:top w:val="single" w:color="auto" w:sz="4" w:space="0"/>
              <w:left w:val="single" w:color="auto" w:sz="4" w:space="0"/>
              <w:bottom w:val="single" w:color="auto" w:sz="4" w:space="0"/>
              <w:right w:val="single" w:color="auto" w:sz="4" w:space="0"/>
            </w:tcBorders>
            <w:vAlign w:val="center"/>
          </w:tcPr>
          <w:p w14:paraId="77AA53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畜禽规模养殖场粪污资源化利用应坚持农牧结合、种养平衡，按照资源化、减量化、无害化的原则，对源头减量、过程控制和末端利用各环节进行全程管理，提高粪污综合利用率和设施装备配套率。</w:t>
            </w:r>
          </w:p>
        </w:tc>
        <w:tc>
          <w:tcPr>
            <w:tcW w:w="5386" w:type="dxa"/>
            <w:tcBorders>
              <w:top w:val="single" w:color="auto" w:sz="4" w:space="0"/>
              <w:left w:val="single" w:color="auto" w:sz="4" w:space="0"/>
              <w:bottom w:val="single" w:color="auto" w:sz="4" w:space="0"/>
              <w:right w:val="single" w:color="auto" w:sz="4" w:space="0"/>
            </w:tcBorders>
            <w:vAlign w:val="center"/>
          </w:tcPr>
          <w:p w14:paraId="06CF63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rPr>
              <w:t>经</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作为有机肥外售还田综合利用。</w:t>
            </w:r>
          </w:p>
        </w:tc>
        <w:tc>
          <w:tcPr>
            <w:tcW w:w="673" w:type="dxa"/>
            <w:tcBorders>
              <w:top w:val="single" w:color="auto" w:sz="4" w:space="0"/>
              <w:left w:val="single" w:color="auto" w:sz="4" w:space="0"/>
              <w:bottom w:val="single" w:color="auto" w:sz="4" w:space="0"/>
              <w:right w:val="single" w:color="auto" w:sz="4" w:space="0"/>
            </w:tcBorders>
            <w:vAlign w:val="center"/>
          </w:tcPr>
          <w:p w14:paraId="24A899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96065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tcBorders>
              <w:top w:val="single" w:color="auto" w:sz="4" w:space="0"/>
              <w:left w:val="single" w:color="auto" w:sz="4" w:space="0"/>
              <w:bottom w:val="single" w:color="auto" w:sz="4" w:space="0"/>
              <w:right w:val="single" w:color="auto" w:sz="4" w:space="0"/>
            </w:tcBorders>
            <w:vAlign w:val="center"/>
          </w:tcPr>
          <w:p w14:paraId="4942A9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4B79D6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畜禽规模养殖场应根据养殖污染防治要求，建设与养殖规模相配套的粪污资源化利用设施设备，并确保正常运行。</w:t>
            </w:r>
          </w:p>
        </w:tc>
        <w:tc>
          <w:tcPr>
            <w:tcW w:w="5386" w:type="dxa"/>
            <w:tcBorders>
              <w:top w:val="single" w:color="auto" w:sz="4" w:space="0"/>
              <w:left w:val="single" w:color="auto" w:sz="4" w:space="0"/>
              <w:bottom w:val="single" w:color="auto" w:sz="4" w:space="0"/>
              <w:right w:val="single" w:color="auto" w:sz="4" w:space="0"/>
            </w:tcBorders>
            <w:vAlign w:val="center"/>
          </w:tcPr>
          <w:p w14:paraId="1CC873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项目建设了与养殖规模相配套的粪污资源化利用设施设备，主要是</w:t>
            </w:r>
            <w:r>
              <w:rPr>
                <w:rFonts w:hint="default" w:ascii="Times New Roman" w:hAnsi="Times New Roman" w:eastAsia="宋体" w:cs="Times New Roman"/>
                <w:color w:val="auto"/>
                <w:sz w:val="21"/>
                <w:szCs w:val="21"/>
                <w:highlight w:val="none"/>
                <w:lang w:eastAsia="zh-CN"/>
              </w:rPr>
              <w:t>堆肥场，可</w:t>
            </w:r>
            <w:r>
              <w:rPr>
                <w:rFonts w:hint="default" w:ascii="Times New Roman" w:hAnsi="Times New Roman" w:eastAsia="宋体" w:cs="Times New Roman"/>
                <w:color w:val="auto"/>
                <w:sz w:val="21"/>
                <w:szCs w:val="21"/>
                <w:highlight w:val="none"/>
              </w:rPr>
              <w:t>正常运行。</w:t>
            </w:r>
          </w:p>
        </w:tc>
        <w:tc>
          <w:tcPr>
            <w:tcW w:w="673" w:type="dxa"/>
            <w:tcBorders>
              <w:top w:val="single" w:color="auto" w:sz="4" w:space="0"/>
              <w:left w:val="single" w:color="auto" w:sz="4" w:space="0"/>
              <w:bottom w:val="single" w:color="auto" w:sz="4" w:space="0"/>
              <w:right w:val="single" w:color="auto" w:sz="4" w:space="0"/>
            </w:tcBorders>
            <w:vAlign w:val="center"/>
          </w:tcPr>
          <w:p w14:paraId="2D5261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16181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tcBorders>
              <w:top w:val="single" w:color="auto" w:sz="4" w:space="0"/>
              <w:left w:val="single" w:color="auto" w:sz="4" w:space="0"/>
              <w:bottom w:val="single" w:color="auto" w:sz="4" w:space="0"/>
              <w:right w:val="single" w:color="auto" w:sz="4" w:space="0"/>
            </w:tcBorders>
            <w:vAlign w:val="center"/>
          </w:tcPr>
          <w:p w14:paraId="4A4AEA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713660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畜禽规模养殖场应建设雨污分离设施，污水宜采用暗沟或管道输送。</w:t>
            </w:r>
          </w:p>
        </w:tc>
        <w:tc>
          <w:tcPr>
            <w:tcW w:w="5386" w:type="dxa"/>
            <w:tcBorders>
              <w:top w:val="single" w:color="auto" w:sz="4" w:space="0"/>
              <w:left w:val="single" w:color="auto" w:sz="4" w:space="0"/>
              <w:bottom w:val="single" w:color="auto" w:sz="4" w:space="0"/>
              <w:right w:val="single" w:color="auto" w:sz="4" w:space="0"/>
            </w:tcBorders>
            <w:vAlign w:val="center"/>
          </w:tcPr>
          <w:p w14:paraId="3C6F92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养殖废水主要为羊圈内收集的羊尿液，本项目为肉羊养殖场项目，</w:t>
            </w:r>
            <w:r>
              <w:rPr>
                <w:rFonts w:hint="default" w:ascii="Times New Roman" w:hAnsi="Times New Roman" w:eastAsia="宋体" w:cs="Times New Roman"/>
                <w:color w:val="auto"/>
                <w:sz w:val="21"/>
                <w:szCs w:val="21"/>
                <w:highlight w:val="none"/>
                <w:lang w:eastAsia="zh-CN"/>
              </w:rPr>
              <w:t>羊粪便含水率较低，在养殖区排放的尿液大部分由于当地气候干燥蒸发，剩余尿液与粪便完全黏结混合在一起，一起运往堆肥场储存并堆肥，因此，没有尿液排放</w:t>
            </w:r>
            <w:r>
              <w:rPr>
                <w:rFonts w:hint="default" w:ascii="Times New Roman" w:hAnsi="Times New Roman" w:eastAsia="宋体" w:cs="Times New Roman"/>
                <w:color w:val="auto"/>
                <w:sz w:val="21"/>
                <w:szCs w:val="21"/>
                <w:highlight w:val="none"/>
                <w:lang w:eastAsia="zh-CN"/>
              </w:rPr>
              <w:t>。</w:t>
            </w:r>
          </w:p>
          <w:p w14:paraId="6CCF13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养殖区场地不采取水冲洗方式清理，采用消毒水每周喷洒消毒2～3次，因此，养殖区不产生冲洗废水。</w:t>
            </w:r>
          </w:p>
        </w:tc>
        <w:tc>
          <w:tcPr>
            <w:tcW w:w="673" w:type="dxa"/>
            <w:tcBorders>
              <w:top w:val="single" w:color="auto" w:sz="4" w:space="0"/>
              <w:left w:val="single" w:color="auto" w:sz="4" w:space="0"/>
              <w:bottom w:val="single" w:color="auto" w:sz="4" w:space="0"/>
              <w:right w:val="single" w:color="auto" w:sz="4" w:space="0"/>
            </w:tcBorders>
            <w:vAlign w:val="center"/>
          </w:tcPr>
          <w:p w14:paraId="21822D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71AD12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tcBorders>
              <w:top w:val="single" w:color="auto" w:sz="4" w:space="0"/>
              <w:left w:val="single" w:color="auto" w:sz="4" w:space="0"/>
              <w:bottom w:val="single" w:color="auto" w:sz="4" w:space="0"/>
              <w:right w:val="single" w:color="auto" w:sz="4" w:space="0"/>
            </w:tcBorders>
            <w:vAlign w:val="center"/>
          </w:tcPr>
          <w:p w14:paraId="300422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1B6078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畜禽规模养殖场宜采用干清粪工艺。采用水泡粪工艺的，要控制用水量，减少粪污产生总量。鼓励水冲粪工艺改造为干清粪或水泡粪。不同畜种不同清粪工艺最高允许排水量按照GB18596执行。</w:t>
            </w:r>
          </w:p>
        </w:tc>
        <w:tc>
          <w:tcPr>
            <w:tcW w:w="5386" w:type="dxa"/>
            <w:tcBorders>
              <w:top w:val="single" w:color="auto" w:sz="4" w:space="0"/>
              <w:left w:val="single" w:color="auto" w:sz="4" w:space="0"/>
              <w:bottom w:val="single" w:color="auto" w:sz="4" w:space="0"/>
              <w:right w:val="single" w:color="auto" w:sz="4" w:space="0"/>
            </w:tcBorders>
            <w:vAlign w:val="center"/>
          </w:tcPr>
          <w:p w14:paraId="4CC88F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项目采用干清粪工艺；</w:t>
            </w: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rPr>
              <w:t>经</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作为有机肥外售还田综合利用。</w:t>
            </w:r>
          </w:p>
        </w:tc>
        <w:tc>
          <w:tcPr>
            <w:tcW w:w="673" w:type="dxa"/>
            <w:tcBorders>
              <w:top w:val="single" w:color="auto" w:sz="4" w:space="0"/>
              <w:left w:val="single" w:color="auto" w:sz="4" w:space="0"/>
              <w:bottom w:val="single" w:color="auto" w:sz="4" w:space="0"/>
              <w:right w:val="single" w:color="auto" w:sz="4" w:space="0"/>
            </w:tcBorders>
            <w:vAlign w:val="center"/>
          </w:tcPr>
          <w:p w14:paraId="157667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55971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tcBorders>
              <w:top w:val="single" w:color="auto" w:sz="4" w:space="0"/>
              <w:left w:val="single" w:color="auto" w:sz="4" w:space="0"/>
              <w:bottom w:val="single" w:color="auto" w:sz="4" w:space="0"/>
              <w:right w:val="single" w:color="auto" w:sz="4" w:space="0"/>
            </w:tcBorders>
            <w:vAlign w:val="center"/>
          </w:tcPr>
          <w:p w14:paraId="6A0753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237" w:type="dxa"/>
            <w:tcBorders>
              <w:top w:val="single" w:color="auto" w:sz="4" w:space="0"/>
              <w:left w:val="single" w:color="auto" w:sz="4" w:space="0"/>
              <w:bottom w:val="single" w:color="auto" w:sz="4" w:space="0"/>
              <w:right w:val="single" w:color="auto" w:sz="4" w:space="0"/>
            </w:tcBorders>
            <w:vAlign w:val="center"/>
          </w:tcPr>
          <w:p w14:paraId="618049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畜禽规模养殖场应及时对粪污进行收集、贮存，粪污暂存池（场）应满足防渗、防雨、防溢流等要求。固体粪便暂存池（场）的设计按照GB/T27622执行。污水暂存池的设计按照GB/T26624执行。</w:t>
            </w:r>
          </w:p>
        </w:tc>
        <w:tc>
          <w:tcPr>
            <w:tcW w:w="5386" w:type="dxa"/>
            <w:tcBorders>
              <w:top w:val="single" w:color="auto" w:sz="4" w:space="0"/>
              <w:left w:val="single" w:color="auto" w:sz="4" w:space="0"/>
              <w:bottom w:val="single" w:color="auto" w:sz="4" w:space="0"/>
              <w:right w:val="single" w:color="auto" w:sz="4" w:space="0"/>
            </w:tcBorders>
            <w:vAlign w:val="center"/>
          </w:tcPr>
          <w:p w14:paraId="1D9A16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本项目建设的</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，采用了防雨、防渗、防溢流措施，设计均符合GB/T27622和GB/T26624相关要求。</w:t>
            </w:r>
          </w:p>
        </w:tc>
        <w:tc>
          <w:tcPr>
            <w:tcW w:w="673" w:type="dxa"/>
            <w:tcBorders>
              <w:top w:val="single" w:color="auto" w:sz="4" w:space="0"/>
              <w:left w:val="single" w:color="auto" w:sz="4" w:space="0"/>
              <w:bottom w:val="single" w:color="auto" w:sz="4" w:space="0"/>
              <w:right w:val="single" w:color="auto" w:sz="4" w:space="0"/>
            </w:tcBorders>
            <w:vAlign w:val="center"/>
          </w:tcPr>
          <w:p w14:paraId="66DFB9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3232A83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26CDF2D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0970262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7C0BC13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outlineLvl w:val="2"/>
        <w:rPr>
          <w:rFonts w:hint="default" w:ascii="Times New Roman" w:hAnsi="Times New Roman" w:eastAsia="宋体" w:cs="Times New Roman"/>
          <w:color w:val="auto"/>
          <w:sz w:val="24"/>
          <w:szCs w:val="24"/>
          <w:highlight w:val="none"/>
        </w:rPr>
      </w:pPr>
      <w:bookmarkStart w:id="225" w:name="_Toc26501"/>
      <w:bookmarkStart w:id="226" w:name="_Toc18311"/>
      <w:bookmarkStart w:id="227" w:name="_Toc26146"/>
      <w:bookmarkStart w:id="228" w:name="_Toc30695"/>
      <w:r>
        <w:rPr>
          <w:rFonts w:hint="default" w:ascii="Times New Roman" w:hAnsi="Times New Roman" w:eastAsia="宋体" w:cs="Times New Roman"/>
          <w:color w:val="auto"/>
          <w:sz w:val="24"/>
          <w:szCs w:val="24"/>
          <w:highlight w:val="none"/>
        </w:rPr>
        <w:t>表2.7-3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本项目与相关政策的符合性分析</w:t>
      </w:r>
      <w:bookmarkEnd w:id="225"/>
      <w:bookmarkEnd w:id="226"/>
      <w:bookmarkEnd w:id="227"/>
      <w:bookmarkEnd w:id="228"/>
    </w:p>
    <w:tbl>
      <w:tblPr>
        <w:tblStyle w:val="42"/>
        <w:tblW w:w="13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779"/>
        <w:gridCol w:w="4767"/>
        <w:gridCol w:w="604"/>
      </w:tblGrid>
      <w:tr w14:paraId="13E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Align w:val="center"/>
          </w:tcPr>
          <w:p w14:paraId="5BC81A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相关政策</w:t>
            </w:r>
          </w:p>
        </w:tc>
        <w:tc>
          <w:tcPr>
            <w:tcW w:w="6779" w:type="dxa"/>
            <w:vAlign w:val="center"/>
          </w:tcPr>
          <w:p w14:paraId="3D1393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相关条款及规定</w:t>
            </w:r>
          </w:p>
        </w:tc>
        <w:tc>
          <w:tcPr>
            <w:tcW w:w="4767" w:type="dxa"/>
            <w:vAlign w:val="center"/>
          </w:tcPr>
          <w:p w14:paraId="5B22C4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符合性分析</w:t>
            </w:r>
          </w:p>
        </w:tc>
        <w:tc>
          <w:tcPr>
            <w:tcW w:w="604" w:type="dxa"/>
            <w:vAlign w:val="center"/>
          </w:tcPr>
          <w:p w14:paraId="277225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w:t>
            </w:r>
          </w:p>
          <w:p w14:paraId="388887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情况</w:t>
            </w:r>
          </w:p>
        </w:tc>
      </w:tr>
      <w:tr w14:paraId="65EB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Merge w:val="restart"/>
            <w:vAlign w:val="center"/>
          </w:tcPr>
          <w:p w14:paraId="4470E9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《关于做好畜禽规模养殖项目环境影响评价管理工作的通知》（环办环评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31号）</w:t>
            </w:r>
          </w:p>
        </w:tc>
        <w:tc>
          <w:tcPr>
            <w:tcW w:w="6779" w:type="dxa"/>
            <w:vAlign w:val="center"/>
          </w:tcPr>
          <w:p w14:paraId="599009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4767" w:type="dxa"/>
            <w:vAlign w:val="center"/>
          </w:tcPr>
          <w:p w14:paraId="4B6EBD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项目生活管理区与生产区、</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lang w:val="en-US" w:eastAsia="zh-CN"/>
              </w:rPr>
              <w:t>隔离</w:t>
            </w:r>
            <w:r>
              <w:rPr>
                <w:rFonts w:hint="default" w:ascii="Times New Roman" w:hAnsi="Times New Roman" w:eastAsia="宋体" w:cs="Times New Roman"/>
                <w:color w:val="auto"/>
                <w:sz w:val="21"/>
                <w:szCs w:val="21"/>
                <w:highlight w:val="none"/>
              </w:rPr>
              <w:t>设置</w:t>
            </w:r>
            <w:r>
              <w:rPr>
                <w:rFonts w:hint="default" w:ascii="Times New Roman" w:hAnsi="Times New Roman" w:eastAsia="宋体" w:cs="Times New Roman"/>
                <w:color w:val="auto"/>
                <w:sz w:val="21"/>
                <w:szCs w:val="21"/>
                <w:highlight w:val="none"/>
                <w:lang w:eastAsia="zh-CN"/>
              </w:rPr>
              <w:t>；</w:t>
            </w:r>
          </w:p>
          <w:p w14:paraId="5003A4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FF0000"/>
                <w:sz w:val="21"/>
                <w:szCs w:val="21"/>
                <w:highlight w:val="none"/>
              </w:rPr>
              <w:t>堆肥场位于厂区南侧，该地区年主导风向为ENE风，本项目堆肥场位于养殖区及生活区南侧，属于当地20年主导风向的侧风向</w:t>
            </w:r>
            <w:r>
              <w:rPr>
                <w:rFonts w:hint="default" w:ascii="Times New Roman" w:hAnsi="Times New Roman" w:eastAsia="宋体" w:cs="Times New Roman"/>
                <w:color w:val="auto"/>
                <w:sz w:val="21"/>
                <w:szCs w:val="21"/>
                <w:highlight w:val="none"/>
                <w:lang w:eastAsia="zh-CN"/>
              </w:rPr>
              <w:t>。</w:t>
            </w:r>
          </w:p>
        </w:tc>
        <w:tc>
          <w:tcPr>
            <w:tcW w:w="604" w:type="dxa"/>
            <w:vAlign w:val="center"/>
          </w:tcPr>
          <w:p w14:paraId="491582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8F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Merge w:val="continue"/>
            <w:vAlign w:val="center"/>
          </w:tcPr>
          <w:p w14:paraId="0EB6D8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6779" w:type="dxa"/>
            <w:vAlign w:val="center"/>
          </w:tcPr>
          <w:p w14:paraId="22B481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鼓励采取干清粪方式，采取水泡粪工艺的应最大限度降低用水量。场区应采取雨污分离措施，防止雨水进入粪污收集系统。</w:t>
            </w:r>
          </w:p>
        </w:tc>
        <w:tc>
          <w:tcPr>
            <w:tcW w:w="4767" w:type="dxa"/>
            <w:vAlign w:val="center"/>
          </w:tcPr>
          <w:p w14:paraId="718F73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项目采用干清粪工艺</w:t>
            </w:r>
            <w:r>
              <w:rPr>
                <w:rFonts w:hint="default" w:ascii="Times New Roman" w:hAnsi="Times New Roman" w:eastAsia="宋体" w:cs="Times New Roman"/>
                <w:color w:val="auto"/>
                <w:sz w:val="21"/>
                <w:szCs w:val="21"/>
                <w:highlight w:val="none"/>
                <w:lang w:eastAsia="zh-CN"/>
              </w:rPr>
              <w:t>；</w:t>
            </w:r>
          </w:p>
          <w:p w14:paraId="3C9039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设置挡水墙（坡道）及导流渠</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可防止降雨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的进入。</w:t>
            </w:r>
          </w:p>
        </w:tc>
        <w:tc>
          <w:tcPr>
            <w:tcW w:w="604" w:type="dxa"/>
            <w:vAlign w:val="center"/>
          </w:tcPr>
          <w:p w14:paraId="5C4812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13DD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Merge w:val="continue"/>
            <w:vAlign w:val="center"/>
          </w:tcPr>
          <w:p w14:paraId="13EC81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6779" w:type="dxa"/>
            <w:vAlign w:val="center"/>
          </w:tcPr>
          <w:p w14:paraId="4095C6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采取粪污全量收集还田利用、污水肥料化利用、粪便垫料回用、异位发酵床、粪污专业化能源利用等模式处理利用畜禽粪污，促进畜禽规模养殖项目“种养结合”绿色发展。</w:t>
            </w:r>
          </w:p>
        </w:tc>
        <w:tc>
          <w:tcPr>
            <w:tcW w:w="4767" w:type="dxa"/>
            <w:vAlign w:val="center"/>
          </w:tcPr>
          <w:p w14:paraId="39FFED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项目羊粪便</w:t>
            </w:r>
            <w:r>
              <w:rPr>
                <w:rFonts w:hint="default" w:ascii="Times New Roman" w:hAnsi="Times New Roman" w:eastAsia="宋体" w:cs="Times New Roman"/>
                <w:color w:val="auto"/>
                <w:sz w:val="21"/>
                <w:szCs w:val="21"/>
                <w:highlight w:val="none"/>
              </w:rPr>
              <w:t>经</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作为有机肥外售还田综合利用。</w:t>
            </w:r>
            <w:r>
              <w:rPr>
                <w:rFonts w:hint="default" w:ascii="Times New Roman" w:hAnsi="Times New Roman" w:eastAsia="宋体" w:cs="Times New Roman"/>
                <w:color w:val="auto"/>
                <w:sz w:val="21"/>
                <w:szCs w:val="21"/>
                <w:highlight w:val="none"/>
                <w:lang w:bidi="en-US"/>
              </w:rPr>
              <w:t>项目采用“</w:t>
            </w:r>
            <w:r>
              <w:rPr>
                <w:rFonts w:hint="default" w:ascii="Times New Roman" w:hAnsi="Times New Roman" w:eastAsia="宋体" w:cs="Times New Roman"/>
                <w:color w:val="FF0000"/>
                <w:sz w:val="21"/>
                <w:szCs w:val="21"/>
                <w:highlight w:val="none"/>
                <w:lang w:eastAsia="zh-CN"/>
              </w:rPr>
              <w:t>羊</w:t>
            </w:r>
            <w:r>
              <w:rPr>
                <w:rFonts w:hint="default" w:ascii="Times New Roman" w:hAnsi="Times New Roman" w:eastAsia="宋体" w:cs="Times New Roman"/>
                <w:color w:val="auto"/>
                <w:sz w:val="21"/>
                <w:szCs w:val="21"/>
                <w:highlight w:val="none"/>
                <w:lang w:bidi="en-US"/>
              </w:rPr>
              <w:t>—肥—林</w:t>
            </w:r>
            <w:r>
              <w:rPr>
                <w:rFonts w:hint="default" w:ascii="Times New Roman" w:hAnsi="Times New Roman" w:eastAsia="宋体" w:cs="Times New Roman"/>
                <w:color w:val="auto"/>
                <w:sz w:val="21"/>
                <w:szCs w:val="21"/>
                <w:highlight w:val="none"/>
                <w:lang w:eastAsia="zh-CN" w:bidi="en-US"/>
              </w:rPr>
              <w:t>（</w:t>
            </w:r>
            <w:r>
              <w:rPr>
                <w:rFonts w:hint="default" w:ascii="Times New Roman" w:hAnsi="Times New Roman" w:eastAsia="宋体" w:cs="Times New Roman"/>
                <w:color w:val="auto"/>
                <w:sz w:val="21"/>
                <w:szCs w:val="21"/>
                <w:highlight w:val="none"/>
                <w:lang w:bidi="en-US"/>
              </w:rPr>
              <w:t>田</w:t>
            </w:r>
            <w:r>
              <w:rPr>
                <w:rFonts w:hint="default" w:ascii="Times New Roman" w:hAnsi="Times New Roman" w:eastAsia="宋体" w:cs="Times New Roman"/>
                <w:color w:val="auto"/>
                <w:sz w:val="21"/>
                <w:szCs w:val="21"/>
                <w:highlight w:val="none"/>
                <w:lang w:eastAsia="zh-CN" w:bidi="en-US"/>
              </w:rPr>
              <w:t>）</w:t>
            </w:r>
            <w:r>
              <w:rPr>
                <w:rFonts w:hint="default" w:ascii="Times New Roman" w:hAnsi="Times New Roman" w:eastAsia="宋体" w:cs="Times New Roman"/>
                <w:color w:val="auto"/>
                <w:sz w:val="21"/>
                <w:szCs w:val="21"/>
                <w:highlight w:val="none"/>
                <w:lang w:bidi="en-US"/>
              </w:rPr>
              <w:t>”的生态养殖工艺，产生的粪污全部还田。</w:t>
            </w:r>
          </w:p>
        </w:tc>
        <w:tc>
          <w:tcPr>
            <w:tcW w:w="604" w:type="dxa"/>
            <w:vAlign w:val="center"/>
          </w:tcPr>
          <w:p w14:paraId="3D9415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7AC2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Merge w:val="continue"/>
            <w:vAlign w:val="center"/>
          </w:tcPr>
          <w:p w14:paraId="46A37C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6779" w:type="dxa"/>
            <w:vAlign w:val="center"/>
          </w:tcPr>
          <w:p w14:paraId="3BC176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畜禽规模养殖项目配套建设沼气工程的，应充分考虑沼气制备及贮存过程中的环境风险，制定环境风险防范措施及应急预案。</w:t>
            </w:r>
          </w:p>
        </w:tc>
        <w:tc>
          <w:tcPr>
            <w:tcW w:w="4767" w:type="dxa"/>
            <w:vAlign w:val="center"/>
          </w:tcPr>
          <w:p w14:paraId="3460B4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项目未建设沼气工程。</w:t>
            </w:r>
          </w:p>
        </w:tc>
        <w:tc>
          <w:tcPr>
            <w:tcW w:w="604" w:type="dxa"/>
            <w:vAlign w:val="center"/>
          </w:tcPr>
          <w:p w14:paraId="1604E5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F46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Merge w:val="continue"/>
            <w:vAlign w:val="center"/>
          </w:tcPr>
          <w:p w14:paraId="07285C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6779" w:type="dxa"/>
            <w:vAlign w:val="center"/>
          </w:tcPr>
          <w:p w14:paraId="03ACD2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4767" w:type="dxa"/>
            <w:vAlign w:val="center"/>
          </w:tcPr>
          <w:p w14:paraId="442952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项目产生的</w:t>
            </w:r>
            <w:r>
              <w:rPr>
                <w:rFonts w:hint="default" w:ascii="Times New Roman" w:hAnsi="Times New Roman" w:eastAsia="宋体" w:cs="Times New Roman"/>
                <w:color w:val="auto"/>
                <w:kern w:val="0"/>
                <w:sz w:val="21"/>
                <w:szCs w:val="21"/>
                <w:highlight w:val="none"/>
                <w:lang w:eastAsia="zh-CN"/>
              </w:rPr>
              <w:t>病死羊</w:t>
            </w:r>
            <w:r>
              <w:rPr>
                <w:rFonts w:hint="default" w:ascii="Times New Roman" w:hAnsi="Times New Roman" w:eastAsia="宋体" w:cs="Times New Roman"/>
                <w:color w:val="auto"/>
                <w:kern w:val="0"/>
                <w:sz w:val="21"/>
                <w:szCs w:val="21"/>
                <w:highlight w:val="none"/>
              </w:rPr>
              <w:t>尸体交由巴彦淖尔市绿之源生物技术发展有限公司进行无害化处理；养殖场拟采取</w:t>
            </w:r>
            <w:r>
              <w:rPr>
                <w:rFonts w:hint="default" w:ascii="Times New Roman" w:hAnsi="Times New Roman" w:eastAsia="宋体" w:cs="Times New Roman"/>
                <w:color w:val="auto"/>
                <w:sz w:val="21"/>
                <w:szCs w:val="21"/>
                <w:highlight w:val="none"/>
              </w:rPr>
              <w:t>控制饲养密度、改善舍内通风、及时清粪、定期喷洒除臭剂、集中收集处理等措施，确保项目恶臭污染物达标排放。</w:t>
            </w:r>
          </w:p>
        </w:tc>
        <w:tc>
          <w:tcPr>
            <w:tcW w:w="604" w:type="dxa"/>
            <w:vAlign w:val="center"/>
          </w:tcPr>
          <w:p w14:paraId="05AEF4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BFC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6" w:type="dxa"/>
            <w:vAlign w:val="center"/>
          </w:tcPr>
          <w:p w14:paraId="4AD6EF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《农业农村部办公厅生态环境部办公厅关于印发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畜禽养殖场（户）粪污处理设施建设技术指南</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的通知》（农办牧〔2022〕19号）</w:t>
            </w:r>
          </w:p>
        </w:tc>
        <w:tc>
          <w:tcPr>
            <w:tcW w:w="6779" w:type="dxa"/>
            <w:vAlign w:val="center"/>
          </w:tcPr>
          <w:p w14:paraId="4D082D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2圈舍及运动场粪污减量设施</w:t>
            </w:r>
          </w:p>
          <w:p w14:paraId="287990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户</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宜采用干清粪、水泡粪、地面垫料、床</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下垫料等清粪工艺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逐步淘汰水冲粪工艺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合理控制清粪环节用水量。新建养殖场采用干清粪工艺的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鼓励进行机械干清粪。鼓励畜禽养殖场采用碗式或液位控制等防溢漏饮水器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减少饮水漏水。新建猪、鸡等养殖场宜采取圈舍封闭半封闭管理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鼓励有条件的现有畜禽养殖场开展圈舍封闭改造</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对恶臭气体进行收集处理。</w:t>
            </w:r>
          </w:p>
          <w:p w14:paraId="5F2C9B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畜禽养殖场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户</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应保持合理的清粪频次</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及时收集圈舍和运动场的粪污。鼓励畜禽养殖场做好运动场的防雨、防渗和防溢流</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降低环境污染风险</w:t>
            </w:r>
            <w:r>
              <w:rPr>
                <w:rFonts w:hint="default" w:ascii="Times New Roman" w:hAnsi="Times New Roman" w:eastAsia="宋体" w:cs="Times New Roman"/>
                <w:color w:val="auto"/>
                <w:sz w:val="21"/>
                <w:szCs w:val="21"/>
                <w:highlight w:val="none"/>
                <w:lang w:eastAsia="zh-CN"/>
              </w:rPr>
              <w:t>。</w:t>
            </w:r>
          </w:p>
          <w:p w14:paraId="5B94A5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7固体粪污发酵设施</w:t>
            </w:r>
          </w:p>
          <w:p w14:paraId="5DBD52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户</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可采用堆肥、沤肥、生产垫料等方式处理固体粪污。堆肥宜采用条垛式、强制通风静态垛、槽式、发酵仓、反应器或覆膜堆肥等好氧工艺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根据不同工艺配套必要的混合、输送、搅拌、供氧和除臭等设施设备。沤肥宜采用平地或半坑式糊泥静置等兼氧工艺。生产垫料宜采用密闭式滚筒好氧发酵工艺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配套必要的固液分离、进料、混合、发酵、除臭或智能控制等设施设备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分离出的液体粪污应参照5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5液体粪污贮存发酵设施中的要求进行处理。堆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沤</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肥设施发酵容积不小于单位畜禽固体粪污日产生量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立方米/天·头、只、羽</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×发酵周期</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×设计存栏量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头、只、羽</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确保充分发酵腐熟</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处理后蛔虫卵、粪大肠杆菌、镉、汞、砷、铅、铬、铊和缩二脲等物质应达到《肥料中有毒有害物质的限量要求》。</w:t>
            </w:r>
          </w:p>
        </w:tc>
        <w:tc>
          <w:tcPr>
            <w:tcW w:w="4767" w:type="dxa"/>
            <w:vAlign w:val="center"/>
          </w:tcPr>
          <w:p w14:paraId="2041B8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本项目清粪方式采用干清粪工艺，</w:t>
            </w:r>
            <w:r>
              <w:rPr>
                <w:rFonts w:hint="default" w:ascii="Times New Roman" w:hAnsi="Times New Roman" w:eastAsia="宋体" w:cs="Times New Roman"/>
                <w:color w:val="FF0000"/>
                <w:sz w:val="21"/>
                <w:szCs w:val="21"/>
                <w:highlight w:val="none"/>
                <w:lang w:val="en-US" w:eastAsia="zh-CN"/>
              </w:rPr>
              <w:t>定期</w:t>
            </w:r>
            <w:r>
              <w:rPr>
                <w:rFonts w:hint="default" w:ascii="Times New Roman" w:hAnsi="Times New Roman" w:eastAsia="宋体" w:cs="Times New Roman"/>
                <w:color w:val="auto"/>
                <w:sz w:val="21"/>
                <w:szCs w:val="21"/>
                <w:highlight w:val="none"/>
                <w:lang w:eastAsia="zh-CN"/>
              </w:rPr>
              <w:t>采用清粪车将羊圈内粪污铲出，后由清粪车运至堆肥场储存并堆肥发酵，</w:t>
            </w:r>
            <w:r>
              <w:rPr>
                <w:rFonts w:hint="default" w:ascii="Times New Roman" w:hAnsi="Times New Roman" w:eastAsia="宋体" w:cs="Times New Roman"/>
                <w:color w:val="FF0000"/>
                <w:sz w:val="21"/>
                <w:szCs w:val="21"/>
                <w:highlight w:val="none"/>
                <w:lang w:eastAsia="zh-CN"/>
              </w:rPr>
              <w:t>作为有机肥</w:t>
            </w:r>
            <w:r>
              <w:rPr>
                <w:rFonts w:hint="default" w:ascii="Times New Roman" w:hAnsi="Times New Roman" w:eastAsia="宋体" w:cs="Times New Roman"/>
                <w:color w:val="FF0000"/>
                <w:sz w:val="21"/>
                <w:szCs w:val="21"/>
                <w:highlight w:val="none"/>
                <w:lang w:val="en-US" w:eastAsia="zh-CN"/>
              </w:rPr>
              <w:t>外售</w:t>
            </w:r>
            <w:r>
              <w:rPr>
                <w:rFonts w:hint="default" w:ascii="Times New Roman" w:hAnsi="Times New Roman" w:eastAsia="宋体" w:cs="Times New Roman"/>
                <w:color w:val="FF0000"/>
                <w:sz w:val="21"/>
                <w:szCs w:val="21"/>
                <w:highlight w:val="none"/>
                <w:lang w:eastAsia="zh-CN"/>
              </w:rPr>
              <w:t>还田</w:t>
            </w:r>
            <w:r>
              <w:rPr>
                <w:rFonts w:hint="default" w:ascii="Times New Roman" w:hAnsi="Times New Roman" w:eastAsia="宋体" w:cs="Times New Roman"/>
                <w:color w:val="FF0000"/>
                <w:sz w:val="21"/>
                <w:szCs w:val="21"/>
                <w:highlight w:val="none"/>
                <w:lang w:val="en-US" w:eastAsia="zh-CN"/>
              </w:rPr>
              <w:t>综合</w:t>
            </w:r>
            <w:r>
              <w:rPr>
                <w:rFonts w:hint="default" w:ascii="Times New Roman" w:hAnsi="Times New Roman" w:eastAsia="宋体" w:cs="Times New Roman"/>
                <w:color w:val="FF0000"/>
                <w:sz w:val="21"/>
                <w:szCs w:val="21"/>
                <w:highlight w:val="none"/>
                <w:lang w:eastAsia="zh-CN"/>
              </w:rPr>
              <w:t>利用</w:t>
            </w:r>
            <w:r>
              <w:rPr>
                <w:rFonts w:hint="default" w:ascii="Times New Roman" w:hAnsi="Times New Roman" w:eastAsia="宋体" w:cs="Times New Roman"/>
                <w:color w:val="FF0000"/>
                <w:sz w:val="21"/>
                <w:szCs w:val="21"/>
                <w:highlight w:val="none"/>
                <w:lang w:eastAsia="zh-CN"/>
              </w:rPr>
              <w:t>。</w:t>
            </w:r>
          </w:p>
          <w:p w14:paraId="0EE0BB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根据《畜禽养殖业污染治理工程技术规范》（HJ497-2009），本项目羊粪便的处理采用比较成熟的好氧堆肥发酵制作有机肥工艺。处理流程为预处理、发酵等工段。</w:t>
            </w:r>
          </w:p>
        </w:tc>
        <w:tc>
          <w:tcPr>
            <w:tcW w:w="604" w:type="dxa"/>
            <w:vAlign w:val="center"/>
          </w:tcPr>
          <w:p w14:paraId="7C9599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5A1FC5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45C19C6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083CE61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6C65BDF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综上，本项目属于规模化、标准化</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养殖项目，采用干清粪工艺，</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经</w:t>
      </w:r>
      <w:r>
        <w:rPr>
          <w:rFonts w:hint="default" w:ascii="Times New Roman" w:hAnsi="Times New Roman" w:eastAsia="宋体" w:cs="Times New Roman"/>
          <w:color w:val="auto"/>
          <w:highlight w:val="none"/>
          <w:lang w:eastAsia="zh-CN"/>
        </w:rPr>
        <w:t>堆肥场储存并堆肥</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作为有机肥外售还田综合利用。</w:t>
      </w:r>
      <w:r>
        <w:rPr>
          <w:rFonts w:hint="default" w:ascii="Times New Roman" w:hAnsi="Times New Roman" w:eastAsia="宋体" w:cs="Times New Roman"/>
          <w:color w:val="auto"/>
          <w:highlight w:val="none"/>
        </w:rPr>
        <w:t>均</w:t>
      </w:r>
      <w:r>
        <w:rPr>
          <w:rFonts w:hint="default" w:ascii="Times New Roman" w:hAnsi="Times New Roman" w:eastAsia="宋体" w:cs="Times New Roman"/>
          <w:color w:val="auto"/>
          <w:highlight w:val="none"/>
          <w:lang w:eastAsia="zh-CN"/>
        </w:rPr>
        <w:t>无害化处理后还田综合利用</w:t>
      </w:r>
      <w:r>
        <w:rPr>
          <w:rFonts w:hint="default" w:ascii="Times New Roman" w:hAnsi="Times New Roman" w:eastAsia="宋体" w:cs="Times New Roman"/>
          <w:color w:val="auto"/>
          <w:highlight w:val="none"/>
        </w:rPr>
        <w:t>，畜禽粪便综合利用率达100%；本项目的建设符合相关规划及政策的导向要求。</w:t>
      </w:r>
    </w:p>
    <w:p w14:paraId="420E0825">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29" w:name="_Toc31002"/>
      <w:r>
        <w:rPr>
          <w:rFonts w:hint="default" w:ascii="Times New Roman" w:hAnsi="Times New Roman" w:eastAsia="宋体" w:cs="Times New Roman"/>
          <w:color w:val="auto"/>
          <w:highlight w:val="none"/>
        </w:rPr>
        <w:t>2.7.</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选址合理性分析</w:t>
      </w:r>
      <w:bookmarkEnd w:id="229"/>
    </w:p>
    <w:p w14:paraId="33F31F7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（1）用地符合性分析</w:t>
      </w:r>
    </w:p>
    <w:p w14:paraId="7AD2190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14:paraId="020B225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本项目的建设地点为</w:t>
      </w:r>
      <w:r>
        <w:rPr>
          <w:rFonts w:hint="default" w:ascii="Times New Roman" w:hAnsi="Times New Roman" w:eastAsia="宋体" w:cs="Times New Roman"/>
          <w:color w:val="auto"/>
          <w:highlight w:val="none"/>
          <w:lang w:eastAsia="zh-CN"/>
        </w:rPr>
        <w:t>内蒙古自治区巴彦淖尔市五原县胜丰镇新丰村三社</w:t>
      </w:r>
      <w:r>
        <w:rPr>
          <w:rFonts w:hint="default" w:ascii="Times New Roman" w:hAnsi="Times New Roman" w:eastAsia="宋体" w:cs="Times New Roman"/>
          <w:color w:val="auto"/>
          <w:highlight w:val="none"/>
        </w:rPr>
        <w:t>，项目不占用基本农田</w:t>
      </w:r>
      <w:r>
        <w:rPr>
          <w:rFonts w:hint="default" w:ascii="Times New Roman" w:hAnsi="Times New Roman" w:eastAsia="宋体" w:cs="Times New Roman"/>
          <w:color w:val="auto"/>
          <w:highlight w:val="none"/>
          <w:lang w:eastAsia="zh-CN"/>
        </w:rPr>
        <w:t>、林地等</w:t>
      </w:r>
      <w:r>
        <w:rPr>
          <w:rFonts w:hint="default" w:ascii="Times New Roman" w:hAnsi="Times New Roman" w:eastAsia="宋体" w:cs="Times New Roman"/>
          <w:color w:val="auto"/>
          <w:highlight w:val="none"/>
        </w:rPr>
        <w:t>，本项目用地符合当地的土地利用规划。</w:t>
      </w:r>
    </w:p>
    <w:p w14:paraId="28292C5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（2）场址选择合理性分析</w:t>
      </w:r>
    </w:p>
    <w:p w14:paraId="58937C9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r>
        <w:rPr>
          <w:rFonts w:hint="default" w:ascii="Times New Roman" w:hAnsi="Times New Roman" w:eastAsia="宋体" w:cs="Times New Roman"/>
          <w:color w:val="auto"/>
          <w:highlight w:val="none"/>
        </w:rPr>
        <w:t>项目与《畜禽养殖业污染防治条例</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畜禽养殖业污染防治技术规范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关于做好畜禽规模养殖项目环境影响评价管理工作的通知》等法律法规和行业规范要求中规定符合性分析见下表。</w:t>
      </w:r>
    </w:p>
    <w:p w14:paraId="3A4F8BB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表2.7-</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项目选址合理性对照表</w:t>
      </w:r>
    </w:p>
    <w:tbl>
      <w:tblPr>
        <w:tblStyle w:val="42"/>
        <w:tblW w:w="1360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984"/>
        <w:gridCol w:w="6823"/>
        <w:gridCol w:w="4155"/>
        <w:gridCol w:w="644"/>
      </w:tblGrid>
      <w:tr w14:paraId="5090A1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3A0F63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6823" w:type="dxa"/>
            <w:tcBorders>
              <w:top w:val="single" w:color="auto" w:sz="4" w:space="0"/>
              <w:left w:val="single" w:color="auto" w:sz="4" w:space="0"/>
              <w:bottom w:val="single" w:color="auto" w:sz="4" w:space="0"/>
              <w:right w:val="single" w:color="auto" w:sz="4" w:space="0"/>
            </w:tcBorders>
            <w:vAlign w:val="center"/>
          </w:tcPr>
          <w:p w14:paraId="2C657F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相关条文</w:t>
            </w:r>
          </w:p>
        </w:tc>
        <w:tc>
          <w:tcPr>
            <w:tcW w:w="4155" w:type="dxa"/>
            <w:tcBorders>
              <w:top w:val="single" w:color="auto" w:sz="4" w:space="0"/>
              <w:left w:val="single" w:color="auto" w:sz="4" w:space="0"/>
              <w:bottom w:val="single" w:color="auto" w:sz="4" w:space="0"/>
              <w:right w:val="single" w:color="auto" w:sz="4" w:space="0"/>
            </w:tcBorders>
            <w:vAlign w:val="center"/>
          </w:tcPr>
          <w:p w14:paraId="1CF841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项目情况</w:t>
            </w:r>
          </w:p>
        </w:tc>
        <w:tc>
          <w:tcPr>
            <w:tcW w:w="644" w:type="dxa"/>
            <w:tcBorders>
              <w:top w:val="single" w:color="auto" w:sz="4" w:space="0"/>
              <w:left w:val="single" w:color="auto" w:sz="4" w:space="0"/>
              <w:bottom w:val="single" w:color="auto" w:sz="4" w:space="0"/>
              <w:right w:val="single" w:color="auto" w:sz="4" w:space="0"/>
            </w:tcBorders>
            <w:vAlign w:val="center"/>
          </w:tcPr>
          <w:p w14:paraId="46BBBC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w:t>
            </w:r>
          </w:p>
          <w:p w14:paraId="6DA1C6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情况</w:t>
            </w:r>
          </w:p>
        </w:tc>
      </w:tr>
      <w:tr w14:paraId="5969CA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0486C7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《畜禽规模养殖污染防治条例》（国务院令第643号，2014年1月1日施行）</w:t>
            </w:r>
          </w:p>
        </w:tc>
        <w:tc>
          <w:tcPr>
            <w:tcW w:w="6823" w:type="dxa"/>
            <w:tcBorders>
              <w:top w:val="single" w:color="auto" w:sz="4" w:space="0"/>
              <w:left w:val="single" w:color="auto" w:sz="4" w:space="0"/>
              <w:bottom w:val="single" w:color="auto" w:sz="4" w:space="0"/>
              <w:right w:val="single" w:color="auto" w:sz="4" w:space="0"/>
            </w:tcBorders>
            <w:vAlign w:val="center"/>
          </w:tcPr>
          <w:p w14:paraId="5D773A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第十一条禁止在下列区域内建设畜禽养殖场、养殖小区：</w:t>
            </w:r>
          </w:p>
          <w:p w14:paraId="0EC9D1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（一）饮用水水源保护区、风景名胜区；</w:t>
            </w:r>
          </w:p>
          <w:p w14:paraId="6C47EE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（二）自然保护区的核心区和缓冲区；</w:t>
            </w:r>
          </w:p>
          <w:p w14:paraId="6C43FF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（三）城镇居民区、文化教育科学研究区等人口集中区域；</w:t>
            </w:r>
          </w:p>
          <w:p w14:paraId="5F2412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（四）法律、法规规定的其他禁止养殖区域。</w:t>
            </w:r>
          </w:p>
        </w:tc>
        <w:tc>
          <w:tcPr>
            <w:tcW w:w="4155" w:type="dxa"/>
            <w:tcBorders>
              <w:top w:val="single" w:color="auto" w:sz="4" w:space="0"/>
              <w:left w:val="single" w:color="auto" w:sz="4" w:space="0"/>
              <w:bottom w:val="single" w:color="auto" w:sz="4" w:space="0"/>
              <w:right w:val="single" w:color="auto" w:sz="4" w:space="0"/>
            </w:tcBorders>
            <w:vAlign w:val="center"/>
          </w:tcPr>
          <w:p w14:paraId="692472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本项目不在饮用水水源保护区、风景名胜区、自然保护区的核心区和缓冲区，不在城镇居民区、文化教育科学研究区等人口集中区域，不在法律、法规规定的其他禁止养殖区域。</w:t>
            </w:r>
          </w:p>
        </w:tc>
        <w:tc>
          <w:tcPr>
            <w:tcW w:w="644" w:type="dxa"/>
            <w:tcBorders>
              <w:top w:val="single" w:color="auto" w:sz="4" w:space="0"/>
              <w:left w:val="single" w:color="auto" w:sz="4" w:space="0"/>
              <w:bottom w:val="single" w:color="auto" w:sz="4" w:space="0"/>
              <w:right w:val="single" w:color="auto" w:sz="4" w:space="0"/>
            </w:tcBorders>
            <w:vAlign w:val="center"/>
          </w:tcPr>
          <w:p w14:paraId="37D9C8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99E46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407FBA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《畜禽养殖业污染防治技术规范》（HJ/T81-2001）</w:t>
            </w:r>
          </w:p>
        </w:tc>
        <w:tc>
          <w:tcPr>
            <w:tcW w:w="6823" w:type="dxa"/>
            <w:tcBorders>
              <w:top w:val="single" w:color="auto" w:sz="4" w:space="0"/>
              <w:left w:val="single" w:color="auto" w:sz="4" w:space="0"/>
              <w:bottom w:val="single" w:color="auto" w:sz="4" w:space="0"/>
              <w:right w:val="single" w:color="auto" w:sz="4" w:space="0"/>
            </w:tcBorders>
            <w:vAlign w:val="center"/>
          </w:tcPr>
          <w:p w14:paraId="7CD0D4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3选址要求</w:t>
            </w:r>
          </w:p>
          <w:p w14:paraId="5AD464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3.1禁止在下列区域内建设畜禽养殖场：</w:t>
            </w:r>
          </w:p>
          <w:p w14:paraId="718242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3.1.1生活饮用水水源保护区、风景名胜区、自然保护区的核心区及缓冲区；</w:t>
            </w:r>
          </w:p>
          <w:p w14:paraId="1A5215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3.1.2城市和城镇居民区，包括文教科研区、医疗区、商业区、工业区、游览区等人口集中地区；</w:t>
            </w:r>
          </w:p>
          <w:p w14:paraId="79437F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3.1.3县级人民政府划定的禁养区域；</w:t>
            </w:r>
          </w:p>
          <w:p w14:paraId="5B1144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3.1.4国家或地方法律、法规规定需特殊保护的其他区域。</w:t>
            </w:r>
          </w:p>
          <w:p w14:paraId="014960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3.2新建、扩建、改建的畜禽养殖场应避开3.1规定的禁建区域，在禁建区域附近建设的，应设在3.1规定的禁建区域常年主导风向的下风向或侧风向处，场界与禁建区域边界的最小距离不得小于500m。</w:t>
            </w:r>
          </w:p>
          <w:p w14:paraId="7E1F20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5畜禽粪便的贮存</w:t>
            </w:r>
          </w:p>
          <w:p w14:paraId="7ED403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5.2贮存设施的位置必须远离各种功能地表水体（距离不得小于400m），并应设在其下风向或侧风向处。</w:t>
            </w:r>
          </w:p>
        </w:tc>
        <w:tc>
          <w:tcPr>
            <w:tcW w:w="4155" w:type="dxa"/>
            <w:tcBorders>
              <w:top w:val="single" w:color="auto" w:sz="4" w:space="0"/>
              <w:left w:val="single" w:color="auto" w:sz="4" w:space="0"/>
              <w:bottom w:val="single" w:color="auto" w:sz="4" w:space="0"/>
              <w:right w:val="single" w:color="auto" w:sz="4" w:space="0"/>
            </w:tcBorders>
            <w:vAlign w:val="center"/>
          </w:tcPr>
          <w:p w14:paraId="458055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①项目不在生活饮用水水源保护区、风景名胜区、自然保护区的核心区和缓冲区；</w:t>
            </w:r>
          </w:p>
          <w:p w14:paraId="1599A5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②项目位于农村地区，不在城市和城镇居民区，包括文教科研区、医疗区、商业区、工业区等人口集中地区；</w:t>
            </w:r>
          </w:p>
          <w:p w14:paraId="4BCCDE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③项目所在区域无县级人民政府划定的禁养区域；</w:t>
            </w:r>
          </w:p>
          <w:p w14:paraId="635637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④项目所在区域无国家或地方法律、法规规定需特殊保护</w:t>
            </w:r>
            <w:r>
              <w:rPr>
                <w:rFonts w:hint="default" w:ascii="Times New Roman" w:hAnsi="Times New Roman" w:eastAsia="宋体" w:cs="Times New Roman"/>
                <w:color w:val="auto"/>
                <w:sz w:val="21"/>
                <w:szCs w:val="21"/>
                <w:highlight w:val="none"/>
                <w:lang w:eastAsia="zh-CN"/>
              </w:rPr>
              <w:t>的其他</w:t>
            </w:r>
            <w:r>
              <w:rPr>
                <w:rFonts w:hint="default" w:ascii="Times New Roman" w:hAnsi="Times New Roman" w:eastAsia="宋体" w:cs="Times New Roman"/>
                <w:color w:val="auto"/>
                <w:sz w:val="21"/>
                <w:szCs w:val="21"/>
                <w:highlight w:val="none"/>
              </w:rPr>
              <w:t>区域。</w:t>
            </w:r>
          </w:p>
          <w:p w14:paraId="3DCCB0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FF0000"/>
                <w:sz w:val="21"/>
                <w:szCs w:val="21"/>
                <w:highlight w:val="none"/>
              </w:rPr>
              <w:t>⑤堆肥场位于厂区南侧，该地区年主导风向为ENE风，本项目堆肥场位于养殖区及生活区南侧，属于当地20年主导风向的侧风向</w:t>
            </w:r>
            <w:r>
              <w:rPr>
                <w:rFonts w:hint="default" w:ascii="Times New Roman" w:hAnsi="Times New Roman" w:eastAsia="宋体" w:cs="Times New Roman"/>
                <w:color w:val="FF0000"/>
                <w:sz w:val="21"/>
                <w:szCs w:val="21"/>
                <w:highlight w:val="none"/>
                <w:lang w:val="en-US" w:eastAsia="zh-CN"/>
              </w:rPr>
              <w:t>。</w:t>
            </w:r>
          </w:p>
        </w:tc>
        <w:tc>
          <w:tcPr>
            <w:tcW w:w="644" w:type="dxa"/>
            <w:tcBorders>
              <w:top w:val="single" w:color="auto" w:sz="4" w:space="0"/>
              <w:left w:val="single" w:color="auto" w:sz="4" w:space="0"/>
              <w:bottom w:val="single" w:color="auto" w:sz="4" w:space="0"/>
              <w:right w:val="single" w:color="auto" w:sz="4" w:space="0"/>
            </w:tcBorders>
            <w:vAlign w:val="center"/>
          </w:tcPr>
          <w:p w14:paraId="7115B3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6743C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3B408C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《畜禽场区设计技术规范》（NY/T682-2003）</w:t>
            </w:r>
          </w:p>
        </w:tc>
        <w:tc>
          <w:tcPr>
            <w:tcW w:w="6823" w:type="dxa"/>
            <w:tcBorders>
              <w:top w:val="single" w:color="auto" w:sz="4" w:space="0"/>
              <w:left w:val="single" w:color="auto" w:sz="4" w:space="0"/>
              <w:bottom w:val="single" w:color="auto" w:sz="4" w:space="0"/>
              <w:right w:val="single" w:color="auto" w:sz="4" w:space="0"/>
            </w:tcBorders>
            <w:vAlign w:val="center"/>
          </w:tcPr>
          <w:p w14:paraId="74CE80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4.1场址选择</w:t>
            </w:r>
          </w:p>
          <w:p w14:paraId="479E35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4.1.1选择场址应符合本地区农牧业生产发展总体规划、土地利用发展规划、城乡建设发展规划和环境保护规划的要求。</w:t>
            </w:r>
          </w:p>
          <w:p w14:paraId="0595AC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4.1.2新建场址周围应具备就地无害化处理粪尿、污水的足够场地和排污条件，并通过畜禽场建设环境影响评价。</w:t>
            </w:r>
          </w:p>
          <w:p w14:paraId="7385E0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4.1.3选择场址应遵守十分珍惜和合理利用土地的原则，不应占用基本农田，尽量利用荒地建场，分期建设时，选址应按总体规划需要次完成，土地随用随征，预留远期工程建设用地。</w:t>
            </w:r>
          </w:p>
          <w:p w14:paraId="564DB3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4.1.4场址应水源充足，水质应符合NY5027要求，排水通畅，供电可靠，交通便利，地质条件能满足工程建设要求。</w:t>
            </w:r>
          </w:p>
          <w:p w14:paraId="7111EF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4.1.5以下地区或地段不应建场。</w:t>
            </w:r>
          </w:p>
          <w:p w14:paraId="445D08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4.1.1规定的自然保护区、水源保护区、风景旅游区。</w:t>
            </w:r>
          </w:p>
          <w:p w14:paraId="1682E6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4.1.5.2受洪水或山洪威胁及泥石流、滑坡等自然灾害多发地带。</w:t>
            </w:r>
          </w:p>
          <w:p w14:paraId="14185E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4.1.5.3自然环境污染严重的地区。</w:t>
            </w:r>
          </w:p>
        </w:tc>
        <w:tc>
          <w:tcPr>
            <w:tcW w:w="4155" w:type="dxa"/>
            <w:tcBorders>
              <w:top w:val="single" w:color="auto" w:sz="4" w:space="0"/>
              <w:left w:val="single" w:color="auto" w:sz="4" w:space="0"/>
              <w:bottom w:val="single" w:color="auto" w:sz="4" w:space="0"/>
              <w:right w:val="single" w:color="auto" w:sz="4" w:space="0"/>
            </w:tcBorders>
            <w:vAlign w:val="center"/>
          </w:tcPr>
          <w:p w14:paraId="3BCF4F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①项目周边土地性质主要为设施农用地，本项目不在</w:t>
            </w:r>
            <w:r>
              <w:rPr>
                <w:rFonts w:hint="default" w:ascii="Times New Roman" w:hAnsi="Times New Roman" w:eastAsia="宋体" w:cs="Times New Roman"/>
                <w:color w:val="auto"/>
                <w:sz w:val="21"/>
                <w:szCs w:val="21"/>
                <w:highlight w:val="none"/>
                <w:lang w:eastAsia="zh-CN"/>
              </w:rPr>
              <w:t>五原县限养区和禁养区内</w:t>
            </w:r>
            <w:r>
              <w:rPr>
                <w:rFonts w:hint="default" w:ascii="Times New Roman" w:hAnsi="Times New Roman" w:eastAsia="宋体" w:cs="Times New Roman"/>
                <w:color w:val="auto"/>
                <w:sz w:val="21"/>
                <w:szCs w:val="21"/>
                <w:highlight w:val="none"/>
              </w:rPr>
              <w:t>；下风向1000m范围内无学校、医院、行政办公室等敏感目标；本项目评价范围内无饮用水水源地、自然保护区、风景名胜区等特殊环境敏感区，不涉及重要生态功能区、生态敏感脆弱区、禁止开发区域以及其他各类保护地；项目选址符合《关于做好畜禽规模养殖项目环境影响评价管理工作的通知》（环办环评〔2018〕31号）、《畜禽规模养殖污染防治条例》国务院令第643号、《畜禽养殖业污染防治技术规范》（HJ-T81-2001）、《畜禽场场区设计技术规范》（NY-T682-2003）等法律法规和行业规范的选址要求</w:t>
            </w:r>
            <w:r>
              <w:rPr>
                <w:rFonts w:hint="default" w:ascii="Times New Roman" w:hAnsi="Times New Roman" w:eastAsia="宋体" w:cs="Times New Roman"/>
                <w:color w:val="auto"/>
                <w:sz w:val="21"/>
                <w:szCs w:val="21"/>
                <w:highlight w:val="none"/>
                <w:lang w:eastAsia="zh-CN"/>
              </w:rPr>
              <w:t>。</w:t>
            </w:r>
          </w:p>
          <w:p w14:paraId="264A5D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②项目场地具备就地无害化处理</w:t>
            </w: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rPr>
              <w:t>的足够场地和排污条件；</w:t>
            </w:r>
          </w:p>
          <w:p w14:paraId="2AE34C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③项目建设不占用基本农田</w:t>
            </w:r>
            <w:r>
              <w:rPr>
                <w:rFonts w:hint="default" w:ascii="Times New Roman" w:hAnsi="Times New Roman" w:eastAsia="宋体" w:cs="Times New Roman"/>
                <w:color w:val="auto"/>
                <w:sz w:val="21"/>
                <w:szCs w:val="21"/>
                <w:highlight w:val="none"/>
                <w:lang w:val="en-US" w:eastAsia="zh-CN"/>
              </w:rPr>
              <w:t>、林地等</w:t>
            </w:r>
            <w:r>
              <w:rPr>
                <w:rFonts w:hint="default" w:ascii="Times New Roman" w:hAnsi="Times New Roman" w:eastAsia="宋体" w:cs="Times New Roman"/>
                <w:color w:val="auto"/>
                <w:sz w:val="21"/>
                <w:szCs w:val="21"/>
                <w:highlight w:val="none"/>
              </w:rPr>
              <w:t>；</w:t>
            </w:r>
          </w:p>
          <w:p w14:paraId="6BF05B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④项目厂址不在洪水或山洪威胁及泥石流、滑坡等自然灾害多发地带以及自然环境污染严重的地区。</w:t>
            </w:r>
          </w:p>
        </w:tc>
        <w:tc>
          <w:tcPr>
            <w:tcW w:w="644" w:type="dxa"/>
            <w:tcBorders>
              <w:top w:val="single" w:color="auto" w:sz="4" w:space="0"/>
              <w:left w:val="single" w:color="auto" w:sz="4" w:space="0"/>
              <w:bottom w:val="single" w:color="auto" w:sz="4" w:space="0"/>
              <w:right w:val="single" w:color="auto" w:sz="4" w:space="0"/>
            </w:tcBorders>
            <w:vAlign w:val="center"/>
          </w:tcPr>
          <w:p w14:paraId="34FEE0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4C009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214A14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《畜禽粪便无害化处理技术规范》</w:t>
            </w:r>
          </w:p>
          <w:p w14:paraId="2556D6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（NY/T1168-2006）</w:t>
            </w:r>
          </w:p>
        </w:tc>
        <w:tc>
          <w:tcPr>
            <w:tcW w:w="6823" w:type="dxa"/>
            <w:tcBorders>
              <w:top w:val="single" w:color="auto" w:sz="4" w:space="0"/>
              <w:left w:val="single" w:color="auto" w:sz="4" w:space="0"/>
              <w:bottom w:val="single" w:color="auto" w:sz="4" w:space="0"/>
              <w:right w:val="single" w:color="auto" w:sz="4" w:space="0"/>
            </w:tcBorders>
            <w:vAlign w:val="center"/>
          </w:tcPr>
          <w:p w14:paraId="7D221A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5处理场地的要求</w:t>
            </w:r>
          </w:p>
          <w:p w14:paraId="393C94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5.1新建、扩建和改建畜禽养殖场或养殖小区必须配置畜禽粪便处理设施或畜禽粪便处理场。已建的畜禽场没有设施或处理场的，应及时补上。畜禽养殖场的选址禁止在下列区域内建设畜禽粪便处理场：</w:t>
            </w:r>
          </w:p>
          <w:p w14:paraId="7AC25B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5.1.1生活饮用水水源保护区、风景名胜区、自然保护区的核心区及缓冲区。</w:t>
            </w:r>
          </w:p>
          <w:p w14:paraId="046D4A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5.1.2城市和城镇居民区，包括文教科研区、医疗区、商业区、工业区游览区等人口集中地区。</w:t>
            </w:r>
          </w:p>
          <w:p w14:paraId="77F223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5.1.3县级人民政府依法划定的禁养区域。</w:t>
            </w:r>
          </w:p>
          <w:p w14:paraId="1AB028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5.1.4国家或地方法律、法规规定需特殊保护的其他区域。</w:t>
            </w:r>
          </w:p>
          <w:p w14:paraId="30303B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5.2在禁建区域附近建设畜禽粪便处理设施和单独建设的畜禽粪便处理处，应设在5.1规定的禁建区域常年主导风向的下风向或侧风向处，场界与禁建区域边界的最小距离不得小于500m</w:t>
            </w:r>
            <w:r>
              <w:rPr>
                <w:rFonts w:hint="default" w:ascii="Times New Roman" w:hAnsi="Times New Roman" w:eastAsia="宋体" w:cs="Times New Roman"/>
                <w:color w:val="auto"/>
                <w:sz w:val="21"/>
                <w:szCs w:val="21"/>
                <w:highlight w:val="none"/>
                <w:lang w:eastAsia="zh-CN"/>
              </w:rPr>
              <w:t>。</w:t>
            </w:r>
          </w:p>
          <w:p w14:paraId="756D7D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8.2畜禽养殖场、养殖小区或畜禽粪便处理场应分别设置液体和固体废弃物贮存设施，畜禽粪便贮存设施位置必须距离地表水体400m以上。</w:t>
            </w:r>
          </w:p>
        </w:tc>
        <w:tc>
          <w:tcPr>
            <w:tcW w:w="4155" w:type="dxa"/>
            <w:tcBorders>
              <w:top w:val="single" w:color="auto" w:sz="4" w:space="0"/>
              <w:left w:val="single" w:color="auto" w:sz="4" w:space="0"/>
              <w:bottom w:val="single" w:color="auto" w:sz="4" w:space="0"/>
              <w:right w:val="single" w:color="auto" w:sz="4" w:space="0"/>
            </w:tcBorders>
            <w:vAlign w:val="center"/>
          </w:tcPr>
          <w:p w14:paraId="0E3569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①项目采用干清粪工艺，并配套建设</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w:t>
            </w:r>
          </w:p>
          <w:p w14:paraId="67C101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②项目不在生活饮用水水源保护区、风景名胜区、自然保护区的核心区及缓冲区；</w:t>
            </w:r>
          </w:p>
          <w:p w14:paraId="0E5D54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③项目位于农村地区，不在城市和城镇居民区，包括文教科研区、医疗区、商业区、工业区等人口集中地区；</w:t>
            </w:r>
          </w:p>
          <w:p w14:paraId="322E86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④项目不在县级人民政府划定的禁养区域；</w:t>
            </w:r>
          </w:p>
          <w:p w14:paraId="184412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⑤项目所在区域无国家或地方法律、法规规定需特殊保护</w:t>
            </w:r>
            <w:r>
              <w:rPr>
                <w:rFonts w:hint="default" w:ascii="Times New Roman" w:hAnsi="Times New Roman" w:eastAsia="宋体" w:cs="Times New Roman"/>
                <w:color w:val="auto"/>
                <w:sz w:val="21"/>
                <w:szCs w:val="21"/>
                <w:highlight w:val="none"/>
                <w:lang w:eastAsia="zh-CN"/>
              </w:rPr>
              <w:t>的其他</w:t>
            </w:r>
            <w:r>
              <w:rPr>
                <w:rFonts w:hint="default" w:ascii="Times New Roman" w:hAnsi="Times New Roman" w:eastAsia="宋体" w:cs="Times New Roman"/>
                <w:color w:val="auto"/>
                <w:sz w:val="21"/>
                <w:szCs w:val="21"/>
                <w:highlight w:val="none"/>
              </w:rPr>
              <w:t>区域；</w:t>
            </w:r>
          </w:p>
          <w:p w14:paraId="5B7DF4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⑥项目畜禽粪便处与禁建区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城市及城镇居民区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的距离均大于500m，符合粪便处理设施与禁建区边界的最小距离不得小于500m的要求；</w:t>
            </w:r>
          </w:p>
          <w:p w14:paraId="21A356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⑦</w:t>
            </w:r>
            <w:r>
              <w:rPr>
                <w:rFonts w:hint="default" w:ascii="Times New Roman" w:hAnsi="Times New Roman" w:eastAsia="宋体" w:cs="Times New Roman"/>
                <w:color w:val="FF0000"/>
                <w:sz w:val="21"/>
                <w:szCs w:val="21"/>
                <w:highlight w:val="none"/>
              </w:rPr>
              <w:t>堆肥场位于厂区南侧，该地区年主导风向为ENE风，本项目堆肥场位于养殖区及生活区南侧，属于当地20年主导风向的侧风向</w:t>
            </w:r>
            <w:r>
              <w:rPr>
                <w:rFonts w:hint="default" w:ascii="Times New Roman" w:hAnsi="Times New Roman" w:eastAsia="宋体" w:cs="Times New Roman"/>
                <w:color w:val="auto"/>
                <w:sz w:val="21"/>
                <w:szCs w:val="21"/>
                <w:highlight w:val="none"/>
                <w:lang w:eastAsia="zh-CN"/>
              </w:rPr>
              <w:t>。</w:t>
            </w:r>
          </w:p>
        </w:tc>
        <w:tc>
          <w:tcPr>
            <w:tcW w:w="644" w:type="dxa"/>
            <w:tcBorders>
              <w:top w:val="single" w:color="auto" w:sz="4" w:space="0"/>
              <w:left w:val="single" w:color="auto" w:sz="4" w:space="0"/>
              <w:bottom w:val="single" w:color="auto" w:sz="4" w:space="0"/>
              <w:right w:val="single" w:color="auto" w:sz="4" w:space="0"/>
            </w:tcBorders>
            <w:vAlign w:val="center"/>
          </w:tcPr>
          <w:p w14:paraId="7DF3FC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8B2AD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4" w:type="dxa"/>
            <w:tcBorders>
              <w:top w:val="single" w:color="auto" w:sz="4" w:space="0"/>
              <w:left w:val="single" w:color="auto" w:sz="4" w:space="0"/>
              <w:bottom w:val="single" w:color="auto" w:sz="4" w:space="0"/>
              <w:right w:val="single" w:color="auto" w:sz="4" w:space="0"/>
            </w:tcBorders>
            <w:vAlign w:val="center"/>
          </w:tcPr>
          <w:p w14:paraId="05D6CD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bookmarkStart w:id="230" w:name="_Hlk48159452"/>
            <w:r>
              <w:rPr>
                <w:rFonts w:hint="default" w:ascii="Times New Roman" w:hAnsi="Times New Roman" w:eastAsia="宋体" w:cs="Times New Roman"/>
                <w:color w:val="auto"/>
                <w:sz w:val="21"/>
                <w:szCs w:val="21"/>
                <w:highlight w:val="none"/>
              </w:rPr>
              <w:t>《关于做好畜禽规模养殖项目环境影响评价管理工作的通知》（环办环评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31号）</w:t>
            </w:r>
            <w:bookmarkEnd w:id="230"/>
          </w:p>
        </w:tc>
        <w:tc>
          <w:tcPr>
            <w:tcW w:w="6823" w:type="dxa"/>
            <w:tcBorders>
              <w:top w:val="single" w:color="auto" w:sz="4" w:space="0"/>
              <w:left w:val="single" w:color="auto" w:sz="4" w:space="0"/>
              <w:bottom w:val="single" w:color="auto" w:sz="4" w:space="0"/>
              <w:right w:val="single" w:color="auto" w:sz="4" w:space="0"/>
            </w:tcBorders>
            <w:vAlign w:val="center"/>
          </w:tcPr>
          <w:p w14:paraId="47AE80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155" w:type="dxa"/>
            <w:tcBorders>
              <w:top w:val="single" w:color="auto" w:sz="4" w:space="0"/>
              <w:left w:val="single" w:color="auto" w:sz="4" w:space="0"/>
              <w:bottom w:val="single" w:color="auto" w:sz="4" w:space="0"/>
              <w:right w:val="single" w:color="auto" w:sz="4" w:space="0"/>
            </w:tcBorders>
            <w:vAlign w:val="center"/>
          </w:tcPr>
          <w:p w14:paraId="0444AF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项目建设区域</w:t>
            </w:r>
            <w:r>
              <w:rPr>
                <w:rFonts w:hint="default" w:ascii="Times New Roman" w:hAnsi="Times New Roman" w:eastAsia="宋体" w:cs="Times New Roman"/>
                <w:color w:val="auto"/>
                <w:kern w:val="0"/>
                <w:sz w:val="21"/>
                <w:szCs w:val="21"/>
                <w:highlight w:val="none"/>
                <w:lang w:eastAsia="zh-CN"/>
              </w:rPr>
              <w:t>无</w:t>
            </w:r>
            <w:r>
              <w:rPr>
                <w:rFonts w:hint="default" w:ascii="Times New Roman" w:hAnsi="Times New Roman" w:eastAsia="宋体" w:cs="Times New Roman"/>
                <w:color w:val="auto"/>
                <w:kern w:val="0"/>
                <w:sz w:val="21"/>
                <w:szCs w:val="21"/>
                <w:highlight w:val="none"/>
              </w:rPr>
              <w:t>风景名胜区、世界文化和自然遗产地，也不在饮用水水源保护区以及</w:t>
            </w:r>
            <w:r>
              <w:rPr>
                <w:rFonts w:hint="default" w:ascii="Times New Roman" w:hAnsi="Times New Roman" w:eastAsia="宋体" w:cs="Times New Roman"/>
                <w:color w:val="auto"/>
                <w:sz w:val="21"/>
                <w:szCs w:val="21"/>
                <w:highlight w:val="none"/>
              </w:rPr>
              <w:t>自然保护区</w:t>
            </w:r>
            <w:r>
              <w:rPr>
                <w:rFonts w:hint="default" w:ascii="Times New Roman" w:hAnsi="Times New Roman" w:eastAsia="宋体" w:cs="Times New Roman"/>
                <w:color w:val="auto"/>
                <w:kern w:val="0"/>
                <w:sz w:val="21"/>
                <w:szCs w:val="21"/>
                <w:highlight w:val="none"/>
              </w:rPr>
              <w:t>。本项目位于农村地区，也不在城镇居民区、文化教育科学研究区等人口集中区域，不在</w:t>
            </w:r>
            <w:r>
              <w:rPr>
                <w:rFonts w:hint="default" w:ascii="Times New Roman" w:hAnsi="Times New Roman" w:eastAsia="宋体" w:cs="Times New Roman"/>
                <w:color w:val="auto"/>
                <w:kern w:val="0"/>
                <w:sz w:val="21"/>
                <w:szCs w:val="21"/>
                <w:highlight w:val="none"/>
                <w:lang w:eastAsia="zh-CN"/>
              </w:rPr>
              <w:t>五原县</w:t>
            </w:r>
            <w:r>
              <w:rPr>
                <w:rFonts w:hint="default" w:ascii="Times New Roman" w:hAnsi="Times New Roman" w:eastAsia="宋体" w:cs="Times New Roman"/>
                <w:color w:val="auto"/>
                <w:kern w:val="0"/>
                <w:sz w:val="21"/>
                <w:szCs w:val="21"/>
                <w:highlight w:val="none"/>
              </w:rPr>
              <w:t>禁养区范围内。</w:t>
            </w:r>
          </w:p>
        </w:tc>
        <w:tc>
          <w:tcPr>
            <w:tcW w:w="644" w:type="dxa"/>
            <w:tcBorders>
              <w:top w:val="single" w:color="auto" w:sz="4" w:space="0"/>
              <w:left w:val="single" w:color="auto" w:sz="4" w:space="0"/>
              <w:bottom w:val="single" w:color="auto" w:sz="4" w:space="0"/>
              <w:right w:val="single" w:color="auto" w:sz="4" w:space="0"/>
            </w:tcBorders>
            <w:vAlign w:val="center"/>
          </w:tcPr>
          <w:p w14:paraId="6141BE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67A24BB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bookmarkStart w:id="231" w:name="_Toc19560908"/>
    </w:p>
    <w:p w14:paraId="17F497A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综上，本项目选址符合相关法律、法规及相关行业规范要求，项目选址合理。</w:t>
      </w:r>
    </w:p>
    <w:p w14:paraId="224FA3D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（3）其他相关符合性分析</w:t>
      </w:r>
    </w:p>
    <w:p w14:paraId="45BCD55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各产污环节污染物排放在采取评价中提出的防治措施后对环境影响在可接受范围内，在各项环保措施得以落实、杜绝事故排放的情况下，项目排放的各种污染物满足达标排放和总量控制的要求，预测结果表明，工程建成后不会对当地大气、地表水、地下水、声环境、生态环境带来明显危害，项目对环境的影响可以接受。</w:t>
      </w:r>
    </w:p>
    <w:p w14:paraId="6A24C94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公众参与调查结果表明，未收到反对项目建设的意见。综上，本项目在严格执行环评规定的各项措施并确保其正常稳定运行且在严格管理的情况下，项目场址从环境角度分析是可行的。</w:t>
      </w:r>
    </w:p>
    <w:bookmarkEnd w:id="231"/>
    <w:p w14:paraId="411C1C99">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232" w:name="_Toc141"/>
      <w:r>
        <w:rPr>
          <w:rFonts w:hint="default" w:ascii="Times New Roman" w:hAnsi="Times New Roman" w:eastAsia="宋体" w:cs="Times New Roman"/>
          <w:color w:val="auto"/>
          <w:highlight w:val="none"/>
        </w:rPr>
        <w:t>2.8环境功能区符合性分析</w:t>
      </w:r>
      <w:bookmarkEnd w:id="232"/>
    </w:p>
    <w:p w14:paraId="06C4656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项目所在区域环境空气为二类功能区，执行《环境空气质量标准》（GB3095-2012）二级标准；区域声环境为</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类功能区域，执行《声环境质量标准》（GB3096-2008）</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类标准；区域地下水质为Ⅲ类，执行《地下水质量标准》（GB/T14848-2017）Ⅲ类标准。本项目所在区域空气环境质量、地表水环境质量、地下水及声环境质量良好，有一定的环境容量。</w:t>
      </w:r>
    </w:p>
    <w:p w14:paraId="6ACAE42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成后，废气污染物可达标排放，对环境空气影响较小。项目无废水和固废直接排放，各噪声源通过采取降噪措施和距离衰减，厂界噪声可满足相应标准要求。根据环境影响预测评价，本项目正常生产时所排放的污染物经治理达标后，对周围环境不会产生明显影响，环境质量基本维持现有水平。不会加大对环境的不利影响，环境可以接受。</w:t>
      </w:r>
    </w:p>
    <w:p w14:paraId="4174E08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0EF2171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60210FE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489C567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7E818EBE">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233" w:name="_Toc28814"/>
      <w:r>
        <w:rPr>
          <w:rFonts w:hint="default" w:ascii="Times New Roman" w:hAnsi="Times New Roman" w:eastAsia="宋体" w:cs="Times New Roman"/>
          <w:color w:val="auto"/>
          <w:highlight w:val="none"/>
        </w:rPr>
        <w:t>3工程分析</w:t>
      </w:r>
      <w:bookmarkEnd w:id="233"/>
    </w:p>
    <w:p w14:paraId="54D04472">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234" w:name="_Toc7340"/>
      <w:r>
        <w:rPr>
          <w:rFonts w:hint="default" w:ascii="Times New Roman" w:hAnsi="Times New Roman" w:eastAsia="宋体" w:cs="Times New Roman"/>
          <w:color w:val="auto"/>
          <w:highlight w:val="none"/>
        </w:rPr>
        <w:t>3.1项目基本情况</w:t>
      </w:r>
      <w:bookmarkEnd w:id="234"/>
    </w:p>
    <w:p w14:paraId="32A1AF8C">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35" w:name="_Toc344087173"/>
      <w:bookmarkStart w:id="236" w:name="_Toc416447544"/>
      <w:bookmarkStart w:id="237" w:name="_Toc18206"/>
      <w:bookmarkStart w:id="238" w:name="_Toc420051509"/>
      <w:bookmarkStart w:id="239" w:name="_Toc13918"/>
      <w:r>
        <w:rPr>
          <w:rFonts w:hint="default" w:ascii="Times New Roman" w:hAnsi="Times New Roman" w:eastAsia="宋体" w:cs="Times New Roman"/>
          <w:color w:val="auto"/>
          <w:highlight w:val="none"/>
        </w:rPr>
        <w:t>3.1.1</w:t>
      </w:r>
      <w:bookmarkEnd w:id="235"/>
      <w:bookmarkEnd w:id="236"/>
      <w:bookmarkEnd w:id="237"/>
      <w:bookmarkEnd w:id="238"/>
      <w:r>
        <w:rPr>
          <w:rFonts w:hint="default" w:ascii="Times New Roman" w:hAnsi="Times New Roman" w:eastAsia="宋体" w:cs="Times New Roman"/>
          <w:color w:val="auto"/>
          <w:highlight w:val="none"/>
        </w:rPr>
        <w:t>项目基本概况</w:t>
      </w:r>
      <w:bookmarkEnd w:id="239"/>
    </w:p>
    <w:p w14:paraId="129A7E0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项目基本情况见表3.1-1。</w:t>
      </w:r>
    </w:p>
    <w:p w14:paraId="3245740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项目基本情况表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6920"/>
      </w:tblGrid>
      <w:tr w14:paraId="0C2E7E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462" w:type="dxa"/>
            <w:tcBorders>
              <w:top w:val="single" w:color="auto" w:sz="4" w:space="0"/>
              <w:left w:val="single" w:color="auto" w:sz="4" w:space="0"/>
            </w:tcBorders>
            <w:vAlign w:val="center"/>
          </w:tcPr>
          <w:p w14:paraId="3DF89A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项目名称</w:t>
            </w:r>
          </w:p>
        </w:tc>
        <w:tc>
          <w:tcPr>
            <w:tcW w:w="7541" w:type="dxa"/>
            <w:tcBorders>
              <w:top w:val="single" w:color="auto" w:sz="4" w:space="0"/>
              <w:right w:val="single" w:color="auto" w:sz="4" w:space="0"/>
            </w:tcBorders>
            <w:vAlign w:val="center"/>
          </w:tcPr>
          <w:p w14:paraId="3D39B0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五原县兄弟农民专业合作社肉羊育肥养殖及附属设施建设项目</w:t>
            </w:r>
          </w:p>
        </w:tc>
      </w:tr>
      <w:tr w14:paraId="405D8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782CC5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w:t>
            </w:r>
          </w:p>
        </w:tc>
        <w:tc>
          <w:tcPr>
            <w:tcW w:w="7541" w:type="dxa"/>
            <w:tcBorders>
              <w:right w:val="single" w:color="auto" w:sz="4" w:space="0"/>
            </w:tcBorders>
            <w:vAlign w:val="center"/>
          </w:tcPr>
          <w:p w14:paraId="46E67E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五原县兄弟农民专业合作社</w:t>
            </w:r>
          </w:p>
        </w:tc>
      </w:tr>
      <w:tr w14:paraId="078DB9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0E3F74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建设性质</w:t>
            </w:r>
          </w:p>
        </w:tc>
        <w:tc>
          <w:tcPr>
            <w:tcW w:w="7541" w:type="dxa"/>
            <w:tcBorders>
              <w:right w:val="single" w:color="auto" w:sz="4" w:space="0"/>
            </w:tcBorders>
            <w:vAlign w:val="center"/>
          </w:tcPr>
          <w:p w14:paraId="2871D6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14:paraId="01E45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55CD4B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建设地点</w:t>
            </w:r>
          </w:p>
        </w:tc>
        <w:tc>
          <w:tcPr>
            <w:tcW w:w="7541" w:type="dxa"/>
            <w:tcBorders>
              <w:right w:val="single" w:color="auto" w:sz="4" w:space="0"/>
            </w:tcBorders>
            <w:vAlign w:val="center"/>
          </w:tcPr>
          <w:p w14:paraId="11B3BD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内蒙古自治区巴彦淖尔市五原县胜丰镇新丰村三社</w:t>
            </w:r>
          </w:p>
          <w:p w14:paraId="75F7AC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场区中心坐标N41°03'58.519"、E108°22'53.938"</w:t>
            </w:r>
          </w:p>
        </w:tc>
      </w:tr>
      <w:tr w14:paraId="66AA8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7D9A39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占地面积</w:t>
            </w:r>
          </w:p>
        </w:tc>
        <w:tc>
          <w:tcPr>
            <w:tcW w:w="7541" w:type="dxa"/>
            <w:tcBorders>
              <w:right w:val="single" w:color="auto" w:sz="4" w:space="0"/>
            </w:tcBorders>
            <w:vAlign w:val="center"/>
          </w:tcPr>
          <w:p w14:paraId="13F5EB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51565.18</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p>
        </w:tc>
      </w:tr>
      <w:tr w14:paraId="3B4E9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5DF73B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工程投资</w:t>
            </w:r>
          </w:p>
        </w:tc>
        <w:tc>
          <w:tcPr>
            <w:tcW w:w="7541" w:type="dxa"/>
            <w:tcBorders>
              <w:right w:val="single" w:color="auto" w:sz="4" w:space="0"/>
            </w:tcBorders>
            <w:vAlign w:val="center"/>
          </w:tcPr>
          <w:p w14:paraId="26A20A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w:t>
            </w:r>
            <w:r>
              <w:rPr>
                <w:rFonts w:hint="default" w:ascii="Times New Roman" w:hAnsi="Times New Roman" w:eastAsia="宋体" w:cs="Times New Roman"/>
                <w:color w:val="auto"/>
                <w:sz w:val="21"/>
                <w:szCs w:val="21"/>
                <w:highlight w:val="none"/>
                <w:lang w:val="en-US" w:eastAsia="zh-CN"/>
              </w:rPr>
              <w:t>450万元</w:t>
            </w:r>
            <w:r>
              <w:rPr>
                <w:rFonts w:hint="default" w:ascii="Times New Roman" w:hAnsi="Times New Roman" w:eastAsia="宋体" w:cs="Times New Roman"/>
                <w:color w:val="auto"/>
                <w:sz w:val="21"/>
                <w:szCs w:val="21"/>
                <w:highlight w:val="none"/>
              </w:rPr>
              <w:t>，环保投资</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eastAsia="zh-CN"/>
              </w:rPr>
              <w:t>8.</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万元，占总投资比例为</w:t>
            </w:r>
            <w:r>
              <w:rPr>
                <w:rFonts w:hint="default" w:ascii="Times New Roman" w:hAnsi="Times New Roman" w:eastAsia="宋体" w:cs="Times New Roman"/>
                <w:color w:val="auto"/>
                <w:sz w:val="21"/>
                <w:szCs w:val="21"/>
                <w:highlight w:val="none"/>
                <w:lang w:val="en-US" w:eastAsia="zh-CN"/>
              </w:rPr>
              <w:t>15.22</w:t>
            </w:r>
            <w:r>
              <w:rPr>
                <w:rFonts w:hint="default" w:ascii="Times New Roman" w:hAnsi="Times New Roman" w:eastAsia="宋体" w:cs="Times New Roman"/>
                <w:color w:val="auto"/>
                <w:sz w:val="21"/>
                <w:szCs w:val="21"/>
                <w:highlight w:val="none"/>
              </w:rPr>
              <w:t>%</w:t>
            </w:r>
          </w:p>
        </w:tc>
      </w:tr>
      <w:tr w14:paraId="51C7A9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7EB9E0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项目规模</w:t>
            </w:r>
          </w:p>
        </w:tc>
        <w:tc>
          <w:tcPr>
            <w:tcW w:w="7541" w:type="dxa"/>
            <w:tcBorders>
              <w:right w:val="single" w:color="auto" w:sz="4" w:space="0"/>
            </w:tcBorders>
            <w:vAlign w:val="center"/>
          </w:tcPr>
          <w:p w14:paraId="784B73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00B050"/>
                <w:sz w:val="21"/>
                <w:szCs w:val="21"/>
                <w:highlight w:val="none"/>
              </w:rPr>
              <w:t>存栏</w:t>
            </w:r>
            <w:r>
              <w:rPr>
                <w:rFonts w:hint="default" w:ascii="Times New Roman" w:hAnsi="Times New Roman" w:eastAsia="宋体" w:cs="Times New Roman"/>
                <w:color w:val="00B050"/>
                <w:sz w:val="21"/>
                <w:szCs w:val="21"/>
                <w:highlight w:val="none"/>
                <w:lang w:eastAsia="zh-CN"/>
              </w:rPr>
              <w:t>肉羊</w:t>
            </w:r>
            <w:r>
              <w:rPr>
                <w:rFonts w:hint="default" w:ascii="Times New Roman" w:hAnsi="Times New Roman" w:eastAsia="宋体" w:cs="Times New Roman"/>
                <w:color w:val="00B050"/>
                <w:sz w:val="21"/>
                <w:szCs w:val="21"/>
                <w:highlight w:val="none"/>
                <w:lang w:val="en-US" w:eastAsia="zh-CN"/>
              </w:rPr>
              <w:t>23000</w:t>
            </w:r>
            <w:r>
              <w:rPr>
                <w:rFonts w:hint="default" w:ascii="Times New Roman" w:hAnsi="Times New Roman" w:eastAsia="宋体" w:cs="Times New Roman"/>
                <w:color w:val="00B050"/>
                <w:sz w:val="21"/>
                <w:szCs w:val="21"/>
                <w:highlight w:val="none"/>
                <w:lang w:val="en-US" w:eastAsia="zh-CN"/>
              </w:rPr>
              <w:t>只</w:t>
            </w:r>
            <w:r>
              <w:rPr>
                <w:rFonts w:hint="default" w:ascii="Times New Roman" w:hAnsi="Times New Roman" w:eastAsia="宋体" w:cs="Times New Roman"/>
                <w:color w:val="00B050"/>
                <w:sz w:val="21"/>
                <w:szCs w:val="21"/>
                <w:highlight w:val="none"/>
              </w:rPr>
              <w:t>，</w:t>
            </w:r>
            <w:r>
              <w:rPr>
                <w:rFonts w:hint="default" w:ascii="Times New Roman" w:hAnsi="Times New Roman" w:eastAsia="宋体" w:cs="Times New Roman"/>
                <w:color w:val="00B050"/>
                <w:sz w:val="21"/>
                <w:szCs w:val="21"/>
                <w:highlight w:val="none"/>
                <w:lang w:val="en-US" w:eastAsia="zh-CN"/>
              </w:rPr>
              <w:t>年</w:t>
            </w:r>
            <w:r>
              <w:rPr>
                <w:rFonts w:hint="default" w:ascii="Times New Roman" w:hAnsi="Times New Roman" w:eastAsia="宋体" w:cs="Times New Roman"/>
                <w:color w:val="00B050"/>
                <w:sz w:val="21"/>
                <w:szCs w:val="21"/>
                <w:highlight w:val="none"/>
              </w:rPr>
              <w:t>出栏</w:t>
            </w:r>
            <w:r>
              <w:rPr>
                <w:rFonts w:hint="default" w:ascii="Times New Roman" w:hAnsi="Times New Roman" w:eastAsia="宋体" w:cs="Times New Roman"/>
                <w:color w:val="00B050"/>
                <w:sz w:val="21"/>
                <w:szCs w:val="21"/>
                <w:highlight w:val="none"/>
                <w:lang w:val="en-US" w:eastAsia="zh-CN"/>
              </w:rPr>
              <w:t>6900</w:t>
            </w:r>
            <w:r>
              <w:rPr>
                <w:rFonts w:hint="default" w:ascii="Times New Roman" w:hAnsi="Times New Roman" w:eastAsia="宋体" w:cs="Times New Roman"/>
                <w:color w:val="00B050"/>
                <w:sz w:val="21"/>
                <w:szCs w:val="21"/>
                <w:highlight w:val="none"/>
              </w:rPr>
              <w:t>0</w:t>
            </w:r>
            <w:r>
              <w:rPr>
                <w:rFonts w:hint="default" w:ascii="Times New Roman" w:hAnsi="Times New Roman" w:eastAsia="宋体" w:cs="Times New Roman"/>
                <w:color w:val="00B050"/>
                <w:sz w:val="21"/>
                <w:szCs w:val="21"/>
                <w:highlight w:val="none"/>
                <w:lang w:val="en-US" w:eastAsia="zh-CN"/>
              </w:rPr>
              <w:t>只</w:t>
            </w:r>
            <w:r>
              <w:rPr>
                <w:rFonts w:hint="default" w:ascii="Times New Roman" w:hAnsi="Times New Roman" w:eastAsia="宋体" w:cs="Times New Roman"/>
                <w:color w:val="00B050"/>
                <w:sz w:val="21"/>
                <w:szCs w:val="21"/>
                <w:highlight w:val="none"/>
                <w:lang w:eastAsia="zh-CN"/>
              </w:rPr>
              <w:t>肉羊</w:t>
            </w:r>
          </w:p>
        </w:tc>
      </w:tr>
      <w:tr w14:paraId="55EA9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31C39B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行业类别</w:t>
            </w:r>
          </w:p>
        </w:tc>
        <w:tc>
          <w:tcPr>
            <w:tcW w:w="7541" w:type="dxa"/>
            <w:tcBorders>
              <w:right w:val="single" w:color="auto" w:sz="4" w:space="0"/>
            </w:tcBorders>
            <w:vAlign w:val="center"/>
          </w:tcPr>
          <w:p w14:paraId="3D0908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A0314羊的饲养</w:t>
            </w:r>
          </w:p>
        </w:tc>
      </w:tr>
      <w:tr w14:paraId="1548C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tcBorders>
            <w:vAlign w:val="center"/>
          </w:tcPr>
          <w:p w14:paraId="7ECFC8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劳动定员</w:t>
            </w:r>
          </w:p>
        </w:tc>
        <w:tc>
          <w:tcPr>
            <w:tcW w:w="7541" w:type="dxa"/>
            <w:tcBorders>
              <w:right w:val="single" w:color="auto" w:sz="4" w:space="0"/>
            </w:tcBorders>
            <w:vAlign w:val="center"/>
          </w:tcPr>
          <w:p w14:paraId="0CE6EA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劳动定员</w:t>
            </w:r>
            <w:r>
              <w:rPr>
                <w:rFonts w:hint="default" w:ascii="Times New Roman" w:hAnsi="Times New Roman" w:eastAsia="宋体" w:cs="Times New Roman"/>
                <w:color w:val="FF0000"/>
                <w:sz w:val="21"/>
                <w:szCs w:val="21"/>
                <w:highlight w:val="none"/>
                <w:lang w:val="en-US" w:eastAsia="zh-CN"/>
              </w:rPr>
              <w:t>50</w:t>
            </w:r>
            <w:r>
              <w:rPr>
                <w:rFonts w:hint="default" w:ascii="Times New Roman" w:hAnsi="Times New Roman" w:eastAsia="宋体" w:cs="Times New Roman"/>
                <w:color w:val="FF0000"/>
                <w:sz w:val="21"/>
                <w:szCs w:val="21"/>
                <w:highlight w:val="none"/>
              </w:rPr>
              <w:t>人</w:t>
            </w:r>
          </w:p>
        </w:tc>
      </w:tr>
      <w:tr w14:paraId="662E5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tcBorders>
              <w:left w:val="single" w:color="auto" w:sz="4" w:space="0"/>
              <w:bottom w:val="single" w:color="auto" w:sz="4" w:space="0"/>
            </w:tcBorders>
            <w:vAlign w:val="center"/>
          </w:tcPr>
          <w:p w14:paraId="627FD6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工作制度</w:t>
            </w:r>
          </w:p>
        </w:tc>
        <w:tc>
          <w:tcPr>
            <w:tcW w:w="7541" w:type="dxa"/>
            <w:tcBorders>
              <w:bottom w:val="single" w:color="auto" w:sz="4" w:space="0"/>
              <w:right w:val="single" w:color="auto" w:sz="4" w:space="0"/>
            </w:tcBorders>
            <w:vAlign w:val="center"/>
          </w:tcPr>
          <w:p w14:paraId="48D3CE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全年有效生产天数为365天，实行</w:t>
            </w:r>
            <w:r>
              <w:rPr>
                <w:rFonts w:hint="default" w:ascii="Times New Roman" w:hAnsi="Times New Roman" w:eastAsia="宋体" w:cs="Times New Roman"/>
                <w:color w:val="auto"/>
                <w:sz w:val="21"/>
                <w:szCs w:val="21"/>
                <w:highlight w:val="none"/>
                <w:lang w:eastAsia="zh-CN"/>
              </w:rPr>
              <w:t>两</w:t>
            </w:r>
            <w:r>
              <w:rPr>
                <w:rFonts w:hint="default" w:ascii="Times New Roman" w:hAnsi="Times New Roman" w:eastAsia="宋体" w:cs="Times New Roman"/>
                <w:color w:val="auto"/>
                <w:sz w:val="21"/>
                <w:szCs w:val="21"/>
                <w:highlight w:val="none"/>
              </w:rPr>
              <w:t>班制，每班</w:t>
            </w:r>
            <w:r>
              <w:rPr>
                <w:rFonts w:hint="default"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小时工作制度；</w:t>
            </w:r>
          </w:p>
        </w:tc>
      </w:tr>
    </w:tbl>
    <w:p w14:paraId="5B7283F5">
      <w:pPr>
        <w:keepNext w:val="0"/>
        <w:keepLines w:val="0"/>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r>
        <w:rPr>
          <w:rFonts w:hint="default" w:ascii="Times New Roman" w:hAnsi="Times New Roman" w:eastAsia="宋体" w:cs="Times New Roman"/>
          <w:color w:val="auto"/>
          <w:sz w:val="24"/>
          <w:szCs w:val="24"/>
          <w:highlight w:val="none"/>
          <w:lang w:eastAsia="zh-CN"/>
        </w:rPr>
        <w:t>内蒙古自治区巴彦淖尔市五原县胜丰镇新丰村三社</w:t>
      </w:r>
      <w:r>
        <w:rPr>
          <w:rFonts w:hint="default" w:ascii="Times New Roman" w:hAnsi="Times New Roman" w:eastAsia="宋体" w:cs="Times New Roman"/>
          <w:color w:val="auto"/>
          <w:sz w:val="24"/>
          <w:szCs w:val="24"/>
          <w:highlight w:val="none"/>
        </w:rPr>
        <w:t>，场区中心坐标N41°03'58.519"、E108°22'53.938"。</w:t>
      </w:r>
    </w:p>
    <w:p w14:paraId="1788AFD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0000FF"/>
          <w:sz w:val="24"/>
          <w:szCs w:val="24"/>
          <w:highlight w:val="none"/>
          <w:lang w:eastAsia="zh-CN"/>
        </w:rPr>
      </w:pPr>
      <w:r>
        <w:rPr>
          <w:rFonts w:hint="default" w:ascii="Times New Roman" w:hAnsi="Times New Roman" w:eastAsia="宋体" w:cs="Times New Roman"/>
          <w:color w:val="0000FF"/>
          <w:sz w:val="24"/>
          <w:szCs w:val="24"/>
          <w:highlight w:val="none"/>
        </w:rPr>
        <w:t>项目用地性质</w:t>
      </w:r>
      <w:r>
        <w:rPr>
          <w:rFonts w:hint="default" w:ascii="Times New Roman" w:hAnsi="Times New Roman" w:eastAsia="宋体" w:cs="Times New Roman"/>
          <w:color w:val="0000FF"/>
          <w:sz w:val="24"/>
          <w:szCs w:val="24"/>
          <w:highlight w:val="none"/>
          <w:lang w:eastAsia="zh-CN"/>
        </w:rPr>
        <w:t>：</w:t>
      </w:r>
      <w:r>
        <w:rPr>
          <w:rFonts w:hint="default" w:ascii="Times New Roman" w:hAnsi="Times New Roman" w:eastAsia="宋体" w:cs="Times New Roman"/>
          <w:color w:val="0000FF"/>
          <w:sz w:val="24"/>
          <w:szCs w:val="24"/>
          <w:highlight w:val="none"/>
          <w:lang w:val="en-US" w:eastAsia="zh-CN"/>
        </w:rPr>
        <w:t>设施农用地</w:t>
      </w:r>
      <w:r>
        <w:rPr>
          <w:rFonts w:hint="default" w:ascii="Times New Roman" w:hAnsi="Times New Roman" w:eastAsia="宋体" w:cs="Times New Roman"/>
          <w:color w:val="0000FF"/>
          <w:sz w:val="24"/>
          <w:szCs w:val="24"/>
          <w:highlight w:val="none"/>
          <w:lang w:val="en-US" w:eastAsia="zh-CN"/>
        </w:rPr>
        <w:t>和建设用地</w:t>
      </w:r>
      <w:r>
        <w:rPr>
          <w:rFonts w:hint="default" w:ascii="Times New Roman" w:hAnsi="Times New Roman" w:eastAsia="宋体" w:cs="Times New Roman"/>
          <w:color w:val="0000FF"/>
          <w:sz w:val="24"/>
          <w:szCs w:val="24"/>
          <w:highlight w:val="none"/>
          <w:lang w:val="en-US" w:eastAsia="zh-CN"/>
        </w:rPr>
        <w:t>，本项目占地面积</w:t>
      </w:r>
      <w:r>
        <w:rPr>
          <w:rFonts w:hint="default" w:ascii="Times New Roman" w:hAnsi="Times New Roman" w:eastAsia="宋体" w:cs="Times New Roman"/>
          <w:color w:val="0000FF"/>
          <w:sz w:val="24"/>
          <w:szCs w:val="24"/>
          <w:highlight w:val="none"/>
        </w:rPr>
        <w:t>为</w:t>
      </w:r>
      <w:r>
        <w:rPr>
          <w:rFonts w:hint="default" w:ascii="Times New Roman" w:hAnsi="Times New Roman" w:eastAsia="宋体" w:cs="Times New Roman"/>
          <w:color w:val="0000FF"/>
          <w:sz w:val="24"/>
          <w:szCs w:val="24"/>
          <w:highlight w:val="none"/>
          <w:lang w:eastAsia="zh-CN"/>
        </w:rPr>
        <w:t>51565.18</w:t>
      </w:r>
      <w:r>
        <w:rPr>
          <w:rFonts w:hint="default" w:ascii="Times New Roman" w:hAnsi="Times New Roman" w:eastAsia="宋体" w:cs="Times New Roman"/>
          <w:color w:val="0000FF"/>
          <w:sz w:val="24"/>
          <w:szCs w:val="24"/>
          <w:highlight w:val="none"/>
          <w:lang w:val="en-US" w:eastAsia="zh-CN"/>
        </w:rPr>
        <w:t>m</w:t>
      </w:r>
      <w:r>
        <w:rPr>
          <w:rFonts w:hint="default" w:ascii="Times New Roman" w:hAnsi="Times New Roman" w:eastAsia="宋体" w:cs="Times New Roman"/>
          <w:color w:val="0000FF"/>
          <w:sz w:val="24"/>
          <w:szCs w:val="24"/>
          <w:highlight w:val="none"/>
          <w:vertAlign w:val="superscript"/>
          <w:lang w:val="en-US" w:eastAsia="zh-CN"/>
        </w:rPr>
        <w:t>2</w:t>
      </w:r>
      <w:r>
        <w:rPr>
          <w:rFonts w:hint="default" w:ascii="Times New Roman" w:hAnsi="Times New Roman" w:eastAsia="宋体" w:cs="Times New Roman"/>
          <w:color w:val="0000FF"/>
          <w:sz w:val="24"/>
          <w:szCs w:val="24"/>
          <w:highlight w:val="none"/>
          <w:lang w:eastAsia="zh-CN"/>
        </w:rPr>
        <w:t>。</w:t>
      </w:r>
    </w:p>
    <w:p w14:paraId="237BDF1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项目厂址四邻关系：项目</w:t>
      </w:r>
      <w:r>
        <w:rPr>
          <w:rFonts w:hint="default" w:ascii="Times New Roman" w:hAnsi="Times New Roman" w:eastAsia="宋体" w:cs="Times New Roman"/>
          <w:color w:val="auto"/>
          <w:sz w:val="24"/>
          <w:szCs w:val="24"/>
          <w:highlight w:val="none"/>
          <w:lang w:eastAsia="zh-CN"/>
        </w:rPr>
        <w:t>场界东</w:t>
      </w:r>
      <w:r>
        <w:rPr>
          <w:rFonts w:hint="default" w:ascii="Times New Roman" w:hAnsi="Times New Roman" w:eastAsia="宋体" w:cs="Times New Roman"/>
          <w:color w:val="auto"/>
          <w:sz w:val="24"/>
          <w:szCs w:val="24"/>
          <w:highlight w:val="none"/>
          <w:lang w:val="en-US" w:eastAsia="zh-CN"/>
        </w:rPr>
        <w:t>侧</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南侧为耕地，西侧70m为胜丰镇新丰村三社、北侧为水泥道路</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rPr>
        <w:t>地理位置</w:t>
      </w:r>
      <w:r>
        <w:rPr>
          <w:rFonts w:hint="default" w:ascii="Times New Roman" w:hAnsi="Times New Roman" w:eastAsia="宋体" w:cs="Times New Roman"/>
          <w:color w:val="auto"/>
          <w:sz w:val="24"/>
          <w:szCs w:val="24"/>
          <w:highlight w:val="none"/>
          <w:lang w:eastAsia="zh-CN"/>
        </w:rPr>
        <w:t>见</w:t>
      </w:r>
      <w:r>
        <w:rPr>
          <w:rFonts w:hint="default" w:ascii="Times New Roman" w:hAnsi="Times New Roman" w:eastAsia="宋体" w:cs="Times New Roman"/>
          <w:color w:val="auto"/>
          <w:sz w:val="24"/>
          <w:szCs w:val="24"/>
          <w:highlight w:val="none"/>
        </w:rPr>
        <w:t>图3.1-1，项目四邻关系</w:t>
      </w:r>
      <w:r>
        <w:rPr>
          <w:rFonts w:hint="default" w:ascii="Times New Roman" w:hAnsi="Times New Roman" w:eastAsia="宋体" w:cs="Times New Roman"/>
          <w:color w:val="auto"/>
          <w:sz w:val="24"/>
          <w:szCs w:val="24"/>
          <w:highlight w:val="none"/>
          <w:lang w:eastAsia="zh-CN"/>
        </w:rPr>
        <w:t>见</w:t>
      </w:r>
      <w:r>
        <w:rPr>
          <w:rFonts w:hint="default" w:ascii="Times New Roman" w:hAnsi="Times New Roman" w:eastAsia="宋体" w:cs="Times New Roman"/>
          <w:color w:val="auto"/>
          <w:sz w:val="24"/>
          <w:szCs w:val="24"/>
          <w:highlight w:val="none"/>
        </w:rPr>
        <w:t>图3.1-2</w:t>
      </w:r>
      <w:r>
        <w:rPr>
          <w:rFonts w:hint="default" w:ascii="Times New Roman" w:hAnsi="Times New Roman" w:eastAsia="宋体" w:cs="Times New Roman"/>
          <w:color w:val="auto"/>
          <w:sz w:val="24"/>
          <w:szCs w:val="24"/>
          <w:highlight w:val="none"/>
          <w:lang w:val="en-US" w:eastAsia="zh-CN"/>
        </w:rPr>
        <w:t>。</w:t>
      </w:r>
    </w:p>
    <w:p w14:paraId="216A864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lang w:eastAsia="zh-CN"/>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769E6A42">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color w:val="auto"/>
          <w:highlight w:val="none"/>
        </w:rPr>
        <mc:AlternateContent>
          <mc:Choice Requires="wps">
            <w:drawing>
              <wp:anchor distT="0" distB="0" distL="114300" distR="114300" simplePos="0" relativeHeight="251680768" behindDoc="0" locked="0" layoutInCell="1" allowOverlap="1">
                <wp:simplePos x="0" y="0"/>
                <wp:positionH relativeFrom="column">
                  <wp:posOffset>4554220</wp:posOffset>
                </wp:positionH>
                <wp:positionV relativeFrom="paragraph">
                  <wp:posOffset>1831975</wp:posOffset>
                </wp:positionV>
                <wp:extent cx="842645" cy="301625"/>
                <wp:effectExtent l="4445" t="5080" r="10160" b="207645"/>
                <wp:wrapNone/>
                <wp:docPr id="92" name="自选图形 353"/>
                <wp:cNvGraphicFramePr/>
                <a:graphic xmlns:a="http://schemas.openxmlformats.org/drawingml/2006/main">
                  <a:graphicData uri="http://schemas.microsoft.com/office/word/2010/wordprocessingShape">
                    <wps:wsp>
                      <wps:cNvSpPr/>
                      <wps:spPr>
                        <a:xfrm>
                          <a:off x="0" y="0"/>
                          <a:ext cx="842645" cy="301625"/>
                        </a:xfrm>
                        <a:prstGeom prst="wedgeRectCallout">
                          <a:avLst>
                            <a:gd name="adj1" fmla="val 14129"/>
                            <a:gd name="adj2" fmla="val 114000"/>
                          </a:avLst>
                        </a:prstGeom>
                        <a:noFill/>
                        <a:ln w="9525" cap="flat" cmpd="sng">
                          <a:solidFill>
                            <a:srgbClr val="000000"/>
                          </a:solidFill>
                          <a:prstDash val="solid"/>
                          <a:miter/>
                          <a:headEnd type="none" w="med" len="med"/>
                          <a:tailEnd type="none" w="med" len="med"/>
                        </a:ln>
                      </wps:spPr>
                      <wps:txbx>
                        <w:txbxContent>
                          <w:p w14:paraId="7EE897A1">
                            <w:pPr>
                              <w:spacing w:line="240" w:lineRule="auto"/>
                              <w:ind w:firstLine="0" w:firstLineChars="0"/>
                              <w:jc w:val="center"/>
                            </w:pPr>
                            <w:r>
                              <w:rPr>
                                <w:rFonts w:hint="eastAsia"/>
                              </w:rPr>
                              <w:t>本项目</w:t>
                            </w:r>
                          </w:p>
                        </w:txbxContent>
                      </wps:txbx>
                      <wps:bodyPr upright="1"/>
                    </wps:wsp>
                  </a:graphicData>
                </a:graphic>
              </wp:anchor>
            </w:drawing>
          </mc:Choice>
          <mc:Fallback>
            <w:pict>
              <v:shape id="自选图形 353" o:spid="_x0000_s1026" o:spt="61" type="#_x0000_t61" style="position:absolute;left:0pt;margin-left:358.6pt;margin-top:144.25pt;height:23.75pt;width:66.35pt;z-index:251680768;mso-width-relative:page;mso-height-relative:page;" filled="f" stroked="t" coordsize="21600,21600" o:gfxdata="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Xd7MvaAAAACwEAAA8AAAAAAAAAAQAgAAAAIgAAAGRycy9kb3du&#10;cmV2LnhtbFBLAQIUABQAAAAIAIdO4kC9EjgYNgIAAGYEAAAOAAAAAAAAAAEAIAAAACkBAABkcnMv&#10;ZTJvRG9jLnhtbFBLBQYAAAAABgAGAFkBAADRBQAAAAA=&#10;" adj="13852,35424">
                <v:fill on="f" focussize="0,0"/>
                <v:stroke color="#000000" joinstyle="miter"/>
                <v:imagedata o:title=""/>
                <o:lock v:ext="edit" aspectratio="f"/>
                <v:textbox>
                  <w:txbxContent>
                    <w:p w14:paraId="7EE897A1">
                      <w:pPr>
                        <w:spacing w:line="240" w:lineRule="auto"/>
                        <w:ind w:firstLine="0" w:firstLineChars="0"/>
                        <w:jc w:val="center"/>
                      </w:pPr>
                      <w:r>
                        <w:rPr>
                          <w:rFonts w:hint="eastAsia"/>
                        </w:rPr>
                        <w:t>本项目</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81792" behindDoc="0" locked="0" layoutInCell="1" allowOverlap="1">
                <wp:simplePos x="0" y="0"/>
                <wp:positionH relativeFrom="column">
                  <wp:posOffset>5060950</wp:posOffset>
                </wp:positionH>
                <wp:positionV relativeFrom="paragraph">
                  <wp:posOffset>2306320</wp:posOffset>
                </wp:positionV>
                <wp:extent cx="75565" cy="75565"/>
                <wp:effectExtent l="9525" t="9525" r="10160" b="10160"/>
                <wp:wrapNone/>
                <wp:docPr id="93" name="矩形 354"/>
                <wp:cNvGraphicFramePr/>
                <a:graphic xmlns:a="http://schemas.openxmlformats.org/drawingml/2006/main">
                  <a:graphicData uri="http://schemas.microsoft.com/office/word/2010/wordprocessingShape">
                    <wps:wsp>
                      <wps:cNvSpPr/>
                      <wps:spPr>
                        <a:xfrm>
                          <a:off x="0" y="0"/>
                          <a:ext cx="75565" cy="75565"/>
                        </a:xfrm>
                        <a:prstGeom prst="rect">
                          <a:avLst/>
                        </a:prstGeom>
                        <a:solidFill>
                          <a:srgbClr val="000000"/>
                        </a:solidFill>
                        <a:ln w="19050" cap="flat" cmpd="sng">
                          <a:solidFill>
                            <a:srgbClr val="FF0000"/>
                          </a:solidFill>
                          <a:prstDash val="solid"/>
                          <a:miter/>
                          <a:headEnd type="none" w="med" len="med"/>
                          <a:tailEnd type="none" w="med" len="med"/>
                        </a:ln>
                      </wps:spPr>
                      <wps:txbx>
                        <w:txbxContent>
                          <w:p w14:paraId="266CB0FA"/>
                        </w:txbxContent>
                      </wps:txbx>
                      <wps:bodyPr upright="1"/>
                    </wps:wsp>
                  </a:graphicData>
                </a:graphic>
              </wp:anchor>
            </w:drawing>
          </mc:Choice>
          <mc:Fallback>
            <w:pict>
              <v:rect id="矩形 354" o:spid="_x0000_s1026" o:spt="1" style="position:absolute;left:0pt;margin-left:398.5pt;margin-top:181.6pt;height:5.95pt;width:5.95pt;z-index:251681792;mso-width-relative:page;mso-height-relative:page;" fillcolor="#000000" filled="t" stroked="t" coordsize="21600,21600" o:gfxdata="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J5ZA90AAAALAQAADwAAAAAAAAABACAAAAAiAAAA&#10;ZHJzL2Rvd25yZXYueG1sUEsBAhQAFAAAAAgAh07iQCG3G0sCAgAAKgQAAA4AAAAAAAAAAQAgAAAA&#10;LAEAAGRycy9lMm9Eb2MueG1sUEsFBgAAAAAGAAYAWQEAAKAFAAAAAA==&#10;">
                <v:fill on="t" focussize="0,0"/>
                <v:stroke weight="1.5pt" color="#FF0000" joinstyle="miter"/>
                <v:imagedata o:title=""/>
                <o:lock v:ext="edit" aspectratio="f"/>
                <v:textbox>
                  <w:txbxContent>
                    <w:p w14:paraId="266CB0FA"/>
                  </w:txbxContent>
                </v:textbox>
              </v:rect>
            </w:pict>
          </mc:Fallback>
        </mc:AlternateContent>
      </w:r>
      <w:r>
        <w:rPr>
          <w:rFonts w:hint="default" w:ascii="Times New Roman" w:hAnsi="Times New Roman" w:eastAsia="宋体" w:cs="Times New Roman"/>
          <w:color w:val="auto"/>
          <w:highlight w:val="none"/>
        </w:rPr>
        <w:drawing>
          <wp:inline distT="0" distB="0" distL="114300" distR="114300">
            <wp:extent cx="7719060" cy="5255895"/>
            <wp:effectExtent l="0" t="0" r="15240" b="1905"/>
            <wp:docPr id="6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9"/>
                    <pic:cNvPicPr>
                      <a:picLocks noChangeAspect="1"/>
                    </pic:cNvPicPr>
                  </pic:nvPicPr>
                  <pic:blipFill>
                    <a:blip r:embed="rId24"/>
                    <a:srcRect t="2550" b="1184"/>
                    <a:stretch>
                      <a:fillRect/>
                    </a:stretch>
                  </pic:blipFill>
                  <pic:spPr>
                    <a:xfrm>
                      <a:off x="0" y="0"/>
                      <a:ext cx="7719060" cy="5255895"/>
                    </a:xfrm>
                    <a:prstGeom prst="rect">
                      <a:avLst/>
                    </a:prstGeom>
                    <a:noFill/>
                    <a:ln>
                      <a:noFill/>
                    </a:ln>
                  </pic:spPr>
                </pic:pic>
              </a:graphicData>
            </a:graphic>
          </wp:inline>
        </w:drawing>
      </w:r>
    </w:p>
    <w:p w14:paraId="0077E7AC">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图3.1-1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项目地理位置图</w:t>
      </w:r>
    </w:p>
    <w:p w14:paraId="5A0C805C">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drawing>
          <wp:anchor distT="0" distB="0" distL="114300" distR="114300" simplePos="0" relativeHeight="251689984" behindDoc="0" locked="0" layoutInCell="1" allowOverlap="1">
            <wp:simplePos x="0" y="0"/>
            <wp:positionH relativeFrom="column">
              <wp:posOffset>7186930</wp:posOffset>
            </wp:positionH>
            <wp:positionV relativeFrom="paragraph">
              <wp:posOffset>13335</wp:posOffset>
            </wp:positionV>
            <wp:extent cx="588010" cy="647700"/>
            <wp:effectExtent l="0" t="0" r="2540" b="0"/>
            <wp:wrapNone/>
            <wp:docPr id="9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4"/>
                    <pic:cNvPicPr>
                      <a:picLocks noChangeAspect="1"/>
                    </pic:cNvPicPr>
                  </pic:nvPicPr>
                  <pic:blipFill>
                    <a:blip r:embed="rId20"/>
                    <a:stretch>
                      <a:fillRect/>
                    </a:stretch>
                  </pic:blipFill>
                  <pic:spPr>
                    <a:xfrm>
                      <a:off x="0" y="0"/>
                      <a:ext cx="588010" cy="647700"/>
                    </a:xfrm>
                    <a:prstGeom prst="rect">
                      <a:avLst/>
                    </a:prstGeom>
                    <a:noFill/>
                    <a:ln>
                      <a:noFill/>
                    </a:ln>
                  </pic:spPr>
                </pic:pic>
              </a:graphicData>
            </a:graphic>
          </wp:anchor>
        </w:drawing>
      </w:r>
      <w:r>
        <w:rPr>
          <w:rFonts w:hint="default" w:ascii="Times New Roman" w:hAnsi="Times New Roman" w:eastAsia="宋体" w:cs="Times New Roman"/>
          <w:color w:val="auto"/>
          <w:sz w:val="32"/>
          <w:highlight w:val="none"/>
        </w:rPr>
        <mc:AlternateContent>
          <mc:Choice Requires="wps">
            <w:drawing>
              <wp:anchor distT="0" distB="0" distL="114300" distR="114300" simplePos="0" relativeHeight="251688960" behindDoc="0" locked="0" layoutInCell="1" allowOverlap="1">
                <wp:simplePos x="0" y="0"/>
                <wp:positionH relativeFrom="column">
                  <wp:posOffset>3850640</wp:posOffset>
                </wp:positionH>
                <wp:positionV relativeFrom="paragraph">
                  <wp:posOffset>1507490</wp:posOffset>
                </wp:positionV>
                <wp:extent cx="1205230" cy="325755"/>
                <wp:effectExtent l="0" t="0" r="0" b="0"/>
                <wp:wrapNone/>
                <wp:docPr id="91" name="矩形 91"/>
                <wp:cNvGraphicFramePr/>
                <a:graphic xmlns:a="http://schemas.openxmlformats.org/drawingml/2006/main">
                  <a:graphicData uri="http://schemas.microsoft.com/office/word/2010/wordprocessingShape">
                    <wps:wsp>
                      <wps:cNvSpPr/>
                      <wps:spPr>
                        <a:xfrm>
                          <a:off x="0" y="0"/>
                          <a:ext cx="1205230"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BAA3C">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b/>
                                <w:bCs/>
                                <w:color w:val="FFFF00"/>
                                <w:sz w:val="24"/>
                                <w:szCs w:val="24"/>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乡村水泥道路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3.2pt;margin-top:118.7pt;height:25.65pt;width:94.9pt;z-index:251688960;v-text-anchor:middle;mso-width-relative:page;mso-height-relative:page;" filled="f" stroked="f" coordsize="21600,21600" o:gfxdata="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51eF62QAAAAsB&#10;AAAPAAAAAAAAAAEAIAAAACIAAABkcnMvZG93bnJldi54bWxQSwECFAAUAAAACACHTuJAJeCHIFMC&#10;AACYBAAADgAAAAAAAAABACAAAAAoAQAAZHJzL2Uyb0RvYy54bWxQSwUGAAAAAAYABgBZAQAA7QUA&#10;AAAA&#10;">
                <v:fill on="f" focussize="0,0"/>
                <v:stroke on="f" weight="2pt"/>
                <v:imagedata o:title=""/>
                <o:lock v:ext="edit" aspectratio="f"/>
                <v:textbox>
                  <w:txbxContent>
                    <w:p w14:paraId="5F8BAA3C">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b/>
                          <w:bCs/>
                          <w:color w:val="FFFF00"/>
                          <w:sz w:val="24"/>
                          <w:szCs w:val="24"/>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乡村水泥道路</w:t>
                      </w:r>
                    </w:p>
                  </w:txbxContent>
                </v:textbox>
              </v:rect>
            </w:pict>
          </mc:Fallback>
        </mc:AlternateContent>
      </w:r>
      <w:r>
        <w:rPr>
          <w:rFonts w:hint="default" w:ascii="Times New Roman" w:hAnsi="Times New Roman" w:eastAsia="宋体" w:cs="Times New Roman"/>
          <w:color w:val="auto"/>
          <w:sz w:val="32"/>
          <w:highlight w:val="none"/>
        </w:rPr>
        <mc:AlternateContent>
          <mc:Choice Requires="wps">
            <w:drawing>
              <wp:anchor distT="0" distB="0" distL="114300" distR="114300" simplePos="0" relativeHeight="251682816" behindDoc="0" locked="0" layoutInCell="1" allowOverlap="1">
                <wp:simplePos x="0" y="0"/>
                <wp:positionH relativeFrom="column">
                  <wp:posOffset>4080510</wp:posOffset>
                </wp:positionH>
                <wp:positionV relativeFrom="paragraph">
                  <wp:posOffset>3034030</wp:posOffset>
                </wp:positionV>
                <wp:extent cx="884555" cy="325755"/>
                <wp:effectExtent l="0" t="0" r="0" b="0"/>
                <wp:wrapNone/>
                <wp:docPr id="96" name="矩形 96"/>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5F1EDE">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耕地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1.3pt;margin-top:238.9pt;height:25.65pt;width:69.65pt;z-index:251682816;v-text-anchor:middle;mso-width-relative:page;mso-height-relative:page;" filled="f" stroked="f" coordsize="21600,21600" o:gfxdata="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svaltoAAAAL&#10;AQAADwAAAAAAAAABACAAAAAiAAAAZHJzL2Rvd25yZXYueG1sUEsBAhQAFAAAAAgAh07iQOHYbehT&#10;AgAAlwQAAA4AAAAAAAAAAQAgAAAAKQEAAGRycy9lMm9Eb2MueG1sUEsFBgAAAAAGAAYAWQEAAO4F&#10;AAAAAA==&#10;">
                <v:fill on="f" focussize="0,0"/>
                <v:stroke on="f" weight="2pt"/>
                <v:imagedata o:title=""/>
                <o:lock v:ext="edit" aspectratio="f"/>
                <v:textbox>
                  <w:txbxContent>
                    <w:p w14:paraId="425F1EDE">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耕地</w:t>
                      </w:r>
                    </w:p>
                  </w:txbxContent>
                </v:textbox>
              </v:rect>
            </w:pict>
          </mc:Fallback>
        </mc:AlternateContent>
      </w:r>
      <w:r>
        <w:rPr>
          <w:rFonts w:hint="default" w:ascii="Times New Roman" w:hAnsi="Times New Roman" w:eastAsia="宋体" w:cs="Times New Roman"/>
          <w:color w:val="auto"/>
          <w:sz w:val="32"/>
          <w:highlight w:val="none"/>
        </w:rPr>
        <mc:AlternateContent>
          <mc:Choice Requires="wps">
            <w:drawing>
              <wp:anchor distT="0" distB="0" distL="114300" distR="114300" simplePos="0" relativeHeight="251686912" behindDoc="0" locked="0" layoutInCell="1" allowOverlap="1">
                <wp:simplePos x="0" y="0"/>
                <wp:positionH relativeFrom="column">
                  <wp:posOffset>2232025</wp:posOffset>
                </wp:positionH>
                <wp:positionV relativeFrom="paragraph">
                  <wp:posOffset>3062605</wp:posOffset>
                </wp:positionV>
                <wp:extent cx="1205230" cy="365125"/>
                <wp:effectExtent l="0" t="0" r="0" b="0"/>
                <wp:wrapNone/>
                <wp:docPr id="84" name="矩形 84"/>
                <wp:cNvGraphicFramePr/>
                <a:graphic xmlns:a="http://schemas.openxmlformats.org/drawingml/2006/main">
                  <a:graphicData uri="http://schemas.microsoft.com/office/word/2010/wordprocessingShape">
                    <wps:wsp>
                      <wps:cNvSpPr/>
                      <wps:spPr>
                        <a:xfrm>
                          <a:off x="0" y="0"/>
                          <a:ext cx="1205230" cy="365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A64CF2">
                            <w:pPr>
                              <w:spacing w:line="240" w:lineRule="auto"/>
                              <w:ind w:left="0" w:leftChars="0" w:firstLine="0" w:firstLineChars="0"/>
                              <w:rPr>
                                <w:b/>
                                <w:bCs/>
                                <w:color w:val="FFFF00"/>
                              </w:rPr>
                            </w:pPr>
                            <w:r>
                              <w:rPr>
                                <w:rFonts w:hint="default" w:ascii="Times New Roman" w:hAnsi="Times New Roman" w:eastAsia="宋体" w:cs="Times New Roman"/>
                                <w:b/>
                                <w:bCs/>
                                <w:color w:val="FFFF00"/>
                                <w:highlight w:val="none"/>
                                <w:lang w:eastAsia="zh-CN"/>
                              </w:rPr>
                              <w:t>新丰村三社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75pt;margin-top:241.15pt;height:28.75pt;width:94.9pt;z-index:251686912;v-text-anchor:middle;mso-width-relative:page;mso-height-relative:page;" filled="f" stroked="f" coordsize="21600,21600" o:gfxdata="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AsZyv2QAAAAsB&#10;AAAPAAAAAAAAAAEAIAAAACIAAABkcnMvZG93bnJldi54bWxQSwECFAAUAAAACACHTuJA6ngRjFMC&#10;AACYBAAADgAAAAAAAAABACAAAAAoAQAAZHJzL2Uyb0RvYy54bWxQSwUGAAAAAAYABgBZAQAA7QUA&#10;AAAA&#10;">
                <v:fill on="f" focussize="0,0"/>
                <v:stroke on="f" weight="2pt"/>
                <v:imagedata o:title=""/>
                <o:lock v:ext="edit" aspectratio="f"/>
                <v:textbox>
                  <w:txbxContent>
                    <w:p w14:paraId="1FA64CF2">
                      <w:pPr>
                        <w:spacing w:line="240" w:lineRule="auto"/>
                        <w:ind w:left="0" w:leftChars="0" w:firstLine="0" w:firstLineChars="0"/>
                        <w:rPr>
                          <w:b/>
                          <w:bCs/>
                          <w:color w:val="FFFF00"/>
                        </w:rPr>
                      </w:pPr>
                      <w:r>
                        <w:rPr>
                          <w:rFonts w:hint="default" w:ascii="Times New Roman" w:hAnsi="Times New Roman" w:eastAsia="宋体" w:cs="Times New Roman"/>
                          <w:b/>
                          <w:bCs/>
                          <w:color w:val="FFFF00"/>
                          <w:highlight w:val="none"/>
                          <w:lang w:eastAsia="zh-CN"/>
                        </w:rPr>
                        <w:t>新丰村三社</w:t>
                      </w:r>
                    </w:p>
                  </w:txbxContent>
                </v:textbox>
              </v:rect>
            </w:pict>
          </mc:Fallback>
        </mc:AlternateContent>
      </w:r>
      <w:r>
        <w:rPr>
          <w:rFonts w:hint="default" w:ascii="Times New Roman" w:hAnsi="Times New Roman" w:eastAsia="宋体" w:cs="Times New Roman"/>
          <w:color w:val="auto"/>
          <w:sz w:val="32"/>
          <w:highlight w:val="none"/>
        </w:rPr>
        <mc:AlternateContent>
          <mc:Choice Requires="wps">
            <w:drawing>
              <wp:anchor distT="0" distB="0" distL="114300" distR="114300" simplePos="0" relativeHeight="251685888" behindDoc="0" locked="0" layoutInCell="1" allowOverlap="1">
                <wp:simplePos x="0" y="0"/>
                <wp:positionH relativeFrom="column">
                  <wp:posOffset>5013325</wp:posOffset>
                </wp:positionH>
                <wp:positionV relativeFrom="paragraph">
                  <wp:posOffset>2146300</wp:posOffset>
                </wp:positionV>
                <wp:extent cx="884555" cy="325755"/>
                <wp:effectExtent l="0" t="0" r="0" b="0"/>
                <wp:wrapNone/>
                <wp:docPr id="83" name="矩形 83"/>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BFFCF2">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耕地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4.75pt;margin-top:169pt;height:25.65pt;width:69.65pt;z-index:251685888;v-text-anchor:middle;mso-width-relative:page;mso-height-relative:page;" filled="f" stroked="f" coordsize="21600,21600" o:gfxdata="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PlyY9oAAAAL&#10;AQAADwAAAAAAAAABACAAAAAiAAAAZHJzL2Rvd25yZXYueG1sUEsBAhQAFAAAAAgAh07iQDkFLEtT&#10;AgAAlwQAAA4AAAAAAAAAAQAgAAAAKQEAAGRycy9lMm9Eb2MueG1sUEsFBgAAAAAGAAYAWQEAAO4F&#10;AAAAAA==&#10;">
                <v:fill on="f" focussize="0,0"/>
                <v:stroke on="f" weight="2pt"/>
                <v:imagedata o:title=""/>
                <o:lock v:ext="edit" aspectratio="f"/>
                <v:textbox>
                  <w:txbxContent>
                    <w:p w14:paraId="30BFFCF2">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耕地</w:t>
                      </w:r>
                    </w:p>
                  </w:txbxContent>
                </v:textbox>
              </v:rect>
            </w:pict>
          </mc:Fallback>
        </mc:AlternateContent>
      </w:r>
      <w:r>
        <w:rPr>
          <w:rFonts w:hint="default" w:ascii="Times New Roman" w:hAnsi="Times New Roman" w:eastAsia="宋体" w:cs="Times New Roman"/>
          <w:color w:val="auto"/>
          <w:sz w:val="32"/>
          <w:highlight w:val="none"/>
        </w:rPr>
        <mc:AlternateContent>
          <mc:Choice Requires="wps">
            <w:drawing>
              <wp:anchor distT="0" distB="0" distL="114300" distR="114300" simplePos="0" relativeHeight="251687936" behindDoc="0" locked="0" layoutInCell="1" allowOverlap="1">
                <wp:simplePos x="0" y="0"/>
                <wp:positionH relativeFrom="column">
                  <wp:posOffset>627380</wp:posOffset>
                </wp:positionH>
                <wp:positionV relativeFrom="paragraph">
                  <wp:posOffset>43180</wp:posOffset>
                </wp:positionV>
                <wp:extent cx="5915025" cy="4133850"/>
                <wp:effectExtent l="16510" t="23495" r="31115" b="33655"/>
                <wp:wrapNone/>
                <wp:docPr id="90" name="直接连接符 90"/>
                <wp:cNvGraphicFramePr/>
                <a:graphic xmlns:a="http://schemas.openxmlformats.org/drawingml/2006/main">
                  <a:graphicData uri="http://schemas.microsoft.com/office/word/2010/wordprocessingShape">
                    <wps:wsp>
                      <wps:cNvCnPr/>
                      <wps:spPr>
                        <a:xfrm flipV="1">
                          <a:off x="3437255" y="1083310"/>
                          <a:ext cx="5915025" cy="4133850"/>
                        </a:xfrm>
                        <a:prstGeom prst="line">
                          <a:avLst/>
                        </a:prstGeom>
                        <a:ln w="571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49.4pt;margin-top:3.4pt;height:325.5pt;width:465.75pt;z-index:251687936;mso-width-relative:page;mso-height-relative:page;" filled="f" stroked="t" coordsize="21600,21600" o:gfxdata="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QjEDD2QAAAAkBAAAPAAAAAAAAAAEAIAAAACIAAABkcnMvZG93bnJldi54bWxQ&#10;SwECFAAUAAAACACHTuJAm2JOuvYBAAC5AwAADgAAAAAAAAABACAAAAAoAQAAZHJzL2Uyb0RvYy54&#10;bWxQSwUGAAAAAAYABgBZAQAAkAUAAAAA&#10;">
                <v:fill on="f" focussize="0,0"/>
                <v:stroke weight="4.5pt" color="#00B0F0 [3204]" joinstyle="round"/>
                <v:imagedata o:title=""/>
                <o:lock v:ext="edit" aspectratio="f"/>
              </v:line>
            </w:pict>
          </mc:Fallback>
        </mc:AlternateContent>
      </w:r>
      <w:r>
        <w:rPr>
          <w:rFonts w:hint="default" w:ascii="Times New Roman" w:hAnsi="Times New Roman" w:eastAsia="宋体" w:cs="Times New Roman"/>
          <w:color w:val="auto"/>
          <w:highlight w:val="none"/>
          <w:lang w:eastAsia="zh-CN"/>
        </w:rPr>
        <w:drawing>
          <wp:inline distT="0" distB="0" distL="114300" distR="114300">
            <wp:extent cx="7161530" cy="5255895"/>
            <wp:effectExtent l="0" t="0" r="1270" b="1905"/>
            <wp:docPr id="63" name="图片 63" descr="屏幕截图3123123123123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屏幕截图3123123123123123123"/>
                    <pic:cNvPicPr>
                      <a:picLocks noChangeAspect="1"/>
                    </pic:cNvPicPr>
                  </pic:nvPicPr>
                  <pic:blipFill>
                    <a:blip r:embed="rId25"/>
                    <a:stretch>
                      <a:fillRect/>
                    </a:stretch>
                  </pic:blipFill>
                  <pic:spPr>
                    <a:xfrm>
                      <a:off x="0" y="0"/>
                      <a:ext cx="7161530" cy="5255895"/>
                    </a:xfrm>
                    <a:prstGeom prst="rect">
                      <a:avLst/>
                    </a:prstGeom>
                  </pic:spPr>
                </pic:pic>
              </a:graphicData>
            </a:graphic>
          </wp:inline>
        </w:drawing>
      </w:r>
    </w:p>
    <w:p w14:paraId="22A819C0">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图3.1-</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项目四邻关系图</w:t>
      </w:r>
    </w:p>
    <w:p w14:paraId="025FF984">
      <w:pPr>
        <w:pageBreakBefore w:val="0"/>
        <w:shd w:val="clear"/>
        <w:kinsoku/>
        <w:wordWrap/>
        <w:bidi w:val="0"/>
        <w:ind w:left="0" w:leftChars="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161B64C9">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40" w:name="_Toc494206284"/>
      <w:bookmarkStart w:id="241" w:name="_Toc6103"/>
      <w:bookmarkStart w:id="242" w:name="_Toc512871542"/>
      <w:r>
        <w:rPr>
          <w:rFonts w:hint="default" w:ascii="Times New Roman" w:hAnsi="Times New Roman" w:eastAsia="宋体" w:cs="Times New Roman"/>
          <w:color w:val="auto"/>
          <w:highlight w:val="none"/>
        </w:rPr>
        <w:t>3.1.2项目组成</w:t>
      </w:r>
      <w:bookmarkEnd w:id="240"/>
      <w:r>
        <w:rPr>
          <w:rFonts w:hint="default" w:ascii="Times New Roman" w:hAnsi="Times New Roman" w:eastAsia="宋体" w:cs="Times New Roman"/>
          <w:color w:val="auto"/>
          <w:highlight w:val="none"/>
        </w:rPr>
        <w:t>及建设内容</w:t>
      </w:r>
      <w:bookmarkEnd w:id="241"/>
      <w:bookmarkEnd w:id="242"/>
    </w:p>
    <w:p w14:paraId="0559A39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，建设内容主要</w:t>
      </w:r>
      <w:r>
        <w:rPr>
          <w:rFonts w:hint="default" w:ascii="Times New Roman" w:hAnsi="Times New Roman" w:eastAsia="宋体" w:cs="Times New Roman"/>
          <w:color w:val="auto"/>
          <w:highlight w:val="none"/>
          <w:lang w:eastAsia="zh-CN"/>
        </w:rPr>
        <w:t>为羊圈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草棚、办公室</w:t>
      </w:r>
      <w:r>
        <w:rPr>
          <w:rFonts w:hint="default" w:ascii="Times New Roman" w:hAnsi="Times New Roman" w:eastAsia="宋体" w:cs="Times New Roman"/>
          <w:color w:val="auto"/>
          <w:highlight w:val="none"/>
        </w:rPr>
        <w:t>等，并配套建设</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等环保工程，项目组成见表3.1-</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p>
    <w:p w14:paraId="187B325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项目组成及建设内容一览表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93"/>
        <w:gridCol w:w="993"/>
        <w:gridCol w:w="993"/>
        <w:gridCol w:w="5298"/>
      </w:tblGrid>
      <w:tr w14:paraId="48B86D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1B447F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76AD42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项目名称</w:t>
            </w:r>
          </w:p>
        </w:tc>
        <w:tc>
          <w:tcPr>
            <w:tcW w:w="5298" w:type="dxa"/>
            <w:tcBorders>
              <w:top w:val="single" w:color="auto" w:sz="4" w:space="0"/>
              <w:left w:val="single" w:color="auto" w:sz="4" w:space="0"/>
              <w:bottom w:val="single" w:color="auto" w:sz="4" w:space="0"/>
              <w:right w:val="single" w:color="auto" w:sz="4" w:space="0"/>
            </w:tcBorders>
            <w:vAlign w:val="center"/>
          </w:tcPr>
          <w:p w14:paraId="56EEE6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建设内容</w:t>
            </w:r>
          </w:p>
        </w:tc>
      </w:tr>
      <w:tr w14:paraId="75C76B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35E094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w:t>
            </w:r>
          </w:p>
          <w:p w14:paraId="27C3C0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0B7FD0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contextualSpacing/>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肉羊</w:t>
            </w:r>
            <w:r>
              <w:rPr>
                <w:rFonts w:hint="default" w:ascii="Times New Roman" w:hAnsi="Times New Roman" w:eastAsia="宋体" w:cs="Times New Roman"/>
                <w:color w:val="auto"/>
                <w:kern w:val="2"/>
                <w:sz w:val="21"/>
                <w:szCs w:val="21"/>
                <w:highlight w:val="none"/>
                <w:lang w:val="en-US" w:eastAsia="zh-CN" w:bidi="ar-SA"/>
              </w:rPr>
              <w:t>圈</w:t>
            </w:r>
          </w:p>
        </w:tc>
        <w:tc>
          <w:tcPr>
            <w:tcW w:w="5298" w:type="dxa"/>
            <w:tcBorders>
              <w:top w:val="single" w:color="auto" w:sz="4" w:space="0"/>
              <w:left w:val="single" w:color="auto" w:sz="4" w:space="0"/>
              <w:bottom w:val="single" w:color="auto" w:sz="4" w:space="0"/>
              <w:right w:val="single" w:color="auto" w:sz="4" w:space="0"/>
            </w:tcBorders>
            <w:vAlign w:val="center"/>
          </w:tcPr>
          <w:p w14:paraId="146C1CDA">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420" w:firstLineChars="200"/>
              <w:contextualSpacing/>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建设标准化羊圈13栋，每栋1890.56</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采用混凝土独立基础，</w:t>
            </w:r>
            <w:r>
              <w:rPr>
                <w:rFonts w:hint="default" w:ascii="Times New Roman" w:hAnsi="Times New Roman" w:eastAsia="宋体" w:cs="Times New Roman"/>
                <w:color w:val="auto"/>
                <w:sz w:val="21"/>
                <w:szCs w:val="21"/>
                <w:highlight w:val="none"/>
                <w:lang w:val="en-US" w:eastAsia="zh-CN"/>
              </w:rPr>
              <w:t>钢结构</w:t>
            </w:r>
            <w:r>
              <w:rPr>
                <w:rFonts w:hint="default" w:ascii="Times New Roman" w:hAnsi="Times New Roman" w:eastAsia="宋体" w:cs="Times New Roman"/>
                <w:color w:val="auto"/>
                <w:sz w:val="21"/>
                <w:szCs w:val="21"/>
                <w:highlight w:val="none"/>
              </w:rPr>
              <w:t>。高2.8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3.3m</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屋檐居地面</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羊圈内地面采用素土地面</w:t>
            </w:r>
            <w:r>
              <w:rPr>
                <w:rFonts w:hint="default" w:ascii="Times New Roman" w:hAnsi="Times New Roman" w:eastAsia="宋体" w:cs="Times New Roman"/>
                <w:color w:val="auto"/>
                <w:sz w:val="21"/>
                <w:szCs w:val="21"/>
                <w:highlight w:val="none"/>
                <w:lang w:eastAsia="zh-CN"/>
              </w:rPr>
              <w:t>。羊圈冬季西侧、北侧设置围挡；春夏秋季节将去掉羊圈的围挡，以自然通风的方式进行羊圈换气。</w:t>
            </w:r>
          </w:p>
          <w:p w14:paraId="481A9700">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420" w:firstLineChars="200"/>
              <w:contextualSpacing/>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运动场</w:t>
            </w:r>
            <w:r>
              <w:rPr>
                <w:rFonts w:hint="default" w:ascii="Times New Roman" w:hAnsi="Times New Roman" w:eastAsia="宋体" w:cs="Times New Roman"/>
                <w:color w:val="auto"/>
                <w:kern w:val="2"/>
                <w:sz w:val="21"/>
                <w:szCs w:val="21"/>
                <w:highlight w:val="none"/>
                <w:vertAlign w:val="baseline"/>
                <w:lang w:val="en-US" w:eastAsia="zh-CN"/>
              </w:rPr>
              <w:t>位于羊圈南侧，</w:t>
            </w:r>
            <w:r>
              <w:rPr>
                <w:rFonts w:hint="default" w:ascii="Times New Roman" w:hAnsi="Times New Roman" w:eastAsia="宋体" w:cs="Times New Roman"/>
                <w:color w:val="auto"/>
                <w:kern w:val="2"/>
                <w:sz w:val="21"/>
                <w:szCs w:val="21"/>
                <w:highlight w:val="none"/>
                <w:vertAlign w:val="baseline"/>
                <w:lang w:eastAsia="zh-CN"/>
              </w:rPr>
              <w:t>均为露天场地，四周设置钢结构围栏，</w:t>
            </w:r>
            <w:r>
              <w:rPr>
                <w:rFonts w:hint="default" w:ascii="Times New Roman" w:hAnsi="Times New Roman" w:eastAsia="宋体" w:cs="Times New Roman"/>
                <w:color w:val="auto"/>
                <w:kern w:val="2"/>
                <w:sz w:val="21"/>
                <w:szCs w:val="21"/>
                <w:highlight w:val="none"/>
                <w:vertAlign w:val="baseline"/>
                <w:lang w:val="en-US" w:eastAsia="zh-CN"/>
              </w:rPr>
              <w:t>运动场</w:t>
            </w:r>
            <w:r>
              <w:rPr>
                <w:rFonts w:hint="default" w:ascii="Times New Roman" w:hAnsi="Times New Roman" w:eastAsia="宋体" w:cs="Times New Roman"/>
                <w:color w:val="auto"/>
                <w:sz w:val="21"/>
                <w:szCs w:val="21"/>
                <w:highlight w:val="none"/>
                <w:lang w:val="en-US" w:eastAsia="zh-CN"/>
              </w:rPr>
              <w:t>地面采用混凝土地面</w:t>
            </w:r>
            <w:r>
              <w:rPr>
                <w:rFonts w:hint="default" w:ascii="Times New Roman" w:hAnsi="Times New Roman" w:eastAsia="宋体" w:cs="Times New Roman"/>
                <w:color w:val="auto"/>
                <w:kern w:val="2"/>
                <w:sz w:val="21"/>
                <w:szCs w:val="21"/>
                <w:highlight w:val="none"/>
              </w:rPr>
              <w:t>。</w:t>
            </w:r>
          </w:p>
        </w:tc>
      </w:tr>
      <w:tr w14:paraId="020F51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044E5B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辅助</w:t>
            </w:r>
          </w:p>
          <w:p w14:paraId="3F8B2E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D73D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日粮搅拌车间</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2D7605EC">
            <w:pPr>
              <w:keepNext w:val="0"/>
              <w:keepLines w:val="0"/>
              <w:pageBreakBefore w:val="0"/>
              <w:numPr>
                <w:ilvl w:val="0"/>
                <w:numId w:val="0"/>
              </w:numPr>
              <w:shd w:val="clear"/>
              <w:kinsoku/>
              <w:wordWrap/>
              <w:overflowPunct/>
              <w:autoSpaceDN/>
              <w:bidi w:val="0"/>
              <w:adjustRightInd/>
              <w:snapToGrid w:val="0"/>
              <w:spacing w:line="240" w:lineRule="auto"/>
              <w:ind w:left="0" w:leftChars="0" w:right="0" w:rightChars="0" w:firstLine="420" w:firstLineChars="200"/>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位于厂区西北侧</w:t>
            </w:r>
            <w:r>
              <w:rPr>
                <w:rFonts w:hint="default" w:ascii="Times New Roman" w:hAnsi="Times New Roman" w:eastAsia="宋体" w:cs="Times New Roman"/>
                <w:color w:val="auto"/>
                <w:sz w:val="21"/>
                <w:szCs w:val="21"/>
                <w:highlight w:val="none"/>
                <w:lang w:val="en-US" w:eastAsia="zh-CN"/>
              </w:rPr>
              <w:t>设置1座</w:t>
            </w:r>
            <w:r>
              <w:rPr>
                <w:rFonts w:hint="default" w:ascii="Times New Roman" w:hAnsi="Times New Roman" w:eastAsia="宋体" w:cs="Times New Roman"/>
                <w:color w:val="auto"/>
                <w:kern w:val="0"/>
                <w:sz w:val="21"/>
                <w:szCs w:val="21"/>
                <w:highlight w:val="none"/>
                <w:lang w:val="en-US" w:eastAsia="zh-CN"/>
              </w:rPr>
              <w:t>日粮搅拌车间</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占地面积为1000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b w:val="0"/>
                <w:bCs w:val="0"/>
                <w:color w:val="auto"/>
                <w:kern w:val="2"/>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lang w:val="en-US" w:eastAsia="zh-CN"/>
              </w:rPr>
              <w:t>全封闭</w:t>
            </w:r>
            <w:r>
              <w:rPr>
                <w:rFonts w:hint="default" w:ascii="Times New Roman" w:hAnsi="Times New Roman" w:eastAsia="宋体" w:cs="Times New Roman"/>
                <w:b w:val="0"/>
                <w:bCs w:val="0"/>
                <w:color w:val="auto"/>
                <w:kern w:val="2"/>
                <w:sz w:val="21"/>
                <w:szCs w:val="21"/>
                <w:highlight w:val="none"/>
                <w:vertAlign w:val="baseline"/>
                <w:lang w:val="en-US" w:eastAsia="zh-CN" w:bidi="ar-SA"/>
              </w:rPr>
              <w:t>彩钢结构，用于饲料的破碎和搅拌，设置2台饲料粉碎机、3台</w:t>
            </w:r>
            <w:r>
              <w:rPr>
                <w:rFonts w:hint="default" w:ascii="Times New Roman" w:hAnsi="Times New Roman" w:eastAsia="宋体" w:cs="Times New Roman"/>
                <w:b w:val="0"/>
                <w:bCs w:val="0"/>
                <w:color w:val="auto"/>
                <w:kern w:val="2"/>
                <w:sz w:val="21"/>
                <w:szCs w:val="21"/>
                <w:highlight w:val="none"/>
                <w:vertAlign w:val="baseline"/>
                <w:lang w:val="en-US" w:eastAsia="zh-CN" w:bidi="ar-SA"/>
              </w:rPr>
              <w:t>日粮搅拌机</w:t>
            </w:r>
            <w:r>
              <w:rPr>
                <w:rFonts w:hint="default" w:ascii="Times New Roman" w:hAnsi="Times New Roman" w:eastAsia="宋体" w:cs="Times New Roman"/>
                <w:color w:val="auto"/>
                <w:kern w:val="0"/>
                <w:sz w:val="21"/>
                <w:szCs w:val="21"/>
                <w:highlight w:val="none"/>
                <w:lang w:eastAsia="zh-CN"/>
              </w:rPr>
              <w:t>。</w:t>
            </w:r>
          </w:p>
        </w:tc>
      </w:tr>
      <w:tr w14:paraId="6DFFA5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left w:val="single" w:color="auto" w:sz="4" w:space="0"/>
              <w:right w:val="single" w:color="auto" w:sz="4" w:space="0"/>
            </w:tcBorders>
            <w:vAlign w:val="center"/>
          </w:tcPr>
          <w:p w14:paraId="064E17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68D62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烘干塔</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7D5D928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厂区中部建设1座300t/d烘干塔</w:t>
            </w:r>
            <w:r>
              <w:rPr>
                <w:rFonts w:hint="default" w:ascii="Times New Roman" w:hAnsi="Times New Roman" w:eastAsia="宋体" w:cs="Times New Roman"/>
                <w:color w:val="auto"/>
                <w:kern w:val="0"/>
                <w:sz w:val="21"/>
                <w:szCs w:val="21"/>
                <w:highlight w:val="none"/>
                <w:lang w:eastAsia="zh-CN"/>
              </w:rPr>
              <w:t>，占地</w:t>
            </w:r>
            <w:r>
              <w:rPr>
                <w:rFonts w:hint="default" w:ascii="Times New Roman" w:hAnsi="Times New Roman" w:eastAsia="宋体" w:cs="Times New Roman"/>
                <w:color w:val="auto"/>
                <w:kern w:val="0"/>
                <w:sz w:val="21"/>
                <w:szCs w:val="21"/>
                <w:highlight w:val="none"/>
                <w:lang w:val="en-US" w:eastAsia="zh-CN"/>
              </w:rPr>
              <w:t>面积</w:t>
            </w:r>
            <w:r>
              <w:rPr>
                <w:rFonts w:hint="default" w:ascii="Times New Roman" w:hAnsi="Times New Roman" w:eastAsia="宋体" w:cs="Times New Roman"/>
                <w:color w:val="auto"/>
                <w:kern w:val="0"/>
                <w:sz w:val="21"/>
                <w:szCs w:val="21"/>
                <w:highlight w:val="none"/>
                <w:lang w:eastAsia="zh-CN"/>
              </w:rPr>
              <w:t>为</w:t>
            </w:r>
            <w:r>
              <w:rPr>
                <w:rFonts w:hint="default" w:ascii="Times New Roman" w:hAnsi="Times New Roman" w:eastAsia="宋体" w:cs="Times New Roman"/>
                <w:color w:val="auto"/>
                <w:kern w:val="0"/>
                <w:sz w:val="21"/>
                <w:szCs w:val="21"/>
                <w:highlight w:val="none"/>
                <w:lang w:val="en-US" w:eastAsia="zh-CN"/>
              </w:rPr>
              <w:t>3.5</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lang w:val="en-US" w:eastAsia="zh-CN"/>
              </w:rPr>
              <w:t>3.5</w:t>
            </w:r>
            <w:r>
              <w:rPr>
                <w:rFonts w:hint="default" w:ascii="Times New Roman" w:hAnsi="Times New Roman" w:eastAsia="宋体" w:cs="Times New Roman"/>
                <w:color w:val="auto"/>
                <w:kern w:val="0"/>
                <w:sz w:val="21"/>
                <w:szCs w:val="21"/>
                <w:highlight w:val="none"/>
              </w:rPr>
              <w:t>m、高</w:t>
            </w:r>
            <w:r>
              <w:rPr>
                <w:rFonts w:hint="default" w:ascii="Times New Roman" w:hAnsi="Times New Roman" w:eastAsia="宋体" w:cs="Times New Roman"/>
                <w:color w:val="auto"/>
                <w:kern w:val="0"/>
                <w:sz w:val="21"/>
                <w:szCs w:val="21"/>
                <w:highlight w:val="none"/>
                <w:lang w:val="en-US" w:eastAsia="zh-CN"/>
              </w:rPr>
              <w:t>25</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lang w:eastAsia="zh-CN"/>
              </w:rPr>
              <w:t>；日烘干玉米粒</w:t>
            </w:r>
            <w:r>
              <w:rPr>
                <w:rFonts w:hint="default" w:ascii="Times New Roman" w:hAnsi="Times New Roman" w:eastAsia="宋体" w:cs="Times New Roman"/>
                <w:color w:val="auto"/>
                <w:kern w:val="0"/>
                <w:sz w:val="21"/>
                <w:szCs w:val="21"/>
                <w:highlight w:val="none"/>
                <w:lang w:val="en-US" w:eastAsia="zh-CN"/>
              </w:rPr>
              <w:t>300t</w:t>
            </w:r>
            <w:r>
              <w:rPr>
                <w:rFonts w:hint="default" w:ascii="Times New Roman" w:hAnsi="Times New Roman" w:eastAsia="宋体" w:cs="Times New Roman"/>
                <w:color w:val="auto"/>
                <w:kern w:val="0"/>
                <w:sz w:val="21"/>
                <w:szCs w:val="21"/>
                <w:highlight w:val="none"/>
                <w:lang w:eastAsia="zh-CN"/>
              </w:rPr>
              <w:t>。</w:t>
            </w:r>
          </w:p>
        </w:tc>
      </w:tr>
      <w:tr w14:paraId="4A47E2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left w:val="single" w:color="auto" w:sz="4" w:space="0"/>
              <w:right w:val="single" w:color="auto" w:sz="4" w:space="0"/>
            </w:tcBorders>
            <w:vAlign w:val="center"/>
          </w:tcPr>
          <w:p w14:paraId="7D9412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1DE205">
            <w:pPr>
              <w:keepNext w:val="0"/>
              <w:keepLines w:val="0"/>
              <w:pageBreakBefore w:val="0"/>
              <w:suppressLineNumbers w:val="0"/>
              <w:shd w:val="clear"/>
              <w:kinsoku/>
              <w:wordWrap/>
              <w:overflowPunct/>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热风炉房</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2B4F3033">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厂区中部建设1座</w:t>
            </w:r>
            <w:r>
              <w:rPr>
                <w:rFonts w:hint="default" w:ascii="Times New Roman" w:hAnsi="Times New Roman" w:eastAsia="宋体" w:cs="Times New Roman"/>
                <w:color w:val="auto"/>
                <w:kern w:val="0"/>
                <w:sz w:val="21"/>
                <w:szCs w:val="21"/>
                <w:highlight w:val="none"/>
                <w:lang w:eastAsia="zh-CN"/>
              </w:rPr>
              <w:t>热风炉房，单层钢结构，</w:t>
            </w:r>
            <w:r>
              <w:rPr>
                <w:rFonts w:hint="default" w:ascii="Times New Roman" w:hAnsi="Times New Roman" w:eastAsia="宋体" w:cs="Times New Roman"/>
                <w:color w:val="auto"/>
                <w:kern w:val="0"/>
                <w:sz w:val="21"/>
                <w:szCs w:val="21"/>
                <w:highlight w:val="none"/>
              </w:rPr>
              <w:t>占地面积</w:t>
            </w:r>
            <w:r>
              <w:rPr>
                <w:rFonts w:hint="default" w:ascii="Times New Roman" w:hAnsi="Times New Roman" w:eastAsia="宋体" w:cs="Times New Roman"/>
                <w:color w:val="auto"/>
                <w:kern w:val="0"/>
                <w:sz w:val="21"/>
                <w:szCs w:val="21"/>
                <w:highlight w:val="none"/>
                <w:lang w:eastAsia="zh-CN"/>
              </w:rPr>
              <w:t>为</w:t>
            </w:r>
            <w:r>
              <w:rPr>
                <w:rFonts w:hint="default" w:ascii="Times New Roman" w:hAnsi="Times New Roman" w:eastAsia="宋体" w:cs="Times New Roman"/>
                <w:color w:val="auto"/>
                <w:kern w:val="0"/>
                <w:sz w:val="21"/>
                <w:szCs w:val="21"/>
                <w:highlight w:val="none"/>
                <w:lang w:val="en-US" w:eastAsia="zh-CN"/>
              </w:rPr>
              <w:t>130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lang w:eastAsia="zh-CN"/>
              </w:rPr>
              <w:t>；内设置</w:t>
            </w:r>
            <w:r>
              <w:rPr>
                <w:rFonts w:hint="default" w:ascii="Times New Roman" w:hAnsi="Times New Roman" w:eastAsia="宋体" w:cs="Times New Roman"/>
                <w:color w:val="auto"/>
                <w:kern w:val="0"/>
                <w:sz w:val="21"/>
                <w:szCs w:val="21"/>
                <w:highlight w:val="none"/>
                <w:lang w:val="en-US" w:eastAsia="zh-CN"/>
              </w:rPr>
              <w:t>1台3t/h生物质热风炉，</w:t>
            </w:r>
            <w:r>
              <w:rPr>
                <w:rFonts w:hint="default" w:ascii="Times New Roman" w:hAnsi="Times New Roman" w:eastAsia="宋体" w:cs="Times New Roman"/>
                <w:b w:val="0"/>
                <w:bCs/>
                <w:color w:val="auto"/>
                <w:sz w:val="21"/>
                <w:szCs w:val="21"/>
                <w:highlight w:val="none"/>
                <w:lang w:val="en-US" w:eastAsia="zh-CN"/>
              </w:rPr>
              <w:t>为烘干塔提供热量。</w:t>
            </w:r>
          </w:p>
          <w:p w14:paraId="0ECC540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配套设置</w:t>
            </w:r>
            <w:r>
              <w:rPr>
                <w:rFonts w:hint="default" w:ascii="Times New Roman" w:hAnsi="Times New Roman" w:eastAsia="宋体" w:cs="Times New Roman"/>
                <w:color w:val="auto"/>
                <w:kern w:val="0"/>
                <w:sz w:val="21"/>
                <w:szCs w:val="21"/>
                <w:highlight w:val="none"/>
                <w:lang w:val="en-US" w:eastAsia="zh-CN"/>
              </w:rPr>
              <w:t>1台布袋除尘器</w:t>
            </w:r>
            <w:r>
              <w:rPr>
                <w:rFonts w:hint="default" w:ascii="Times New Roman" w:hAnsi="Times New Roman" w:eastAsia="宋体" w:cs="Times New Roman"/>
                <w:color w:val="auto"/>
                <w:kern w:val="0"/>
                <w:sz w:val="21"/>
                <w:szCs w:val="21"/>
                <w:highlight w:val="none"/>
                <w:lang w:val="en-US" w:eastAsia="zh-CN"/>
              </w:rPr>
              <w:t>+1根</w:t>
            </w:r>
            <w:r>
              <w:rPr>
                <w:rFonts w:hint="default" w:ascii="Times New Roman" w:hAnsi="Times New Roman" w:eastAsia="宋体" w:cs="Times New Roman"/>
                <w:color w:val="auto"/>
                <w:kern w:val="0"/>
                <w:sz w:val="21"/>
                <w:szCs w:val="21"/>
                <w:highlight w:val="none"/>
              </w:rPr>
              <w:t>15m</w:t>
            </w:r>
            <w:r>
              <w:rPr>
                <w:rFonts w:hint="default" w:ascii="Times New Roman" w:hAnsi="Times New Roman" w:eastAsia="宋体" w:cs="Times New Roman"/>
                <w:color w:val="auto"/>
                <w:kern w:val="0"/>
                <w:sz w:val="21"/>
                <w:szCs w:val="21"/>
                <w:highlight w:val="none"/>
                <w:lang w:eastAsia="zh-CN"/>
              </w:rPr>
              <w:t>高</w:t>
            </w:r>
            <w:r>
              <w:rPr>
                <w:rFonts w:hint="default" w:ascii="Times New Roman" w:hAnsi="Times New Roman" w:eastAsia="宋体" w:cs="Times New Roman"/>
                <w:color w:val="auto"/>
                <w:kern w:val="0"/>
                <w:sz w:val="21"/>
                <w:szCs w:val="21"/>
                <w:highlight w:val="none"/>
              </w:rPr>
              <w:t>排气筒</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P1</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w:t>
            </w:r>
          </w:p>
        </w:tc>
      </w:tr>
      <w:tr w14:paraId="7B75BA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08843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579345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堆肥场</w:t>
            </w:r>
          </w:p>
        </w:tc>
        <w:tc>
          <w:tcPr>
            <w:tcW w:w="5298" w:type="dxa"/>
            <w:tcBorders>
              <w:top w:val="single" w:color="auto" w:sz="4" w:space="0"/>
              <w:left w:val="single" w:color="auto" w:sz="4" w:space="0"/>
              <w:bottom w:val="single" w:color="auto" w:sz="4" w:space="0"/>
              <w:right w:val="single" w:color="auto" w:sz="4" w:space="0"/>
            </w:tcBorders>
            <w:vAlign w:val="center"/>
          </w:tcPr>
          <w:p w14:paraId="2D4AAD61">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420" w:firstLineChars="200"/>
              <w:contextualSpacing/>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建设1</w:t>
            </w:r>
            <w:r>
              <w:rPr>
                <w:rFonts w:hint="default" w:ascii="Times New Roman" w:hAnsi="Times New Roman" w:eastAsia="宋体" w:cs="Times New Roman"/>
                <w:color w:val="auto"/>
                <w:sz w:val="21"/>
                <w:szCs w:val="21"/>
                <w:highlight w:val="none"/>
              </w:rPr>
              <w:t>座</w:t>
            </w:r>
            <w:r>
              <w:rPr>
                <w:rFonts w:hint="default" w:ascii="Times New Roman" w:hAnsi="Times New Roman" w:eastAsia="宋体" w:cs="Times New Roman"/>
                <w:color w:val="auto"/>
                <w:sz w:val="21"/>
                <w:szCs w:val="21"/>
                <w:highlight w:val="none"/>
                <w:vertAlign w:val="baseline"/>
                <w:lang w:eastAsia="zh-CN"/>
              </w:rPr>
              <w:t>堆肥场，位于厂区南侧</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屋顶设置防雨设施，采用彩钢顶棚，</w:t>
            </w:r>
            <w:r>
              <w:rPr>
                <w:rFonts w:hint="default" w:ascii="Times New Roman" w:hAnsi="Times New Roman" w:eastAsia="宋体" w:cs="Times New Roman"/>
                <w:color w:val="auto"/>
                <w:kern w:val="0"/>
                <w:sz w:val="21"/>
                <w:szCs w:val="21"/>
                <w:highlight w:val="none"/>
                <w:lang w:val="en-US" w:eastAsia="zh-CN"/>
              </w:rPr>
              <w:t>占地面积为</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00m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lang w:val="en-US" w:eastAsia="zh-CN"/>
              </w:rPr>
              <w:t>发酵堆肥</w:t>
            </w:r>
            <w:r>
              <w:rPr>
                <w:rFonts w:hint="default" w:ascii="Times New Roman" w:hAnsi="Times New Roman" w:eastAsia="宋体" w:cs="Times New Roman"/>
                <w:color w:val="auto"/>
                <w:sz w:val="21"/>
                <w:szCs w:val="21"/>
                <w:highlight w:val="none"/>
              </w:rPr>
              <w:t>。</w:t>
            </w:r>
          </w:p>
          <w:p w14:paraId="3DB58D0A">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420" w:firstLineChars="200"/>
              <w:contextualSpacing/>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四周设置</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m高挡墙，出入口设置截水沟。挡墙：墙采用240mm厚多孔砖，高度500mm。抹灰：墙体内外双侧抹水泥砂浆。</w:t>
            </w:r>
          </w:p>
          <w:p w14:paraId="66D048CC">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420" w:firstLineChars="200"/>
              <w:contextualSpacing/>
              <w:jc w:val="left"/>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rPr>
              <w:t>堆肥场进行防渗，</w:t>
            </w:r>
            <w:r>
              <w:rPr>
                <w:rFonts w:hint="default" w:ascii="Times New Roman" w:hAnsi="Times New Roman" w:eastAsia="宋体" w:cs="Times New Roman"/>
                <w:color w:val="auto"/>
                <w:sz w:val="21"/>
                <w:szCs w:val="21"/>
                <w:highlight w:val="none"/>
              </w:rPr>
              <w:t>渗透系数≤10</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vertAlign w:val="superscript"/>
                <w:lang w:val="en-US" w:eastAsia="zh-CN"/>
              </w:rPr>
              <w:t>7</w:t>
            </w:r>
            <w:r>
              <w:rPr>
                <w:rFonts w:hint="default" w:ascii="Times New Roman" w:hAnsi="Times New Roman" w:eastAsia="宋体" w:cs="Times New Roman"/>
                <w:color w:val="auto"/>
                <w:sz w:val="21"/>
                <w:szCs w:val="21"/>
                <w:highlight w:val="none"/>
              </w:rPr>
              <w:t>m/s</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防渗材料选用厚度不小于1.5mm的人工合成材料高密度聚乙烯膜或经压实、人工改良后，厚度不小于0.75m粘土</w:t>
            </w:r>
            <w:r>
              <w:rPr>
                <w:rFonts w:hint="default" w:ascii="Times New Roman" w:hAnsi="Times New Roman" w:eastAsia="宋体" w:cs="Times New Roman"/>
                <w:color w:val="auto"/>
                <w:sz w:val="21"/>
                <w:szCs w:val="21"/>
                <w:highlight w:val="none"/>
              </w:rPr>
              <w:t>。</w:t>
            </w:r>
          </w:p>
        </w:tc>
      </w:tr>
      <w:tr w14:paraId="4896E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A0423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4B0174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防疫药品间</w:t>
            </w:r>
          </w:p>
        </w:tc>
        <w:tc>
          <w:tcPr>
            <w:tcW w:w="5298" w:type="dxa"/>
            <w:tcBorders>
              <w:top w:val="single" w:color="auto" w:sz="4" w:space="0"/>
              <w:left w:val="single" w:color="auto" w:sz="4" w:space="0"/>
              <w:bottom w:val="single" w:color="auto" w:sz="4" w:space="0"/>
              <w:right w:val="single" w:color="auto" w:sz="4" w:space="0"/>
            </w:tcBorders>
            <w:vAlign w:val="center"/>
          </w:tcPr>
          <w:p w14:paraId="1A0AD66F">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用于储存疫苗药品</w:t>
            </w:r>
            <w:r>
              <w:rPr>
                <w:rFonts w:hint="default" w:ascii="Times New Roman" w:hAnsi="Times New Roman" w:eastAsia="宋体" w:cs="Times New Roman"/>
                <w:color w:val="auto"/>
                <w:sz w:val="21"/>
                <w:szCs w:val="21"/>
                <w:highlight w:val="none"/>
              </w:rPr>
              <w:t>等，1层砖混结构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占地面积为56.24m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eastAsia="zh-CN"/>
              </w:rPr>
              <w:t>。</w:t>
            </w:r>
          </w:p>
        </w:tc>
      </w:tr>
      <w:tr w14:paraId="57C29F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EEE03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4C0F55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检疫检测间</w:t>
            </w:r>
          </w:p>
        </w:tc>
        <w:tc>
          <w:tcPr>
            <w:tcW w:w="5298" w:type="dxa"/>
            <w:tcBorders>
              <w:top w:val="single" w:color="auto" w:sz="4" w:space="0"/>
              <w:left w:val="single" w:color="auto" w:sz="4" w:space="0"/>
              <w:bottom w:val="single" w:color="auto" w:sz="4" w:space="0"/>
              <w:right w:val="single" w:color="auto" w:sz="4" w:space="0"/>
            </w:tcBorders>
            <w:vAlign w:val="center"/>
          </w:tcPr>
          <w:p w14:paraId="78D0B6BC">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负责场内预防接种、</w:t>
            </w:r>
            <w:r>
              <w:rPr>
                <w:rFonts w:hint="default" w:ascii="Times New Roman" w:hAnsi="Times New Roman" w:eastAsia="宋体" w:cs="Times New Roman"/>
                <w:color w:val="auto"/>
                <w:sz w:val="21"/>
                <w:szCs w:val="21"/>
                <w:highlight w:val="none"/>
                <w:lang w:eastAsia="zh-CN"/>
              </w:rPr>
              <w:t>肉羊</w:t>
            </w:r>
            <w:r>
              <w:rPr>
                <w:rFonts w:hint="default" w:ascii="Times New Roman" w:hAnsi="Times New Roman" w:eastAsia="宋体" w:cs="Times New Roman"/>
                <w:color w:val="auto"/>
                <w:sz w:val="21"/>
                <w:szCs w:val="21"/>
                <w:highlight w:val="none"/>
              </w:rPr>
              <w:t>诊治等，1层砖混结构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占地面积为65.35m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eastAsia="zh-CN"/>
              </w:rPr>
              <w:t>。</w:t>
            </w:r>
          </w:p>
        </w:tc>
      </w:tr>
      <w:tr w14:paraId="17E284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3490A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8DB769">
            <w:pPr>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燃料库</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56CBC5A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auto"/>
                <w:kern w:val="2"/>
                <w:sz w:val="21"/>
                <w:szCs w:val="21"/>
                <w:highlight w:val="none"/>
                <w:vertAlign w:val="superscript"/>
                <w:lang w:val="en-US" w:eastAsia="zh-CN" w:bidi="ar-SA"/>
              </w:rPr>
            </w:pPr>
            <w:r>
              <w:rPr>
                <w:rFonts w:hint="default" w:ascii="Times New Roman" w:hAnsi="Times New Roman" w:eastAsia="宋体" w:cs="Times New Roman"/>
                <w:color w:val="auto"/>
                <w:sz w:val="21"/>
                <w:szCs w:val="21"/>
                <w:highlight w:val="none"/>
                <w:lang w:val="en-US" w:eastAsia="zh-CN"/>
              </w:rPr>
              <w:t>热风炉房南</w:t>
            </w:r>
            <w:r>
              <w:rPr>
                <w:rFonts w:hint="default" w:ascii="Times New Roman" w:hAnsi="Times New Roman" w:eastAsia="宋体" w:cs="Times New Roman"/>
                <w:color w:val="auto"/>
                <w:sz w:val="21"/>
                <w:szCs w:val="21"/>
                <w:highlight w:val="none"/>
                <w:lang w:eastAsia="zh-CN"/>
              </w:rPr>
              <w:t>侧建设</w:t>
            </w:r>
            <w:r>
              <w:rPr>
                <w:rFonts w:hint="default" w:ascii="Times New Roman" w:hAnsi="Times New Roman" w:eastAsia="宋体" w:cs="Times New Roman"/>
                <w:b w:val="0"/>
                <w:bCs/>
                <w:color w:val="auto"/>
                <w:sz w:val="21"/>
                <w:szCs w:val="21"/>
                <w:highlight w:val="none"/>
                <w:lang w:val="en-US" w:eastAsia="zh-CN"/>
              </w:rPr>
              <w:t>1座</w:t>
            </w:r>
            <w:r>
              <w:rPr>
                <w:rFonts w:hint="default" w:ascii="Times New Roman" w:hAnsi="Times New Roman" w:eastAsia="宋体" w:cs="Times New Roman"/>
                <w:color w:val="auto"/>
                <w:sz w:val="21"/>
                <w:szCs w:val="21"/>
                <w:highlight w:val="none"/>
                <w:lang w:val="en-US" w:eastAsia="zh-CN"/>
              </w:rPr>
              <w:t>燃料库，</w:t>
            </w:r>
            <w:r>
              <w:rPr>
                <w:rFonts w:hint="default" w:ascii="Times New Roman" w:hAnsi="Times New Roman" w:eastAsia="宋体" w:cs="Times New Roman"/>
                <w:color w:val="auto"/>
                <w:sz w:val="21"/>
                <w:szCs w:val="21"/>
                <w:highlight w:val="none"/>
                <w:lang w:eastAsia="zh-CN"/>
              </w:rPr>
              <w:t>单层钢结构，</w:t>
            </w:r>
            <w:r>
              <w:rPr>
                <w:rFonts w:hint="default" w:ascii="Times New Roman" w:hAnsi="Times New Roman" w:eastAsia="宋体" w:cs="Times New Roman"/>
                <w:color w:val="auto"/>
                <w:kern w:val="0"/>
                <w:sz w:val="21"/>
                <w:szCs w:val="21"/>
                <w:highlight w:val="none"/>
                <w:lang w:val="en-US" w:eastAsia="zh-CN"/>
              </w:rPr>
              <w:t>全封闭设置</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占地面积300</w:t>
            </w:r>
            <w:r>
              <w:rPr>
                <w:rFonts w:hint="default" w:ascii="Times New Roman" w:hAnsi="Times New Roman" w:eastAsia="宋体" w:cs="Times New Roman"/>
                <w:color w:val="auto"/>
                <w:sz w:val="21"/>
                <w:szCs w:val="21"/>
                <w:highlight w:val="none"/>
              </w:rPr>
              <w:t>m²</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FF0000"/>
                <w:sz w:val="21"/>
                <w:szCs w:val="21"/>
                <w:highlight w:val="none"/>
                <w:lang w:val="en-US" w:eastAsia="zh-CN"/>
              </w:rPr>
              <w:t>用于储存生物质燃料。</w:t>
            </w:r>
          </w:p>
        </w:tc>
      </w:tr>
      <w:tr w14:paraId="333911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79AFF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9E3EED">
            <w:pPr>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灰渣库</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5160090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热风炉房南</w:t>
            </w:r>
            <w:r>
              <w:rPr>
                <w:rFonts w:hint="default" w:ascii="Times New Roman" w:hAnsi="Times New Roman" w:eastAsia="宋体" w:cs="Times New Roman"/>
                <w:color w:val="auto"/>
                <w:sz w:val="21"/>
                <w:szCs w:val="21"/>
                <w:highlight w:val="none"/>
                <w:lang w:eastAsia="zh-CN"/>
              </w:rPr>
              <w:t>侧建设</w:t>
            </w:r>
            <w:r>
              <w:rPr>
                <w:rFonts w:hint="default" w:ascii="Times New Roman" w:hAnsi="Times New Roman" w:eastAsia="宋体" w:cs="Times New Roman"/>
                <w:b w:val="0"/>
                <w:bCs/>
                <w:color w:val="auto"/>
                <w:sz w:val="21"/>
                <w:szCs w:val="21"/>
                <w:highlight w:val="none"/>
                <w:lang w:val="en-US" w:eastAsia="zh-CN"/>
              </w:rPr>
              <w:t>1座</w:t>
            </w:r>
            <w:r>
              <w:rPr>
                <w:rFonts w:hint="default" w:ascii="Times New Roman" w:hAnsi="Times New Roman" w:eastAsia="宋体" w:cs="Times New Roman"/>
                <w:color w:val="auto"/>
                <w:sz w:val="21"/>
                <w:szCs w:val="21"/>
                <w:highlight w:val="none"/>
                <w:lang w:val="en-US" w:eastAsia="zh-CN"/>
              </w:rPr>
              <w:t>灰渣库</w:t>
            </w:r>
            <w:r>
              <w:rPr>
                <w:rFonts w:hint="default" w:ascii="Times New Roman" w:hAnsi="Times New Roman" w:eastAsia="宋体" w:cs="Times New Roman"/>
                <w:color w:val="auto"/>
                <w:sz w:val="21"/>
                <w:szCs w:val="21"/>
                <w:highlight w:val="none"/>
                <w:lang w:eastAsia="zh-CN"/>
              </w:rPr>
              <w:t>，单层钢结构，</w:t>
            </w:r>
            <w:r>
              <w:rPr>
                <w:rFonts w:hint="default" w:ascii="Times New Roman" w:hAnsi="Times New Roman" w:eastAsia="宋体" w:cs="Times New Roman"/>
                <w:color w:val="auto"/>
                <w:kern w:val="0"/>
                <w:sz w:val="21"/>
                <w:szCs w:val="21"/>
                <w:highlight w:val="none"/>
                <w:lang w:val="en-US" w:eastAsia="zh-CN"/>
              </w:rPr>
              <w:t>全封闭设置</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占地面积100</w:t>
            </w:r>
            <w:r>
              <w:rPr>
                <w:rFonts w:hint="default" w:ascii="Times New Roman" w:hAnsi="Times New Roman" w:eastAsia="宋体" w:cs="Times New Roman"/>
                <w:color w:val="auto"/>
                <w:sz w:val="21"/>
                <w:szCs w:val="21"/>
                <w:highlight w:val="none"/>
              </w:rPr>
              <w:t>m²</w:t>
            </w:r>
            <w:r>
              <w:rPr>
                <w:rFonts w:hint="default" w:ascii="Times New Roman" w:hAnsi="Times New Roman" w:eastAsia="宋体" w:cs="Times New Roman"/>
                <w:color w:val="auto"/>
                <w:sz w:val="21"/>
                <w:szCs w:val="21"/>
                <w:highlight w:val="none"/>
                <w:lang w:val="en-US" w:eastAsia="zh-CN"/>
              </w:rPr>
              <w:t>，用于储存炉渣、除尘灰。</w:t>
            </w:r>
          </w:p>
          <w:p w14:paraId="175C9D1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地面采用防渗混凝土+环氧地坪漆铺设</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渗透系数≤10</w:t>
            </w:r>
            <w:r>
              <w:rPr>
                <w:rFonts w:hint="default" w:ascii="Times New Roman" w:hAnsi="Times New Roman" w:eastAsia="宋体" w:cs="Times New Roman"/>
                <w:color w:val="auto"/>
                <w:kern w:val="0"/>
                <w:sz w:val="21"/>
                <w:szCs w:val="21"/>
                <w:highlight w:val="none"/>
                <w:vertAlign w:val="superscript"/>
              </w:rPr>
              <w:t>-7</w:t>
            </w:r>
            <w:r>
              <w:rPr>
                <w:rFonts w:hint="default" w:ascii="Times New Roman" w:hAnsi="Times New Roman" w:eastAsia="宋体" w:cs="Times New Roman"/>
                <w:color w:val="auto"/>
                <w:kern w:val="0"/>
                <w:sz w:val="21"/>
                <w:szCs w:val="21"/>
                <w:highlight w:val="none"/>
              </w:rPr>
              <w:t>cm/s</w:t>
            </w:r>
            <w:r>
              <w:rPr>
                <w:rFonts w:hint="default" w:ascii="Times New Roman" w:hAnsi="Times New Roman" w:eastAsia="宋体" w:cs="Times New Roman"/>
                <w:color w:val="auto"/>
                <w:sz w:val="21"/>
                <w:szCs w:val="21"/>
                <w:highlight w:val="none"/>
                <w:lang w:val="en-US" w:eastAsia="zh-CN"/>
              </w:rPr>
              <w:t>。</w:t>
            </w:r>
          </w:p>
        </w:tc>
      </w:tr>
      <w:tr w14:paraId="0A3B37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D9E82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146CDD">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冷藏间</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3AAAEB48">
            <w:pPr>
              <w:keepNext w:val="0"/>
              <w:keepLines w:val="0"/>
              <w:pageBreakBefore w:val="0"/>
              <w:widowControl w:val="0"/>
              <w:kinsoku/>
              <w:wordWrap/>
              <w:overflowPunct/>
              <w:topLinePunct/>
              <w:autoSpaceDE w:val="0"/>
              <w:autoSpaceDN/>
              <w:bidi w:val="0"/>
              <w:adjustRightInd/>
              <w:snapToGrid/>
              <w:spacing w:line="240" w:lineRule="auto"/>
              <w:ind w:firstLine="420" w:firstLineChars="200"/>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已建成</w:t>
            </w:r>
            <w:r>
              <w:rPr>
                <w:rFonts w:hint="default" w:ascii="Times New Roman" w:hAnsi="Times New Roman" w:eastAsia="宋体" w:cs="Times New Roman"/>
                <w:color w:val="0000FF"/>
                <w:sz w:val="21"/>
                <w:szCs w:val="21"/>
                <w:lang w:val="en-US" w:eastAsia="zh-CN"/>
              </w:rPr>
              <w:t>1座</w:t>
            </w:r>
            <w:r>
              <w:rPr>
                <w:rFonts w:hint="default" w:ascii="Times New Roman" w:hAnsi="Times New Roman" w:eastAsia="宋体" w:cs="Times New Roman"/>
                <w:color w:val="0000FF"/>
                <w:sz w:val="21"/>
                <w:szCs w:val="21"/>
                <w:vertAlign w:val="baseline"/>
                <w:lang w:eastAsia="zh-CN"/>
              </w:rPr>
              <w:t>冷藏间</w:t>
            </w:r>
            <w:r>
              <w:rPr>
                <w:rFonts w:hint="default" w:ascii="Times New Roman" w:hAnsi="Times New Roman" w:eastAsia="宋体" w:cs="Times New Roman"/>
                <w:color w:val="0000FF"/>
                <w:sz w:val="21"/>
                <w:szCs w:val="21"/>
                <w:vertAlign w:val="baseline"/>
                <w:lang w:eastAsia="zh-CN"/>
              </w:rPr>
              <w:t>，</w:t>
            </w:r>
            <w:r>
              <w:rPr>
                <w:rFonts w:hint="default" w:ascii="Times New Roman" w:hAnsi="Times New Roman" w:eastAsia="宋体" w:cs="Times New Roman"/>
                <w:color w:val="0000FF"/>
                <w:sz w:val="21"/>
                <w:szCs w:val="21"/>
              </w:rPr>
              <w:t>1层砖混结构</w:t>
            </w:r>
            <w:r>
              <w:rPr>
                <w:rFonts w:hint="default" w:ascii="Times New Roman" w:hAnsi="Times New Roman" w:eastAsia="宋体" w:cs="Times New Roman"/>
                <w:color w:val="0000FF"/>
                <w:sz w:val="21"/>
                <w:szCs w:val="21"/>
                <w:lang w:eastAsia="zh-CN"/>
              </w:rPr>
              <w:t>，</w:t>
            </w:r>
            <w:r>
              <w:rPr>
                <w:rFonts w:hint="default" w:ascii="Times New Roman" w:hAnsi="Times New Roman" w:eastAsia="宋体" w:cs="Times New Roman"/>
                <w:color w:val="0000FF"/>
                <w:sz w:val="21"/>
                <w:szCs w:val="21"/>
              </w:rPr>
              <w:t>建筑面积为</w:t>
            </w:r>
            <w:r>
              <w:rPr>
                <w:rFonts w:hint="default" w:ascii="Times New Roman" w:hAnsi="Times New Roman" w:eastAsia="宋体" w:cs="Times New Roman"/>
                <w:color w:val="0000FF"/>
                <w:sz w:val="21"/>
                <w:szCs w:val="21"/>
                <w:lang w:val="en-US" w:eastAsia="zh-CN"/>
              </w:rPr>
              <w:t>50</w:t>
            </w:r>
            <w:r>
              <w:rPr>
                <w:rFonts w:hint="default" w:ascii="Times New Roman" w:hAnsi="Times New Roman" w:eastAsia="宋体" w:cs="Times New Roman"/>
                <w:color w:val="0000FF"/>
                <w:sz w:val="21"/>
                <w:szCs w:val="21"/>
              </w:rPr>
              <w:t>m</w:t>
            </w:r>
            <w:r>
              <w:rPr>
                <w:rFonts w:hint="default" w:ascii="Times New Roman" w:hAnsi="Times New Roman" w:eastAsia="宋体" w:cs="Times New Roman"/>
                <w:color w:val="0000FF"/>
                <w:sz w:val="21"/>
                <w:szCs w:val="21"/>
                <w:vertAlign w:val="superscript"/>
              </w:rPr>
              <w:t>2</w:t>
            </w:r>
            <w:r>
              <w:rPr>
                <w:rFonts w:hint="default" w:ascii="Times New Roman" w:hAnsi="Times New Roman" w:eastAsia="宋体" w:cs="Times New Roman"/>
                <w:color w:val="0000FF"/>
                <w:sz w:val="21"/>
                <w:szCs w:val="21"/>
                <w:highlight w:val="none"/>
                <w:lang w:val="en-US" w:eastAsia="zh-CN"/>
              </w:rPr>
              <w:t>，</w:t>
            </w:r>
            <w:r>
              <w:rPr>
                <w:rFonts w:hint="default" w:ascii="Times New Roman" w:hAnsi="Times New Roman" w:eastAsia="宋体" w:cs="Times New Roman"/>
                <w:color w:val="0000FF"/>
                <w:sz w:val="21"/>
                <w:szCs w:val="21"/>
              </w:rPr>
              <w:t>用于病死牲畜暂存</w:t>
            </w:r>
            <w:r>
              <w:rPr>
                <w:rFonts w:hint="default" w:ascii="Times New Roman" w:hAnsi="Times New Roman" w:eastAsia="宋体" w:cs="Times New Roman"/>
                <w:color w:val="0000FF"/>
                <w:sz w:val="21"/>
                <w:szCs w:val="21"/>
                <w:lang w:eastAsia="zh-CN"/>
              </w:rPr>
              <w:t>；</w:t>
            </w:r>
          </w:p>
          <w:p w14:paraId="3E2B4C77">
            <w:pPr>
              <w:keepNext w:val="0"/>
              <w:keepLines w:val="0"/>
              <w:pageBreakBefore w:val="0"/>
              <w:widowControl w:val="0"/>
              <w:kinsoku/>
              <w:wordWrap/>
              <w:overflowPunct/>
              <w:topLinePunct/>
              <w:autoSpaceDE w:val="0"/>
              <w:autoSpaceDN/>
              <w:bidi w:val="0"/>
              <w:adjustRightInd/>
              <w:snapToGrid/>
              <w:spacing w:line="240" w:lineRule="auto"/>
              <w:ind w:firstLine="420" w:firstLineChars="200"/>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地面采用</w:t>
            </w:r>
            <w:r>
              <w:rPr>
                <w:rFonts w:hint="default" w:ascii="Times New Roman" w:hAnsi="Times New Roman" w:eastAsia="宋体" w:cs="Times New Roman"/>
                <w:color w:val="0000FF"/>
                <w:sz w:val="21"/>
                <w:szCs w:val="21"/>
                <w:highlight w:val="none"/>
                <w:lang w:val="en-US" w:eastAsia="zh-CN"/>
              </w:rPr>
              <w:t>混凝土</w:t>
            </w:r>
            <w:r>
              <w:rPr>
                <w:rFonts w:hint="default" w:ascii="Times New Roman" w:hAnsi="Times New Roman" w:eastAsia="宋体" w:cs="Times New Roman"/>
                <w:color w:val="0000FF"/>
                <w:sz w:val="21"/>
                <w:szCs w:val="21"/>
                <w:highlight w:val="none"/>
                <w:lang w:val="en-US" w:eastAsia="zh-CN"/>
              </w:rPr>
              <w:t>+2mm厚</w:t>
            </w:r>
            <w:r>
              <w:rPr>
                <w:rFonts w:hint="default" w:ascii="Times New Roman" w:hAnsi="Times New Roman" w:eastAsia="宋体" w:cs="Times New Roman"/>
                <w:color w:val="0000FF"/>
                <w:sz w:val="21"/>
                <w:szCs w:val="21"/>
                <w:highlight w:val="none"/>
                <w:lang w:val="en-US" w:eastAsia="zh-CN"/>
              </w:rPr>
              <w:t>HDPE土工膜</w:t>
            </w:r>
            <w:r>
              <w:rPr>
                <w:rFonts w:hint="default" w:ascii="Times New Roman" w:hAnsi="Times New Roman" w:eastAsia="宋体" w:cs="Times New Roman"/>
                <w:color w:val="0000FF"/>
                <w:sz w:val="21"/>
                <w:szCs w:val="21"/>
                <w:highlight w:val="none"/>
                <w:lang w:val="en-US" w:eastAsia="zh-CN"/>
              </w:rPr>
              <w:t>铺设，</w:t>
            </w:r>
            <w:r>
              <w:rPr>
                <w:rFonts w:hint="default" w:ascii="Times New Roman" w:hAnsi="Times New Roman" w:eastAsia="宋体" w:cs="Times New Roman"/>
                <w:color w:val="0000FF"/>
                <w:kern w:val="0"/>
                <w:sz w:val="21"/>
                <w:szCs w:val="21"/>
                <w:highlight w:val="none"/>
              </w:rPr>
              <w:t>渗透系数≤10</w:t>
            </w:r>
            <w:r>
              <w:rPr>
                <w:rFonts w:hint="default" w:ascii="Times New Roman" w:hAnsi="Times New Roman" w:eastAsia="宋体" w:cs="Times New Roman"/>
                <w:color w:val="0000FF"/>
                <w:kern w:val="0"/>
                <w:sz w:val="21"/>
                <w:szCs w:val="21"/>
                <w:highlight w:val="none"/>
                <w:vertAlign w:val="superscript"/>
              </w:rPr>
              <w:t>-</w:t>
            </w:r>
            <w:r>
              <w:rPr>
                <w:rFonts w:hint="default" w:ascii="Times New Roman" w:hAnsi="Times New Roman" w:eastAsia="宋体" w:cs="Times New Roman"/>
                <w:color w:val="0000FF"/>
                <w:kern w:val="0"/>
                <w:sz w:val="21"/>
                <w:szCs w:val="21"/>
                <w:highlight w:val="none"/>
                <w:vertAlign w:val="superscript"/>
                <w:lang w:val="en-US" w:eastAsia="zh-CN"/>
              </w:rPr>
              <w:t>7</w:t>
            </w:r>
            <w:r>
              <w:rPr>
                <w:rFonts w:hint="default" w:ascii="Times New Roman" w:hAnsi="Times New Roman" w:eastAsia="宋体" w:cs="Times New Roman"/>
                <w:color w:val="0000FF"/>
                <w:kern w:val="0"/>
                <w:sz w:val="21"/>
                <w:szCs w:val="21"/>
                <w:highlight w:val="none"/>
              </w:rPr>
              <w:t>cm/s</w:t>
            </w:r>
            <w:r>
              <w:rPr>
                <w:rFonts w:hint="default" w:ascii="Times New Roman" w:hAnsi="Times New Roman" w:eastAsia="宋体" w:cs="Times New Roman"/>
                <w:color w:val="0000FF"/>
                <w:kern w:val="2"/>
                <w:sz w:val="21"/>
                <w:szCs w:val="21"/>
                <w:highlight w:val="none"/>
                <w:lang w:val="en-US" w:eastAsia="zh-CN" w:bidi="ar-SA"/>
              </w:rPr>
              <w:t>。</w:t>
            </w:r>
          </w:p>
        </w:tc>
      </w:tr>
      <w:tr w14:paraId="574AB5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81405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17E8CA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危废暂存间</w:t>
            </w:r>
          </w:p>
        </w:tc>
        <w:tc>
          <w:tcPr>
            <w:tcW w:w="5298" w:type="dxa"/>
            <w:tcBorders>
              <w:top w:val="single" w:color="auto" w:sz="4" w:space="0"/>
              <w:left w:val="single" w:color="auto" w:sz="4" w:space="0"/>
              <w:bottom w:val="single" w:color="auto" w:sz="4" w:space="0"/>
              <w:right w:val="single" w:color="auto" w:sz="4" w:space="0"/>
            </w:tcBorders>
            <w:vAlign w:val="center"/>
          </w:tcPr>
          <w:p w14:paraId="689688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设置一间</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0m</w:t>
            </w:r>
            <w:r>
              <w:rPr>
                <w:rFonts w:hint="default" w:ascii="Times New Roman" w:hAnsi="Times New Roman" w:eastAsia="宋体" w:cs="Times New Roman"/>
                <w:color w:val="auto"/>
                <w:sz w:val="21"/>
                <w:szCs w:val="21"/>
                <w:highlight w:val="none"/>
                <w:vertAlign w:val="superscript"/>
                <w:lang w:eastAsia="zh-CN"/>
              </w:rPr>
              <w:t>2</w:t>
            </w:r>
            <w:r>
              <w:rPr>
                <w:rFonts w:hint="default" w:ascii="Times New Roman" w:hAnsi="Times New Roman" w:eastAsia="宋体" w:cs="Times New Roman"/>
                <w:color w:val="auto"/>
                <w:kern w:val="2"/>
                <w:sz w:val="21"/>
                <w:szCs w:val="21"/>
                <w:highlight w:val="none"/>
                <w:lang w:val="en-US" w:eastAsia="zh-CN" w:bidi="ar-SA"/>
              </w:rPr>
              <w:t>危废暂存间</w:t>
            </w:r>
            <w:r>
              <w:rPr>
                <w:rFonts w:hint="default" w:ascii="Times New Roman" w:hAnsi="Times New Roman" w:eastAsia="宋体" w:cs="Times New Roman"/>
                <w:color w:val="auto"/>
                <w:sz w:val="21"/>
                <w:szCs w:val="21"/>
                <w:highlight w:val="none"/>
                <w:lang w:eastAsia="zh-CN"/>
              </w:rPr>
              <w:t>，用于储存医疗垃圾；</w:t>
            </w:r>
          </w:p>
          <w:p w14:paraId="54E9D0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按照《危险废物贮存污染控制标准》（GB18597-2023）要求设置，采用至少2mm厚HDPE或其他人工材料进行防渗处理，渗透系数不大于1.0×10</w:t>
            </w:r>
            <w:r>
              <w:rPr>
                <w:rFonts w:hint="default" w:ascii="Times New Roman" w:hAnsi="Times New Roman" w:eastAsia="宋体"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w:t>
            </w:r>
          </w:p>
        </w:tc>
      </w:tr>
      <w:tr w14:paraId="6B6D0B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68755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54A55E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办公宿舍区</w:t>
            </w:r>
          </w:p>
        </w:tc>
        <w:tc>
          <w:tcPr>
            <w:tcW w:w="5298" w:type="dxa"/>
            <w:tcBorders>
              <w:top w:val="single" w:color="auto" w:sz="4" w:space="0"/>
              <w:left w:val="single" w:color="auto" w:sz="4" w:space="0"/>
              <w:bottom w:val="single" w:color="auto" w:sz="4" w:space="0"/>
              <w:right w:val="single" w:color="auto" w:sz="4" w:space="0"/>
            </w:tcBorders>
            <w:vAlign w:val="center"/>
          </w:tcPr>
          <w:p w14:paraId="4F3899F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位于厂区北侧，</w:t>
            </w:r>
            <w:r>
              <w:rPr>
                <w:rFonts w:hint="default" w:ascii="Times New Roman" w:hAnsi="Times New Roman" w:eastAsia="宋体" w:cs="Times New Roman"/>
                <w:color w:val="auto"/>
                <w:sz w:val="21"/>
                <w:szCs w:val="21"/>
                <w:highlight w:val="none"/>
              </w:rPr>
              <w:t>总建筑面积为</w:t>
            </w:r>
            <w:r>
              <w:rPr>
                <w:rFonts w:hint="default" w:ascii="Times New Roman" w:hAnsi="Times New Roman" w:eastAsia="宋体" w:cs="Times New Roman"/>
                <w:color w:val="auto"/>
                <w:sz w:val="21"/>
                <w:szCs w:val="21"/>
                <w:highlight w:val="none"/>
                <w:lang w:val="en-US" w:eastAsia="zh-CN"/>
              </w:rPr>
              <w:t>200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，砖混结构</w:t>
            </w:r>
            <w:r>
              <w:rPr>
                <w:rFonts w:hint="default" w:ascii="Times New Roman" w:hAnsi="Times New Roman" w:eastAsia="宋体" w:cs="Times New Roman"/>
                <w:color w:val="auto"/>
                <w:sz w:val="21"/>
                <w:szCs w:val="21"/>
                <w:highlight w:val="none"/>
                <w:lang w:eastAsia="zh-CN"/>
              </w:rPr>
              <w:t>。</w:t>
            </w:r>
          </w:p>
        </w:tc>
      </w:tr>
      <w:tr w14:paraId="4DB91C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150E1A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w:t>
            </w:r>
          </w:p>
          <w:p w14:paraId="1FEA14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7EF181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供水</w:t>
            </w:r>
          </w:p>
        </w:tc>
        <w:tc>
          <w:tcPr>
            <w:tcW w:w="5298" w:type="dxa"/>
            <w:tcBorders>
              <w:top w:val="single" w:color="auto" w:sz="4" w:space="0"/>
              <w:left w:val="single" w:color="auto" w:sz="4" w:space="0"/>
              <w:bottom w:val="single" w:color="auto" w:sz="4" w:space="0"/>
              <w:right w:val="single" w:color="auto" w:sz="4" w:space="0"/>
            </w:tcBorders>
            <w:vAlign w:val="center"/>
          </w:tcPr>
          <w:p w14:paraId="4D1E5A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项目用水由</w:t>
            </w:r>
            <w:r>
              <w:rPr>
                <w:rFonts w:hint="default" w:ascii="Times New Roman" w:hAnsi="Times New Roman" w:eastAsia="宋体" w:cs="Times New Roman"/>
                <w:color w:val="auto"/>
                <w:sz w:val="21"/>
                <w:szCs w:val="21"/>
                <w:highlight w:val="none"/>
                <w:lang w:val="en-US" w:eastAsia="zh-CN"/>
              </w:rPr>
              <w:t>村庄自来水管网</w:t>
            </w:r>
            <w:r>
              <w:rPr>
                <w:rFonts w:hint="default" w:ascii="Times New Roman" w:hAnsi="Times New Roman" w:eastAsia="宋体" w:cs="Times New Roman"/>
                <w:color w:val="auto"/>
                <w:sz w:val="21"/>
                <w:szCs w:val="21"/>
                <w:highlight w:val="none"/>
              </w:rPr>
              <w:t>供给。</w:t>
            </w:r>
          </w:p>
        </w:tc>
      </w:tr>
      <w:tr w14:paraId="78478A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E5540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72AB59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5298" w:type="dxa"/>
            <w:tcBorders>
              <w:top w:val="single" w:color="auto" w:sz="4" w:space="0"/>
              <w:left w:val="single" w:color="auto" w:sz="4" w:space="0"/>
              <w:bottom w:val="single" w:color="auto" w:sz="4" w:space="0"/>
              <w:right w:val="single" w:color="auto" w:sz="4" w:space="0"/>
            </w:tcBorders>
            <w:vAlign w:val="center"/>
          </w:tcPr>
          <w:p w14:paraId="280B0D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当地供电网络提供电源</w:t>
            </w:r>
            <w:r>
              <w:rPr>
                <w:rFonts w:hint="default" w:ascii="Times New Roman" w:hAnsi="Times New Roman" w:eastAsia="宋体" w:cs="Times New Roman"/>
                <w:color w:val="auto"/>
                <w:kern w:val="0"/>
                <w:sz w:val="21"/>
                <w:szCs w:val="21"/>
                <w:highlight w:val="none"/>
              </w:rPr>
              <w:t>，在厂区内设变配电室1座</w:t>
            </w:r>
            <w:r>
              <w:rPr>
                <w:rFonts w:hint="default" w:ascii="Times New Roman" w:hAnsi="Times New Roman" w:eastAsia="宋体" w:cs="Times New Roman"/>
                <w:color w:val="auto"/>
                <w:kern w:val="0"/>
                <w:sz w:val="21"/>
                <w:szCs w:val="21"/>
                <w:highlight w:val="none"/>
                <w:lang w:eastAsia="zh-CN"/>
              </w:rPr>
              <w:t>。</w:t>
            </w:r>
          </w:p>
        </w:tc>
      </w:tr>
      <w:tr w14:paraId="572A9B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87AB1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18A2E4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供暖</w:t>
            </w:r>
          </w:p>
        </w:tc>
        <w:tc>
          <w:tcPr>
            <w:tcW w:w="5298" w:type="dxa"/>
            <w:tcBorders>
              <w:top w:val="single" w:color="auto" w:sz="4" w:space="0"/>
              <w:left w:val="single" w:color="auto" w:sz="4" w:space="0"/>
              <w:bottom w:val="single" w:color="auto" w:sz="4" w:space="0"/>
              <w:right w:val="single" w:color="auto" w:sz="4" w:space="0"/>
            </w:tcBorders>
            <w:vAlign w:val="center"/>
          </w:tcPr>
          <w:p w14:paraId="7F7A9C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办公区采用</w:t>
            </w:r>
            <w:r>
              <w:rPr>
                <w:rFonts w:hint="default" w:ascii="Times New Roman" w:hAnsi="Times New Roman" w:eastAsia="宋体" w:cs="Times New Roman"/>
                <w:color w:val="auto"/>
                <w:sz w:val="21"/>
                <w:szCs w:val="21"/>
                <w:highlight w:val="none"/>
                <w:lang w:val="en-US" w:eastAsia="zh-CN"/>
              </w:rPr>
              <w:t>2台</w:t>
            </w:r>
            <w:r>
              <w:rPr>
                <w:rFonts w:hint="default" w:ascii="Times New Roman" w:hAnsi="Times New Roman" w:eastAsia="宋体" w:cs="Times New Roman"/>
                <w:color w:val="auto"/>
                <w:sz w:val="21"/>
                <w:szCs w:val="21"/>
                <w:highlight w:val="none"/>
                <w:lang w:eastAsia="zh-CN"/>
              </w:rPr>
              <w:t>电空气能采暖设备供暖</w:t>
            </w:r>
            <w:r>
              <w:rPr>
                <w:rFonts w:hint="default" w:ascii="Times New Roman" w:hAnsi="Times New Roman" w:eastAsia="宋体" w:cs="Times New Roman"/>
                <w:color w:val="auto"/>
                <w:sz w:val="21"/>
                <w:szCs w:val="21"/>
                <w:highlight w:val="none"/>
              </w:rPr>
              <w:t>。</w:t>
            </w:r>
          </w:p>
        </w:tc>
      </w:tr>
      <w:tr w14:paraId="633282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AABD5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11A017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排水</w:t>
            </w:r>
          </w:p>
        </w:tc>
        <w:tc>
          <w:tcPr>
            <w:tcW w:w="5298" w:type="dxa"/>
            <w:tcBorders>
              <w:top w:val="single" w:color="auto" w:sz="4" w:space="0"/>
              <w:left w:val="single" w:color="auto" w:sz="4" w:space="0"/>
              <w:bottom w:val="single" w:color="auto" w:sz="4" w:space="0"/>
              <w:right w:val="single" w:color="auto" w:sz="4" w:space="0"/>
            </w:tcBorders>
            <w:vAlign w:val="center"/>
          </w:tcPr>
          <w:p w14:paraId="41AFB3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项目生活污水</w:t>
            </w:r>
            <w:r>
              <w:rPr>
                <w:rFonts w:hint="default" w:ascii="Times New Roman" w:hAnsi="Times New Roman" w:eastAsia="宋体" w:cs="Times New Roman"/>
                <w:color w:val="auto"/>
                <w:sz w:val="21"/>
                <w:szCs w:val="21"/>
                <w:highlight w:val="none"/>
                <w:lang w:eastAsia="zh-CN"/>
              </w:rPr>
              <w:t>经化粪池处理</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定期由当地环卫部门清运处置</w:t>
            </w:r>
            <w:r>
              <w:rPr>
                <w:rFonts w:hint="default" w:ascii="Times New Roman" w:hAnsi="Times New Roman" w:eastAsia="宋体" w:cs="Times New Roman"/>
                <w:color w:val="auto"/>
                <w:sz w:val="21"/>
                <w:szCs w:val="21"/>
                <w:highlight w:val="none"/>
              </w:rPr>
              <w:t>。</w:t>
            </w:r>
          </w:p>
        </w:tc>
      </w:tr>
      <w:tr w14:paraId="1A8792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0466FB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w:t>
            </w:r>
          </w:p>
          <w:p w14:paraId="36AD26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993" w:type="dxa"/>
            <w:vMerge w:val="restart"/>
            <w:tcBorders>
              <w:top w:val="single" w:color="auto" w:sz="4" w:space="0"/>
              <w:left w:val="single" w:color="auto" w:sz="4" w:space="0"/>
              <w:right w:val="single" w:color="auto" w:sz="4" w:space="0"/>
            </w:tcBorders>
            <w:vAlign w:val="center"/>
          </w:tcPr>
          <w:p w14:paraId="146FE0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93" w:type="dxa"/>
            <w:vMerge w:val="restart"/>
            <w:tcBorders>
              <w:top w:val="single" w:color="auto" w:sz="4" w:space="0"/>
              <w:left w:val="single" w:color="auto" w:sz="4" w:space="0"/>
              <w:bottom w:val="single" w:color="auto" w:sz="4" w:space="0"/>
              <w:right w:val="single" w:color="auto" w:sz="4" w:space="0"/>
            </w:tcBorders>
            <w:vAlign w:val="center"/>
          </w:tcPr>
          <w:p w14:paraId="24E3EA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w:t>
            </w:r>
          </w:p>
        </w:tc>
        <w:tc>
          <w:tcPr>
            <w:tcW w:w="5298" w:type="dxa"/>
            <w:tcBorders>
              <w:top w:val="single" w:color="auto" w:sz="4" w:space="0"/>
              <w:left w:val="single" w:color="auto" w:sz="4" w:space="0"/>
              <w:bottom w:val="single" w:color="auto" w:sz="4" w:space="0"/>
              <w:right w:val="single" w:color="auto" w:sz="4" w:space="0"/>
            </w:tcBorders>
            <w:vAlign w:val="center"/>
          </w:tcPr>
          <w:p w14:paraId="0D99E1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lang w:eastAsia="zh-CN"/>
              </w:rPr>
              <w:t>养殖区：</w:t>
            </w:r>
            <w:r>
              <w:rPr>
                <w:rFonts w:hint="default" w:ascii="Times New Roman" w:hAnsi="Times New Roman" w:eastAsia="宋体" w:cs="Times New Roman"/>
                <w:bCs/>
                <w:color w:val="auto"/>
                <w:sz w:val="21"/>
                <w:szCs w:val="21"/>
                <w:highlight w:val="none"/>
              </w:rPr>
              <w:t>通过日粮设计，</w:t>
            </w:r>
            <w:r>
              <w:rPr>
                <w:rFonts w:hint="default" w:ascii="Times New Roman" w:hAnsi="Times New Roman" w:eastAsia="宋体" w:cs="Times New Roman"/>
                <w:color w:val="auto"/>
                <w:sz w:val="21"/>
                <w:szCs w:val="21"/>
                <w:highlight w:val="none"/>
              </w:rPr>
              <w:t>饲料添加EM复合微生物制剂，</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采用及时清理粪尿，加强</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通风（除冬季封闭保暖外，均为敞开式通风）</w:t>
            </w:r>
            <w:r>
              <w:rPr>
                <w:rFonts w:hint="default" w:ascii="Times New Roman" w:hAnsi="Times New Roman" w:eastAsia="宋体" w:cs="Times New Roman"/>
                <w:color w:val="auto"/>
                <w:sz w:val="21"/>
                <w:szCs w:val="21"/>
                <w:highlight w:val="none"/>
              </w:rPr>
              <w:t>。</w:t>
            </w:r>
          </w:p>
        </w:tc>
      </w:tr>
      <w:tr w14:paraId="07406E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08BAA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38C90F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23D9BA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5298" w:type="dxa"/>
            <w:tcBorders>
              <w:top w:val="single" w:color="auto" w:sz="4" w:space="0"/>
              <w:left w:val="single" w:color="auto" w:sz="4" w:space="0"/>
              <w:bottom w:val="single" w:color="auto" w:sz="4" w:space="0"/>
              <w:right w:val="single" w:color="auto" w:sz="4" w:space="0"/>
            </w:tcBorders>
            <w:vAlign w:val="center"/>
          </w:tcPr>
          <w:p w14:paraId="4571E5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堆肥场：羊粪便</w:t>
            </w:r>
            <w:r>
              <w:rPr>
                <w:rFonts w:hint="default" w:ascii="Times New Roman" w:hAnsi="Times New Roman" w:eastAsia="宋体" w:cs="Times New Roman"/>
                <w:color w:val="auto"/>
                <w:sz w:val="21"/>
                <w:szCs w:val="21"/>
                <w:highlight w:val="none"/>
                <w:lang w:val="en-US" w:eastAsia="zh-CN"/>
              </w:rPr>
              <w:t>清运至</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lang w:val="en-US" w:eastAsia="zh-CN"/>
              </w:rPr>
              <w:t>采取</w:t>
            </w:r>
            <w:r>
              <w:rPr>
                <w:rFonts w:hint="default" w:ascii="Times New Roman" w:hAnsi="Times New Roman" w:eastAsia="宋体" w:cs="Times New Roman"/>
                <w:color w:val="auto"/>
                <w:kern w:val="0"/>
                <w:sz w:val="21"/>
                <w:szCs w:val="21"/>
                <w:highlight w:val="none"/>
              </w:rPr>
              <w:t>定期喷洒</w:t>
            </w:r>
            <w:r>
              <w:rPr>
                <w:rFonts w:hint="default" w:ascii="Times New Roman" w:hAnsi="Times New Roman" w:eastAsia="宋体" w:cs="Times New Roman"/>
                <w:color w:val="auto"/>
                <w:sz w:val="21"/>
                <w:szCs w:val="21"/>
                <w:highlight w:val="none"/>
              </w:rPr>
              <w:t>减少氨释放和保氮的复合菌剂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同时场区内加强绿化</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rPr>
              <w:t>可减少臭气的产生</w:t>
            </w:r>
            <w:r>
              <w:rPr>
                <w:rFonts w:hint="default" w:ascii="Times New Roman" w:hAnsi="Times New Roman" w:eastAsia="宋体" w:cs="Times New Roman"/>
                <w:color w:val="auto"/>
                <w:sz w:val="21"/>
                <w:szCs w:val="21"/>
                <w:highlight w:val="none"/>
              </w:rPr>
              <w:t>。</w:t>
            </w:r>
          </w:p>
        </w:tc>
      </w:tr>
      <w:tr w14:paraId="16BE90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504A9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20E294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3B6D25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饲料搅拌</w:t>
            </w:r>
            <w:r>
              <w:rPr>
                <w:rFonts w:hint="default" w:ascii="Times New Roman" w:hAnsi="Times New Roman" w:eastAsia="宋体" w:cs="Times New Roman"/>
                <w:color w:val="auto"/>
                <w:sz w:val="21"/>
                <w:szCs w:val="21"/>
                <w:highlight w:val="none"/>
                <w:lang w:val="en-US" w:eastAsia="zh-CN"/>
              </w:rPr>
              <w:t>废气</w:t>
            </w:r>
          </w:p>
        </w:tc>
        <w:tc>
          <w:tcPr>
            <w:tcW w:w="5298" w:type="dxa"/>
            <w:tcBorders>
              <w:top w:val="single" w:color="auto" w:sz="4" w:space="0"/>
              <w:left w:val="single" w:color="auto" w:sz="4" w:space="0"/>
              <w:bottom w:val="single" w:color="auto" w:sz="4" w:space="0"/>
              <w:right w:val="single" w:color="auto" w:sz="4" w:space="0"/>
            </w:tcBorders>
            <w:vAlign w:val="center"/>
          </w:tcPr>
          <w:p w14:paraId="66DB2D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饲料粉碎机和</w:t>
            </w:r>
            <w:r>
              <w:rPr>
                <w:rFonts w:hint="default" w:ascii="Times New Roman" w:hAnsi="Times New Roman" w:eastAsia="宋体" w:cs="Times New Roman"/>
                <w:bCs/>
                <w:color w:val="auto"/>
                <w:sz w:val="21"/>
                <w:szCs w:val="21"/>
                <w:highlight w:val="none"/>
                <w:lang w:eastAsia="zh-CN"/>
              </w:rPr>
              <w:t>日粮搅拌机</w:t>
            </w:r>
            <w:r>
              <w:rPr>
                <w:rFonts w:hint="default" w:ascii="Times New Roman" w:hAnsi="Times New Roman" w:eastAsia="宋体" w:cs="Times New Roman"/>
                <w:bCs/>
                <w:color w:val="auto"/>
                <w:sz w:val="21"/>
                <w:szCs w:val="21"/>
                <w:highlight w:val="none"/>
                <w:lang w:val="en-US" w:eastAsia="zh-CN"/>
              </w:rPr>
              <w:t>位于</w:t>
            </w:r>
            <w:r>
              <w:rPr>
                <w:rFonts w:hint="default" w:ascii="Times New Roman" w:hAnsi="Times New Roman" w:eastAsia="宋体" w:cs="Times New Roman"/>
                <w:bCs/>
                <w:color w:val="auto"/>
                <w:sz w:val="21"/>
                <w:szCs w:val="21"/>
                <w:highlight w:val="none"/>
              </w:rPr>
              <w:t>全封闭</w:t>
            </w:r>
            <w:r>
              <w:rPr>
                <w:rFonts w:hint="default" w:ascii="Times New Roman" w:hAnsi="Times New Roman" w:eastAsia="宋体" w:cs="Times New Roman"/>
                <w:bCs/>
                <w:color w:val="auto"/>
                <w:sz w:val="21"/>
                <w:szCs w:val="21"/>
                <w:highlight w:val="none"/>
                <w:lang w:eastAsia="zh-CN"/>
              </w:rPr>
              <w:t>日粮搅拌车间</w:t>
            </w:r>
            <w:r>
              <w:rPr>
                <w:rFonts w:hint="default" w:ascii="Times New Roman" w:hAnsi="Times New Roman" w:eastAsia="宋体" w:cs="Times New Roman"/>
                <w:bCs/>
                <w:color w:val="auto"/>
                <w:sz w:val="21"/>
                <w:szCs w:val="21"/>
                <w:highlight w:val="none"/>
                <w:lang w:val="en-US" w:eastAsia="zh-CN"/>
              </w:rPr>
              <w:t>内</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eastAsia="zh-CN"/>
              </w:rPr>
              <w:t>外购已破碎的干草</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eastAsia="zh-CN"/>
              </w:rPr>
              <w:t>饲料</w:t>
            </w:r>
            <w:r>
              <w:rPr>
                <w:rFonts w:hint="default" w:ascii="Times New Roman" w:hAnsi="Times New Roman" w:eastAsia="宋体" w:cs="Times New Roman"/>
                <w:bCs/>
                <w:color w:val="auto"/>
                <w:sz w:val="21"/>
                <w:szCs w:val="21"/>
                <w:highlight w:val="none"/>
              </w:rPr>
              <w:t>等原料，</w:t>
            </w:r>
            <w:r>
              <w:rPr>
                <w:rFonts w:hint="default" w:ascii="Times New Roman" w:hAnsi="Times New Roman" w:eastAsia="宋体" w:cs="Times New Roman"/>
                <w:bCs/>
                <w:color w:val="auto"/>
                <w:sz w:val="21"/>
                <w:szCs w:val="21"/>
                <w:highlight w:val="none"/>
                <w:lang w:eastAsia="zh-CN"/>
              </w:rPr>
              <w:t>破碎和</w:t>
            </w:r>
            <w:r>
              <w:rPr>
                <w:rFonts w:hint="default" w:ascii="Times New Roman" w:hAnsi="Times New Roman" w:eastAsia="宋体" w:cs="Times New Roman"/>
                <w:bCs/>
                <w:color w:val="auto"/>
                <w:sz w:val="21"/>
                <w:szCs w:val="21"/>
                <w:highlight w:val="none"/>
              </w:rPr>
              <w:t>搅拌的过程</w:t>
            </w:r>
            <w:r>
              <w:rPr>
                <w:rFonts w:hint="default" w:ascii="Times New Roman" w:hAnsi="Times New Roman" w:eastAsia="宋体" w:cs="Times New Roman"/>
                <w:bCs/>
                <w:color w:val="auto"/>
                <w:sz w:val="21"/>
                <w:szCs w:val="21"/>
                <w:highlight w:val="none"/>
                <w:lang w:val="en-US" w:eastAsia="zh-CN"/>
              </w:rPr>
              <w:t>加入定量水，</w:t>
            </w:r>
            <w:r>
              <w:rPr>
                <w:rFonts w:hint="default" w:ascii="Times New Roman" w:hAnsi="Times New Roman" w:eastAsia="宋体" w:cs="Times New Roman"/>
                <w:bCs/>
                <w:color w:val="auto"/>
                <w:sz w:val="21"/>
                <w:szCs w:val="21"/>
                <w:highlight w:val="none"/>
                <w:lang w:eastAsia="zh-CN"/>
              </w:rPr>
              <w:t>破碎和</w:t>
            </w:r>
            <w:r>
              <w:rPr>
                <w:rFonts w:hint="default" w:ascii="Times New Roman" w:hAnsi="Times New Roman" w:eastAsia="宋体" w:cs="Times New Roman"/>
                <w:bCs/>
                <w:color w:val="auto"/>
                <w:sz w:val="21"/>
                <w:szCs w:val="21"/>
                <w:highlight w:val="none"/>
                <w:lang w:val="en-US" w:eastAsia="zh-CN"/>
              </w:rPr>
              <w:t>搅拌</w:t>
            </w:r>
            <w:r>
              <w:rPr>
                <w:rFonts w:hint="default" w:ascii="Times New Roman" w:hAnsi="Times New Roman" w:eastAsia="宋体" w:cs="Times New Roman"/>
                <w:bCs/>
                <w:color w:val="auto"/>
                <w:sz w:val="21"/>
                <w:szCs w:val="21"/>
                <w:highlight w:val="none"/>
              </w:rPr>
              <w:t>过程中产生的颗粒物在封闭车间内沉降</w:t>
            </w:r>
            <w:r>
              <w:rPr>
                <w:rFonts w:hint="default" w:ascii="Times New Roman" w:hAnsi="Times New Roman" w:eastAsia="宋体" w:cs="Times New Roman"/>
                <w:color w:val="auto"/>
                <w:sz w:val="21"/>
                <w:szCs w:val="21"/>
                <w:highlight w:val="none"/>
              </w:rPr>
              <w:t>。</w:t>
            </w:r>
          </w:p>
        </w:tc>
      </w:tr>
      <w:tr w14:paraId="7033CF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E7A69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7FA23C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097698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生物质热风炉</w:t>
            </w:r>
            <w:r>
              <w:rPr>
                <w:rFonts w:hint="default" w:ascii="Times New Roman" w:hAnsi="Times New Roman" w:eastAsia="宋体" w:cs="Times New Roman"/>
                <w:color w:val="auto"/>
                <w:sz w:val="21"/>
                <w:szCs w:val="21"/>
                <w:highlight w:val="none"/>
                <w:lang w:val="en-US" w:eastAsia="zh-CN"/>
              </w:rPr>
              <w:t>废气</w:t>
            </w:r>
          </w:p>
        </w:tc>
        <w:tc>
          <w:tcPr>
            <w:tcW w:w="5298" w:type="dxa"/>
            <w:tcBorders>
              <w:top w:val="single" w:color="auto" w:sz="4" w:space="0"/>
              <w:left w:val="single" w:color="auto" w:sz="4" w:space="0"/>
              <w:bottom w:val="single" w:color="auto" w:sz="4" w:space="0"/>
              <w:right w:val="single" w:color="auto" w:sz="4" w:space="0"/>
            </w:tcBorders>
            <w:vAlign w:val="center"/>
          </w:tcPr>
          <w:p w14:paraId="63FA06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val="en-US" w:eastAsia="zh-CN"/>
              </w:rPr>
              <w:t>布袋除尘器</w:t>
            </w:r>
            <w:r>
              <w:rPr>
                <w:rFonts w:hint="default" w:ascii="Times New Roman" w:hAnsi="Times New Roman" w:eastAsia="宋体" w:cs="Times New Roman"/>
                <w:color w:val="auto"/>
                <w:sz w:val="21"/>
                <w:szCs w:val="21"/>
                <w:highlight w:val="none"/>
                <w:lang w:val="en-US" w:eastAsia="zh-CN"/>
              </w:rPr>
              <w:t>处理后，由1根15m高排气筒（P1）排放</w:t>
            </w:r>
            <w:r>
              <w:rPr>
                <w:rFonts w:hint="default" w:ascii="Times New Roman" w:hAnsi="Times New Roman" w:eastAsia="宋体" w:cs="Times New Roman"/>
                <w:color w:val="auto"/>
                <w:sz w:val="21"/>
                <w:szCs w:val="21"/>
                <w:highlight w:val="none"/>
              </w:rPr>
              <w:t>。</w:t>
            </w:r>
          </w:p>
        </w:tc>
      </w:tr>
      <w:tr w14:paraId="01CB70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801B5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0B42D2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388F47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筛分废气</w:t>
            </w:r>
          </w:p>
        </w:tc>
        <w:tc>
          <w:tcPr>
            <w:tcW w:w="5298" w:type="dxa"/>
            <w:tcBorders>
              <w:top w:val="single" w:color="auto" w:sz="4" w:space="0"/>
              <w:left w:val="single" w:color="auto" w:sz="4" w:space="0"/>
              <w:bottom w:val="single" w:color="auto" w:sz="4" w:space="0"/>
              <w:right w:val="single" w:color="auto" w:sz="4" w:space="0"/>
            </w:tcBorders>
            <w:vAlign w:val="center"/>
          </w:tcPr>
          <w:p w14:paraId="0AC255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玉米粒筛分</w:t>
            </w:r>
            <w:r>
              <w:rPr>
                <w:rFonts w:hint="default" w:ascii="Times New Roman" w:hAnsi="Times New Roman" w:eastAsia="宋体" w:cs="Times New Roman"/>
                <w:b w:val="0"/>
                <w:bCs w:val="0"/>
                <w:color w:val="auto"/>
                <w:sz w:val="21"/>
                <w:szCs w:val="21"/>
                <w:highlight w:val="none"/>
                <w:lang w:val="en-US" w:eastAsia="zh-CN"/>
              </w:rPr>
              <w:t>过程</w:t>
            </w:r>
            <w:r>
              <w:rPr>
                <w:rFonts w:hint="default" w:ascii="Times New Roman" w:hAnsi="Times New Roman" w:eastAsia="宋体" w:cs="Times New Roman"/>
                <w:color w:val="auto"/>
                <w:sz w:val="21"/>
                <w:szCs w:val="21"/>
                <w:highlight w:val="none"/>
                <w:lang w:val="en-US" w:eastAsia="zh-CN"/>
              </w:rPr>
              <w:t>产生的颗粒物经封闭外罩+卸料处围挡沉降处理后，以无组织形式排放</w:t>
            </w:r>
          </w:p>
        </w:tc>
      </w:tr>
      <w:tr w14:paraId="6904F8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24E43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33F068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055696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烘干塔废气</w:t>
            </w:r>
          </w:p>
        </w:tc>
        <w:tc>
          <w:tcPr>
            <w:tcW w:w="5298" w:type="dxa"/>
            <w:tcBorders>
              <w:top w:val="single" w:color="auto" w:sz="4" w:space="0"/>
              <w:left w:val="single" w:color="auto" w:sz="4" w:space="0"/>
              <w:bottom w:val="single" w:color="auto" w:sz="4" w:space="0"/>
              <w:right w:val="single" w:color="auto" w:sz="4" w:space="0"/>
            </w:tcBorders>
            <w:vAlign w:val="center"/>
          </w:tcPr>
          <w:p w14:paraId="50828D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烘干塔设置封闭彩钢板外罩</w:t>
            </w:r>
            <w:r>
              <w:rPr>
                <w:rFonts w:hint="default" w:ascii="Times New Roman" w:hAnsi="Times New Roman" w:eastAsia="宋体" w:cs="Times New Roman"/>
                <w:bCs/>
                <w:color w:val="auto"/>
                <w:sz w:val="21"/>
                <w:szCs w:val="21"/>
                <w:highlight w:val="none"/>
                <w:lang w:eastAsia="zh-CN"/>
              </w:rPr>
              <w:t>，以无组织形式排放</w:t>
            </w:r>
          </w:p>
        </w:tc>
      </w:tr>
      <w:tr w14:paraId="0A2431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07BEC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restart"/>
            <w:tcBorders>
              <w:top w:val="single" w:color="auto" w:sz="4" w:space="0"/>
              <w:left w:val="single" w:color="auto" w:sz="4" w:space="0"/>
              <w:right w:val="single" w:color="auto" w:sz="4" w:space="0"/>
            </w:tcBorders>
            <w:vAlign w:val="center"/>
          </w:tcPr>
          <w:p w14:paraId="6EDB3E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93" w:type="dxa"/>
            <w:tcBorders>
              <w:top w:val="single" w:color="auto" w:sz="4" w:space="0"/>
              <w:left w:val="single" w:color="auto" w:sz="4" w:space="0"/>
              <w:bottom w:val="single" w:color="auto" w:sz="4" w:space="0"/>
              <w:right w:val="single" w:color="auto" w:sz="4" w:space="0"/>
            </w:tcBorders>
            <w:vAlign w:val="center"/>
          </w:tcPr>
          <w:p w14:paraId="1E0C89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生活污水</w:t>
            </w:r>
          </w:p>
        </w:tc>
        <w:tc>
          <w:tcPr>
            <w:tcW w:w="5298" w:type="dxa"/>
            <w:tcBorders>
              <w:top w:val="single" w:color="auto" w:sz="4" w:space="0"/>
              <w:left w:val="single" w:color="auto" w:sz="4" w:space="0"/>
              <w:bottom w:val="single" w:color="auto" w:sz="4" w:space="0"/>
              <w:right w:val="single" w:color="auto" w:sz="4" w:space="0"/>
            </w:tcBorders>
            <w:vAlign w:val="center"/>
          </w:tcPr>
          <w:p w14:paraId="32ED0BD2">
            <w:pPr>
              <w:keepNext w:val="0"/>
              <w:keepLines w:val="0"/>
              <w:pageBreakBefore w:val="0"/>
              <w:shd w:val="clear"/>
              <w:kinsoku/>
              <w:wordWrap/>
              <w:overflowPunct/>
              <w:autoSpaceDN/>
              <w:bidi w:val="0"/>
              <w:adjustRightInd/>
              <w:snapToGrid w:val="0"/>
              <w:spacing w:line="240" w:lineRule="auto"/>
              <w:ind w:left="0" w:leftChars="0" w:right="0" w:rightChars="0"/>
              <w:jc w:val="both"/>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eastAsia="zh-CN"/>
              </w:rPr>
              <w:t>经化粪池处理</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定期由当地环卫部门清运处置；</w:t>
            </w:r>
          </w:p>
        </w:tc>
      </w:tr>
      <w:tr w14:paraId="534F51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874D6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6FE9A6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6F8E6F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羊尿液</w:t>
            </w:r>
          </w:p>
        </w:tc>
        <w:tc>
          <w:tcPr>
            <w:tcW w:w="5298" w:type="dxa"/>
            <w:tcBorders>
              <w:top w:val="single" w:color="auto" w:sz="4" w:space="0"/>
              <w:left w:val="single" w:color="auto" w:sz="4" w:space="0"/>
              <w:bottom w:val="single" w:color="auto" w:sz="4" w:space="0"/>
              <w:right w:val="single" w:color="auto" w:sz="4" w:space="0"/>
            </w:tcBorders>
            <w:vAlign w:val="center"/>
          </w:tcPr>
          <w:p w14:paraId="07B908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lang w:eastAsia="zh-CN"/>
              </w:rPr>
              <w:t>，在养殖区排放的尿液大部分由于当地气候干燥蒸发，剩余尿液与粪便完全黏结混合在一起，一起运往堆肥场储存并堆肥，因此，没有尿液排放。</w:t>
            </w:r>
          </w:p>
        </w:tc>
      </w:tr>
      <w:tr w14:paraId="594A4E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96665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1DAF0F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41DC99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雨水</w:t>
            </w:r>
          </w:p>
        </w:tc>
        <w:tc>
          <w:tcPr>
            <w:tcW w:w="5298" w:type="dxa"/>
            <w:tcBorders>
              <w:top w:val="single" w:color="auto" w:sz="4" w:space="0"/>
              <w:left w:val="single" w:color="auto" w:sz="4" w:space="0"/>
              <w:bottom w:val="single" w:color="auto" w:sz="4" w:space="0"/>
              <w:right w:val="single" w:color="auto" w:sz="4" w:space="0"/>
            </w:tcBorders>
            <w:vAlign w:val="center"/>
          </w:tcPr>
          <w:p w14:paraId="420980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bCs/>
                <w:color w:val="auto"/>
                <w:sz w:val="21"/>
                <w:szCs w:val="21"/>
                <w:highlight w:val="none"/>
                <w:lang w:eastAsia="zh-CN"/>
              </w:rPr>
              <w:t>四周设有挡水坡道以及雨水导流渠，</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lang w:val="en-US" w:eastAsia="zh-CN"/>
              </w:rPr>
              <w:t>内</w:t>
            </w:r>
            <w:r>
              <w:rPr>
                <w:rFonts w:hint="default" w:ascii="Times New Roman" w:hAnsi="Times New Roman" w:eastAsia="宋体" w:cs="Times New Roman"/>
                <w:bCs/>
                <w:color w:val="auto"/>
                <w:sz w:val="21"/>
                <w:szCs w:val="21"/>
                <w:highlight w:val="none"/>
                <w:lang w:eastAsia="zh-CN"/>
              </w:rPr>
              <w:t>雨水</w:t>
            </w:r>
            <w:r>
              <w:rPr>
                <w:rFonts w:hint="default" w:ascii="Times New Roman" w:hAnsi="Times New Roman" w:eastAsia="宋体" w:cs="Times New Roman"/>
                <w:color w:val="auto"/>
                <w:sz w:val="21"/>
                <w:szCs w:val="21"/>
                <w:highlight w:val="none"/>
                <w:lang w:eastAsia="zh-CN"/>
              </w:rPr>
              <w:t>与</w:t>
            </w:r>
            <w:r>
              <w:rPr>
                <w:rFonts w:hint="default" w:ascii="Times New Roman" w:hAnsi="Times New Roman" w:eastAsia="宋体" w:cs="Times New Roman"/>
                <w:color w:val="auto"/>
                <w:sz w:val="21"/>
                <w:szCs w:val="21"/>
                <w:highlight w:val="none"/>
                <w:lang w:val="en-US" w:eastAsia="zh-CN"/>
              </w:rPr>
              <w:t>羊粪便</w:t>
            </w:r>
            <w:r>
              <w:rPr>
                <w:rFonts w:hint="default" w:ascii="Times New Roman" w:hAnsi="Times New Roman" w:eastAsia="宋体" w:cs="Times New Roman"/>
                <w:color w:val="auto"/>
                <w:sz w:val="21"/>
                <w:szCs w:val="21"/>
                <w:highlight w:val="none"/>
                <w:lang w:eastAsia="zh-CN"/>
              </w:rPr>
              <w:t>完全黏结混合在一起，一起运往堆肥场储存并堆肥，因此，没有羊圈雨水排放。</w:t>
            </w:r>
          </w:p>
        </w:tc>
      </w:tr>
      <w:tr w14:paraId="5762CD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7283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vAlign w:val="center"/>
          </w:tcPr>
          <w:p w14:paraId="3243FA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993" w:type="dxa"/>
            <w:tcBorders>
              <w:top w:val="single" w:color="auto" w:sz="4" w:space="0"/>
              <w:left w:val="single" w:color="auto" w:sz="4" w:space="0"/>
              <w:bottom w:val="single" w:color="auto" w:sz="4" w:space="0"/>
              <w:right w:val="single" w:color="auto" w:sz="4" w:space="0"/>
            </w:tcBorders>
            <w:vAlign w:val="center"/>
          </w:tcPr>
          <w:p w14:paraId="4C45D4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w:t>
            </w:r>
          </w:p>
        </w:tc>
        <w:tc>
          <w:tcPr>
            <w:tcW w:w="5298" w:type="dxa"/>
            <w:tcBorders>
              <w:top w:val="single" w:color="auto" w:sz="4" w:space="0"/>
              <w:left w:val="single" w:color="auto" w:sz="4" w:space="0"/>
              <w:bottom w:val="single" w:color="auto" w:sz="4" w:space="0"/>
              <w:right w:val="single" w:color="auto" w:sz="4" w:space="0"/>
            </w:tcBorders>
            <w:vAlign w:val="center"/>
          </w:tcPr>
          <w:p w14:paraId="74696A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kern w:val="0"/>
                <w:sz w:val="21"/>
                <w:szCs w:val="21"/>
                <w:highlight w:val="none"/>
              </w:rPr>
              <w:t>清粪方式</w:t>
            </w:r>
            <w:r>
              <w:rPr>
                <w:rFonts w:hint="default" w:ascii="Times New Roman" w:hAnsi="Times New Roman" w:eastAsia="宋体" w:cs="Times New Roman"/>
                <w:color w:val="auto"/>
                <w:sz w:val="21"/>
                <w:szCs w:val="21"/>
                <w:highlight w:val="none"/>
                <w:lang w:val="en-US" w:eastAsia="zh-CN"/>
              </w:rPr>
              <w:t>采用</w:t>
            </w:r>
            <w:r>
              <w:rPr>
                <w:rFonts w:hint="default" w:ascii="Times New Roman" w:hAnsi="Times New Roman" w:eastAsia="宋体" w:cs="Times New Roman"/>
                <w:color w:val="auto"/>
                <w:sz w:val="21"/>
                <w:szCs w:val="21"/>
                <w:highlight w:val="none"/>
              </w:rPr>
              <w:t>干清粪工艺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定期</w:t>
            </w:r>
            <w:r>
              <w:rPr>
                <w:rFonts w:hint="default" w:ascii="Times New Roman" w:hAnsi="Times New Roman" w:eastAsia="宋体" w:cs="Times New Roman"/>
                <w:color w:val="auto"/>
                <w:sz w:val="21"/>
                <w:szCs w:val="21"/>
                <w:highlight w:val="none"/>
                <w:lang w:val="en-US" w:eastAsia="zh-CN"/>
              </w:rPr>
              <w:t>采用</w:t>
            </w:r>
            <w:r>
              <w:rPr>
                <w:rFonts w:hint="default" w:ascii="Times New Roman" w:hAnsi="Times New Roman" w:eastAsia="宋体" w:cs="Times New Roman"/>
                <w:color w:val="auto"/>
                <w:kern w:val="0"/>
                <w:sz w:val="21"/>
                <w:szCs w:val="21"/>
                <w:highlight w:val="none"/>
                <w:lang w:val="en-US" w:eastAsia="zh-CN"/>
              </w:rPr>
              <w:t>清粪车将羊圈内粪污铲出，后由清粪车运至堆肥场储存并堆肥</w:t>
            </w:r>
            <w:r>
              <w:rPr>
                <w:rFonts w:hint="default" w:ascii="Times New Roman" w:hAnsi="Times New Roman" w:eastAsia="宋体" w:cs="Times New Roman"/>
                <w:color w:val="auto"/>
                <w:kern w:val="0"/>
                <w:sz w:val="21"/>
                <w:szCs w:val="21"/>
                <w:highlight w:val="none"/>
                <w:lang w:val="en-US" w:eastAsia="zh-CN"/>
              </w:rPr>
              <w:t>发酵</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作为有机肥外售还田综合利用</w:t>
            </w:r>
            <w:r>
              <w:rPr>
                <w:rFonts w:hint="default" w:ascii="Times New Roman" w:hAnsi="Times New Roman" w:eastAsia="宋体" w:cs="Times New Roman"/>
                <w:color w:val="auto"/>
                <w:kern w:val="0"/>
                <w:sz w:val="21"/>
                <w:szCs w:val="21"/>
                <w:highlight w:val="none"/>
                <w:lang w:val="en-US" w:eastAsia="zh-CN"/>
              </w:rPr>
              <w:t>。</w:t>
            </w:r>
          </w:p>
        </w:tc>
      </w:tr>
      <w:tr w14:paraId="703565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08300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left w:val="single" w:color="auto" w:sz="4" w:space="0"/>
              <w:right w:val="single" w:color="auto" w:sz="4" w:space="0"/>
            </w:tcBorders>
            <w:vAlign w:val="center"/>
          </w:tcPr>
          <w:p w14:paraId="703ABD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6D785A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病死羊</w:t>
            </w:r>
          </w:p>
        </w:tc>
        <w:tc>
          <w:tcPr>
            <w:tcW w:w="5298" w:type="dxa"/>
            <w:tcBorders>
              <w:top w:val="single" w:color="auto" w:sz="4" w:space="0"/>
              <w:left w:val="single" w:color="auto" w:sz="4" w:space="0"/>
              <w:bottom w:val="single" w:color="auto" w:sz="4" w:space="0"/>
              <w:right w:val="single" w:color="auto" w:sz="4" w:space="0"/>
            </w:tcBorders>
            <w:shd w:val="clear" w:color="auto" w:fill="auto"/>
            <w:vAlign w:val="center"/>
          </w:tcPr>
          <w:p w14:paraId="52F684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病死羊暂存于冷藏间，交由巴彦淖尔市绿之源生物技术发展有限公司进行无害化处理</w:t>
            </w:r>
            <w:r>
              <w:rPr>
                <w:rFonts w:hint="default" w:ascii="Times New Roman" w:hAnsi="Times New Roman" w:eastAsia="宋体" w:cs="Times New Roman"/>
                <w:color w:val="auto"/>
                <w:sz w:val="21"/>
                <w:szCs w:val="21"/>
                <w:highlight w:val="none"/>
              </w:rPr>
              <w:t>。</w:t>
            </w:r>
          </w:p>
        </w:tc>
      </w:tr>
      <w:tr w14:paraId="15343E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A8CE8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7ED19A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569207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碎玉米、皮屑等杂质</w:t>
            </w:r>
          </w:p>
        </w:tc>
        <w:tc>
          <w:tcPr>
            <w:tcW w:w="5298" w:type="dxa"/>
            <w:tcBorders>
              <w:top w:val="single" w:color="auto" w:sz="4" w:space="0"/>
              <w:left w:val="single" w:color="auto" w:sz="4" w:space="0"/>
              <w:bottom w:val="single" w:color="auto" w:sz="4" w:space="0"/>
              <w:right w:val="single" w:color="auto" w:sz="4" w:space="0"/>
            </w:tcBorders>
            <w:vAlign w:val="center"/>
          </w:tcPr>
          <w:p w14:paraId="7619B2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eastAsia="zh-CN"/>
              </w:rPr>
              <w:t>筛分过程收集的</w:t>
            </w:r>
            <w:r>
              <w:rPr>
                <w:rFonts w:hint="default" w:ascii="Times New Roman" w:hAnsi="Times New Roman" w:eastAsia="宋体" w:cs="Times New Roman"/>
                <w:color w:val="auto"/>
                <w:kern w:val="0"/>
                <w:sz w:val="21"/>
                <w:szCs w:val="21"/>
                <w:highlight w:val="none"/>
                <w:lang w:eastAsia="zh-CN"/>
              </w:rPr>
              <w:t>碎玉米、皮屑等杂质，采用编织袋收集后</w:t>
            </w:r>
            <w:r>
              <w:rPr>
                <w:rFonts w:hint="default" w:ascii="Times New Roman" w:hAnsi="Times New Roman" w:eastAsia="宋体" w:cs="Times New Roman"/>
                <w:color w:val="auto"/>
                <w:kern w:val="0"/>
                <w:sz w:val="21"/>
                <w:szCs w:val="21"/>
                <w:highlight w:val="none"/>
                <w:lang w:eastAsia="zh-CN"/>
              </w:rPr>
              <w:t>暂存于一般固废暂存间内</w:t>
            </w:r>
            <w:r>
              <w:rPr>
                <w:rFonts w:hint="default" w:ascii="Times New Roman" w:hAnsi="Times New Roman" w:eastAsia="宋体" w:cs="Times New Roman"/>
                <w:color w:val="auto"/>
                <w:kern w:val="0"/>
                <w:sz w:val="21"/>
                <w:szCs w:val="21"/>
                <w:highlight w:val="none"/>
                <w:lang w:eastAsia="zh-CN"/>
              </w:rPr>
              <w:t>，定期</w:t>
            </w:r>
            <w:r>
              <w:rPr>
                <w:rFonts w:hint="default" w:ascii="Times New Roman" w:hAnsi="Times New Roman" w:eastAsia="宋体" w:cs="Times New Roman"/>
                <w:color w:val="auto"/>
                <w:kern w:val="0"/>
                <w:sz w:val="21"/>
                <w:szCs w:val="21"/>
                <w:highlight w:val="none"/>
                <w:lang w:val="en-US" w:eastAsia="zh-CN"/>
              </w:rPr>
              <w:t>用于</w:t>
            </w:r>
            <w:r>
              <w:rPr>
                <w:rFonts w:hint="default" w:ascii="Times New Roman" w:hAnsi="Times New Roman" w:eastAsia="宋体" w:cs="Times New Roman"/>
                <w:color w:val="auto"/>
                <w:sz w:val="21"/>
                <w:szCs w:val="21"/>
                <w:highlight w:val="none"/>
              </w:rPr>
              <w:t>饲料搅拌</w:t>
            </w:r>
            <w:r>
              <w:rPr>
                <w:rFonts w:hint="default" w:ascii="Times New Roman" w:hAnsi="Times New Roman" w:eastAsia="宋体" w:cs="Times New Roman"/>
                <w:color w:val="auto"/>
                <w:kern w:val="0"/>
                <w:sz w:val="21"/>
                <w:szCs w:val="21"/>
                <w:highlight w:val="none"/>
                <w:lang w:eastAsia="zh-CN"/>
              </w:rPr>
              <w:t>。</w:t>
            </w:r>
          </w:p>
        </w:tc>
      </w:tr>
      <w:tr w14:paraId="0D7FB0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F85E6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0D40A2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065C15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灰渣</w:t>
            </w:r>
          </w:p>
        </w:tc>
        <w:tc>
          <w:tcPr>
            <w:tcW w:w="5298" w:type="dxa"/>
            <w:tcBorders>
              <w:top w:val="single" w:color="auto" w:sz="4" w:space="0"/>
              <w:left w:val="single" w:color="auto" w:sz="4" w:space="0"/>
              <w:bottom w:val="single" w:color="auto" w:sz="4" w:space="0"/>
              <w:right w:val="single" w:color="auto" w:sz="4" w:space="0"/>
            </w:tcBorders>
            <w:vAlign w:val="center"/>
          </w:tcPr>
          <w:p w14:paraId="2C988A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eastAsia="zh-CN"/>
              </w:rPr>
              <w:t>生物质热风炉炉渣、</w:t>
            </w:r>
            <w:r>
              <w:rPr>
                <w:rFonts w:hint="default" w:ascii="Times New Roman" w:hAnsi="Times New Roman" w:eastAsia="宋体" w:cs="Times New Roman"/>
                <w:color w:val="auto"/>
                <w:kern w:val="0"/>
                <w:sz w:val="21"/>
                <w:szCs w:val="21"/>
                <w:highlight w:val="none"/>
                <w:lang w:eastAsia="zh-CN"/>
              </w:rPr>
              <w:t>布袋除尘器</w:t>
            </w:r>
            <w:r>
              <w:rPr>
                <w:rFonts w:hint="default" w:ascii="Times New Roman" w:hAnsi="Times New Roman" w:eastAsia="宋体" w:cs="Times New Roman"/>
                <w:color w:val="auto"/>
                <w:kern w:val="0"/>
                <w:sz w:val="21"/>
                <w:szCs w:val="21"/>
                <w:highlight w:val="none"/>
                <w:lang w:eastAsia="zh-CN"/>
              </w:rPr>
              <w:t>收集的除尘灰暂存于全封闭灰渣库内，定期外售综合利用</w:t>
            </w:r>
            <w:r>
              <w:rPr>
                <w:rFonts w:hint="default" w:ascii="Times New Roman" w:hAnsi="Times New Roman" w:eastAsia="宋体" w:cs="Times New Roman"/>
                <w:color w:val="auto"/>
                <w:kern w:val="0"/>
                <w:sz w:val="21"/>
                <w:szCs w:val="21"/>
                <w:highlight w:val="none"/>
                <w:lang w:eastAsia="zh-CN"/>
              </w:rPr>
              <w:t>。</w:t>
            </w:r>
          </w:p>
        </w:tc>
      </w:tr>
      <w:tr w14:paraId="7B59C5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757057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6391EB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18805E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bidi="zh-CN"/>
              </w:rPr>
              <w:t>医疗垃圾</w:t>
            </w:r>
          </w:p>
        </w:tc>
        <w:tc>
          <w:tcPr>
            <w:tcW w:w="5298" w:type="dxa"/>
            <w:tcBorders>
              <w:top w:val="single" w:color="auto" w:sz="4" w:space="0"/>
              <w:left w:val="single" w:color="auto" w:sz="4" w:space="0"/>
              <w:bottom w:val="single" w:color="auto" w:sz="4" w:space="0"/>
              <w:right w:val="single" w:color="auto" w:sz="4" w:space="0"/>
            </w:tcBorders>
            <w:vAlign w:val="center"/>
          </w:tcPr>
          <w:p w14:paraId="294F61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val="en-US" w:bidi="zh-CN"/>
              </w:rPr>
            </w:pPr>
            <w:r>
              <w:rPr>
                <w:rFonts w:hint="default" w:ascii="Times New Roman" w:hAnsi="Times New Roman" w:eastAsia="宋体" w:cs="Times New Roman"/>
                <w:color w:val="auto"/>
                <w:sz w:val="21"/>
                <w:szCs w:val="21"/>
                <w:highlight w:val="none"/>
                <w:lang w:val="en-US" w:bidi="zh-CN"/>
              </w:rPr>
              <w:t>本</w:t>
            </w:r>
            <w:r>
              <w:rPr>
                <w:rFonts w:hint="default" w:ascii="Times New Roman" w:hAnsi="Times New Roman" w:eastAsia="宋体" w:cs="Times New Roman"/>
                <w:color w:val="auto"/>
                <w:sz w:val="21"/>
                <w:szCs w:val="21"/>
                <w:highlight w:val="none"/>
                <w:lang w:bidi="zh-CN"/>
              </w:rPr>
              <w:t>项目运营过程产生的医疗垃圾为危险废物，</w:t>
            </w:r>
            <w:r>
              <w:rPr>
                <w:rFonts w:hint="default" w:ascii="Times New Roman" w:hAnsi="Times New Roman" w:eastAsia="宋体" w:cs="Times New Roman"/>
                <w:color w:val="auto"/>
                <w:sz w:val="21"/>
                <w:szCs w:val="21"/>
                <w:highlight w:val="none"/>
                <w:lang w:val="en-US" w:bidi="zh-CN"/>
              </w:rPr>
              <w:t>密封</w:t>
            </w:r>
            <w:r>
              <w:rPr>
                <w:rFonts w:hint="default" w:ascii="Times New Roman" w:hAnsi="Times New Roman" w:eastAsia="宋体" w:cs="Times New Roman"/>
                <w:color w:val="auto"/>
                <w:sz w:val="21"/>
                <w:szCs w:val="21"/>
                <w:highlight w:val="none"/>
                <w:lang w:bidi="zh-CN"/>
              </w:rPr>
              <w:t>包装后分区存放危废暂存间，定期由有资质单位处置。</w:t>
            </w:r>
          </w:p>
        </w:tc>
      </w:tr>
      <w:tr w14:paraId="1C0CF0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69011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7805EF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596870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生活垃圾</w:t>
            </w:r>
          </w:p>
        </w:tc>
        <w:tc>
          <w:tcPr>
            <w:tcW w:w="5298" w:type="dxa"/>
            <w:tcBorders>
              <w:top w:val="single" w:color="auto" w:sz="4" w:space="0"/>
              <w:left w:val="single" w:color="auto" w:sz="4" w:space="0"/>
              <w:bottom w:val="single" w:color="auto" w:sz="4" w:space="0"/>
              <w:right w:val="single" w:color="auto" w:sz="4" w:space="0"/>
            </w:tcBorders>
            <w:vAlign w:val="center"/>
          </w:tcPr>
          <w:p w14:paraId="4B6F4A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bidi="zh-CN"/>
              </w:rPr>
              <w:t>场区</w:t>
            </w:r>
            <w:r>
              <w:rPr>
                <w:rFonts w:hint="default" w:ascii="Times New Roman" w:hAnsi="Times New Roman" w:eastAsia="宋体" w:cs="Times New Roman"/>
                <w:color w:val="auto"/>
                <w:sz w:val="21"/>
                <w:szCs w:val="21"/>
                <w:highlight w:val="none"/>
                <w:lang w:bidi="zh-CN"/>
              </w:rPr>
              <w:t>设置垃圾桶，分类收集</w:t>
            </w:r>
            <w:r>
              <w:rPr>
                <w:rFonts w:hint="default" w:ascii="Times New Roman" w:hAnsi="Times New Roman" w:eastAsia="宋体" w:cs="Times New Roman"/>
                <w:color w:val="auto"/>
                <w:sz w:val="21"/>
                <w:szCs w:val="21"/>
                <w:highlight w:val="none"/>
                <w:lang w:val="en-US" w:bidi="zh-CN"/>
              </w:rPr>
              <w:t>工作人员产生的生活垃圾</w:t>
            </w:r>
            <w:r>
              <w:rPr>
                <w:rFonts w:hint="default" w:ascii="Times New Roman" w:hAnsi="Times New Roman" w:eastAsia="宋体" w:cs="Times New Roman"/>
                <w:color w:val="auto"/>
                <w:sz w:val="21"/>
                <w:szCs w:val="21"/>
                <w:highlight w:val="none"/>
                <w:lang w:bidi="zh-CN"/>
              </w:rPr>
              <w:t>，</w:t>
            </w:r>
            <w:r>
              <w:rPr>
                <w:rFonts w:hint="default" w:ascii="Times New Roman" w:hAnsi="Times New Roman" w:eastAsia="宋体" w:cs="Times New Roman"/>
                <w:color w:val="auto"/>
                <w:sz w:val="21"/>
                <w:szCs w:val="21"/>
                <w:highlight w:val="none"/>
                <w:lang w:val="en-US" w:bidi="zh-CN"/>
              </w:rPr>
              <w:t>定期</w:t>
            </w:r>
            <w:r>
              <w:rPr>
                <w:rFonts w:hint="default" w:ascii="Times New Roman" w:hAnsi="Times New Roman" w:eastAsia="宋体" w:cs="Times New Roman"/>
                <w:color w:val="auto"/>
                <w:sz w:val="21"/>
                <w:szCs w:val="21"/>
                <w:highlight w:val="none"/>
                <w:lang w:bidi="zh-CN"/>
              </w:rPr>
              <w:t>清运到环卫部门指定的地点集中处理。</w:t>
            </w:r>
          </w:p>
        </w:tc>
      </w:tr>
      <w:tr w14:paraId="322018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ED481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6220E3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Cs/>
                <w:color w:val="auto"/>
                <w:sz w:val="21"/>
                <w:szCs w:val="21"/>
                <w:highlight w:val="none"/>
              </w:rPr>
              <w:t>噪声</w:t>
            </w:r>
          </w:p>
        </w:tc>
        <w:tc>
          <w:tcPr>
            <w:tcW w:w="5298" w:type="dxa"/>
            <w:tcBorders>
              <w:top w:val="single" w:color="auto" w:sz="4" w:space="0"/>
              <w:left w:val="single" w:color="auto" w:sz="4" w:space="0"/>
              <w:bottom w:val="single" w:color="auto" w:sz="4" w:space="0"/>
              <w:right w:val="single" w:color="auto" w:sz="4" w:space="0"/>
            </w:tcBorders>
            <w:vAlign w:val="center"/>
          </w:tcPr>
          <w:p w14:paraId="452D54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52" w:firstLineChars="20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8"/>
                <w:sz w:val="21"/>
                <w:szCs w:val="21"/>
                <w:highlight w:val="none"/>
              </w:rPr>
              <w:t>采取减振、隔声、合理布局等降噪措施</w:t>
            </w:r>
            <w:r>
              <w:rPr>
                <w:rFonts w:hint="default" w:ascii="Times New Roman" w:hAnsi="Times New Roman" w:eastAsia="宋体" w:cs="Times New Roman"/>
                <w:color w:val="auto"/>
                <w:spacing w:val="8"/>
                <w:sz w:val="21"/>
                <w:szCs w:val="21"/>
                <w:highlight w:val="none"/>
                <w:lang w:eastAsia="zh-CN"/>
              </w:rPr>
              <w:t>。</w:t>
            </w:r>
          </w:p>
        </w:tc>
      </w:tr>
      <w:tr w14:paraId="76D2EF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5718D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vAlign w:val="center"/>
          </w:tcPr>
          <w:p w14:paraId="7BA281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993" w:type="dxa"/>
            <w:tcBorders>
              <w:top w:val="single" w:color="auto" w:sz="4" w:space="0"/>
              <w:left w:val="single" w:color="auto" w:sz="4" w:space="0"/>
              <w:bottom w:val="single" w:color="auto" w:sz="4" w:space="0"/>
              <w:right w:val="single" w:color="auto" w:sz="4" w:space="0"/>
            </w:tcBorders>
            <w:vAlign w:val="center"/>
          </w:tcPr>
          <w:p w14:paraId="2349C6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地下水监控井</w:t>
            </w:r>
          </w:p>
        </w:tc>
        <w:tc>
          <w:tcPr>
            <w:tcW w:w="5298" w:type="dxa"/>
            <w:tcBorders>
              <w:top w:val="single" w:color="auto" w:sz="4" w:space="0"/>
              <w:left w:val="single" w:color="auto" w:sz="4" w:space="0"/>
              <w:bottom w:val="single" w:color="auto" w:sz="4" w:space="0"/>
              <w:right w:val="single" w:color="auto" w:sz="4" w:space="0"/>
            </w:tcBorders>
            <w:vAlign w:val="center"/>
          </w:tcPr>
          <w:p w14:paraId="29EEDD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场区地下水下游（场区南侧）设置</w:t>
            </w:r>
            <w:r>
              <w:rPr>
                <w:rFonts w:hint="default" w:ascii="Times New Roman" w:hAnsi="Times New Roman" w:eastAsia="宋体" w:cs="Times New Roman"/>
                <w:color w:val="auto"/>
                <w:sz w:val="21"/>
                <w:szCs w:val="21"/>
                <w:highlight w:val="none"/>
                <w:lang w:val="en-US" w:eastAsia="zh-CN"/>
              </w:rPr>
              <w:t>1个</w:t>
            </w:r>
            <w:r>
              <w:rPr>
                <w:rFonts w:hint="default" w:ascii="Times New Roman" w:hAnsi="Times New Roman" w:eastAsia="宋体" w:cs="Times New Roman"/>
                <w:color w:val="auto"/>
                <w:sz w:val="21"/>
                <w:szCs w:val="21"/>
                <w:highlight w:val="none"/>
              </w:rPr>
              <w:t>地下水监控井</w:t>
            </w:r>
            <w:r>
              <w:rPr>
                <w:rFonts w:hint="default" w:ascii="Times New Roman" w:hAnsi="Times New Roman" w:eastAsia="宋体" w:cs="Times New Roman"/>
                <w:color w:val="auto"/>
                <w:sz w:val="21"/>
                <w:szCs w:val="21"/>
                <w:highlight w:val="none"/>
                <w:lang w:eastAsia="zh-CN"/>
              </w:rPr>
              <w:t>（坐标：</w:t>
            </w:r>
            <w:r>
              <w:rPr>
                <w:rFonts w:hint="default" w:ascii="Times New Roman" w:hAnsi="Times New Roman" w:eastAsia="宋体" w:cs="Times New Roman"/>
                <w:color w:val="auto"/>
                <w:sz w:val="21"/>
                <w:szCs w:val="21"/>
                <w:highlight w:val="none"/>
              </w:rPr>
              <w:t>N</w:t>
            </w:r>
            <w:r>
              <w:rPr>
                <w:rFonts w:hint="default" w:ascii="Times New Roman" w:hAnsi="Times New Roman" w:eastAsia="宋体" w:cs="Times New Roman"/>
                <w:color w:val="auto"/>
                <w:sz w:val="21"/>
                <w:szCs w:val="21"/>
                <w:highlight w:val="none"/>
                <w:lang w:val="en-US" w:eastAsia="zh-CN"/>
              </w:rPr>
              <w:t>41°07'9.31"</w:t>
            </w:r>
            <w:r>
              <w:rPr>
                <w:rFonts w:hint="default" w:ascii="Times New Roman" w:hAnsi="Times New Roman" w:eastAsia="宋体" w:cs="Times New Roman"/>
                <w:color w:val="auto"/>
                <w:sz w:val="21"/>
                <w:szCs w:val="21"/>
                <w:highlight w:val="none"/>
              </w:rPr>
              <w:t>E</w:t>
            </w:r>
            <w:r>
              <w:rPr>
                <w:rFonts w:hint="default" w:ascii="Times New Roman" w:hAnsi="Times New Roman" w:eastAsia="宋体" w:cs="Times New Roman"/>
                <w:color w:val="auto"/>
                <w:sz w:val="21"/>
                <w:szCs w:val="21"/>
                <w:highlight w:val="none"/>
                <w:lang w:eastAsia="zh-CN"/>
              </w:rPr>
              <w:t>10</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5.36</w:t>
            </w:r>
            <w:r>
              <w:rPr>
                <w:rFonts w:hint="default" w:ascii="Times New Roman" w:hAnsi="Times New Roman" w:eastAsia="宋体" w:cs="Times New Roman"/>
                <w:color w:val="auto"/>
                <w:sz w:val="21"/>
                <w:szCs w:val="21"/>
                <w:highlight w:val="none"/>
                <w:lang w:eastAsia="zh-CN"/>
              </w:rPr>
              <w:t>"）。</w:t>
            </w:r>
          </w:p>
        </w:tc>
      </w:tr>
      <w:tr w14:paraId="6F43CE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03950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4FD7AA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178045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重点防渗区</w:t>
            </w:r>
          </w:p>
        </w:tc>
        <w:tc>
          <w:tcPr>
            <w:tcW w:w="5298" w:type="dxa"/>
            <w:tcBorders>
              <w:top w:val="single" w:color="auto" w:sz="4" w:space="0"/>
              <w:left w:val="single" w:color="auto" w:sz="4" w:space="0"/>
              <w:bottom w:val="single" w:color="auto" w:sz="4" w:space="0"/>
              <w:right w:val="single" w:color="auto" w:sz="4" w:space="0"/>
            </w:tcBorders>
            <w:vAlign w:val="center"/>
          </w:tcPr>
          <w:p w14:paraId="3E9A9C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危废暂存间</w:t>
            </w:r>
            <w:r>
              <w:rPr>
                <w:rFonts w:hint="default" w:ascii="Times New Roman" w:hAnsi="Times New Roman" w:eastAsia="宋体" w:cs="Times New Roman"/>
                <w:color w:val="auto"/>
                <w:sz w:val="21"/>
                <w:szCs w:val="21"/>
                <w:highlight w:val="none"/>
                <w:lang w:val="en-US" w:eastAsia="zh-CN"/>
              </w:rPr>
              <w:t>属于</w:t>
            </w:r>
            <w:r>
              <w:rPr>
                <w:rFonts w:hint="default" w:ascii="Times New Roman" w:hAnsi="Times New Roman" w:eastAsia="宋体" w:cs="Times New Roman"/>
                <w:color w:val="auto"/>
                <w:sz w:val="21"/>
                <w:szCs w:val="21"/>
                <w:highlight w:val="none"/>
              </w:rPr>
              <w:t>重点防渗区</w:t>
            </w:r>
            <w:r>
              <w:rPr>
                <w:rFonts w:hint="default" w:ascii="Times New Roman" w:hAnsi="Times New Roman" w:eastAsia="宋体" w:cs="Times New Roman"/>
                <w:color w:val="auto"/>
                <w:sz w:val="21"/>
                <w:szCs w:val="21"/>
                <w:highlight w:val="none"/>
                <w:lang w:eastAsia="zh-CN"/>
              </w:rPr>
              <w:t>，采用至少2mm厚HDPE或其他人工材料进行防渗处理，渗透系数不大于1.0×10</w:t>
            </w:r>
            <w:r>
              <w:rPr>
                <w:rFonts w:hint="default" w:ascii="Times New Roman" w:hAnsi="Times New Roman" w:eastAsia="宋体"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w:t>
            </w:r>
          </w:p>
        </w:tc>
      </w:tr>
      <w:tr w14:paraId="155C26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46914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624B37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12CE3B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一般防渗区</w:t>
            </w:r>
          </w:p>
        </w:tc>
        <w:tc>
          <w:tcPr>
            <w:tcW w:w="5298" w:type="dxa"/>
            <w:tcBorders>
              <w:top w:val="single" w:color="auto" w:sz="4" w:space="0"/>
              <w:left w:val="single" w:color="auto" w:sz="4" w:space="0"/>
              <w:bottom w:val="single" w:color="auto" w:sz="4" w:space="0"/>
              <w:right w:val="single" w:color="auto" w:sz="4" w:space="0"/>
            </w:tcBorders>
            <w:vAlign w:val="center"/>
          </w:tcPr>
          <w:p w14:paraId="0ACC3D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羊圈、</w:t>
            </w:r>
            <w:r>
              <w:rPr>
                <w:rFonts w:hint="default" w:ascii="Times New Roman" w:hAnsi="Times New Roman" w:eastAsia="宋体" w:cs="Times New Roman"/>
                <w:color w:val="auto"/>
                <w:spacing w:val="-13"/>
                <w:sz w:val="21"/>
                <w:szCs w:val="21"/>
                <w:highlight w:val="none"/>
                <w:lang w:eastAsia="zh-CN"/>
              </w:rPr>
              <w:t>堆肥场</w:t>
            </w:r>
            <w:r>
              <w:rPr>
                <w:rFonts w:hint="default" w:ascii="Times New Roman" w:hAnsi="Times New Roman" w:eastAsia="宋体" w:cs="Times New Roman"/>
                <w:color w:val="auto"/>
                <w:spacing w:val="-13"/>
                <w:sz w:val="21"/>
                <w:szCs w:val="21"/>
                <w:highlight w:val="none"/>
              </w:rPr>
              <w:t>、</w:t>
            </w:r>
            <w:r>
              <w:rPr>
                <w:rFonts w:hint="default" w:ascii="Times New Roman" w:hAnsi="Times New Roman" w:eastAsia="宋体" w:cs="Times New Roman"/>
                <w:color w:val="auto"/>
                <w:spacing w:val="-13"/>
                <w:sz w:val="21"/>
                <w:szCs w:val="21"/>
                <w:highlight w:val="none"/>
                <w:lang w:val="en-US" w:eastAsia="zh-CN"/>
              </w:rPr>
              <w:t>化粪池</w:t>
            </w:r>
            <w:r>
              <w:rPr>
                <w:rFonts w:hint="default" w:ascii="Times New Roman" w:hAnsi="Times New Roman" w:eastAsia="宋体" w:cs="Times New Roman"/>
                <w:color w:val="auto"/>
                <w:spacing w:val="-4"/>
                <w:sz w:val="21"/>
                <w:szCs w:val="21"/>
                <w:highlight w:val="none"/>
              </w:rPr>
              <w:t>等构筑物</w:t>
            </w:r>
            <w:r>
              <w:rPr>
                <w:rFonts w:hint="default" w:ascii="Times New Roman" w:hAnsi="Times New Roman" w:eastAsia="宋体" w:cs="Times New Roman"/>
                <w:color w:val="auto"/>
                <w:sz w:val="21"/>
                <w:szCs w:val="21"/>
                <w:highlight w:val="none"/>
                <w:lang w:val="en-US" w:eastAsia="zh-CN"/>
              </w:rPr>
              <w:t>属于</w:t>
            </w:r>
            <w:r>
              <w:rPr>
                <w:rFonts w:hint="default" w:ascii="Times New Roman" w:hAnsi="Times New Roman" w:eastAsia="宋体" w:cs="Times New Roman"/>
                <w:color w:val="auto"/>
                <w:kern w:val="0"/>
                <w:sz w:val="21"/>
                <w:szCs w:val="21"/>
                <w:highlight w:val="none"/>
              </w:rPr>
              <w:t>一般防渗区</w:t>
            </w:r>
            <w:r>
              <w:rPr>
                <w:rFonts w:hint="default" w:ascii="Times New Roman" w:hAnsi="Times New Roman" w:eastAsia="宋体" w:cs="Times New Roman"/>
                <w:color w:val="auto"/>
                <w:spacing w:val="-4"/>
                <w:sz w:val="21"/>
                <w:szCs w:val="21"/>
                <w:highlight w:val="none"/>
              </w:rPr>
              <w:t>，</w:t>
            </w:r>
            <w:r>
              <w:rPr>
                <w:rFonts w:hint="default" w:ascii="Times New Roman" w:hAnsi="Times New Roman" w:eastAsia="宋体" w:cs="Times New Roman"/>
                <w:color w:val="auto"/>
                <w:spacing w:val="-3"/>
                <w:sz w:val="21"/>
                <w:szCs w:val="21"/>
                <w:highlight w:val="none"/>
              </w:rPr>
              <w:t>参照《一般工业固体废物贮存和填埋污染控制标准》（GB18599-2020）的相关要求进行防渗，渗透系数≤1.0×10</w:t>
            </w:r>
            <w:r>
              <w:rPr>
                <w:rFonts w:hint="default" w:ascii="Times New Roman" w:hAnsi="Times New Roman" w:eastAsia="宋体" w:cs="Times New Roman"/>
                <w:color w:val="auto"/>
                <w:spacing w:val="-3"/>
                <w:sz w:val="21"/>
                <w:szCs w:val="21"/>
                <w:highlight w:val="none"/>
                <w:vertAlign w:val="superscript"/>
              </w:rPr>
              <w:t>-7</w:t>
            </w:r>
            <w:r>
              <w:rPr>
                <w:rFonts w:hint="default" w:ascii="Times New Roman" w:hAnsi="Times New Roman" w:eastAsia="宋体" w:cs="Times New Roman"/>
                <w:color w:val="auto"/>
                <w:spacing w:val="-3"/>
                <w:sz w:val="21"/>
                <w:szCs w:val="21"/>
                <w:highlight w:val="none"/>
              </w:rPr>
              <w:t>cm/s；</w:t>
            </w:r>
          </w:p>
        </w:tc>
      </w:tr>
      <w:tr w14:paraId="5508F0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70EA28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2A6EEC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vAlign w:val="center"/>
          </w:tcPr>
          <w:p w14:paraId="73FAC2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简单防渗区</w:t>
            </w:r>
          </w:p>
        </w:tc>
        <w:tc>
          <w:tcPr>
            <w:tcW w:w="5298" w:type="dxa"/>
            <w:tcBorders>
              <w:top w:val="single" w:color="auto" w:sz="4" w:space="0"/>
              <w:left w:val="single" w:color="auto" w:sz="4" w:space="0"/>
              <w:bottom w:val="single" w:color="auto" w:sz="4" w:space="0"/>
              <w:right w:val="single" w:color="auto" w:sz="4" w:space="0"/>
            </w:tcBorders>
            <w:vAlign w:val="center"/>
          </w:tcPr>
          <w:p w14:paraId="6D3321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草棚、</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rPr>
              <w:t>、场区道路、</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饲料通道、运输道路单元，采取水泥</w:t>
            </w:r>
            <w:r>
              <w:rPr>
                <w:rFonts w:hint="default" w:ascii="Times New Roman" w:hAnsi="Times New Roman" w:eastAsia="宋体" w:cs="Times New Roman"/>
                <w:color w:val="auto"/>
                <w:sz w:val="21"/>
                <w:szCs w:val="21"/>
                <w:highlight w:val="none"/>
                <w:lang w:val="en-US" w:eastAsia="zh-CN"/>
              </w:rPr>
              <w:t>混凝土</w:t>
            </w:r>
            <w:r>
              <w:rPr>
                <w:rFonts w:hint="default" w:ascii="Times New Roman" w:hAnsi="Times New Roman" w:eastAsia="宋体" w:cs="Times New Roman"/>
                <w:color w:val="auto"/>
                <w:sz w:val="21"/>
                <w:szCs w:val="21"/>
                <w:highlight w:val="none"/>
              </w:rPr>
              <w:t>硬化处理</w:t>
            </w:r>
            <w:r>
              <w:rPr>
                <w:rFonts w:hint="default" w:ascii="Times New Roman" w:hAnsi="Times New Roman" w:eastAsia="宋体" w:cs="Times New Roman"/>
                <w:color w:val="auto"/>
                <w:sz w:val="21"/>
                <w:szCs w:val="21"/>
                <w:highlight w:val="none"/>
                <w:lang w:eastAsia="zh-CN"/>
              </w:rPr>
              <w:t>。</w:t>
            </w:r>
          </w:p>
        </w:tc>
      </w:tr>
      <w:tr w14:paraId="62006F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8E74F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1986" w:type="dxa"/>
            <w:gridSpan w:val="2"/>
            <w:tcBorders>
              <w:top w:val="single" w:color="auto" w:sz="4" w:space="0"/>
              <w:left w:val="single" w:color="auto" w:sz="4" w:space="0"/>
              <w:bottom w:val="single" w:color="auto" w:sz="4" w:space="0"/>
              <w:right w:val="single" w:color="auto" w:sz="4" w:space="0"/>
            </w:tcBorders>
            <w:vAlign w:val="center"/>
          </w:tcPr>
          <w:p w14:paraId="71ECF7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生态</w:t>
            </w:r>
          </w:p>
        </w:tc>
        <w:tc>
          <w:tcPr>
            <w:tcW w:w="5298" w:type="dxa"/>
            <w:tcBorders>
              <w:top w:val="single" w:color="auto" w:sz="4" w:space="0"/>
              <w:left w:val="single" w:color="auto" w:sz="4" w:space="0"/>
              <w:bottom w:val="single" w:color="auto" w:sz="4" w:space="0"/>
              <w:right w:val="single" w:color="auto" w:sz="4" w:space="0"/>
            </w:tcBorders>
            <w:vAlign w:val="center"/>
          </w:tcPr>
          <w:p w14:paraId="6DA369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绿化面积</w:t>
            </w:r>
            <w:r>
              <w:rPr>
                <w:rFonts w:hint="default" w:ascii="Times New Roman" w:hAnsi="Times New Roman" w:eastAsia="宋体" w:cs="Times New Roman"/>
                <w:color w:val="auto"/>
                <w:sz w:val="21"/>
                <w:szCs w:val="21"/>
                <w:highlight w:val="none"/>
                <w:lang w:val="en-US" w:eastAsia="zh-CN"/>
              </w:rPr>
              <w:t>1000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r>
    </w:tbl>
    <w:p w14:paraId="61B9C63B">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43" w:name="_Toc3498"/>
      <w:r>
        <w:rPr>
          <w:rFonts w:hint="default" w:ascii="Times New Roman" w:hAnsi="Times New Roman" w:eastAsia="宋体" w:cs="Times New Roman"/>
          <w:color w:val="auto"/>
          <w:highlight w:val="none"/>
        </w:rPr>
        <w:t>3.1.3产品方案及技术指标</w:t>
      </w:r>
      <w:bookmarkEnd w:id="243"/>
    </w:p>
    <w:p w14:paraId="62300BBA">
      <w:pPr>
        <w:keepNext w:val="0"/>
        <w:keepLines w:val="0"/>
        <w:pageBreakBefore w:val="0"/>
        <w:widowControl w:val="0"/>
        <w:shd w:val="clear"/>
        <w:tabs>
          <w:tab w:val="left" w:pos="1050"/>
        </w:tabs>
        <w:kinsoku/>
        <w:wordWrap/>
        <w:overflowPunct/>
        <w:topLinePunct w:val="0"/>
        <w:autoSpaceDE w:val="0"/>
        <w:autoSpaceDN w:val="0"/>
        <w:bidi w:val="0"/>
        <w:adjustRightInd/>
        <w:snapToGrid w:val="0"/>
        <w:spacing w:line="360" w:lineRule="auto"/>
        <w:ind w:left="0" w:leftChars="0" w:right="0" w:rightChars="0" w:firstLine="480" w:firstLineChars="200"/>
        <w:contextualSpacing/>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本项目按照公司总体规划，新建存栏23000</w:t>
      </w:r>
      <w:r>
        <w:rPr>
          <w:rFonts w:hint="default" w:ascii="Times New Roman" w:hAnsi="Times New Roman" w:eastAsia="宋体" w:cs="Times New Roman"/>
          <w:color w:val="00B050"/>
          <w:sz w:val="24"/>
          <w:highlight w:val="none"/>
          <w:lang w:val="en-US" w:eastAsia="zh-CN"/>
        </w:rPr>
        <w:t>只</w:t>
      </w:r>
      <w:r>
        <w:rPr>
          <w:rFonts w:hint="default" w:ascii="Times New Roman" w:hAnsi="Times New Roman" w:eastAsia="宋体" w:cs="Times New Roman"/>
          <w:color w:val="auto"/>
          <w:sz w:val="24"/>
          <w:highlight w:val="none"/>
          <w:lang w:val="en-US" w:eastAsia="zh-CN"/>
        </w:rPr>
        <w:t>肉羊建设项目，建成后年出栏肉羊69000</w:t>
      </w:r>
      <w:r>
        <w:rPr>
          <w:rFonts w:hint="default" w:ascii="Times New Roman" w:hAnsi="Times New Roman" w:eastAsia="宋体" w:cs="Times New Roman"/>
          <w:color w:val="00B050"/>
          <w:sz w:val="21"/>
          <w:szCs w:val="21"/>
          <w:highlight w:val="none"/>
          <w:lang w:val="en-US" w:eastAsia="zh-CN"/>
        </w:rPr>
        <w:t>只</w:t>
      </w:r>
      <w:r>
        <w:rPr>
          <w:rFonts w:hint="default" w:ascii="Times New Roman" w:hAnsi="Times New Roman" w:eastAsia="宋体" w:cs="Times New Roman"/>
          <w:color w:val="auto"/>
          <w:sz w:val="24"/>
          <w:highlight w:val="none"/>
          <w:lang w:val="en-US" w:eastAsia="zh-CN"/>
        </w:rPr>
        <w:t>。</w:t>
      </w:r>
    </w:p>
    <w:p w14:paraId="04333FBB">
      <w:pPr>
        <w:keepNext w:val="0"/>
        <w:keepLines w:val="0"/>
        <w:pageBreakBefore w:val="0"/>
        <w:widowControl w:val="0"/>
        <w:shd w:val="clear"/>
        <w:tabs>
          <w:tab w:val="left" w:pos="1050"/>
        </w:tabs>
        <w:kinsoku/>
        <w:wordWrap/>
        <w:overflowPunct/>
        <w:topLinePunct w:val="0"/>
        <w:autoSpaceDE w:val="0"/>
        <w:autoSpaceDN w:val="0"/>
        <w:bidi w:val="0"/>
        <w:adjustRightInd/>
        <w:snapToGrid w:val="0"/>
        <w:spacing w:line="360" w:lineRule="auto"/>
        <w:ind w:left="0" w:leftChars="0" w:right="0" w:rightChars="0" w:firstLine="480" w:firstLineChars="200"/>
        <w:contextualSpacing/>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lang w:val="en-US" w:eastAsia="zh-CN"/>
        </w:rPr>
        <w:t>本项目外购</w:t>
      </w:r>
      <w:r>
        <w:rPr>
          <w:rFonts w:hint="default" w:ascii="Times New Roman" w:hAnsi="Times New Roman" w:eastAsia="宋体" w:cs="Times New Roman"/>
          <w:color w:val="auto"/>
          <w:sz w:val="24"/>
          <w:highlight w:val="none"/>
          <w:lang w:val="en-US" w:eastAsia="zh-CN"/>
        </w:rPr>
        <w:t>肉羊</w:t>
      </w:r>
      <w:r>
        <w:rPr>
          <w:rFonts w:hint="default" w:ascii="Times New Roman" w:hAnsi="Times New Roman" w:eastAsia="宋体" w:cs="Times New Roman"/>
          <w:color w:val="auto"/>
          <w:sz w:val="24"/>
          <w:highlight w:val="none"/>
          <w:lang w:val="en-US" w:eastAsia="zh-CN"/>
        </w:rPr>
        <w:t>23000</w:t>
      </w:r>
      <w:r>
        <w:rPr>
          <w:rFonts w:hint="default" w:ascii="Times New Roman" w:hAnsi="Times New Roman" w:eastAsia="宋体" w:cs="Times New Roman"/>
          <w:color w:val="00B050"/>
          <w:sz w:val="21"/>
          <w:szCs w:val="21"/>
          <w:highlight w:val="none"/>
          <w:lang w:val="en-US" w:eastAsia="zh-CN"/>
        </w:rPr>
        <w:t>只</w:t>
      </w:r>
      <w:r>
        <w:rPr>
          <w:rFonts w:hint="default" w:ascii="Times New Roman" w:hAnsi="Times New Roman" w:eastAsia="宋体" w:cs="Times New Roman"/>
          <w:color w:val="auto"/>
          <w:sz w:val="24"/>
          <w:highlight w:val="none"/>
          <w:lang w:val="en-US" w:eastAsia="zh-CN"/>
        </w:rPr>
        <w:t>/次，</w:t>
      </w:r>
      <w:r>
        <w:rPr>
          <w:rFonts w:hint="default" w:ascii="Times New Roman" w:hAnsi="Times New Roman" w:eastAsia="宋体" w:cs="Times New Roman"/>
          <w:color w:val="auto"/>
          <w:sz w:val="24"/>
          <w:highlight w:val="none"/>
          <w:lang w:val="en-US" w:eastAsia="zh-CN"/>
        </w:rPr>
        <w:t>肉羊</w:t>
      </w:r>
      <w:r>
        <w:rPr>
          <w:rFonts w:hint="default" w:ascii="Times New Roman" w:hAnsi="Times New Roman" w:eastAsia="宋体" w:cs="Times New Roman"/>
          <w:color w:val="auto"/>
          <w:sz w:val="24"/>
          <w:highlight w:val="none"/>
          <w:lang w:val="en-US" w:eastAsia="zh-CN"/>
        </w:rPr>
        <w:t>在场内育肥4个月后出栏。产品方案</w:t>
      </w:r>
      <w:r>
        <w:rPr>
          <w:rFonts w:hint="default" w:ascii="Times New Roman" w:hAnsi="Times New Roman" w:eastAsia="宋体" w:cs="Times New Roman"/>
          <w:color w:val="auto"/>
          <w:sz w:val="24"/>
          <w:szCs w:val="24"/>
          <w:highlight w:val="none"/>
        </w:rPr>
        <w:t>详见表</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p>
    <w:p w14:paraId="4CB2080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 xml:space="preserve">3  </w:t>
      </w:r>
      <w:r>
        <w:rPr>
          <w:rFonts w:hint="default" w:ascii="Times New Roman" w:hAnsi="Times New Roman" w:eastAsia="宋体" w:cs="Times New Roman"/>
          <w:color w:val="auto"/>
          <w:sz w:val="24"/>
          <w:szCs w:val="24"/>
          <w:highlight w:val="none"/>
        </w:rPr>
        <w:t>产品方案一览表</w:t>
      </w:r>
    </w:p>
    <w:tbl>
      <w:tblPr>
        <w:tblStyle w:val="42"/>
        <w:tblW w:w="827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655"/>
        <w:gridCol w:w="1655"/>
        <w:gridCol w:w="1655"/>
        <w:gridCol w:w="1656"/>
        <w:gridCol w:w="1656"/>
      </w:tblGrid>
      <w:tr w14:paraId="55D5F1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3C592147">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序号</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48F45CFE">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产品名称</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225C4C42">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单位</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4CA6FF3A">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数量</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53F8410B">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备注</w:t>
            </w:r>
          </w:p>
        </w:tc>
      </w:tr>
      <w:tr w14:paraId="33313F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3A731E9F">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1</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60BAA765">
            <w:pPr>
              <w:keepNext w:val="0"/>
              <w:keepLines w:val="0"/>
              <w:pageBreakBefore w:val="0"/>
              <w:widowControl/>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肉羊</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0A029F95">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00B050"/>
                <w:sz w:val="21"/>
                <w:szCs w:val="21"/>
                <w:highlight w:val="none"/>
                <w:lang w:val="en-US" w:eastAsia="zh-CN"/>
              </w:rPr>
              <w:t>只/a</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14E440DA">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69000</w:t>
            </w:r>
          </w:p>
        </w:tc>
        <w:tc>
          <w:tcPr>
            <w:tcW w:w="567" w:type="dxa"/>
            <w:tcBorders>
              <w:top w:val="single" w:color="auto" w:sz="4" w:space="0"/>
              <w:left w:val="single" w:color="auto" w:sz="4" w:space="0"/>
              <w:bottom w:val="single" w:color="auto" w:sz="4" w:space="0"/>
              <w:right w:val="single" w:color="auto" w:sz="4" w:space="0"/>
            </w:tcBorders>
            <w:noWrap w:val="0"/>
            <w:vAlign w:val="center"/>
          </w:tcPr>
          <w:p w14:paraId="1F5D2198">
            <w:pPr>
              <w:keepNext w:val="0"/>
              <w:keepLines w:val="0"/>
              <w:pageBreakBefore w:val="0"/>
              <w:widowControl/>
              <w:shd w:val="clea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出栏总量</w:t>
            </w:r>
          </w:p>
        </w:tc>
      </w:tr>
    </w:tbl>
    <w:p w14:paraId="40157DDA">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44" w:name="_Toc11176"/>
      <w:r>
        <w:rPr>
          <w:rFonts w:hint="default" w:ascii="Times New Roman" w:hAnsi="Times New Roman" w:eastAsia="宋体" w:cs="Times New Roman"/>
          <w:color w:val="auto"/>
          <w:highlight w:val="none"/>
        </w:rPr>
        <w:t>3.1.4主要原辅料消耗能源消耗</w:t>
      </w:r>
      <w:bookmarkEnd w:id="244"/>
    </w:p>
    <w:p w14:paraId="1E272AC3">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3.1.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原辅料消耗</w:t>
      </w:r>
    </w:p>
    <w:p w14:paraId="5747F8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本项目养殖</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主要原料为优质饲草料及玉米，项目区是传统农牧业地区，项目原料资源丰富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本项目的原辅饲料消耗见下表。</w:t>
      </w:r>
    </w:p>
    <w:p w14:paraId="49AAD372">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本项目饲料消耗一览表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48"/>
        <w:gridCol w:w="1389"/>
        <w:gridCol w:w="2751"/>
        <w:gridCol w:w="1389"/>
      </w:tblGrid>
      <w:tr w14:paraId="54807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8" w:type="dxa"/>
            <w:tcBorders>
              <w:top w:val="single" w:color="auto" w:sz="4" w:space="0"/>
              <w:left w:val="single" w:color="auto" w:sz="4" w:space="0"/>
            </w:tcBorders>
            <w:shd w:val="clear" w:color="auto" w:fill="auto"/>
            <w:vAlign w:val="center"/>
          </w:tcPr>
          <w:p w14:paraId="115DD0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1389" w:type="dxa"/>
            <w:tcBorders>
              <w:top w:val="single" w:color="auto" w:sz="4" w:space="0"/>
            </w:tcBorders>
            <w:shd w:val="clear" w:color="auto" w:fill="auto"/>
            <w:vAlign w:val="center"/>
          </w:tcPr>
          <w:p w14:paraId="42A5CE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c>
          <w:tcPr>
            <w:tcW w:w="2751" w:type="dxa"/>
            <w:tcBorders>
              <w:top w:val="single" w:color="auto" w:sz="4" w:space="0"/>
            </w:tcBorders>
            <w:shd w:val="clear" w:color="auto" w:fill="auto"/>
            <w:vAlign w:val="center"/>
          </w:tcPr>
          <w:p w14:paraId="42E978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消耗量</w:t>
            </w:r>
          </w:p>
        </w:tc>
        <w:tc>
          <w:tcPr>
            <w:tcW w:w="1389" w:type="dxa"/>
            <w:tcBorders>
              <w:top w:val="single" w:color="auto" w:sz="4" w:space="0"/>
              <w:right w:val="single" w:color="auto" w:sz="4" w:space="0"/>
            </w:tcBorders>
            <w:shd w:val="clear" w:color="auto" w:fill="auto"/>
            <w:vAlign w:val="center"/>
          </w:tcPr>
          <w:p w14:paraId="7A1AF9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来源</w:t>
            </w:r>
          </w:p>
        </w:tc>
      </w:tr>
      <w:tr w14:paraId="4DF5A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8" w:type="dxa"/>
            <w:tcBorders>
              <w:left w:val="single" w:color="auto" w:sz="4" w:space="0"/>
            </w:tcBorders>
            <w:shd w:val="clear" w:color="auto" w:fill="auto"/>
            <w:vAlign w:val="center"/>
          </w:tcPr>
          <w:p w14:paraId="5A281A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干草（含</w:t>
            </w:r>
            <w:r>
              <w:rPr>
                <w:rFonts w:hint="default" w:ascii="Times New Roman" w:hAnsi="Times New Roman" w:eastAsia="宋体" w:cs="Times New Roman"/>
                <w:color w:val="auto"/>
                <w:sz w:val="21"/>
                <w:szCs w:val="21"/>
                <w:highlight w:val="none"/>
                <w:lang w:eastAsia="zh-CN"/>
              </w:rPr>
              <w:t>秸秆</w:t>
            </w:r>
            <w:r>
              <w:rPr>
                <w:rFonts w:hint="default" w:ascii="Times New Roman" w:hAnsi="Times New Roman" w:eastAsia="宋体" w:cs="Times New Roman"/>
                <w:color w:val="auto"/>
                <w:sz w:val="21"/>
                <w:szCs w:val="21"/>
                <w:highlight w:val="none"/>
              </w:rPr>
              <w:t>）</w:t>
            </w:r>
          </w:p>
        </w:tc>
        <w:tc>
          <w:tcPr>
            <w:tcW w:w="1389" w:type="dxa"/>
            <w:shd w:val="clear" w:color="auto" w:fill="auto"/>
            <w:vAlign w:val="center"/>
          </w:tcPr>
          <w:p w14:paraId="04B89E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2751" w:type="dxa"/>
            <w:shd w:val="clear" w:color="auto" w:fill="auto"/>
            <w:vAlign w:val="center"/>
          </w:tcPr>
          <w:p w14:paraId="3F889E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4600</w:t>
            </w:r>
          </w:p>
        </w:tc>
        <w:tc>
          <w:tcPr>
            <w:tcW w:w="1389" w:type="dxa"/>
            <w:tcBorders>
              <w:right w:val="single" w:color="auto" w:sz="4" w:space="0"/>
            </w:tcBorders>
            <w:shd w:val="clear" w:color="auto" w:fill="auto"/>
            <w:vAlign w:val="center"/>
          </w:tcPr>
          <w:p w14:paraId="1196A9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外购</w:t>
            </w:r>
          </w:p>
        </w:tc>
      </w:tr>
      <w:tr w14:paraId="31C91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8" w:type="dxa"/>
            <w:tcBorders>
              <w:left w:val="single" w:color="auto" w:sz="4" w:space="0"/>
              <w:bottom w:val="single" w:color="auto" w:sz="4" w:space="0"/>
            </w:tcBorders>
            <w:shd w:val="clear" w:color="auto" w:fill="auto"/>
            <w:vAlign w:val="center"/>
          </w:tcPr>
          <w:p w14:paraId="1C483C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精料（玉米、辅助饲料）</w:t>
            </w:r>
          </w:p>
        </w:tc>
        <w:tc>
          <w:tcPr>
            <w:tcW w:w="1389" w:type="dxa"/>
            <w:tcBorders>
              <w:bottom w:val="single" w:color="auto" w:sz="4" w:space="0"/>
            </w:tcBorders>
            <w:shd w:val="clear" w:color="auto" w:fill="auto"/>
            <w:vAlign w:val="center"/>
          </w:tcPr>
          <w:p w14:paraId="586729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2751" w:type="dxa"/>
            <w:tcBorders>
              <w:bottom w:val="single" w:color="auto" w:sz="4" w:space="0"/>
            </w:tcBorders>
            <w:shd w:val="clear" w:color="auto" w:fill="auto"/>
            <w:vAlign w:val="center"/>
          </w:tcPr>
          <w:p w14:paraId="238532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8000</w:t>
            </w:r>
          </w:p>
        </w:tc>
        <w:tc>
          <w:tcPr>
            <w:tcW w:w="1389" w:type="dxa"/>
            <w:tcBorders>
              <w:bottom w:val="single" w:color="auto" w:sz="4" w:space="0"/>
              <w:right w:val="single" w:color="auto" w:sz="4" w:space="0"/>
            </w:tcBorders>
            <w:shd w:val="clear" w:color="auto" w:fill="auto"/>
            <w:vAlign w:val="center"/>
          </w:tcPr>
          <w:p w14:paraId="49E857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外购</w:t>
            </w:r>
          </w:p>
        </w:tc>
      </w:tr>
    </w:tbl>
    <w:p w14:paraId="6388D098">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3.1.4.2动力消耗</w:t>
      </w:r>
    </w:p>
    <w:p w14:paraId="392A598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项目动力消耗情况见下表。</w:t>
      </w:r>
    </w:p>
    <w:p w14:paraId="421CAE1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 xml:space="preserve">  能源</w:t>
      </w:r>
      <w:r>
        <w:rPr>
          <w:rFonts w:hint="default" w:ascii="Times New Roman" w:hAnsi="Times New Roman" w:eastAsia="宋体" w:cs="Times New Roman"/>
          <w:color w:val="auto"/>
          <w:sz w:val="24"/>
          <w:szCs w:val="24"/>
          <w:highlight w:val="none"/>
        </w:rPr>
        <w:t>消耗一览表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55"/>
        <w:gridCol w:w="1655"/>
        <w:gridCol w:w="1130"/>
        <w:gridCol w:w="2182"/>
      </w:tblGrid>
      <w:tr w14:paraId="4A2C7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top w:val="single" w:color="auto" w:sz="4" w:space="0"/>
              <w:left w:val="single" w:color="auto" w:sz="4" w:space="0"/>
            </w:tcBorders>
            <w:shd w:val="clear" w:color="auto" w:fill="auto"/>
            <w:vAlign w:val="center"/>
          </w:tcPr>
          <w:p w14:paraId="62C9F7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1655" w:type="dxa"/>
            <w:tcBorders>
              <w:top w:val="single" w:color="auto" w:sz="4" w:space="0"/>
            </w:tcBorders>
            <w:shd w:val="clear" w:color="auto" w:fill="auto"/>
            <w:vAlign w:val="center"/>
          </w:tcPr>
          <w:p w14:paraId="79ADE0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c>
          <w:tcPr>
            <w:tcW w:w="1655" w:type="dxa"/>
            <w:tcBorders>
              <w:top w:val="single" w:color="auto" w:sz="4" w:space="0"/>
            </w:tcBorders>
            <w:shd w:val="clear" w:color="auto" w:fill="auto"/>
            <w:vAlign w:val="center"/>
          </w:tcPr>
          <w:p w14:paraId="33F6C7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消耗量</w:t>
            </w:r>
          </w:p>
        </w:tc>
        <w:tc>
          <w:tcPr>
            <w:tcW w:w="1130" w:type="dxa"/>
            <w:tcBorders>
              <w:top w:val="single" w:color="auto" w:sz="4" w:space="0"/>
              <w:right w:val="single" w:color="auto" w:sz="4" w:space="0"/>
            </w:tcBorders>
            <w:shd w:val="clear" w:color="auto" w:fill="auto"/>
            <w:vAlign w:val="center"/>
          </w:tcPr>
          <w:p w14:paraId="09FBBD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来源</w:t>
            </w:r>
          </w:p>
        </w:tc>
        <w:tc>
          <w:tcPr>
            <w:tcW w:w="2182" w:type="dxa"/>
            <w:tcBorders>
              <w:top w:val="single" w:color="auto" w:sz="4" w:space="0"/>
              <w:right w:val="single" w:color="auto" w:sz="4" w:space="0"/>
            </w:tcBorders>
            <w:shd w:val="clear" w:color="auto" w:fill="auto"/>
            <w:vAlign w:val="center"/>
          </w:tcPr>
          <w:p w14:paraId="70D238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r>
      <w:tr w14:paraId="7CEDF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tcBorders>
            <w:shd w:val="clear" w:color="auto" w:fill="auto"/>
            <w:vAlign w:val="center"/>
          </w:tcPr>
          <w:p w14:paraId="7D9FDF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新鲜水</w:t>
            </w:r>
          </w:p>
        </w:tc>
        <w:tc>
          <w:tcPr>
            <w:tcW w:w="1655" w:type="dxa"/>
            <w:shd w:val="clear" w:color="auto" w:fill="auto"/>
            <w:vAlign w:val="center"/>
          </w:tcPr>
          <w:p w14:paraId="735F36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/a</w:t>
            </w:r>
          </w:p>
        </w:tc>
        <w:tc>
          <w:tcPr>
            <w:tcW w:w="1655" w:type="dxa"/>
            <w:shd w:val="clear" w:color="auto" w:fill="auto"/>
            <w:vAlign w:val="center"/>
          </w:tcPr>
          <w:p w14:paraId="0E9120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86278</w:t>
            </w:r>
          </w:p>
        </w:tc>
        <w:tc>
          <w:tcPr>
            <w:tcW w:w="1130" w:type="dxa"/>
            <w:tcBorders>
              <w:right w:val="single" w:color="auto" w:sz="4" w:space="0"/>
            </w:tcBorders>
            <w:shd w:val="clear" w:color="auto" w:fill="auto"/>
            <w:vAlign w:val="center"/>
          </w:tcPr>
          <w:p w14:paraId="68651E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自来水</w:t>
            </w:r>
          </w:p>
        </w:tc>
        <w:tc>
          <w:tcPr>
            <w:tcW w:w="2182" w:type="dxa"/>
            <w:tcBorders>
              <w:right w:val="single" w:color="auto" w:sz="4" w:space="0"/>
            </w:tcBorders>
            <w:shd w:val="clear" w:color="auto" w:fill="auto"/>
            <w:vAlign w:val="center"/>
          </w:tcPr>
          <w:p w14:paraId="3AFC30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A6D76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tcBorders>
            <w:shd w:val="clear" w:color="auto" w:fill="auto"/>
            <w:vAlign w:val="center"/>
          </w:tcPr>
          <w:p w14:paraId="677CE5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w:t>
            </w:r>
          </w:p>
        </w:tc>
        <w:tc>
          <w:tcPr>
            <w:tcW w:w="1655" w:type="dxa"/>
            <w:shd w:val="clear" w:color="auto" w:fill="auto"/>
            <w:vAlign w:val="center"/>
          </w:tcPr>
          <w:p w14:paraId="28E221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万kwh/a</w:t>
            </w:r>
          </w:p>
        </w:tc>
        <w:tc>
          <w:tcPr>
            <w:tcW w:w="1655" w:type="dxa"/>
            <w:shd w:val="clear" w:color="auto" w:fill="auto"/>
            <w:vAlign w:val="center"/>
          </w:tcPr>
          <w:p w14:paraId="1C3104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211.88</w:t>
            </w:r>
          </w:p>
        </w:tc>
        <w:tc>
          <w:tcPr>
            <w:tcW w:w="1130" w:type="dxa"/>
            <w:tcBorders>
              <w:right w:val="single" w:color="auto" w:sz="4" w:space="0"/>
            </w:tcBorders>
            <w:shd w:val="clear" w:color="auto" w:fill="auto"/>
            <w:vAlign w:val="center"/>
          </w:tcPr>
          <w:p w14:paraId="6F1192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外供</w:t>
            </w:r>
          </w:p>
        </w:tc>
        <w:tc>
          <w:tcPr>
            <w:tcW w:w="2182" w:type="dxa"/>
            <w:tcBorders>
              <w:right w:val="single" w:color="auto" w:sz="4" w:space="0"/>
            </w:tcBorders>
            <w:shd w:val="clear" w:color="auto" w:fill="auto"/>
            <w:vAlign w:val="center"/>
          </w:tcPr>
          <w:p w14:paraId="79EE1F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B386D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tcBorders>
            <w:shd w:val="clear" w:color="auto" w:fill="auto"/>
            <w:vAlign w:val="center"/>
          </w:tcPr>
          <w:p w14:paraId="08A68F16">
            <w:pPr>
              <w:keepNext w:val="0"/>
              <w:keepLines w:val="0"/>
              <w:pageBreakBefore w:val="0"/>
              <w:widowControl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生物质燃料</w:t>
            </w:r>
          </w:p>
        </w:tc>
        <w:tc>
          <w:tcPr>
            <w:tcW w:w="1655" w:type="dxa"/>
            <w:shd w:val="clear" w:color="auto" w:fill="auto"/>
            <w:vAlign w:val="center"/>
          </w:tcPr>
          <w:p w14:paraId="476E3D9F">
            <w:pPr>
              <w:keepNext w:val="0"/>
              <w:keepLines w:val="0"/>
              <w:pageBreakBefore w:val="0"/>
              <w:widowControl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t/a</w:t>
            </w:r>
          </w:p>
        </w:tc>
        <w:tc>
          <w:tcPr>
            <w:tcW w:w="1655" w:type="dxa"/>
            <w:shd w:val="clear" w:color="auto" w:fill="auto"/>
            <w:vAlign w:val="center"/>
          </w:tcPr>
          <w:p w14:paraId="0AD374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1296</w:t>
            </w:r>
          </w:p>
        </w:tc>
        <w:tc>
          <w:tcPr>
            <w:tcW w:w="1130" w:type="dxa"/>
            <w:tcBorders>
              <w:right w:val="single" w:color="auto" w:sz="4" w:space="0"/>
            </w:tcBorders>
            <w:shd w:val="clear" w:color="auto" w:fill="auto"/>
            <w:vAlign w:val="center"/>
          </w:tcPr>
          <w:p w14:paraId="06DF24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外购</w:t>
            </w:r>
          </w:p>
        </w:tc>
        <w:tc>
          <w:tcPr>
            <w:tcW w:w="2182" w:type="dxa"/>
            <w:tcBorders>
              <w:right w:val="single" w:color="auto" w:sz="4" w:space="0"/>
            </w:tcBorders>
            <w:shd w:val="clear" w:color="auto" w:fill="auto"/>
            <w:vAlign w:val="center"/>
          </w:tcPr>
          <w:p w14:paraId="012DD8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24B81D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tcBorders>
            <w:shd w:val="clear" w:color="auto" w:fill="auto"/>
            <w:vAlign w:val="center"/>
          </w:tcPr>
          <w:p w14:paraId="4E64CC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生物除臭剂</w:t>
            </w:r>
          </w:p>
        </w:tc>
        <w:tc>
          <w:tcPr>
            <w:tcW w:w="1655" w:type="dxa"/>
            <w:shd w:val="clear" w:color="auto" w:fill="auto"/>
            <w:vAlign w:val="center"/>
          </w:tcPr>
          <w:p w14:paraId="48D2B3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1655" w:type="dxa"/>
            <w:shd w:val="clear" w:color="auto" w:fill="auto"/>
            <w:vAlign w:val="center"/>
          </w:tcPr>
          <w:p w14:paraId="2E1674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1130" w:type="dxa"/>
            <w:tcBorders>
              <w:right w:val="single" w:color="auto" w:sz="4" w:space="0"/>
            </w:tcBorders>
            <w:shd w:val="clear" w:color="auto" w:fill="auto"/>
            <w:vAlign w:val="center"/>
          </w:tcPr>
          <w:p w14:paraId="21E361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外购</w:t>
            </w:r>
          </w:p>
        </w:tc>
        <w:tc>
          <w:tcPr>
            <w:tcW w:w="2182" w:type="dxa"/>
            <w:tcBorders>
              <w:right w:val="single" w:color="auto" w:sz="4" w:space="0"/>
            </w:tcBorders>
            <w:shd w:val="clear" w:color="auto" w:fill="auto"/>
            <w:vAlign w:val="center"/>
          </w:tcPr>
          <w:p w14:paraId="1C792A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瓶装、检疫检测间</w:t>
            </w:r>
          </w:p>
        </w:tc>
      </w:tr>
      <w:tr w14:paraId="215F8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tcBorders>
            <w:shd w:val="clear" w:color="auto" w:fill="auto"/>
            <w:vAlign w:val="center"/>
          </w:tcPr>
          <w:p w14:paraId="19E9DF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消毒液</w:t>
            </w:r>
          </w:p>
        </w:tc>
        <w:tc>
          <w:tcPr>
            <w:tcW w:w="1655" w:type="dxa"/>
            <w:shd w:val="clear" w:color="auto" w:fill="auto"/>
            <w:vAlign w:val="center"/>
          </w:tcPr>
          <w:p w14:paraId="2E562D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1655" w:type="dxa"/>
            <w:shd w:val="clear" w:color="auto" w:fill="auto"/>
            <w:vAlign w:val="center"/>
          </w:tcPr>
          <w:p w14:paraId="548828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1130" w:type="dxa"/>
            <w:tcBorders>
              <w:right w:val="single" w:color="auto" w:sz="4" w:space="0"/>
            </w:tcBorders>
            <w:shd w:val="clear" w:color="auto" w:fill="auto"/>
            <w:vAlign w:val="center"/>
          </w:tcPr>
          <w:p w14:paraId="1A0AB6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外购</w:t>
            </w:r>
          </w:p>
        </w:tc>
        <w:tc>
          <w:tcPr>
            <w:tcW w:w="2182" w:type="dxa"/>
            <w:tcBorders>
              <w:right w:val="single" w:color="auto" w:sz="4" w:space="0"/>
            </w:tcBorders>
            <w:shd w:val="clear" w:color="auto" w:fill="auto"/>
            <w:vAlign w:val="center"/>
          </w:tcPr>
          <w:p w14:paraId="0CE2D1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瓶装、检疫检测间</w:t>
            </w:r>
          </w:p>
        </w:tc>
      </w:tr>
      <w:tr w14:paraId="184C01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tcBorders>
              <w:left w:val="single" w:color="auto" w:sz="4" w:space="0"/>
              <w:bottom w:val="single" w:color="auto" w:sz="4" w:space="0"/>
            </w:tcBorders>
            <w:shd w:val="clear" w:color="auto" w:fill="auto"/>
            <w:vAlign w:val="center"/>
          </w:tcPr>
          <w:p w14:paraId="786284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酒精</w:t>
            </w:r>
          </w:p>
        </w:tc>
        <w:tc>
          <w:tcPr>
            <w:tcW w:w="1655" w:type="dxa"/>
            <w:tcBorders>
              <w:bottom w:val="single" w:color="auto" w:sz="4" w:space="0"/>
            </w:tcBorders>
            <w:shd w:val="clear" w:color="auto" w:fill="auto"/>
            <w:vAlign w:val="center"/>
          </w:tcPr>
          <w:p w14:paraId="6C24E4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1655" w:type="dxa"/>
            <w:tcBorders>
              <w:bottom w:val="single" w:color="auto" w:sz="4" w:space="0"/>
            </w:tcBorders>
            <w:shd w:val="clear" w:color="auto" w:fill="auto"/>
            <w:vAlign w:val="center"/>
          </w:tcPr>
          <w:p w14:paraId="58C11E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0.3</w:t>
            </w:r>
          </w:p>
        </w:tc>
        <w:tc>
          <w:tcPr>
            <w:tcW w:w="1130" w:type="dxa"/>
            <w:tcBorders>
              <w:bottom w:val="single" w:color="auto" w:sz="4" w:space="0"/>
              <w:right w:val="single" w:color="auto" w:sz="4" w:space="0"/>
            </w:tcBorders>
            <w:shd w:val="clear" w:color="auto" w:fill="auto"/>
            <w:vAlign w:val="center"/>
          </w:tcPr>
          <w:p w14:paraId="28178F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外购</w:t>
            </w:r>
          </w:p>
        </w:tc>
        <w:tc>
          <w:tcPr>
            <w:tcW w:w="2182" w:type="dxa"/>
            <w:tcBorders>
              <w:bottom w:val="single" w:color="auto" w:sz="4" w:space="0"/>
              <w:right w:val="single" w:color="auto" w:sz="4" w:space="0"/>
            </w:tcBorders>
            <w:shd w:val="clear" w:color="auto" w:fill="auto"/>
            <w:vAlign w:val="center"/>
          </w:tcPr>
          <w:p w14:paraId="7BD023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瓶装、检疫检测间</w:t>
            </w:r>
          </w:p>
        </w:tc>
      </w:tr>
    </w:tbl>
    <w:p w14:paraId="799E036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default" w:ascii="Times New Roman" w:hAnsi="Times New Roman" w:eastAsia="宋体" w:cs="Times New Roman"/>
          <w:color w:val="auto"/>
          <w:sz w:val="24"/>
          <w:szCs w:val="24"/>
          <w:highlight w:val="none"/>
          <w:lang w:val="en-US" w:eastAsia="zh-CN"/>
        </w:rPr>
        <w:t>3.1-6</w:t>
      </w:r>
      <w:r>
        <w:rPr>
          <w:rFonts w:hint="default" w:ascii="Times New Roman" w:hAnsi="Times New Roman" w:eastAsia="宋体" w:cs="Times New Roman"/>
          <w:color w:val="auto"/>
          <w:sz w:val="24"/>
          <w:szCs w:val="24"/>
          <w:highlight w:val="none"/>
          <w:lang w:val="en-US" w:eastAsia="zh-CN"/>
        </w:rPr>
        <w:t xml:space="preserve">  生物质成分分析表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50"/>
        <w:gridCol w:w="1916"/>
        <w:gridCol w:w="1559"/>
        <w:gridCol w:w="1776"/>
        <w:gridCol w:w="1776"/>
      </w:tblGrid>
      <w:tr w14:paraId="0D3E70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1250" w:type="dxa"/>
            <w:tcBorders>
              <w:top w:val="single" w:color="auto" w:sz="4" w:space="0"/>
              <w:left w:val="single" w:color="auto" w:sz="0" w:space="0"/>
              <w:bottom w:val="single" w:color="auto" w:sz="4" w:space="0"/>
              <w:right w:val="single" w:color="auto" w:sz="4" w:space="0"/>
            </w:tcBorders>
            <w:vAlign w:val="center"/>
          </w:tcPr>
          <w:p w14:paraId="1CDEB7D4">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序号</w:t>
            </w:r>
          </w:p>
        </w:tc>
        <w:tc>
          <w:tcPr>
            <w:tcW w:w="1916" w:type="dxa"/>
            <w:tcBorders>
              <w:top w:val="single" w:color="auto" w:sz="4" w:space="0"/>
              <w:left w:val="single" w:color="auto" w:sz="4" w:space="0"/>
              <w:bottom w:val="single" w:color="auto" w:sz="4" w:space="0"/>
              <w:right w:val="single" w:color="auto" w:sz="4" w:space="0"/>
            </w:tcBorders>
            <w:vAlign w:val="center"/>
          </w:tcPr>
          <w:p w14:paraId="6408266A">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项目</w:t>
            </w:r>
          </w:p>
        </w:tc>
        <w:tc>
          <w:tcPr>
            <w:tcW w:w="1559" w:type="dxa"/>
            <w:tcBorders>
              <w:top w:val="single" w:color="auto" w:sz="4" w:space="0"/>
              <w:left w:val="single" w:color="auto" w:sz="4" w:space="0"/>
              <w:bottom w:val="single" w:color="auto" w:sz="4" w:space="0"/>
              <w:right w:val="single" w:color="auto" w:sz="4" w:space="0"/>
            </w:tcBorders>
            <w:vAlign w:val="center"/>
          </w:tcPr>
          <w:p w14:paraId="704EE496">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符号</w:t>
            </w:r>
          </w:p>
        </w:tc>
        <w:tc>
          <w:tcPr>
            <w:tcW w:w="1776" w:type="dxa"/>
            <w:tcBorders>
              <w:top w:val="single" w:color="auto" w:sz="4" w:space="0"/>
              <w:left w:val="single" w:color="auto" w:sz="4" w:space="0"/>
              <w:bottom w:val="single" w:color="auto" w:sz="4" w:space="0"/>
              <w:right w:val="single" w:color="auto" w:sz="4" w:space="0"/>
            </w:tcBorders>
            <w:vAlign w:val="center"/>
          </w:tcPr>
          <w:p w14:paraId="1F384857">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数值</w:t>
            </w:r>
          </w:p>
        </w:tc>
        <w:tc>
          <w:tcPr>
            <w:tcW w:w="1776" w:type="dxa"/>
            <w:tcBorders>
              <w:top w:val="single" w:color="auto" w:sz="4" w:space="0"/>
              <w:left w:val="single" w:color="auto" w:sz="4" w:space="0"/>
              <w:bottom w:val="single" w:color="auto" w:sz="4" w:space="0"/>
              <w:right w:val="single" w:color="auto" w:sz="4" w:space="0"/>
            </w:tcBorders>
          </w:tcPr>
          <w:p w14:paraId="147B2A3D">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单位</w:t>
            </w:r>
          </w:p>
        </w:tc>
      </w:tr>
      <w:tr w14:paraId="6C91ED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14:paraId="53F19CF1">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1</w:t>
            </w:r>
          </w:p>
        </w:tc>
        <w:tc>
          <w:tcPr>
            <w:tcW w:w="1916" w:type="dxa"/>
            <w:tcBorders>
              <w:top w:val="single" w:color="auto" w:sz="4" w:space="0"/>
              <w:left w:val="single" w:color="auto" w:sz="4" w:space="0"/>
              <w:bottom w:val="single" w:color="auto" w:sz="4" w:space="0"/>
              <w:right w:val="single" w:color="auto" w:sz="4" w:space="0"/>
            </w:tcBorders>
            <w:vAlign w:val="center"/>
          </w:tcPr>
          <w:p w14:paraId="3F69CA0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收到基灰分</w:t>
            </w:r>
          </w:p>
        </w:tc>
        <w:tc>
          <w:tcPr>
            <w:tcW w:w="1559" w:type="dxa"/>
            <w:tcBorders>
              <w:top w:val="single" w:color="auto" w:sz="4" w:space="0"/>
              <w:left w:val="single" w:color="auto" w:sz="4" w:space="0"/>
              <w:bottom w:val="single" w:color="auto" w:sz="4" w:space="0"/>
              <w:right w:val="single" w:color="auto" w:sz="4" w:space="0"/>
            </w:tcBorders>
            <w:vAlign w:val="center"/>
          </w:tcPr>
          <w:p w14:paraId="72187807">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Ad</w:t>
            </w:r>
          </w:p>
        </w:tc>
        <w:tc>
          <w:tcPr>
            <w:tcW w:w="1776" w:type="dxa"/>
            <w:tcBorders>
              <w:top w:val="single" w:color="auto" w:sz="4" w:space="0"/>
              <w:left w:val="single" w:color="auto" w:sz="4" w:space="0"/>
              <w:bottom w:val="single" w:color="auto" w:sz="4" w:space="0"/>
              <w:right w:val="single" w:color="auto" w:sz="4" w:space="0"/>
            </w:tcBorders>
            <w:vAlign w:val="center"/>
          </w:tcPr>
          <w:p w14:paraId="2930760B">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4.37</w:t>
            </w:r>
          </w:p>
        </w:tc>
        <w:tc>
          <w:tcPr>
            <w:tcW w:w="1776" w:type="dxa"/>
            <w:tcBorders>
              <w:top w:val="single" w:color="auto" w:sz="4" w:space="0"/>
              <w:left w:val="single" w:color="auto" w:sz="4" w:space="0"/>
              <w:bottom w:val="single" w:color="auto" w:sz="4" w:space="0"/>
              <w:right w:val="single" w:color="auto" w:sz="4" w:space="0"/>
            </w:tcBorders>
          </w:tcPr>
          <w:p w14:paraId="6838A31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w:t>
            </w:r>
          </w:p>
        </w:tc>
      </w:tr>
      <w:tr w14:paraId="0694F9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14:paraId="463C5D93">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2</w:t>
            </w:r>
          </w:p>
        </w:tc>
        <w:tc>
          <w:tcPr>
            <w:tcW w:w="1916" w:type="dxa"/>
            <w:tcBorders>
              <w:top w:val="single" w:color="auto" w:sz="4" w:space="0"/>
              <w:left w:val="single" w:color="auto" w:sz="4" w:space="0"/>
              <w:bottom w:val="single" w:color="auto" w:sz="4" w:space="0"/>
              <w:right w:val="single" w:color="auto" w:sz="4" w:space="0"/>
            </w:tcBorders>
            <w:vAlign w:val="center"/>
          </w:tcPr>
          <w:p w14:paraId="4B28F416">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收到基硫分</w:t>
            </w:r>
          </w:p>
        </w:tc>
        <w:tc>
          <w:tcPr>
            <w:tcW w:w="1559" w:type="dxa"/>
            <w:tcBorders>
              <w:top w:val="single" w:color="auto" w:sz="4" w:space="0"/>
              <w:left w:val="single" w:color="auto" w:sz="4" w:space="0"/>
              <w:bottom w:val="single" w:color="auto" w:sz="4" w:space="0"/>
              <w:right w:val="single" w:color="auto" w:sz="4" w:space="0"/>
            </w:tcBorders>
            <w:vAlign w:val="center"/>
          </w:tcPr>
          <w:p w14:paraId="528E2331">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St.d</w:t>
            </w:r>
          </w:p>
        </w:tc>
        <w:tc>
          <w:tcPr>
            <w:tcW w:w="1776" w:type="dxa"/>
            <w:tcBorders>
              <w:top w:val="single" w:color="auto" w:sz="4" w:space="0"/>
              <w:left w:val="single" w:color="auto" w:sz="4" w:space="0"/>
              <w:bottom w:val="single" w:color="auto" w:sz="4" w:space="0"/>
              <w:right w:val="single" w:color="auto" w:sz="4" w:space="0"/>
            </w:tcBorders>
            <w:vAlign w:val="center"/>
          </w:tcPr>
          <w:p w14:paraId="5012CE24">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eastAsia="zh-CN"/>
              </w:rPr>
              <w:t>0.07</w:t>
            </w:r>
          </w:p>
        </w:tc>
        <w:tc>
          <w:tcPr>
            <w:tcW w:w="1776" w:type="dxa"/>
            <w:tcBorders>
              <w:top w:val="single" w:color="auto" w:sz="4" w:space="0"/>
              <w:left w:val="single" w:color="auto" w:sz="4" w:space="0"/>
              <w:bottom w:val="single" w:color="auto" w:sz="4" w:space="0"/>
              <w:right w:val="single" w:color="auto" w:sz="4" w:space="0"/>
            </w:tcBorders>
          </w:tcPr>
          <w:p w14:paraId="56FDAD88">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w:t>
            </w:r>
          </w:p>
        </w:tc>
      </w:tr>
      <w:tr w14:paraId="0A7D5D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14:paraId="5A433A2E">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3</w:t>
            </w:r>
          </w:p>
        </w:tc>
        <w:tc>
          <w:tcPr>
            <w:tcW w:w="1916" w:type="dxa"/>
            <w:tcBorders>
              <w:top w:val="single" w:color="auto" w:sz="4" w:space="0"/>
              <w:left w:val="single" w:color="auto" w:sz="4" w:space="0"/>
              <w:bottom w:val="single" w:color="auto" w:sz="4" w:space="0"/>
              <w:right w:val="single" w:color="auto" w:sz="4" w:space="0"/>
            </w:tcBorders>
            <w:vAlign w:val="center"/>
          </w:tcPr>
          <w:p w14:paraId="658334FA">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收到基低位发热量</w:t>
            </w:r>
          </w:p>
        </w:tc>
        <w:tc>
          <w:tcPr>
            <w:tcW w:w="1559" w:type="dxa"/>
            <w:tcBorders>
              <w:top w:val="single" w:color="auto" w:sz="4" w:space="0"/>
              <w:left w:val="single" w:color="auto" w:sz="4" w:space="0"/>
              <w:bottom w:val="single" w:color="auto" w:sz="4" w:space="0"/>
              <w:right w:val="single" w:color="auto" w:sz="4" w:space="0"/>
            </w:tcBorders>
            <w:vAlign w:val="center"/>
          </w:tcPr>
          <w:p w14:paraId="58ECA877">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Qnet</w:t>
            </w:r>
            <w:r>
              <w:rPr>
                <w:rFonts w:hint="default" w:ascii="Times New Roman" w:hAnsi="Times New Roman" w:eastAsia="宋体" w:cs="Times New Roman"/>
                <w:bCs/>
                <w:color w:val="FF0000"/>
                <w:sz w:val="21"/>
                <w:szCs w:val="21"/>
                <w:highlight w:val="none"/>
                <w:lang w:eastAsia="zh-CN"/>
              </w:rPr>
              <w:t>，</w:t>
            </w:r>
            <w:r>
              <w:rPr>
                <w:rFonts w:hint="default" w:ascii="Times New Roman" w:hAnsi="Times New Roman" w:eastAsia="宋体" w:cs="Times New Roman"/>
                <w:bCs/>
                <w:color w:val="FF0000"/>
                <w:sz w:val="21"/>
                <w:szCs w:val="21"/>
                <w:highlight w:val="none"/>
              </w:rPr>
              <w:t>ar</w:t>
            </w:r>
          </w:p>
        </w:tc>
        <w:tc>
          <w:tcPr>
            <w:tcW w:w="1776" w:type="dxa"/>
            <w:tcBorders>
              <w:top w:val="single" w:color="auto" w:sz="4" w:space="0"/>
              <w:left w:val="single" w:color="auto" w:sz="4" w:space="0"/>
              <w:bottom w:val="single" w:color="auto" w:sz="4" w:space="0"/>
              <w:right w:val="single" w:color="auto" w:sz="4" w:space="0"/>
            </w:tcBorders>
            <w:vAlign w:val="center"/>
          </w:tcPr>
          <w:p w14:paraId="60D05699">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19.921</w:t>
            </w:r>
          </w:p>
        </w:tc>
        <w:tc>
          <w:tcPr>
            <w:tcW w:w="1776" w:type="dxa"/>
            <w:tcBorders>
              <w:top w:val="single" w:color="auto" w:sz="4" w:space="0"/>
              <w:left w:val="single" w:color="auto" w:sz="4" w:space="0"/>
              <w:bottom w:val="single" w:color="auto" w:sz="4" w:space="0"/>
              <w:right w:val="single" w:color="auto" w:sz="4" w:space="0"/>
            </w:tcBorders>
          </w:tcPr>
          <w:p w14:paraId="36031EBA">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color w:val="FF0000"/>
                <w:sz w:val="21"/>
                <w:szCs w:val="21"/>
                <w:highlight w:val="none"/>
              </w:rPr>
              <w:t>MJ/kg</w:t>
            </w:r>
          </w:p>
        </w:tc>
      </w:tr>
      <w:tr w14:paraId="0E4039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14:paraId="726F16F7">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4</w:t>
            </w:r>
          </w:p>
        </w:tc>
        <w:tc>
          <w:tcPr>
            <w:tcW w:w="1916" w:type="dxa"/>
            <w:tcBorders>
              <w:top w:val="single" w:color="auto" w:sz="4" w:space="0"/>
              <w:left w:val="single" w:color="auto" w:sz="4" w:space="0"/>
              <w:bottom w:val="single" w:color="auto" w:sz="4" w:space="0"/>
              <w:right w:val="single" w:color="auto" w:sz="4" w:space="0"/>
            </w:tcBorders>
            <w:vAlign w:val="center"/>
          </w:tcPr>
          <w:p w14:paraId="759274CB">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bCs/>
                <w:color w:val="FF0000"/>
                <w:sz w:val="21"/>
                <w:szCs w:val="21"/>
                <w:highlight w:val="none"/>
              </w:rPr>
              <w:t>飞灰可燃物含量</w:t>
            </w:r>
          </w:p>
        </w:tc>
        <w:tc>
          <w:tcPr>
            <w:tcW w:w="1559" w:type="dxa"/>
            <w:tcBorders>
              <w:top w:val="single" w:color="auto" w:sz="4" w:space="0"/>
              <w:left w:val="single" w:color="auto" w:sz="4" w:space="0"/>
              <w:bottom w:val="single" w:color="auto" w:sz="4" w:space="0"/>
              <w:right w:val="single" w:color="auto" w:sz="4" w:space="0"/>
            </w:tcBorders>
            <w:vAlign w:val="center"/>
          </w:tcPr>
          <w:p w14:paraId="738980BA">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FF0000"/>
                <w:sz w:val="21"/>
                <w:szCs w:val="21"/>
                <w:highlight w:val="none"/>
              </w:rPr>
            </w:pPr>
            <w:r>
              <w:rPr>
                <w:rFonts w:hint="default" w:ascii="Times New Roman" w:hAnsi="Times New Roman" w:eastAsia="宋体" w:cs="Times New Roman"/>
                <w:color w:val="FF0000"/>
                <w:sz w:val="21"/>
                <w:szCs w:val="21"/>
                <w:highlight w:val="none"/>
              </w:rPr>
              <w:t>C</w:t>
            </w:r>
            <w:r>
              <w:rPr>
                <w:rFonts w:hint="default" w:ascii="Times New Roman" w:hAnsi="Times New Roman" w:eastAsia="宋体" w:cs="Times New Roman"/>
                <w:color w:val="FF0000"/>
                <w:sz w:val="21"/>
                <w:szCs w:val="21"/>
                <w:highlight w:val="none"/>
                <w:vertAlign w:val="subscript"/>
              </w:rPr>
              <w:t>fh</w:t>
            </w:r>
          </w:p>
        </w:tc>
        <w:tc>
          <w:tcPr>
            <w:tcW w:w="1776" w:type="dxa"/>
            <w:tcBorders>
              <w:top w:val="single" w:color="auto" w:sz="4" w:space="0"/>
              <w:left w:val="single" w:color="auto" w:sz="4" w:space="0"/>
              <w:bottom w:val="single" w:color="auto" w:sz="4" w:space="0"/>
              <w:right w:val="single" w:color="auto" w:sz="4" w:space="0"/>
            </w:tcBorders>
            <w:vAlign w:val="center"/>
          </w:tcPr>
          <w:p w14:paraId="3467B12C">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Cs/>
                <w:color w:val="FF0000"/>
                <w:sz w:val="21"/>
                <w:szCs w:val="21"/>
                <w:highlight w:val="none"/>
              </w:rPr>
              <w:t>1.86</w:t>
            </w:r>
          </w:p>
        </w:tc>
        <w:tc>
          <w:tcPr>
            <w:tcW w:w="1776" w:type="dxa"/>
            <w:tcBorders>
              <w:top w:val="single" w:color="auto" w:sz="4" w:space="0"/>
              <w:left w:val="single" w:color="auto" w:sz="4" w:space="0"/>
              <w:bottom w:val="single" w:color="auto" w:sz="4" w:space="0"/>
              <w:right w:val="single" w:color="auto" w:sz="4" w:space="0"/>
            </w:tcBorders>
          </w:tcPr>
          <w:p w14:paraId="24BDC8BD">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Cs/>
                <w:color w:val="FF0000"/>
                <w:sz w:val="21"/>
                <w:szCs w:val="21"/>
                <w:highlight w:val="none"/>
              </w:rPr>
              <w:t>%</w:t>
            </w:r>
          </w:p>
        </w:tc>
      </w:tr>
    </w:tbl>
    <w:p w14:paraId="314146EA">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45" w:name="_Toc10426"/>
      <w:r>
        <w:rPr>
          <w:rFonts w:hint="default" w:ascii="Times New Roman" w:hAnsi="Times New Roman" w:eastAsia="宋体" w:cs="Times New Roman"/>
          <w:color w:val="auto"/>
          <w:highlight w:val="none"/>
        </w:rPr>
        <w:t>3.1.5主要设备</w:t>
      </w:r>
      <w:bookmarkEnd w:id="245"/>
    </w:p>
    <w:p w14:paraId="291FB01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项目主要生产设备、设施见表3.1-</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w:t>
      </w:r>
    </w:p>
    <w:p w14:paraId="218C29EE">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主要生产设备、设施一览表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61"/>
        <w:gridCol w:w="5390"/>
        <w:gridCol w:w="963"/>
        <w:gridCol w:w="963"/>
      </w:tblGrid>
      <w:tr w14:paraId="52E7CB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60DD7E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352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设备名称</w:t>
            </w:r>
          </w:p>
        </w:tc>
        <w:tc>
          <w:tcPr>
            <w:tcW w:w="963" w:type="dxa"/>
            <w:tcBorders>
              <w:top w:val="single" w:color="auto" w:sz="4" w:space="0"/>
              <w:left w:val="single" w:color="auto" w:sz="4" w:space="0"/>
              <w:bottom w:val="single" w:color="auto" w:sz="4" w:space="0"/>
              <w:right w:val="single" w:color="auto" w:sz="4" w:space="0"/>
            </w:tcBorders>
            <w:vAlign w:val="center"/>
          </w:tcPr>
          <w:p w14:paraId="28F371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c>
          <w:tcPr>
            <w:tcW w:w="963" w:type="dxa"/>
            <w:tcBorders>
              <w:top w:val="single" w:color="auto" w:sz="4" w:space="0"/>
              <w:left w:val="single" w:color="auto" w:sz="4" w:space="0"/>
              <w:bottom w:val="single" w:color="auto" w:sz="4" w:space="0"/>
              <w:right w:val="single" w:color="auto" w:sz="4" w:space="0"/>
            </w:tcBorders>
            <w:vAlign w:val="center"/>
          </w:tcPr>
          <w:p w14:paraId="3AA413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r>
      <w:tr w14:paraId="5200AF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2483AB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2AF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电热水槽</w:t>
            </w:r>
          </w:p>
        </w:tc>
        <w:tc>
          <w:tcPr>
            <w:tcW w:w="963" w:type="dxa"/>
            <w:tcBorders>
              <w:top w:val="single" w:color="auto" w:sz="4" w:space="0"/>
              <w:left w:val="single" w:color="auto" w:sz="4" w:space="0"/>
              <w:bottom w:val="single" w:color="auto" w:sz="4" w:space="0"/>
              <w:right w:val="single" w:color="auto" w:sz="4" w:space="0"/>
            </w:tcBorders>
            <w:vAlign w:val="center"/>
          </w:tcPr>
          <w:p w14:paraId="5AFA03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963" w:type="dxa"/>
            <w:tcBorders>
              <w:top w:val="single" w:color="auto" w:sz="4" w:space="0"/>
              <w:left w:val="single" w:color="auto" w:sz="4" w:space="0"/>
              <w:bottom w:val="single" w:color="auto" w:sz="4" w:space="0"/>
              <w:right w:val="single" w:color="auto" w:sz="4" w:space="0"/>
            </w:tcBorders>
            <w:vAlign w:val="center"/>
          </w:tcPr>
          <w:p w14:paraId="1183F2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台</w:t>
            </w:r>
          </w:p>
        </w:tc>
      </w:tr>
      <w:tr w14:paraId="6570EF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27418D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879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日粮搅拌机</w:t>
            </w:r>
          </w:p>
        </w:tc>
        <w:tc>
          <w:tcPr>
            <w:tcW w:w="963" w:type="dxa"/>
            <w:tcBorders>
              <w:top w:val="single" w:color="auto" w:sz="4" w:space="0"/>
              <w:left w:val="single" w:color="auto" w:sz="4" w:space="0"/>
              <w:bottom w:val="single" w:color="auto" w:sz="4" w:space="0"/>
              <w:right w:val="single" w:color="auto" w:sz="4" w:space="0"/>
            </w:tcBorders>
            <w:vAlign w:val="center"/>
          </w:tcPr>
          <w:p w14:paraId="0DE252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963" w:type="dxa"/>
            <w:tcBorders>
              <w:top w:val="single" w:color="auto" w:sz="4" w:space="0"/>
              <w:left w:val="single" w:color="auto" w:sz="4" w:space="0"/>
              <w:bottom w:val="single" w:color="auto" w:sz="4" w:space="0"/>
              <w:right w:val="single" w:color="auto" w:sz="4" w:space="0"/>
            </w:tcBorders>
            <w:vAlign w:val="center"/>
          </w:tcPr>
          <w:p w14:paraId="780ADE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台</w:t>
            </w:r>
          </w:p>
        </w:tc>
      </w:tr>
      <w:tr w14:paraId="3F57B2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68EC02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D8C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饲料粉碎机</w:t>
            </w:r>
          </w:p>
        </w:tc>
        <w:tc>
          <w:tcPr>
            <w:tcW w:w="963" w:type="dxa"/>
            <w:tcBorders>
              <w:top w:val="single" w:color="auto" w:sz="4" w:space="0"/>
              <w:left w:val="single" w:color="auto" w:sz="4" w:space="0"/>
              <w:bottom w:val="single" w:color="auto" w:sz="4" w:space="0"/>
              <w:right w:val="single" w:color="auto" w:sz="4" w:space="0"/>
            </w:tcBorders>
            <w:vAlign w:val="center"/>
          </w:tcPr>
          <w:p w14:paraId="02AB6A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963" w:type="dxa"/>
            <w:tcBorders>
              <w:top w:val="single" w:color="auto" w:sz="4" w:space="0"/>
              <w:left w:val="single" w:color="auto" w:sz="4" w:space="0"/>
              <w:bottom w:val="single" w:color="auto" w:sz="4" w:space="0"/>
              <w:right w:val="single" w:color="auto" w:sz="4" w:space="0"/>
            </w:tcBorders>
            <w:vAlign w:val="center"/>
          </w:tcPr>
          <w:p w14:paraId="204E4B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台</w:t>
            </w:r>
          </w:p>
        </w:tc>
      </w:tr>
      <w:tr w14:paraId="44B84F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69D49E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2D5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精饲料配料机</w:t>
            </w:r>
          </w:p>
        </w:tc>
        <w:tc>
          <w:tcPr>
            <w:tcW w:w="963" w:type="dxa"/>
            <w:tcBorders>
              <w:top w:val="single" w:color="auto" w:sz="4" w:space="0"/>
              <w:left w:val="single" w:color="auto" w:sz="4" w:space="0"/>
              <w:bottom w:val="single" w:color="auto" w:sz="4" w:space="0"/>
              <w:right w:val="single" w:color="auto" w:sz="4" w:space="0"/>
            </w:tcBorders>
            <w:vAlign w:val="center"/>
          </w:tcPr>
          <w:p w14:paraId="66777B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963" w:type="dxa"/>
            <w:tcBorders>
              <w:top w:val="single" w:color="auto" w:sz="4" w:space="0"/>
              <w:left w:val="single" w:color="auto" w:sz="4" w:space="0"/>
              <w:bottom w:val="single" w:color="auto" w:sz="4" w:space="0"/>
              <w:right w:val="single" w:color="auto" w:sz="4" w:space="0"/>
            </w:tcBorders>
            <w:vAlign w:val="center"/>
          </w:tcPr>
          <w:p w14:paraId="4601AB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台</w:t>
            </w:r>
          </w:p>
        </w:tc>
      </w:tr>
      <w:tr w14:paraId="6E2333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6DD616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486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饲料分选设备</w:t>
            </w:r>
          </w:p>
        </w:tc>
        <w:tc>
          <w:tcPr>
            <w:tcW w:w="963" w:type="dxa"/>
            <w:tcBorders>
              <w:top w:val="single" w:color="auto" w:sz="4" w:space="0"/>
              <w:left w:val="single" w:color="auto" w:sz="4" w:space="0"/>
              <w:bottom w:val="single" w:color="auto" w:sz="4" w:space="0"/>
              <w:right w:val="single" w:color="auto" w:sz="4" w:space="0"/>
            </w:tcBorders>
            <w:vAlign w:val="center"/>
          </w:tcPr>
          <w:p w14:paraId="48C0B3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963" w:type="dxa"/>
            <w:tcBorders>
              <w:top w:val="single" w:color="auto" w:sz="4" w:space="0"/>
              <w:left w:val="single" w:color="auto" w:sz="4" w:space="0"/>
              <w:bottom w:val="single" w:color="auto" w:sz="4" w:space="0"/>
              <w:right w:val="single" w:color="auto" w:sz="4" w:space="0"/>
            </w:tcBorders>
            <w:vAlign w:val="center"/>
          </w:tcPr>
          <w:p w14:paraId="00A8D1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台</w:t>
            </w:r>
          </w:p>
        </w:tc>
      </w:tr>
      <w:tr w14:paraId="2B800D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14:paraId="130982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53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449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eastAsia="zh-CN"/>
              </w:rPr>
              <w:t>电空气能采暖设备</w:t>
            </w:r>
          </w:p>
        </w:tc>
        <w:tc>
          <w:tcPr>
            <w:tcW w:w="963" w:type="dxa"/>
            <w:tcBorders>
              <w:top w:val="single" w:color="auto" w:sz="4" w:space="0"/>
              <w:left w:val="single" w:color="auto" w:sz="4" w:space="0"/>
              <w:bottom w:val="single" w:color="auto" w:sz="4" w:space="0"/>
              <w:right w:val="single" w:color="auto" w:sz="4" w:space="0"/>
            </w:tcBorders>
            <w:vAlign w:val="center"/>
          </w:tcPr>
          <w:p w14:paraId="389D01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963" w:type="dxa"/>
            <w:tcBorders>
              <w:top w:val="single" w:color="auto" w:sz="4" w:space="0"/>
              <w:left w:val="single" w:color="auto" w:sz="4" w:space="0"/>
              <w:bottom w:val="single" w:color="auto" w:sz="4" w:space="0"/>
              <w:right w:val="single" w:color="auto" w:sz="4" w:space="0"/>
            </w:tcBorders>
            <w:vAlign w:val="center"/>
          </w:tcPr>
          <w:p w14:paraId="3ABFE6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台</w:t>
            </w:r>
          </w:p>
        </w:tc>
      </w:tr>
    </w:tbl>
    <w:p w14:paraId="160532A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46" w:name="_Toc27664"/>
      <w:r>
        <w:rPr>
          <w:rFonts w:hint="default" w:ascii="Times New Roman" w:hAnsi="Times New Roman" w:eastAsia="宋体" w:cs="Times New Roman"/>
          <w:color w:val="auto"/>
          <w:highlight w:val="none"/>
        </w:rPr>
        <w:t>3.1.6公用工程</w:t>
      </w:r>
      <w:bookmarkEnd w:id="246"/>
    </w:p>
    <w:p w14:paraId="6CFD5FC0">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3.1.6.1给排水</w:t>
      </w:r>
    </w:p>
    <w:p w14:paraId="320B4FD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本项目排水采用雨污分流制，雨水通过场区雨水排水系统排走</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搭建防雨棚，雨棚设置雨檐，防止雨水进入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外雨檐下设置排水渠，通过雨水排水管排出场区外。</w:t>
      </w:r>
    </w:p>
    <w:p w14:paraId="55027F5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1、水源</w:t>
      </w:r>
    </w:p>
    <w:p w14:paraId="678CD01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生产用水采用地下水供水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水质可满足</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饮用水需求</w:t>
      </w:r>
      <w:r>
        <w:rPr>
          <w:rFonts w:hint="default" w:ascii="Times New Roman" w:hAnsi="Times New Roman" w:eastAsia="宋体" w:cs="Times New Roman"/>
          <w:color w:val="auto"/>
          <w:highlight w:val="none"/>
          <w:lang w:eastAsia="zh-CN"/>
        </w:rPr>
        <w:t>。</w:t>
      </w:r>
    </w:p>
    <w:p w14:paraId="15E4586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2、水平衡分析</w:t>
      </w:r>
    </w:p>
    <w:p w14:paraId="6506511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饮用水</w:t>
      </w:r>
    </w:p>
    <w:p w14:paraId="36A5F5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根据</w:t>
      </w:r>
      <w:r>
        <w:rPr>
          <w:rFonts w:hint="default" w:ascii="Times New Roman" w:hAnsi="Times New Roman" w:eastAsia="宋体" w:cs="Times New Roman"/>
          <w:color w:val="auto"/>
          <w:highlight w:val="none"/>
        </w:rPr>
        <w:t>《内蒙古自治区</w:t>
      </w:r>
      <w:r>
        <w:rPr>
          <w:rFonts w:hint="default" w:ascii="Times New Roman" w:hAnsi="Times New Roman" w:eastAsia="宋体" w:cs="Times New Roman"/>
          <w:color w:val="auto"/>
          <w:highlight w:val="none"/>
          <w:lang w:eastAsia="zh-CN"/>
        </w:rPr>
        <w:t>行业用水定额（2020版）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DB15/T385-2020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，肉羊（工厂集约化养殖）饮用水</w:t>
      </w:r>
      <w:r>
        <w:rPr>
          <w:rFonts w:hint="default" w:ascii="Times New Roman" w:hAnsi="Times New Roman" w:eastAsia="宋体" w:cs="Times New Roman"/>
          <w:color w:val="auto"/>
          <w:highlight w:val="none"/>
        </w:rPr>
        <w:t>量定额按</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0L/</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最大</w:t>
      </w:r>
      <w:r>
        <w:rPr>
          <w:rFonts w:hint="default" w:ascii="Times New Roman" w:hAnsi="Times New Roman" w:eastAsia="宋体" w:cs="Times New Roman"/>
          <w:color w:val="FF0000"/>
          <w:highlight w:val="none"/>
          <w:lang w:eastAsia="zh-CN"/>
        </w:rPr>
        <w:t>存栏肉羊</w:t>
      </w:r>
      <w:r>
        <w:rPr>
          <w:rFonts w:hint="default" w:ascii="Times New Roman" w:hAnsi="Times New Roman" w:eastAsia="宋体" w:cs="Times New Roman"/>
          <w:color w:val="FF0000"/>
          <w:highlight w:val="none"/>
          <w:lang w:val="en-US" w:eastAsia="zh-CN"/>
        </w:rPr>
        <w:t>230</w:t>
      </w:r>
      <w:r>
        <w:rPr>
          <w:rFonts w:hint="default" w:ascii="Times New Roman" w:hAnsi="Times New Roman" w:eastAsia="宋体" w:cs="Times New Roman"/>
          <w:color w:val="FF0000"/>
          <w:highlight w:val="none"/>
          <w:lang w:eastAsia="zh-CN"/>
        </w:rPr>
        <w:t>00</w:t>
      </w:r>
      <w:r>
        <w:rPr>
          <w:rFonts w:hint="default" w:ascii="Times New Roman" w:hAnsi="Times New Roman" w:eastAsia="宋体" w:cs="Times New Roman"/>
          <w:color w:val="FF0000"/>
          <w:highlight w:val="none"/>
          <w:lang w:eastAsia="zh-CN"/>
        </w:rPr>
        <w:t>只</w:t>
      </w:r>
      <w:r>
        <w:rPr>
          <w:rFonts w:hint="default" w:ascii="Times New Roman" w:hAnsi="Times New Roman" w:eastAsia="宋体" w:cs="Times New Roman"/>
          <w:color w:val="FF0000"/>
          <w:highlight w:val="none"/>
          <w:lang w:eastAsia="zh-CN"/>
        </w:rPr>
        <w:t>，详见</w:t>
      </w:r>
      <w:r>
        <w:rPr>
          <w:rFonts w:hint="default" w:ascii="Times New Roman" w:hAnsi="Times New Roman" w:eastAsia="宋体" w:cs="Times New Roman"/>
          <w:color w:val="FF0000"/>
          <w:highlight w:val="none"/>
        </w:rPr>
        <w:t>表3.1-</w:t>
      </w:r>
      <w:r>
        <w:rPr>
          <w:rFonts w:hint="default" w:ascii="Times New Roman" w:hAnsi="Times New Roman" w:eastAsia="宋体" w:cs="Times New Roman"/>
          <w:color w:val="FF0000"/>
          <w:highlight w:val="none"/>
          <w:lang w:val="en-US" w:eastAsia="zh-CN"/>
        </w:rPr>
        <w:t>8</w:t>
      </w:r>
      <w:r>
        <w:rPr>
          <w:rFonts w:hint="default" w:ascii="Times New Roman" w:hAnsi="Times New Roman" w:eastAsia="宋体" w:cs="Times New Roman"/>
          <w:color w:val="FF0000"/>
          <w:highlight w:val="none"/>
        </w:rPr>
        <w:t>。</w:t>
      </w:r>
    </w:p>
    <w:p w14:paraId="52612068">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表3.1-</w:t>
      </w:r>
      <w:r>
        <w:rPr>
          <w:rFonts w:hint="default" w:ascii="Times New Roman" w:hAnsi="Times New Roman" w:eastAsia="宋体" w:cs="Times New Roman"/>
          <w:color w:val="FF0000"/>
          <w:sz w:val="24"/>
          <w:szCs w:val="24"/>
          <w:highlight w:val="none"/>
          <w:lang w:val="en-US" w:eastAsia="zh-CN"/>
        </w:rPr>
        <w:t xml:space="preserve">8  </w:t>
      </w:r>
      <w:r>
        <w:rPr>
          <w:rFonts w:hint="default" w:ascii="Times New Roman" w:hAnsi="Times New Roman" w:eastAsia="宋体" w:cs="Times New Roman"/>
          <w:color w:val="FF0000"/>
          <w:sz w:val="24"/>
          <w:szCs w:val="24"/>
          <w:highlight w:val="none"/>
          <w:lang w:eastAsia="zh-CN"/>
        </w:rPr>
        <w:t>羊群</w:t>
      </w:r>
      <w:r>
        <w:rPr>
          <w:rFonts w:hint="default" w:ascii="Times New Roman" w:hAnsi="Times New Roman" w:eastAsia="宋体" w:cs="Times New Roman"/>
          <w:color w:val="FF0000"/>
          <w:sz w:val="24"/>
          <w:szCs w:val="24"/>
          <w:highlight w:val="none"/>
        </w:rPr>
        <w:t>用水定额</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2069"/>
        <w:gridCol w:w="2069"/>
        <w:gridCol w:w="2069"/>
        <w:gridCol w:w="2070"/>
      </w:tblGrid>
      <w:tr w14:paraId="4C054BD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2DA0D6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羊群</w:t>
            </w:r>
            <w:r>
              <w:rPr>
                <w:rFonts w:hint="default" w:ascii="Times New Roman" w:hAnsi="Times New Roman" w:eastAsia="宋体" w:cs="Times New Roman"/>
                <w:color w:val="FF0000"/>
                <w:sz w:val="21"/>
                <w:szCs w:val="21"/>
                <w:highlight w:val="none"/>
              </w:rPr>
              <w:t>种类</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719382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数目</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599471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rPr>
              <w:t>kg/d</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lang w:eastAsia="zh-CN"/>
              </w:rPr>
              <w:t>只</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34EF66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t/d</w:t>
            </w:r>
          </w:p>
        </w:tc>
      </w:tr>
      <w:tr w14:paraId="3018649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79" w:type="dxa"/>
            <w:tcBorders>
              <w:top w:val="single" w:color="auto" w:sz="4" w:space="0"/>
              <w:left w:val="single" w:color="auto" w:sz="4" w:space="0"/>
              <w:bottom w:val="single" w:color="auto" w:sz="4" w:space="0"/>
              <w:right w:val="single" w:color="auto" w:sz="4" w:space="0"/>
            </w:tcBorders>
            <w:vAlign w:val="center"/>
          </w:tcPr>
          <w:p w14:paraId="548B38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肉羊</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766718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23000</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4EC68A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10</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C5765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230</w:t>
            </w:r>
          </w:p>
        </w:tc>
      </w:tr>
      <w:tr w14:paraId="68D8A0F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758" w:type="dxa"/>
            <w:gridSpan w:val="2"/>
            <w:tcBorders>
              <w:top w:val="single" w:color="auto" w:sz="4" w:space="0"/>
              <w:left w:val="single" w:color="auto" w:sz="4" w:space="0"/>
              <w:bottom w:val="single" w:color="auto" w:sz="4" w:space="0"/>
              <w:right w:val="single" w:color="auto" w:sz="4" w:space="0"/>
            </w:tcBorders>
            <w:vAlign w:val="center"/>
          </w:tcPr>
          <w:p w14:paraId="7AD4D1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羊群</w:t>
            </w:r>
            <w:r>
              <w:rPr>
                <w:rFonts w:hint="default" w:ascii="Times New Roman" w:hAnsi="Times New Roman" w:eastAsia="宋体" w:cs="Times New Roman"/>
                <w:color w:val="FF0000"/>
                <w:sz w:val="21"/>
                <w:szCs w:val="21"/>
                <w:highlight w:val="none"/>
              </w:rPr>
              <w:t>日饮用水量m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/d</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7540AB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25028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230</w:t>
            </w:r>
          </w:p>
        </w:tc>
      </w:tr>
    </w:tbl>
    <w:p w14:paraId="114274C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存栏</w:t>
      </w:r>
      <w:r>
        <w:rPr>
          <w:rFonts w:hint="default" w:ascii="Times New Roman" w:hAnsi="Times New Roman" w:eastAsia="宋体" w:cs="Times New Roman"/>
          <w:color w:val="auto"/>
          <w:highlight w:val="none"/>
          <w:lang w:val="en-US" w:eastAsia="zh-CN"/>
        </w:rPr>
        <w:t>230</w:t>
      </w:r>
      <w:r>
        <w:rPr>
          <w:rFonts w:hint="default" w:ascii="Times New Roman" w:hAnsi="Times New Roman" w:eastAsia="宋体" w:cs="Times New Roman"/>
          <w:color w:val="auto"/>
          <w:highlight w:val="none"/>
        </w:rPr>
        <w:t>00</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，用水量</w:t>
      </w:r>
      <w:r>
        <w:rPr>
          <w:rFonts w:hint="default" w:ascii="Times New Roman" w:hAnsi="Times New Roman" w:eastAsia="宋体" w:cs="Times New Roman"/>
          <w:color w:val="auto"/>
          <w:highlight w:val="none"/>
          <w:lang w:val="en-US" w:eastAsia="zh-CN"/>
        </w:rPr>
        <w:t>230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/d，全年</w:t>
      </w:r>
      <w:r>
        <w:rPr>
          <w:rFonts w:hint="default" w:ascii="Times New Roman" w:hAnsi="Times New Roman" w:eastAsia="宋体" w:cs="Times New Roman"/>
          <w:color w:val="auto"/>
          <w:highlight w:val="none"/>
          <w:lang w:val="en-US" w:eastAsia="zh-CN"/>
        </w:rPr>
        <w:t>运营365天，</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饮用水</w:t>
      </w:r>
      <w:r>
        <w:rPr>
          <w:rFonts w:hint="default" w:ascii="Times New Roman" w:hAnsi="Times New Roman" w:eastAsia="宋体" w:cs="Times New Roman"/>
          <w:color w:val="auto"/>
          <w:highlight w:val="none"/>
          <w:lang w:val="en-US" w:eastAsia="zh-CN"/>
        </w:rPr>
        <w:t>总</w:t>
      </w:r>
      <w:r>
        <w:rPr>
          <w:rFonts w:hint="default" w:ascii="Times New Roman" w:hAnsi="Times New Roman" w:eastAsia="宋体" w:cs="Times New Roman"/>
          <w:color w:val="auto"/>
          <w:highlight w:val="none"/>
        </w:rPr>
        <w:t>量为</w:t>
      </w:r>
      <w:r>
        <w:rPr>
          <w:rFonts w:hint="default" w:ascii="Times New Roman" w:hAnsi="Times New Roman" w:eastAsia="宋体" w:cs="Times New Roman"/>
          <w:color w:val="auto"/>
          <w:highlight w:val="none"/>
          <w:lang w:val="en-US" w:eastAsia="zh-CN"/>
        </w:rPr>
        <w:t>83950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p>
    <w:p w14:paraId="30B3C9A7">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）饲料</w:t>
      </w:r>
      <w:r>
        <w:rPr>
          <w:rFonts w:hint="default" w:ascii="Times New Roman" w:hAnsi="Times New Roman" w:eastAsia="宋体" w:cs="Times New Roman"/>
          <w:color w:val="auto"/>
          <w:highlight w:val="none"/>
          <w:lang w:val="en-US" w:eastAsia="zh-CN"/>
        </w:rPr>
        <w:t>搅拌抑尘用水</w:t>
      </w:r>
    </w:p>
    <w:p w14:paraId="16F3246E">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饲料</w:t>
      </w:r>
      <w:r>
        <w:rPr>
          <w:rFonts w:hint="default" w:ascii="Times New Roman" w:hAnsi="Times New Roman" w:eastAsia="宋体" w:cs="Times New Roman"/>
          <w:color w:val="auto"/>
          <w:highlight w:val="none"/>
          <w:lang w:val="en-US" w:eastAsia="zh-CN"/>
        </w:rPr>
        <w:t>搅拌</w:t>
      </w:r>
      <w:r>
        <w:rPr>
          <w:rFonts w:hint="default" w:ascii="Times New Roman" w:hAnsi="Times New Roman" w:eastAsia="宋体" w:cs="Times New Roman"/>
          <w:color w:val="auto"/>
          <w:highlight w:val="none"/>
        </w:rPr>
        <w:t>工段</w:t>
      </w:r>
      <w:r>
        <w:rPr>
          <w:rFonts w:hint="default" w:ascii="Times New Roman" w:hAnsi="Times New Roman" w:eastAsia="宋体" w:cs="Times New Roman"/>
          <w:color w:val="auto"/>
          <w:highlight w:val="none"/>
          <w:lang w:val="en-US" w:eastAsia="zh-CN"/>
        </w:rPr>
        <w:t>进行</w:t>
      </w:r>
      <w:r>
        <w:rPr>
          <w:rFonts w:hint="default" w:ascii="Times New Roman" w:hAnsi="Times New Roman" w:eastAsia="宋体" w:cs="Times New Roman"/>
          <w:color w:val="auto"/>
          <w:highlight w:val="none"/>
        </w:rPr>
        <w:t>洒水抑尘，用水量为</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/d（1</w:t>
      </w:r>
      <w:r>
        <w:rPr>
          <w:rFonts w:hint="default" w:ascii="Times New Roman" w:hAnsi="Times New Roman" w:eastAsia="宋体" w:cs="Times New Roman"/>
          <w:color w:val="auto"/>
          <w:highlight w:val="none"/>
          <w:lang w:val="en-US" w:eastAsia="zh-CN"/>
        </w:rPr>
        <w:t>09</w:t>
      </w:r>
      <w:r>
        <w:rPr>
          <w:rFonts w:hint="default" w:ascii="Times New Roman" w:hAnsi="Times New Roman" w:eastAsia="宋体" w:cs="Times New Roman"/>
          <w:color w:val="auto"/>
          <w:highlight w:val="none"/>
        </w:rPr>
        <w:t>5m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p>
    <w:p w14:paraId="27950C3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生活用水</w:t>
      </w:r>
    </w:p>
    <w:p w14:paraId="5095A4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w:t>
      </w:r>
      <w:r>
        <w:rPr>
          <w:rFonts w:hint="default" w:ascii="Times New Roman" w:hAnsi="Times New Roman" w:eastAsia="宋体" w:cs="Times New Roman"/>
          <w:color w:val="auto"/>
          <w:highlight w:val="none"/>
        </w:rPr>
        <w:t>《内蒙古自治区</w:t>
      </w:r>
      <w:r>
        <w:rPr>
          <w:rFonts w:hint="default" w:ascii="Times New Roman" w:hAnsi="Times New Roman" w:eastAsia="宋体" w:cs="Times New Roman"/>
          <w:color w:val="auto"/>
          <w:highlight w:val="none"/>
          <w:lang w:eastAsia="zh-CN"/>
        </w:rPr>
        <w:t>行业用水定额（2020版）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DB15/T385-2020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职工生活用水按</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0L/人·d计，劳动定员</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0人，生活用水</w:t>
      </w:r>
      <w:r>
        <w:rPr>
          <w:rFonts w:hint="default" w:ascii="Times New Roman" w:hAnsi="Times New Roman" w:eastAsia="宋体" w:cs="Times New Roman"/>
          <w:color w:val="auto"/>
          <w:highlight w:val="none"/>
          <w:lang w:val="en-US" w:eastAsia="zh-CN"/>
        </w:rPr>
        <w:t>3.0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default" w:ascii="Times New Roman" w:hAnsi="Times New Roman" w:eastAsia="宋体" w:cs="Times New Roman"/>
          <w:color w:val="auto"/>
          <w:highlight w:val="none"/>
          <w:lang w:val="en-US" w:eastAsia="zh-CN"/>
        </w:rPr>
        <w:t>1095</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p>
    <w:p w14:paraId="399EDFF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绿化用水</w:t>
      </w:r>
    </w:p>
    <w:p w14:paraId="176C394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本项目建筑物周边绿化面积为</w:t>
      </w:r>
      <w:r>
        <w:rPr>
          <w:rFonts w:hint="default" w:ascii="Times New Roman" w:hAnsi="Times New Roman" w:eastAsia="宋体" w:cs="Times New Roman"/>
          <w:color w:val="auto"/>
          <w:sz w:val="24"/>
          <w:szCs w:val="24"/>
          <w:highlight w:val="none"/>
          <w:lang w:val="en-US" w:eastAsia="zh-CN"/>
        </w:rPr>
        <w:t>1000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highlight w:val="none"/>
        </w:rPr>
        <w:t>《内蒙古自治区</w:t>
      </w:r>
      <w:r>
        <w:rPr>
          <w:rFonts w:hint="default" w:ascii="Times New Roman" w:hAnsi="Times New Roman" w:eastAsia="宋体" w:cs="Times New Roman"/>
          <w:color w:val="auto"/>
          <w:highlight w:val="none"/>
          <w:lang w:eastAsia="zh-CN"/>
        </w:rPr>
        <w:t>行业用水定额（2020版）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DB15/T385-2020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szCs w:val="24"/>
          <w:highlight w:val="none"/>
        </w:rPr>
        <w:t>，绿化用水</w:t>
      </w:r>
      <w:r>
        <w:rPr>
          <w:rFonts w:hint="default" w:ascii="Times New Roman" w:hAnsi="Times New Roman" w:eastAsia="宋体" w:cs="Times New Roman"/>
          <w:color w:val="auto"/>
          <w:kern w:val="0"/>
          <w:sz w:val="24"/>
          <w:szCs w:val="24"/>
          <w:highlight w:val="none"/>
        </w:rPr>
        <w:t>量按</w:t>
      </w:r>
      <w:r>
        <w:rPr>
          <w:rFonts w:hint="default" w:ascii="Times New Roman" w:hAnsi="Times New Roman" w:eastAsia="宋体"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d）</w:t>
      </w:r>
      <w:r>
        <w:rPr>
          <w:rFonts w:hint="default" w:ascii="Times New Roman" w:hAnsi="Times New Roman" w:eastAsia="宋体" w:cs="Times New Roman"/>
          <w:color w:val="auto"/>
          <w:kern w:val="0"/>
          <w:sz w:val="24"/>
          <w:szCs w:val="24"/>
          <w:highlight w:val="none"/>
        </w:rPr>
        <w:t>计</w:t>
      </w:r>
      <w:r>
        <w:rPr>
          <w:rFonts w:hint="default" w:ascii="Times New Roman" w:hAnsi="Times New Roman" w:eastAsia="宋体" w:cs="Times New Roman"/>
          <w:color w:val="auto"/>
          <w:sz w:val="24"/>
          <w:szCs w:val="24"/>
          <w:highlight w:val="none"/>
        </w:rPr>
        <w:t>，绿化期按</w:t>
      </w:r>
      <w:r>
        <w:rPr>
          <w:rFonts w:hint="default" w:ascii="Times New Roman" w:hAnsi="Times New Roman" w:eastAsia="宋体"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rPr>
        <w:t>天计</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则本项目绿化用水量为</w:t>
      </w:r>
      <w:r>
        <w:rPr>
          <w:rFonts w:hint="default" w:ascii="Times New Roman" w:hAnsi="Times New Roman" w:eastAsia="宋体"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d</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138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highlight w:val="none"/>
        </w:rPr>
        <w:t>。</w:t>
      </w:r>
    </w:p>
    <w:p w14:paraId="206DF628">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3.1.6.2排水</w:t>
      </w:r>
    </w:p>
    <w:p w14:paraId="0822DFF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羊群尿液</w:t>
      </w:r>
    </w:p>
    <w:p w14:paraId="56622E4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饮用水部分用于自身生长及运动消耗，其余部分以尿液的形式排出。根据《畜禽养殖业污染治理工程技术规范》（HJ497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2009）附录A</w:t>
      </w:r>
      <w:r>
        <w:rPr>
          <w:rFonts w:hint="default" w:ascii="Times New Roman" w:hAnsi="Times New Roman" w:eastAsia="宋体" w:cs="Times New Roman"/>
          <w:color w:val="auto"/>
          <w:highlight w:val="none"/>
          <w:lang w:val="en-US" w:eastAsia="zh-CN"/>
        </w:rPr>
        <w:t>猪</w:t>
      </w:r>
      <w:r>
        <w:rPr>
          <w:rFonts w:hint="default" w:ascii="Times New Roman" w:hAnsi="Times New Roman" w:eastAsia="宋体" w:cs="Times New Roman"/>
          <w:color w:val="auto"/>
          <w:highlight w:val="none"/>
          <w:lang w:eastAsia="zh-CN"/>
        </w:rPr>
        <w:t>尿液</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3.3</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auto"/>
          <w:highlight w:val="none"/>
          <w:lang w:val="en-US" w:eastAsia="zh-CN"/>
        </w:rPr>
        <w:t>折算后，羊</w:t>
      </w:r>
      <w:r>
        <w:rPr>
          <w:rFonts w:hint="default" w:ascii="Times New Roman" w:hAnsi="Times New Roman" w:eastAsia="宋体" w:cs="Times New Roman"/>
          <w:color w:val="auto"/>
          <w:highlight w:val="none"/>
          <w:lang w:eastAsia="zh-CN"/>
        </w:rPr>
        <w:t>尿液</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1.1</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详见表3.1-</w:t>
      </w:r>
      <w:r>
        <w:rPr>
          <w:rFonts w:hint="default"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w:t>
      </w:r>
    </w:p>
    <w:p w14:paraId="73B4CCD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羊群</w:t>
      </w:r>
      <w:r>
        <w:rPr>
          <w:rFonts w:hint="default" w:ascii="Times New Roman" w:hAnsi="Times New Roman" w:eastAsia="宋体" w:cs="Times New Roman"/>
          <w:color w:val="auto"/>
          <w:sz w:val="24"/>
          <w:szCs w:val="24"/>
          <w:highlight w:val="none"/>
        </w:rPr>
        <w:t>尿液产污量明细</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54"/>
        <w:gridCol w:w="1655"/>
        <w:gridCol w:w="1656"/>
        <w:gridCol w:w="1656"/>
        <w:gridCol w:w="1656"/>
      </w:tblGrid>
      <w:tr w14:paraId="1C2C5A9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6D3E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羊群</w:t>
            </w:r>
            <w:r>
              <w:rPr>
                <w:rFonts w:hint="default" w:ascii="Times New Roman" w:hAnsi="Times New Roman" w:eastAsia="宋体" w:cs="Times New Roman"/>
                <w:color w:val="auto"/>
                <w:sz w:val="21"/>
                <w:szCs w:val="21"/>
                <w:highlight w:val="none"/>
              </w:rPr>
              <w:t>种类</w:t>
            </w:r>
          </w:p>
        </w:tc>
        <w:tc>
          <w:tcPr>
            <w:tcW w:w="1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44A4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数目</w:t>
            </w:r>
          </w:p>
        </w:tc>
        <w:tc>
          <w:tcPr>
            <w:tcW w:w="1801" w:type="dxa"/>
            <w:vMerge w:val="restart"/>
            <w:tcBorders>
              <w:top w:val="single" w:color="auto" w:sz="4" w:space="0"/>
              <w:left w:val="single" w:color="auto" w:sz="4" w:space="0"/>
              <w:bottom w:val="single" w:color="auto" w:sz="4" w:space="0"/>
              <w:right w:val="single" w:color="auto" w:sz="4" w:space="0"/>
            </w:tcBorders>
            <w:vAlign w:val="center"/>
          </w:tcPr>
          <w:p w14:paraId="3A5017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产污系数</w:t>
            </w:r>
          </w:p>
          <w:p w14:paraId="4B3BD4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w:t>
            </w:r>
            <w:r>
              <w:rPr>
                <w:rFonts w:hint="default" w:ascii="Times New Roman" w:hAnsi="Times New Roman" w:eastAsia="宋体" w:cs="Times New Roman"/>
                <w:color w:val="auto"/>
                <w:sz w:val="21"/>
                <w:szCs w:val="21"/>
                <w:highlight w:val="none"/>
                <w:lang w:eastAsia="zh-CN"/>
              </w:rPr>
              <w:t>只</w:t>
            </w:r>
            <w:r>
              <w:rPr>
                <w:rFonts w:hint="default" w:ascii="Times New Roman" w:hAnsi="Times New Roman" w:eastAsia="宋体" w:cs="Times New Roman"/>
                <w:color w:val="auto"/>
                <w:sz w:val="21"/>
                <w:szCs w:val="21"/>
                <w:highlight w:val="none"/>
              </w:rPr>
              <w:t>·d）</w:t>
            </w:r>
          </w:p>
        </w:tc>
        <w:tc>
          <w:tcPr>
            <w:tcW w:w="36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4DD7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产生量</w:t>
            </w:r>
          </w:p>
        </w:tc>
      </w:tr>
      <w:tr w14:paraId="4C787AF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00" w:type="dxa"/>
            <w:vMerge w:val="continue"/>
            <w:tcBorders>
              <w:top w:val="single" w:color="auto" w:sz="4" w:space="0"/>
              <w:left w:val="single" w:color="auto" w:sz="4" w:space="0"/>
              <w:bottom w:val="single" w:color="auto" w:sz="4" w:space="0"/>
              <w:right w:val="single" w:color="auto" w:sz="4" w:space="0"/>
            </w:tcBorders>
            <w:vAlign w:val="center"/>
          </w:tcPr>
          <w:p w14:paraId="5E2E90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792025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3B8A0E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801" w:type="dxa"/>
            <w:tcBorders>
              <w:top w:val="single" w:color="auto" w:sz="4" w:space="0"/>
              <w:left w:val="single" w:color="auto" w:sz="4" w:space="0"/>
              <w:bottom w:val="single" w:color="auto" w:sz="4" w:space="0"/>
              <w:right w:val="single" w:color="auto" w:sz="4" w:space="0"/>
            </w:tcBorders>
            <w:shd w:val="clear" w:color="auto" w:fill="auto"/>
            <w:vAlign w:val="center"/>
          </w:tcPr>
          <w:p w14:paraId="46327C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t/d</w:t>
            </w:r>
          </w:p>
        </w:tc>
        <w:tc>
          <w:tcPr>
            <w:tcW w:w="1801" w:type="dxa"/>
            <w:tcBorders>
              <w:top w:val="single" w:color="auto" w:sz="4" w:space="0"/>
              <w:left w:val="single" w:color="auto" w:sz="4" w:space="0"/>
              <w:bottom w:val="single" w:color="auto" w:sz="4" w:space="0"/>
              <w:right w:val="single" w:color="auto" w:sz="4" w:space="0"/>
            </w:tcBorders>
            <w:shd w:val="clear" w:color="auto" w:fill="auto"/>
            <w:vAlign w:val="center"/>
          </w:tcPr>
          <w:p w14:paraId="172DEA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r>
      <w:tr w14:paraId="4D121AD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2B22D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肉羊</w:t>
            </w: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1672A3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23000</w:t>
            </w:r>
          </w:p>
        </w:tc>
        <w:tc>
          <w:tcPr>
            <w:tcW w:w="1801" w:type="dxa"/>
            <w:tcBorders>
              <w:top w:val="single" w:color="auto" w:sz="4" w:space="0"/>
              <w:left w:val="single" w:color="auto" w:sz="4" w:space="0"/>
              <w:bottom w:val="single" w:color="auto" w:sz="4" w:space="0"/>
              <w:right w:val="single" w:color="auto" w:sz="4" w:space="0"/>
            </w:tcBorders>
            <w:vAlign w:val="center"/>
          </w:tcPr>
          <w:p w14:paraId="3EC585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1801" w:type="dxa"/>
            <w:tcBorders>
              <w:top w:val="single" w:color="auto" w:sz="4" w:space="0"/>
              <w:left w:val="single" w:color="auto" w:sz="4" w:space="0"/>
              <w:bottom w:val="single" w:color="auto" w:sz="4" w:space="0"/>
              <w:right w:val="single" w:color="auto" w:sz="4" w:space="0"/>
            </w:tcBorders>
            <w:shd w:val="clear" w:color="auto" w:fill="auto"/>
            <w:vAlign w:val="center"/>
          </w:tcPr>
          <w:p w14:paraId="121E89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25.3</w:t>
            </w:r>
          </w:p>
        </w:tc>
        <w:tc>
          <w:tcPr>
            <w:tcW w:w="1801" w:type="dxa"/>
            <w:tcBorders>
              <w:top w:val="single" w:color="auto" w:sz="4" w:space="0"/>
              <w:left w:val="single" w:color="auto" w:sz="4" w:space="0"/>
              <w:bottom w:val="single" w:color="auto" w:sz="4" w:space="0"/>
              <w:right w:val="single" w:color="auto" w:sz="4" w:space="0"/>
            </w:tcBorders>
            <w:shd w:val="clear" w:color="auto" w:fill="auto"/>
            <w:vAlign w:val="center"/>
          </w:tcPr>
          <w:p w14:paraId="0F8640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9234.5</w:t>
            </w:r>
          </w:p>
        </w:tc>
      </w:tr>
    </w:tbl>
    <w:p w14:paraId="6310C58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8"/>
          <w:highlight w:val="none"/>
        </w:rPr>
        <w:t>本项目</w:t>
      </w:r>
      <w:r>
        <w:rPr>
          <w:rFonts w:hint="default" w:ascii="Times New Roman" w:hAnsi="Times New Roman" w:eastAsia="宋体" w:cs="Times New Roman"/>
          <w:color w:val="auto"/>
          <w:kern w:val="0"/>
          <w:sz w:val="24"/>
          <w:szCs w:val="24"/>
          <w:highlight w:val="none"/>
          <w:lang w:eastAsia="zh-CN"/>
        </w:rPr>
        <w:t>羊粪便含水率较低</w:t>
      </w:r>
      <w:r>
        <w:rPr>
          <w:rFonts w:hint="default" w:ascii="Times New Roman" w:hAnsi="Times New Roman" w:eastAsia="宋体" w:cs="Times New Roman"/>
          <w:color w:val="auto"/>
          <w:kern w:val="0"/>
          <w:sz w:val="24"/>
          <w:szCs w:val="24"/>
          <w:highlight w:val="none"/>
          <w:lang w:eastAsia="zh-CN"/>
        </w:rPr>
        <w:t>，在养殖区排放的尿液大部分由于当地气候干燥蒸发，剩余尿液与粪便完全黏结混合在一起，一起运往堆肥场</w:t>
      </w:r>
      <w:r>
        <w:rPr>
          <w:rFonts w:hint="default" w:ascii="Times New Roman" w:hAnsi="Times New Roman" w:eastAsia="宋体" w:cs="Times New Roman"/>
          <w:color w:val="auto"/>
          <w:kern w:val="0"/>
          <w:sz w:val="24"/>
          <w:szCs w:val="24"/>
          <w:highlight w:val="none"/>
        </w:rPr>
        <w:t>储存并堆肥</w:t>
      </w:r>
      <w:r>
        <w:rPr>
          <w:rFonts w:hint="default" w:ascii="Times New Roman" w:hAnsi="Times New Roman" w:eastAsia="宋体" w:cs="Times New Roman"/>
          <w:color w:val="auto"/>
          <w:kern w:val="0"/>
          <w:sz w:val="24"/>
          <w:szCs w:val="24"/>
          <w:highlight w:val="none"/>
          <w:lang w:eastAsia="zh-CN"/>
        </w:rPr>
        <w:t>，因此，没有尿液排放；养殖区场地不采取水冲洗方式清理，采用消毒水每周喷洒消毒2～3次，因此，养殖区</w:t>
      </w:r>
      <w:r>
        <w:rPr>
          <w:rFonts w:hint="default" w:ascii="Times New Roman" w:hAnsi="Times New Roman" w:eastAsia="宋体" w:cs="Times New Roman"/>
          <w:color w:val="auto"/>
          <w:kern w:val="0"/>
          <w:sz w:val="24"/>
          <w:szCs w:val="24"/>
          <w:highlight w:val="none"/>
        </w:rPr>
        <w:t>不产生冲洗废水</w:t>
      </w:r>
      <w:r>
        <w:rPr>
          <w:rFonts w:hint="default" w:ascii="Times New Roman" w:hAnsi="Times New Roman" w:eastAsia="宋体" w:cs="Times New Roman"/>
          <w:color w:val="auto"/>
          <w:sz w:val="24"/>
          <w:szCs w:val="24"/>
          <w:highlight w:val="none"/>
        </w:rPr>
        <w:t>。</w:t>
      </w:r>
    </w:p>
    <w:p w14:paraId="6DF888D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）生活污水</w:t>
      </w:r>
    </w:p>
    <w:p w14:paraId="1C81D5D4">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本项目产生的废水主要是员工生活污水，职工生活污水排放按用水量的80%计，排水量</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876</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），生活污水经化粪池处理后，定期由当地环卫部门清运处置</w:t>
      </w:r>
      <w:r>
        <w:rPr>
          <w:rFonts w:hint="default" w:ascii="Times New Roman" w:hAnsi="Times New Roman" w:eastAsia="宋体" w:cs="Times New Roman"/>
          <w:color w:val="auto"/>
          <w:highlight w:val="none"/>
        </w:rPr>
        <w:t>。</w:t>
      </w:r>
    </w:p>
    <w:p w14:paraId="12C0E436">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本</w:t>
      </w:r>
      <w:r>
        <w:rPr>
          <w:rFonts w:hint="default" w:ascii="Times New Roman" w:hAnsi="Times New Roman" w:eastAsia="宋体" w:cs="Times New Roman"/>
          <w:color w:val="auto"/>
          <w:highlight w:val="none"/>
        </w:rPr>
        <w:t>项目水平衡如图3.1-</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所示</w:t>
      </w:r>
      <w:r>
        <w:rPr>
          <w:rFonts w:hint="default" w:ascii="Times New Roman" w:hAnsi="Times New Roman" w:eastAsia="宋体" w:cs="Times New Roman"/>
          <w:color w:val="auto"/>
          <w:highlight w:val="none"/>
          <w:lang w:eastAsia="zh-CN"/>
        </w:rPr>
        <w:t>。</w:t>
      </w:r>
    </w:p>
    <w:p w14:paraId="0E1F0CFB">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rPr>
      </w:pPr>
    </w:p>
    <w:p w14:paraId="1F4C0754">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2213225E">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表3.1-</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供排水</w:t>
      </w:r>
      <w:r>
        <w:rPr>
          <w:rFonts w:hint="default" w:ascii="Times New Roman" w:hAnsi="Times New Roman" w:eastAsia="宋体" w:cs="Times New Roman"/>
          <w:color w:val="auto"/>
          <w:sz w:val="24"/>
          <w:szCs w:val="24"/>
          <w:highlight w:val="none"/>
        </w:rPr>
        <w:t>情况统计表</w:t>
      </w:r>
    </w:p>
    <w:tbl>
      <w:tblPr>
        <w:tblStyle w:val="42"/>
        <w:tblW w:w="1360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65"/>
        <w:gridCol w:w="1067"/>
        <w:gridCol w:w="1067"/>
        <w:gridCol w:w="1067"/>
        <w:gridCol w:w="1067"/>
        <w:gridCol w:w="1067"/>
        <w:gridCol w:w="1067"/>
        <w:gridCol w:w="1067"/>
        <w:gridCol w:w="1067"/>
        <w:gridCol w:w="4005"/>
      </w:tblGrid>
      <w:tr w14:paraId="21E1E6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666006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067" w:type="dxa"/>
            <w:tcBorders>
              <w:top w:val="single" w:color="auto" w:sz="4" w:space="0"/>
              <w:left w:val="single" w:color="auto" w:sz="4" w:space="0"/>
              <w:bottom w:val="single" w:color="auto" w:sz="4" w:space="0"/>
              <w:right w:val="single" w:color="auto" w:sz="4" w:space="0"/>
            </w:tcBorders>
            <w:vAlign w:val="center"/>
          </w:tcPr>
          <w:p w14:paraId="14D8BA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用水项目</w:t>
            </w:r>
          </w:p>
        </w:tc>
        <w:tc>
          <w:tcPr>
            <w:tcW w:w="1067" w:type="dxa"/>
            <w:tcBorders>
              <w:top w:val="single" w:color="auto" w:sz="4" w:space="0"/>
              <w:left w:val="single" w:color="auto" w:sz="4" w:space="0"/>
              <w:bottom w:val="single" w:color="auto" w:sz="4" w:space="0"/>
              <w:right w:val="single" w:color="auto" w:sz="4" w:space="0"/>
            </w:tcBorders>
            <w:vAlign w:val="center"/>
          </w:tcPr>
          <w:p w14:paraId="7EE2F5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规模</w:t>
            </w:r>
          </w:p>
        </w:tc>
        <w:tc>
          <w:tcPr>
            <w:tcW w:w="1067" w:type="dxa"/>
            <w:tcBorders>
              <w:top w:val="single" w:color="auto" w:sz="4" w:space="0"/>
              <w:left w:val="single" w:color="auto" w:sz="4" w:space="0"/>
              <w:bottom w:val="single" w:color="auto" w:sz="4" w:space="0"/>
              <w:right w:val="single" w:color="auto" w:sz="4" w:space="0"/>
            </w:tcBorders>
            <w:vAlign w:val="center"/>
          </w:tcPr>
          <w:p w14:paraId="58E1AD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用水量</w:t>
            </w:r>
          </w:p>
          <w:p w14:paraId="1339D0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w:t>
            </w:r>
          </w:p>
        </w:tc>
        <w:tc>
          <w:tcPr>
            <w:tcW w:w="1067" w:type="dxa"/>
            <w:tcBorders>
              <w:top w:val="single" w:color="auto" w:sz="4" w:space="0"/>
              <w:left w:val="single" w:color="auto" w:sz="4" w:space="0"/>
              <w:bottom w:val="single" w:color="auto" w:sz="4" w:space="0"/>
              <w:right w:val="single" w:color="auto" w:sz="4" w:space="0"/>
            </w:tcBorders>
            <w:vAlign w:val="center"/>
          </w:tcPr>
          <w:p w14:paraId="0FB529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日用水量</w:t>
            </w:r>
          </w:p>
          <w:p w14:paraId="0EF64B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/d）</w:t>
            </w:r>
          </w:p>
        </w:tc>
        <w:tc>
          <w:tcPr>
            <w:tcW w:w="1067" w:type="dxa"/>
            <w:tcBorders>
              <w:top w:val="single" w:color="auto" w:sz="4" w:space="0"/>
              <w:left w:val="single" w:color="auto" w:sz="4" w:space="0"/>
              <w:bottom w:val="single" w:color="auto" w:sz="4" w:space="0"/>
              <w:right w:val="single" w:color="auto" w:sz="4" w:space="0"/>
            </w:tcBorders>
            <w:vAlign w:val="center"/>
          </w:tcPr>
          <w:p w14:paraId="031309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年用水量</w:t>
            </w:r>
          </w:p>
          <w:p w14:paraId="669B0E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/a）</w:t>
            </w:r>
          </w:p>
        </w:tc>
        <w:tc>
          <w:tcPr>
            <w:tcW w:w="1067" w:type="dxa"/>
            <w:tcBorders>
              <w:top w:val="single" w:color="auto" w:sz="4" w:space="0"/>
              <w:left w:val="single" w:color="auto" w:sz="4" w:space="0"/>
              <w:bottom w:val="single" w:color="auto" w:sz="4" w:space="0"/>
              <w:right w:val="single" w:color="auto" w:sz="4" w:space="0"/>
            </w:tcBorders>
            <w:vAlign w:val="center"/>
          </w:tcPr>
          <w:p w14:paraId="390D8F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折减</w:t>
            </w:r>
          </w:p>
          <w:p w14:paraId="402CD0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系数</w:t>
            </w:r>
          </w:p>
        </w:tc>
        <w:tc>
          <w:tcPr>
            <w:tcW w:w="1067" w:type="dxa"/>
            <w:tcBorders>
              <w:top w:val="single" w:color="auto" w:sz="4" w:space="0"/>
              <w:left w:val="single" w:color="auto" w:sz="4" w:space="0"/>
              <w:bottom w:val="single" w:color="auto" w:sz="4" w:space="0"/>
              <w:right w:val="single" w:color="auto" w:sz="4" w:space="0"/>
            </w:tcBorders>
            <w:vAlign w:val="center"/>
          </w:tcPr>
          <w:p w14:paraId="559FAE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日排水量</w:t>
            </w:r>
          </w:p>
          <w:p w14:paraId="7099EB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/d）</w:t>
            </w:r>
          </w:p>
        </w:tc>
        <w:tc>
          <w:tcPr>
            <w:tcW w:w="1067" w:type="dxa"/>
            <w:tcBorders>
              <w:top w:val="single" w:color="auto" w:sz="4" w:space="0"/>
              <w:left w:val="single" w:color="auto" w:sz="4" w:space="0"/>
              <w:bottom w:val="single" w:color="auto" w:sz="4" w:space="0"/>
              <w:right w:val="single" w:color="auto" w:sz="4" w:space="0"/>
            </w:tcBorders>
            <w:vAlign w:val="center"/>
          </w:tcPr>
          <w:p w14:paraId="795ACB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年排水量</w:t>
            </w:r>
          </w:p>
          <w:p w14:paraId="1DF710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/a）</w:t>
            </w:r>
          </w:p>
        </w:tc>
        <w:tc>
          <w:tcPr>
            <w:tcW w:w="4005" w:type="dxa"/>
            <w:tcBorders>
              <w:top w:val="single" w:color="auto" w:sz="4" w:space="0"/>
              <w:left w:val="single" w:color="auto" w:sz="4" w:space="0"/>
              <w:bottom w:val="single" w:color="auto" w:sz="4" w:space="0"/>
              <w:right w:val="single" w:color="auto" w:sz="4" w:space="0"/>
            </w:tcBorders>
            <w:vAlign w:val="center"/>
          </w:tcPr>
          <w:p w14:paraId="0817AF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备注</w:t>
            </w:r>
          </w:p>
        </w:tc>
      </w:tr>
      <w:tr w14:paraId="464AB4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3759E7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w:t>
            </w:r>
          </w:p>
        </w:tc>
        <w:tc>
          <w:tcPr>
            <w:tcW w:w="12541" w:type="dxa"/>
            <w:gridSpan w:val="9"/>
            <w:tcBorders>
              <w:top w:val="single" w:color="auto" w:sz="4" w:space="0"/>
              <w:left w:val="single" w:color="auto" w:sz="4" w:space="0"/>
              <w:bottom w:val="single" w:color="auto" w:sz="4" w:space="0"/>
              <w:right w:val="single" w:color="auto" w:sz="4" w:space="0"/>
            </w:tcBorders>
            <w:vAlign w:val="center"/>
          </w:tcPr>
          <w:p w14:paraId="223DF5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生活用水</w:t>
            </w:r>
          </w:p>
        </w:tc>
      </w:tr>
      <w:tr w14:paraId="271E66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115280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067" w:type="dxa"/>
            <w:tcBorders>
              <w:top w:val="single" w:color="auto" w:sz="4" w:space="0"/>
              <w:left w:val="single" w:color="auto" w:sz="4" w:space="0"/>
              <w:bottom w:val="single" w:color="auto" w:sz="4" w:space="0"/>
              <w:right w:val="single" w:color="auto" w:sz="4" w:space="0"/>
            </w:tcBorders>
            <w:vAlign w:val="center"/>
          </w:tcPr>
          <w:p w14:paraId="1AF250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生活用水</w:t>
            </w:r>
          </w:p>
        </w:tc>
        <w:tc>
          <w:tcPr>
            <w:tcW w:w="1067" w:type="dxa"/>
            <w:tcBorders>
              <w:top w:val="single" w:color="auto" w:sz="4" w:space="0"/>
              <w:left w:val="single" w:color="auto" w:sz="4" w:space="0"/>
              <w:bottom w:val="single" w:color="auto" w:sz="4" w:space="0"/>
              <w:right w:val="single" w:color="auto" w:sz="4" w:space="0"/>
            </w:tcBorders>
            <w:vAlign w:val="center"/>
          </w:tcPr>
          <w:p w14:paraId="0435D5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0人</w:t>
            </w:r>
          </w:p>
        </w:tc>
        <w:tc>
          <w:tcPr>
            <w:tcW w:w="1067" w:type="dxa"/>
            <w:tcBorders>
              <w:top w:val="single" w:color="auto" w:sz="4" w:space="0"/>
              <w:left w:val="single" w:color="auto" w:sz="4" w:space="0"/>
              <w:bottom w:val="single" w:color="auto" w:sz="4" w:space="0"/>
              <w:right w:val="single" w:color="auto" w:sz="4" w:space="0"/>
            </w:tcBorders>
            <w:vAlign w:val="center"/>
          </w:tcPr>
          <w:p w14:paraId="288A39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0L/人·d</w:t>
            </w:r>
          </w:p>
        </w:tc>
        <w:tc>
          <w:tcPr>
            <w:tcW w:w="1067" w:type="dxa"/>
            <w:tcBorders>
              <w:top w:val="single" w:color="auto" w:sz="4" w:space="0"/>
              <w:left w:val="single" w:color="auto" w:sz="4" w:space="0"/>
              <w:bottom w:val="single" w:color="auto" w:sz="4" w:space="0"/>
              <w:right w:val="single" w:color="auto" w:sz="4" w:space="0"/>
            </w:tcBorders>
            <w:vAlign w:val="center"/>
          </w:tcPr>
          <w:p w14:paraId="683DF6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3.0</w:t>
            </w:r>
          </w:p>
        </w:tc>
        <w:tc>
          <w:tcPr>
            <w:tcW w:w="1067" w:type="dxa"/>
            <w:tcBorders>
              <w:top w:val="single" w:color="auto" w:sz="4" w:space="0"/>
              <w:left w:val="single" w:color="auto" w:sz="4" w:space="0"/>
              <w:bottom w:val="single" w:color="auto" w:sz="4" w:space="0"/>
              <w:right w:val="single" w:color="auto" w:sz="4" w:space="0"/>
            </w:tcBorders>
            <w:vAlign w:val="center"/>
          </w:tcPr>
          <w:p w14:paraId="633D49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1095</w:t>
            </w:r>
          </w:p>
        </w:tc>
        <w:tc>
          <w:tcPr>
            <w:tcW w:w="1067" w:type="dxa"/>
            <w:tcBorders>
              <w:top w:val="single" w:color="auto" w:sz="4" w:space="0"/>
              <w:left w:val="single" w:color="auto" w:sz="4" w:space="0"/>
              <w:bottom w:val="single" w:color="auto" w:sz="4" w:space="0"/>
              <w:right w:val="single" w:color="auto" w:sz="4" w:space="0"/>
            </w:tcBorders>
            <w:vAlign w:val="center"/>
          </w:tcPr>
          <w:p w14:paraId="27B4DA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0.80</w:t>
            </w:r>
          </w:p>
        </w:tc>
        <w:tc>
          <w:tcPr>
            <w:tcW w:w="1067" w:type="dxa"/>
            <w:tcBorders>
              <w:top w:val="single" w:color="auto" w:sz="4" w:space="0"/>
              <w:left w:val="single" w:color="auto" w:sz="4" w:space="0"/>
              <w:bottom w:val="single" w:color="auto" w:sz="4" w:space="0"/>
              <w:right w:val="single" w:color="auto" w:sz="4" w:space="0"/>
            </w:tcBorders>
            <w:vAlign w:val="center"/>
          </w:tcPr>
          <w:p w14:paraId="220123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1067" w:type="dxa"/>
            <w:tcBorders>
              <w:top w:val="single" w:color="auto" w:sz="4" w:space="0"/>
              <w:left w:val="single" w:color="auto" w:sz="4" w:space="0"/>
              <w:bottom w:val="single" w:color="auto" w:sz="4" w:space="0"/>
              <w:right w:val="single" w:color="auto" w:sz="4" w:space="0"/>
            </w:tcBorders>
            <w:vAlign w:val="center"/>
          </w:tcPr>
          <w:p w14:paraId="69FFFD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876</w:t>
            </w:r>
          </w:p>
        </w:tc>
        <w:tc>
          <w:tcPr>
            <w:tcW w:w="4005" w:type="dxa"/>
            <w:tcBorders>
              <w:top w:val="single" w:color="auto" w:sz="4" w:space="0"/>
              <w:left w:val="single" w:color="auto" w:sz="4" w:space="0"/>
              <w:bottom w:val="single" w:color="auto" w:sz="4" w:space="0"/>
              <w:right w:val="single" w:color="auto" w:sz="4" w:space="0"/>
            </w:tcBorders>
            <w:vAlign w:val="center"/>
          </w:tcPr>
          <w:p w14:paraId="50BA20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使用新鲜水</w:t>
            </w:r>
          </w:p>
        </w:tc>
      </w:tr>
      <w:tr w14:paraId="122BC5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16A286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w:t>
            </w:r>
          </w:p>
        </w:tc>
        <w:tc>
          <w:tcPr>
            <w:tcW w:w="12541" w:type="dxa"/>
            <w:gridSpan w:val="9"/>
            <w:tcBorders>
              <w:top w:val="single" w:color="auto" w:sz="4" w:space="0"/>
              <w:left w:val="single" w:color="auto" w:sz="4" w:space="0"/>
              <w:bottom w:val="single" w:color="auto" w:sz="4" w:space="0"/>
              <w:right w:val="single" w:color="auto" w:sz="4" w:space="0"/>
            </w:tcBorders>
            <w:vAlign w:val="center"/>
          </w:tcPr>
          <w:p w14:paraId="7FA30D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养殖</w:t>
            </w:r>
            <w:r>
              <w:rPr>
                <w:rFonts w:hint="default" w:ascii="Times New Roman" w:hAnsi="Times New Roman" w:eastAsia="宋体" w:cs="Times New Roman"/>
                <w:color w:val="auto"/>
                <w:sz w:val="21"/>
                <w:szCs w:val="21"/>
                <w:highlight w:val="none"/>
              </w:rPr>
              <w:t>用水</w:t>
            </w:r>
          </w:p>
        </w:tc>
      </w:tr>
      <w:tr w14:paraId="3BCB7C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3EB726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1067" w:type="dxa"/>
            <w:tcBorders>
              <w:top w:val="single" w:color="auto" w:sz="4" w:space="0"/>
              <w:left w:val="single" w:color="auto" w:sz="4" w:space="0"/>
              <w:bottom w:val="single" w:color="auto" w:sz="4" w:space="0"/>
              <w:right w:val="single" w:color="auto" w:sz="4" w:space="0"/>
            </w:tcBorders>
            <w:vAlign w:val="center"/>
          </w:tcPr>
          <w:p w14:paraId="59AD73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羊群</w:t>
            </w:r>
            <w:r>
              <w:rPr>
                <w:rFonts w:hint="default" w:ascii="Times New Roman" w:hAnsi="Times New Roman" w:eastAsia="宋体" w:cs="Times New Roman"/>
                <w:color w:val="auto"/>
                <w:sz w:val="21"/>
                <w:szCs w:val="21"/>
                <w:highlight w:val="none"/>
              </w:rPr>
              <w:t>饮水</w:t>
            </w:r>
          </w:p>
        </w:tc>
        <w:tc>
          <w:tcPr>
            <w:tcW w:w="1067" w:type="dxa"/>
            <w:tcBorders>
              <w:top w:val="single" w:color="auto" w:sz="4" w:space="0"/>
              <w:left w:val="single" w:color="auto" w:sz="4" w:space="0"/>
              <w:bottom w:val="single" w:color="auto" w:sz="4" w:space="0"/>
              <w:right w:val="single" w:color="auto" w:sz="4" w:space="0"/>
            </w:tcBorders>
            <w:vAlign w:val="center"/>
          </w:tcPr>
          <w:p w14:paraId="0E206E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23000</w:t>
            </w:r>
            <w:r>
              <w:rPr>
                <w:rFonts w:hint="default" w:ascii="Times New Roman" w:hAnsi="Times New Roman" w:eastAsia="宋体" w:cs="Times New Roman"/>
                <w:bCs/>
                <w:color w:val="auto"/>
                <w:sz w:val="21"/>
                <w:szCs w:val="21"/>
                <w:highlight w:val="none"/>
                <w:lang w:val="en-US" w:eastAsia="zh-CN"/>
              </w:rPr>
              <w:t>只</w:t>
            </w:r>
          </w:p>
        </w:tc>
        <w:tc>
          <w:tcPr>
            <w:tcW w:w="1067" w:type="dxa"/>
            <w:tcBorders>
              <w:top w:val="single" w:color="auto" w:sz="4" w:space="0"/>
              <w:left w:val="single" w:color="auto" w:sz="4" w:space="0"/>
              <w:bottom w:val="single" w:color="auto" w:sz="4" w:space="0"/>
              <w:right w:val="single" w:color="auto" w:sz="4" w:space="0"/>
            </w:tcBorders>
            <w:vAlign w:val="center"/>
          </w:tcPr>
          <w:p w14:paraId="1B7868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1</w:t>
            </w:r>
            <w:r>
              <w:rPr>
                <w:rFonts w:hint="default" w:ascii="Times New Roman" w:hAnsi="Times New Roman" w:eastAsia="宋体" w:cs="Times New Roman"/>
                <w:bCs/>
                <w:color w:val="auto"/>
                <w:sz w:val="21"/>
                <w:szCs w:val="21"/>
                <w:highlight w:val="none"/>
              </w:rPr>
              <w:t>0L/</w:t>
            </w:r>
            <w:r>
              <w:rPr>
                <w:rFonts w:hint="default" w:ascii="Times New Roman" w:hAnsi="Times New Roman" w:eastAsia="宋体" w:cs="Times New Roman"/>
                <w:bCs/>
                <w:color w:val="auto"/>
                <w:sz w:val="21"/>
                <w:szCs w:val="21"/>
                <w:highlight w:val="none"/>
                <w:lang w:eastAsia="zh-CN"/>
              </w:rPr>
              <w:t>只</w:t>
            </w:r>
            <w:r>
              <w:rPr>
                <w:rFonts w:hint="default" w:ascii="Times New Roman" w:hAnsi="Times New Roman" w:eastAsia="宋体" w:cs="Times New Roman"/>
                <w:bCs/>
                <w:color w:val="auto"/>
                <w:sz w:val="21"/>
                <w:szCs w:val="21"/>
                <w:highlight w:val="none"/>
              </w:rPr>
              <w:t>·d</w:t>
            </w:r>
          </w:p>
        </w:tc>
        <w:tc>
          <w:tcPr>
            <w:tcW w:w="1067" w:type="dxa"/>
            <w:tcBorders>
              <w:top w:val="single" w:color="auto" w:sz="4" w:space="0"/>
              <w:left w:val="single" w:color="auto" w:sz="4" w:space="0"/>
              <w:bottom w:val="single" w:color="auto" w:sz="4" w:space="0"/>
              <w:right w:val="single" w:color="auto" w:sz="4" w:space="0"/>
            </w:tcBorders>
            <w:vAlign w:val="center"/>
          </w:tcPr>
          <w:p w14:paraId="371BA2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230</w:t>
            </w:r>
          </w:p>
        </w:tc>
        <w:tc>
          <w:tcPr>
            <w:tcW w:w="1067" w:type="dxa"/>
            <w:tcBorders>
              <w:top w:val="single" w:color="auto" w:sz="4" w:space="0"/>
              <w:left w:val="single" w:color="auto" w:sz="4" w:space="0"/>
              <w:bottom w:val="single" w:color="auto" w:sz="4" w:space="0"/>
              <w:right w:val="single" w:color="auto" w:sz="4" w:space="0"/>
            </w:tcBorders>
            <w:vAlign w:val="center"/>
          </w:tcPr>
          <w:p w14:paraId="7AD2FB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highlight w:val="none"/>
                <w:lang w:val="en-US" w:eastAsia="zh-CN"/>
              </w:rPr>
              <w:t>83950</w:t>
            </w:r>
          </w:p>
        </w:tc>
        <w:tc>
          <w:tcPr>
            <w:tcW w:w="1067" w:type="dxa"/>
            <w:tcBorders>
              <w:top w:val="single" w:color="auto" w:sz="4" w:space="0"/>
              <w:left w:val="single" w:color="auto" w:sz="4" w:space="0"/>
              <w:bottom w:val="single" w:color="auto" w:sz="4" w:space="0"/>
              <w:right w:val="single" w:color="auto" w:sz="4" w:space="0"/>
            </w:tcBorders>
            <w:vAlign w:val="center"/>
          </w:tcPr>
          <w:p w14:paraId="1C544B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067" w:type="dxa"/>
            <w:tcBorders>
              <w:top w:val="single" w:color="auto" w:sz="4" w:space="0"/>
              <w:left w:val="single" w:color="auto" w:sz="4" w:space="0"/>
              <w:bottom w:val="single" w:color="auto" w:sz="4" w:space="0"/>
              <w:right w:val="single" w:color="auto" w:sz="4" w:space="0"/>
            </w:tcBorders>
            <w:vAlign w:val="center"/>
          </w:tcPr>
          <w:p w14:paraId="442A77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067" w:type="dxa"/>
            <w:tcBorders>
              <w:top w:val="single" w:color="auto" w:sz="4" w:space="0"/>
              <w:left w:val="single" w:color="auto" w:sz="4" w:space="0"/>
              <w:bottom w:val="single" w:color="auto" w:sz="4" w:space="0"/>
              <w:right w:val="single" w:color="auto" w:sz="4" w:space="0"/>
            </w:tcBorders>
            <w:vAlign w:val="center"/>
          </w:tcPr>
          <w:p w14:paraId="0D137B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4005" w:type="dxa"/>
            <w:tcBorders>
              <w:top w:val="single" w:color="auto" w:sz="4" w:space="0"/>
              <w:left w:val="single" w:color="auto" w:sz="4" w:space="0"/>
              <w:bottom w:val="single" w:color="auto" w:sz="4" w:space="0"/>
              <w:right w:val="single" w:color="auto" w:sz="4" w:space="0"/>
            </w:tcBorders>
            <w:vAlign w:val="center"/>
          </w:tcPr>
          <w:p w14:paraId="429710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羊粪便含水率较低</w:t>
            </w:r>
            <w:r>
              <w:rPr>
                <w:rFonts w:hint="default" w:ascii="Times New Roman" w:hAnsi="Times New Roman" w:eastAsia="宋体" w:cs="Times New Roman"/>
                <w:color w:val="auto"/>
                <w:sz w:val="21"/>
                <w:szCs w:val="21"/>
                <w:highlight w:val="none"/>
              </w:rPr>
              <w:t>，在</w:t>
            </w:r>
            <w:r>
              <w:rPr>
                <w:rFonts w:hint="default" w:ascii="Times New Roman" w:hAnsi="Times New Roman" w:eastAsia="宋体" w:cs="Times New Roman"/>
                <w:color w:val="auto"/>
                <w:sz w:val="21"/>
                <w:szCs w:val="21"/>
                <w:highlight w:val="none"/>
                <w:lang w:eastAsia="zh-CN"/>
              </w:rPr>
              <w:t>养殖区</w:t>
            </w:r>
            <w:r>
              <w:rPr>
                <w:rFonts w:hint="default" w:ascii="Times New Roman" w:hAnsi="Times New Roman" w:eastAsia="宋体" w:cs="Times New Roman"/>
                <w:color w:val="auto"/>
                <w:sz w:val="21"/>
                <w:szCs w:val="21"/>
                <w:highlight w:val="none"/>
              </w:rPr>
              <w:t>排放的尿液大部分由于当地气候</w:t>
            </w:r>
            <w:r>
              <w:rPr>
                <w:rFonts w:hint="default" w:ascii="Times New Roman" w:hAnsi="Times New Roman" w:eastAsia="宋体" w:cs="Times New Roman"/>
                <w:color w:val="auto"/>
                <w:sz w:val="21"/>
                <w:szCs w:val="21"/>
                <w:highlight w:val="none"/>
                <w:lang w:eastAsia="zh-CN"/>
              </w:rPr>
              <w:t>干燥蒸发</w:t>
            </w:r>
            <w:r>
              <w:rPr>
                <w:rFonts w:hint="default" w:ascii="Times New Roman" w:hAnsi="Times New Roman" w:eastAsia="宋体" w:cs="Times New Roman"/>
                <w:color w:val="auto"/>
                <w:sz w:val="21"/>
                <w:szCs w:val="21"/>
                <w:highlight w:val="none"/>
              </w:rPr>
              <w:t>，剩余尿液与粪便完全</w:t>
            </w:r>
            <w:r>
              <w:rPr>
                <w:rFonts w:hint="default" w:ascii="Times New Roman" w:hAnsi="Times New Roman" w:eastAsia="宋体" w:cs="Times New Roman"/>
                <w:color w:val="auto"/>
                <w:sz w:val="21"/>
                <w:szCs w:val="21"/>
                <w:highlight w:val="none"/>
                <w:lang w:eastAsia="zh-CN"/>
              </w:rPr>
              <w:t>黏结</w:t>
            </w:r>
            <w:r>
              <w:rPr>
                <w:rFonts w:hint="default" w:ascii="Times New Roman" w:hAnsi="Times New Roman" w:eastAsia="宋体" w:cs="Times New Roman"/>
                <w:color w:val="auto"/>
                <w:sz w:val="21"/>
                <w:szCs w:val="21"/>
                <w:highlight w:val="none"/>
              </w:rPr>
              <w:t>混合在一起，一起运往</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储存并堆肥，因此，没有尿液排放</w:t>
            </w:r>
          </w:p>
        </w:tc>
      </w:tr>
      <w:tr w14:paraId="54487A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041388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067" w:type="dxa"/>
            <w:tcBorders>
              <w:top w:val="single" w:color="auto" w:sz="4" w:space="0"/>
              <w:left w:val="single" w:color="auto" w:sz="4" w:space="0"/>
              <w:bottom w:val="single" w:color="auto" w:sz="4" w:space="0"/>
              <w:right w:val="single" w:color="auto" w:sz="4" w:space="0"/>
            </w:tcBorders>
            <w:vAlign w:val="center"/>
          </w:tcPr>
          <w:p w14:paraId="42128A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饲料降尘用水</w:t>
            </w:r>
          </w:p>
        </w:tc>
        <w:tc>
          <w:tcPr>
            <w:tcW w:w="1067" w:type="dxa"/>
            <w:tcBorders>
              <w:top w:val="single" w:color="auto" w:sz="4" w:space="0"/>
              <w:left w:val="single" w:color="auto" w:sz="4" w:space="0"/>
              <w:bottom w:val="single" w:color="auto" w:sz="4" w:space="0"/>
              <w:right w:val="single" w:color="auto" w:sz="4" w:space="0"/>
            </w:tcBorders>
            <w:vAlign w:val="center"/>
          </w:tcPr>
          <w:p w14:paraId="08EC6F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449754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7C1333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p>
        </w:tc>
        <w:tc>
          <w:tcPr>
            <w:tcW w:w="1067" w:type="dxa"/>
            <w:tcBorders>
              <w:top w:val="single" w:color="auto" w:sz="4" w:space="0"/>
              <w:left w:val="single" w:color="auto" w:sz="4" w:space="0"/>
              <w:bottom w:val="single" w:color="auto" w:sz="4" w:space="0"/>
              <w:right w:val="single" w:color="auto" w:sz="4" w:space="0"/>
            </w:tcBorders>
            <w:vAlign w:val="center"/>
          </w:tcPr>
          <w:p w14:paraId="311ACF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09</w:t>
            </w:r>
            <w:r>
              <w:rPr>
                <w:rFonts w:hint="default" w:ascii="Times New Roman" w:hAnsi="Times New Roman" w:eastAsia="宋体" w:cs="Times New Roman"/>
                <w:color w:val="auto"/>
                <w:sz w:val="21"/>
                <w:szCs w:val="21"/>
                <w:highlight w:val="none"/>
              </w:rPr>
              <w:t>5</w:t>
            </w:r>
          </w:p>
        </w:tc>
        <w:tc>
          <w:tcPr>
            <w:tcW w:w="1067" w:type="dxa"/>
            <w:tcBorders>
              <w:top w:val="single" w:color="auto" w:sz="4" w:space="0"/>
              <w:left w:val="single" w:color="auto" w:sz="4" w:space="0"/>
              <w:bottom w:val="single" w:color="auto" w:sz="4" w:space="0"/>
              <w:right w:val="single" w:color="auto" w:sz="4" w:space="0"/>
            </w:tcBorders>
            <w:vAlign w:val="center"/>
          </w:tcPr>
          <w:p w14:paraId="0BE95B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155B63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6DDFF7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4005" w:type="dxa"/>
            <w:tcBorders>
              <w:top w:val="single" w:color="auto" w:sz="4" w:space="0"/>
              <w:left w:val="single" w:color="auto" w:sz="4" w:space="0"/>
              <w:bottom w:val="single" w:color="auto" w:sz="4" w:space="0"/>
              <w:right w:val="single" w:color="auto" w:sz="4" w:space="0"/>
            </w:tcBorders>
            <w:vAlign w:val="center"/>
          </w:tcPr>
          <w:p w14:paraId="7B3A29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使用新鲜水</w:t>
            </w:r>
          </w:p>
        </w:tc>
      </w:tr>
      <w:tr w14:paraId="09F240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065" w:type="dxa"/>
            <w:tcBorders>
              <w:top w:val="single" w:color="auto" w:sz="4" w:space="0"/>
              <w:left w:val="single" w:color="auto" w:sz="4" w:space="0"/>
              <w:bottom w:val="single" w:color="auto" w:sz="4" w:space="0"/>
              <w:right w:val="single" w:color="auto" w:sz="4" w:space="0"/>
            </w:tcBorders>
            <w:vAlign w:val="center"/>
          </w:tcPr>
          <w:p w14:paraId="2555AD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067" w:type="dxa"/>
            <w:tcBorders>
              <w:top w:val="single" w:color="auto" w:sz="4" w:space="0"/>
              <w:left w:val="single" w:color="auto" w:sz="4" w:space="0"/>
              <w:bottom w:val="single" w:color="auto" w:sz="4" w:space="0"/>
              <w:right w:val="single" w:color="auto" w:sz="4" w:space="0"/>
            </w:tcBorders>
            <w:vAlign w:val="center"/>
          </w:tcPr>
          <w:p w14:paraId="26549A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绿化用水</w:t>
            </w:r>
          </w:p>
        </w:tc>
        <w:tc>
          <w:tcPr>
            <w:tcW w:w="1067" w:type="dxa"/>
            <w:tcBorders>
              <w:top w:val="single" w:color="auto" w:sz="4" w:space="0"/>
              <w:left w:val="single" w:color="auto" w:sz="4" w:space="0"/>
              <w:bottom w:val="single" w:color="auto" w:sz="4" w:space="0"/>
              <w:right w:val="single" w:color="auto" w:sz="4" w:space="0"/>
            </w:tcBorders>
            <w:vAlign w:val="center"/>
          </w:tcPr>
          <w:p w14:paraId="37C1AB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1000m</w:t>
            </w:r>
            <w:r>
              <w:rPr>
                <w:rFonts w:hint="default" w:ascii="Times New Roman" w:hAnsi="Times New Roman" w:eastAsia="宋体" w:cs="Times New Roman"/>
                <w:bCs/>
                <w:color w:val="auto"/>
                <w:sz w:val="21"/>
                <w:szCs w:val="21"/>
                <w:highlight w:val="none"/>
                <w:vertAlign w:val="superscript"/>
                <w:lang w:val="en-US" w:eastAsia="zh-CN"/>
              </w:rPr>
              <w:t>2</w:t>
            </w:r>
          </w:p>
        </w:tc>
        <w:tc>
          <w:tcPr>
            <w:tcW w:w="1067" w:type="dxa"/>
            <w:tcBorders>
              <w:top w:val="single" w:color="auto" w:sz="4" w:space="0"/>
              <w:left w:val="single" w:color="auto" w:sz="4" w:space="0"/>
              <w:bottom w:val="single" w:color="auto" w:sz="4" w:space="0"/>
              <w:right w:val="single" w:color="auto" w:sz="4" w:space="0"/>
            </w:tcBorders>
            <w:vAlign w:val="center"/>
          </w:tcPr>
          <w:p w14:paraId="3206AF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d）</w:t>
            </w:r>
          </w:p>
        </w:tc>
        <w:tc>
          <w:tcPr>
            <w:tcW w:w="1067" w:type="dxa"/>
            <w:tcBorders>
              <w:top w:val="single" w:color="auto" w:sz="4" w:space="0"/>
              <w:left w:val="single" w:color="auto" w:sz="4" w:space="0"/>
              <w:bottom w:val="single" w:color="auto" w:sz="4" w:space="0"/>
              <w:right w:val="single" w:color="auto" w:sz="4" w:space="0"/>
            </w:tcBorders>
            <w:vAlign w:val="center"/>
          </w:tcPr>
          <w:p w14:paraId="0DF5E5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1067" w:type="dxa"/>
            <w:tcBorders>
              <w:top w:val="single" w:color="auto" w:sz="4" w:space="0"/>
              <w:left w:val="single" w:color="auto" w:sz="4" w:space="0"/>
              <w:bottom w:val="single" w:color="auto" w:sz="4" w:space="0"/>
              <w:right w:val="single" w:color="auto" w:sz="4" w:space="0"/>
            </w:tcBorders>
            <w:vAlign w:val="center"/>
          </w:tcPr>
          <w:p w14:paraId="3F6D10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138</w:t>
            </w:r>
          </w:p>
        </w:tc>
        <w:tc>
          <w:tcPr>
            <w:tcW w:w="1067" w:type="dxa"/>
            <w:tcBorders>
              <w:top w:val="single" w:color="auto" w:sz="4" w:space="0"/>
              <w:left w:val="single" w:color="auto" w:sz="4" w:space="0"/>
              <w:bottom w:val="single" w:color="auto" w:sz="4" w:space="0"/>
              <w:right w:val="single" w:color="auto" w:sz="4" w:space="0"/>
            </w:tcBorders>
            <w:vAlign w:val="center"/>
          </w:tcPr>
          <w:p w14:paraId="5F46AC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083224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67" w:type="dxa"/>
            <w:tcBorders>
              <w:top w:val="single" w:color="auto" w:sz="4" w:space="0"/>
              <w:left w:val="single" w:color="auto" w:sz="4" w:space="0"/>
              <w:bottom w:val="single" w:color="auto" w:sz="4" w:space="0"/>
              <w:right w:val="single" w:color="auto" w:sz="4" w:space="0"/>
            </w:tcBorders>
            <w:vAlign w:val="center"/>
          </w:tcPr>
          <w:p w14:paraId="1A5E2F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005" w:type="dxa"/>
            <w:tcBorders>
              <w:top w:val="single" w:color="auto" w:sz="4" w:space="0"/>
              <w:left w:val="single" w:color="auto" w:sz="4" w:space="0"/>
              <w:bottom w:val="single" w:color="auto" w:sz="4" w:space="0"/>
              <w:right w:val="single" w:color="auto" w:sz="4" w:space="0"/>
            </w:tcBorders>
            <w:vAlign w:val="center"/>
          </w:tcPr>
          <w:p w14:paraId="5F2B72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使用新鲜水</w:t>
            </w:r>
          </w:p>
        </w:tc>
      </w:tr>
      <w:tr w14:paraId="2010B8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266" w:type="dxa"/>
            <w:gridSpan w:val="4"/>
            <w:tcBorders>
              <w:top w:val="single" w:color="auto" w:sz="4" w:space="0"/>
              <w:left w:val="single" w:color="auto" w:sz="4" w:space="0"/>
              <w:bottom w:val="single" w:color="auto" w:sz="4" w:space="0"/>
              <w:right w:val="single" w:color="auto" w:sz="4" w:space="0"/>
            </w:tcBorders>
            <w:vAlign w:val="center"/>
          </w:tcPr>
          <w:p w14:paraId="3DC0E2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新鲜水合计</w:t>
            </w:r>
          </w:p>
        </w:tc>
        <w:tc>
          <w:tcPr>
            <w:tcW w:w="1067" w:type="dxa"/>
            <w:tcBorders>
              <w:top w:val="single" w:color="auto" w:sz="4" w:space="0"/>
              <w:left w:val="single" w:color="auto" w:sz="4" w:space="0"/>
              <w:bottom w:val="single" w:color="auto" w:sz="4" w:space="0"/>
              <w:right w:val="single" w:color="auto" w:sz="4" w:space="0"/>
            </w:tcBorders>
            <w:vAlign w:val="center"/>
          </w:tcPr>
          <w:p w14:paraId="5B11B2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238.3</w:t>
            </w:r>
          </w:p>
        </w:tc>
        <w:tc>
          <w:tcPr>
            <w:tcW w:w="1067" w:type="dxa"/>
            <w:tcBorders>
              <w:top w:val="single" w:color="auto" w:sz="4" w:space="0"/>
              <w:left w:val="single" w:color="auto" w:sz="4" w:space="0"/>
              <w:bottom w:val="single" w:color="auto" w:sz="4" w:space="0"/>
              <w:right w:val="single" w:color="auto" w:sz="4" w:space="0"/>
            </w:tcBorders>
            <w:vAlign w:val="center"/>
          </w:tcPr>
          <w:p w14:paraId="354496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86278</w:t>
            </w:r>
          </w:p>
        </w:tc>
        <w:tc>
          <w:tcPr>
            <w:tcW w:w="1067" w:type="dxa"/>
            <w:tcBorders>
              <w:top w:val="single" w:color="auto" w:sz="4" w:space="0"/>
              <w:left w:val="single" w:color="auto" w:sz="4" w:space="0"/>
              <w:bottom w:val="single" w:color="auto" w:sz="4" w:space="0"/>
              <w:right w:val="single" w:color="auto" w:sz="4" w:space="0"/>
            </w:tcBorders>
            <w:vAlign w:val="center"/>
          </w:tcPr>
          <w:p w14:paraId="6CAC59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067" w:type="dxa"/>
            <w:tcBorders>
              <w:top w:val="single" w:color="auto" w:sz="4" w:space="0"/>
              <w:left w:val="single" w:color="auto" w:sz="4" w:space="0"/>
              <w:bottom w:val="single" w:color="auto" w:sz="4" w:space="0"/>
              <w:right w:val="single" w:color="auto" w:sz="4" w:space="0"/>
            </w:tcBorders>
            <w:vAlign w:val="center"/>
          </w:tcPr>
          <w:p w14:paraId="3D26B2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1067" w:type="dxa"/>
            <w:tcBorders>
              <w:top w:val="single" w:color="auto" w:sz="4" w:space="0"/>
              <w:left w:val="single" w:color="auto" w:sz="4" w:space="0"/>
              <w:bottom w:val="single" w:color="auto" w:sz="4" w:space="0"/>
              <w:right w:val="single" w:color="auto" w:sz="4" w:space="0"/>
            </w:tcBorders>
            <w:vAlign w:val="center"/>
          </w:tcPr>
          <w:p w14:paraId="4D81D0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876</w:t>
            </w:r>
          </w:p>
        </w:tc>
        <w:tc>
          <w:tcPr>
            <w:tcW w:w="4005" w:type="dxa"/>
            <w:tcBorders>
              <w:top w:val="single" w:color="auto" w:sz="4" w:space="0"/>
              <w:left w:val="single" w:color="auto" w:sz="4" w:space="0"/>
              <w:bottom w:val="single" w:color="auto" w:sz="4" w:space="0"/>
              <w:right w:val="single" w:color="auto" w:sz="4" w:space="0"/>
            </w:tcBorders>
            <w:vAlign w:val="center"/>
          </w:tcPr>
          <w:p w14:paraId="38D614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bl>
    <w:p w14:paraId="0F8EF4FF">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263326C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object>
          <v:shape id="_x0000_i1028" o:spt="75" type="#_x0000_t75" style="height:227.35pt;width:413.85pt;" o:ole="t" filled="f" o:preferrelative="t" stroked="f" coordsize="21600,21600">
            <v:path/>
            <v:fill on="f" focussize="0,0"/>
            <v:stroke on="f"/>
            <v:imagedata r:id="rId27" o:title=""/>
            <o:lock v:ext="edit" aspectratio="t"/>
            <w10:wrap type="none"/>
            <w10:anchorlock/>
          </v:shape>
          <o:OLEObject Type="Embed" ProgID="Visio.Drawing.11" ShapeID="_x0000_i1028" DrawAspect="Content" ObjectID="_1468075728" r:id="rId26">
            <o:LockedField>false</o:LockedField>
          </o:OLEObject>
        </w:object>
      </w:r>
    </w:p>
    <w:p w14:paraId="06E20FDC">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bCs/>
          <w:color w:val="auto"/>
          <w:highlight w:val="none"/>
        </w:rPr>
        <w:t>图3.1-</w:t>
      </w: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水平衡</w:t>
      </w:r>
      <w:r>
        <w:rPr>
          <w:rFonts w:hint="default" w:ascii="Times New Roman" w:hAnsi="Times New Roman" w:eastAsia="宋体" w:cs="Times New Roman"/>
          <w:b/>
          <w:bCs/>
          <w:color w:val="auto"/>
          <w:highlight w:val="none"/>
          <w:lang w:eastAsia="zh-CN"/>
        </w:rPr>
        <w:t>图</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单位：t/d</w:t>
      </w:r>
    </w:p>
    <w:p w14:paraId="0128195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项目采用雨污分流排水。</w:t>
      </w:r>
    </w:p>
    <w:p w14:paraId="5B597FE8">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屋面设置合适坡度并在屋檐设置</w:t>
      </w:r>
      <w:r>
        <w:rPr>
          <w:rFonts w:hint="default" w:ascii="Times New Roman" w:hAnsi="Times New Roman" w:eastAsia="宋体" w:cs="Times New Roman"/>
          <w:color w:val="auto"/>
          <w:sz w:val="24"/>
          <w:szCs w:val="24"/>
          <w:highlight w:val="none"/>
        </w:rPr>
        <w:t>导流槽，将雨水导出不排入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内，屋面雨水采用自流式排水，经过雨水管道排入场区排水沟排出。</w:t>
      </w:r>
    </w:p>
    <w:p w14:paraId="6F1081BC">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设置挡水坡道，防止雨水进入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w:t>
      </w:r>
    </w:p>
    <w:p w14:paraId="481BF127">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底部进行硬化防渗处理，四面设围墙及导流渠，墙高</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lang w:eastAsia="zh-CN"/>
        </w:rPr>
        <w:t>防止</w:t>
      </w:r>
      <w:r>
        <w:rPr>
          <w:rFonts w:hint="default" w:ascii="Times New Roman" w:hAnsi="Times New Roman" w:eastAsia="宋体" w:cs="Times New Roman"/>
          <w:color w:val="auto"/>
          <w:highlight w:val="none"/>
        </w:rPr>
        <w:t>因雨水进入造成外溢，形成二次污染。</w:t>
      </w:r>
    </w:p>
    <w:p w14:paraId="1FB36726">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项目清净雨水，通过场区雨水管道自流式排出。</w:t>
      </w:r>
    </w:p>
    <w:p w14:paraId="16848B77">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3.1.6.3供电</w:t>
      </w:r>
    </w:p>
    <w:p w14:paraId="53BF749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本项目用电由当地供电网络提供电源，项目配套2台SCB13-400变压器、1台SCB13-250变压器、1台SCB13-80变压器，年用电量为211.88万</w:t>
      </w:r>
      <w:r>
        <w:rPr>
          <w:rFonts w:hint="default" w:ascii="Times New Roman" w:hAnsi="Times New Roman" w:eastAsia="宋体" w:cs="Times New Roman"/>
          <w:color w:val="auto"/>
          <w:highlight w:val="none"/>
          <w:lang w:eastAsia="zh-CN"/>
        </w:rPr>
        <w:t>kW</w:t>
      </w:r>
      <w:r>
        <w:rPr>
          <w:rFonts w:hint="default" w:ascii="Times New Roman" w:hAnsi="Times New Roman" w:eastAsia="宋体" w:cs="Times New Roman"/>
          <w:color w:val="auto"/>
          <w:highlight w:val="none"/>
        </w:rPr>
        <w:t>·h。</w:t>
      </w:r>
    </w:p>
    <w:p w14:paraId="478E7D9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配电线路采用放射式方式敷设。场区内的电缆采用电缆架空、穿管埋地敷设和直埋敷设相结合的方式。照明导线敷设方式为穿阻燃PVC管暗配或明配。</w:t>
      </w:r>
    </w:p>
    <w:p w14:paraId="23FE8D1F">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3.1.6.4供热</w:t>
      </w:r>
    </w:p>
    <w:p w14:paraId="4407B7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冬季不供暖。在一般情况下，如果气温不适，</w:t>
      </w:r>
      <w:r>
        <w:rPr>
          <w:rFonts w:hint="default" w:ascii="Times New Roman" w:hAnsi="Times New Roman" w:eastAsia="宋体" w:cs="Times New Roman"/>
          <w:color w:val="auto"/>
          <w:highlight w:val="none"/>
          <w:lang w:val="en-US" w:eastAsia="zh-CN"/>
        </w:rPr>
        <w:t>羊群</w:t>
      </w:r>
      <w:r>
        <w:rPr>
          <w:rFonts w:hint="default" w:ascii="Times New Roman" w:hAnsi="Times New Roman" w:eastAsia="宋体" w:cs="Times New Roman"/>
          <w:color w:val="auto"/>
          <w:highlight w:val="none"/>
        </w:rPr>
        <w:t>可通过自身的调节来保持体温的基本恒定。</w:t>
      </w:r>
    </w:p>
    <w:p w14:paraId="05BEB5C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项目需要供暖的区域</w:t>
      </w:r>
      <w:r>
        <w:rPr>
          <w:rFonts w:hint="default" w:ascii="Times New Roman" w:hAnsi="Times New Roman" w:eastAsia="宋体" w:cs="Times New Roman"/>
          <w:color w:val="auto"/>
          <w:highlight w:val="none"/>
          <w:lang w:eastAsia="zh-CN"/>
        </w:rPr>
        <w:t>为办公室，项目选用2台电空气能采暖设备</w:t>
      </w:r>
      <w:r>
        <w:rPr>
          <w:rFonts w:hint="default" w:ascii="Times New Roman" w:hAnsi="Times New Roman" w:eastAsia="宋体" w:cs="Times New Roman"/>
          <w:color w:val="auto"/>
          <w:highlight w:val="none"/>
        </w:rPr>
        <w:t>。</w:t>
      </w:r>
    </w:p>
    <w:p w14:paraId="7340BB7A">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3.1.6.</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保暖和通风</w:t>
      </w:r>
    </w:p>
    <w:p w14:paraId="319AD1C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羊圈冬季采用羊圈封闭的方式进行保暖，不设供暖设施；春秋季节将去掉羊圈的围挡，将羊圈的上半部分和门均敞开，以自然通风的方式进行羊圈换气；夏季则开启通风扇对羊圈进行强制通风。</w:t>
      </w:r>
    </w:p>
    <w:p w14:paraId="5DAD822A">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47" w:name="_Toc523322290"/>
      <w:bookmarkStart w:id="248" w:name="_Toc46421088"/>
      <w:bookmarkStart w:id="249" w:name="_Toc494206290"/>
      <w:bookmarkStart w:id="250" w:name="_Toc29532"/>
      <w:r>
        <w:rPr>
          <w:rFonts w:hint="default" w:ascii="Times New Roman" w:hAnsi="Times New Roman" w:eastAsia="宋体" w:cs="Times New Roman"/>
          <w:color w:val="auto"/>
          <w:highlight w:val="none"/>
        </w:rPr>
        <w:t>3.1.</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储运工程</w:t>
      </w:r>
      <w:bookmarkEnd w:id="247"/>
      <w:bookmarkEnd w:id="248"/>
      <w:bookmarkEnd w:id="249"/>
      <w:bookmarkEnd w:id="250"/>
    </w:p>
    <w:p w14:paraId="1A17CE6C">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251" w:name="_Toc316054063"/>
      <w:bookmarkStart w:id="252" w:name="_Toc10604"/>
      <w:bookmarkStart w:id="253" w:name="_Toc31836"/>
      <w:bookmarkStart w:id="254" w:name="_Toc20683"/>
      <w:bookmarkStart w:id="255" w:name="_Toc9920"/>
      <w:r>
        <w:rPr>
          <w:rFonts w:hint="default" w:ascii="Times New Roman" w:hAnsi="Times New Roman" w:eastAsia="宋体" w:cs="Times New Roman"/>
          <w:color w:val="auto"/>
          <w:highlight w:val="none"/>
        </w:rPr>
        <w:t>（1）厂外运输</w:t>
      </w:r>
      <w:bookmarkEnd w:id="251"/>
      <w:bookmarkEnd w:id="252"/>
      <w:bookmarkEnd w:id="253"/>
      <w:bookmarkEnd w:id="254"/>
      <w:bookmarkEnd w:id="255"/>
    </w:p>
    <w:p w14:paraId="20D2A47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本厂主要采用公路运输方式，原料（饲料）运输主要由公路承担。</w:t>
      </w:r>
    </w:p>
    <w:p w14:paraId="03C9C217">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256" w:name="_Toc7066"/>
      <w:bookmarkStart w:id="257" w:name="_Toc14636"/>
      <w:bookmarkStart w:id="258" w:name="_Toc29034"/>
      <w:bookmarkStart w:id="259" w:name="_Toc30778"/>
      <w:r>
        <w:rPr>
          <w:rFonts w:hint="default" w:ascii="Times New Roman" w:hAnsi="Times New Roman" w:eastAsia="宋体" w:cs="Times New Roman"/>
          <w:color w:val="auto"/>
          <w:highlight w:val="none"/>
        </w:rPr>
        <w:t>（2）场内运输</w:t>
      </w:r>
      <w:bookmarkEnd w:id="256"/>
      <w:bookmarkEnd w:id="257"/>
      <w:bookmarkEnd w:id="258"/>
      <w:bookmarkEnd w:id="259"/>
    </w:p>
    <w:p w14:paraId="3433AE7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场内运输主要为</w:t>
      </w:r>
      <w:r>
        <w:rPr>
          <w:rFonts w:hint="default" w:ascii="Times New Roman" w:hAnsi="Times New Roman" w:eastAsia="宋体" w:cs="Times New Roman"/>
          <w:color w:val="auto"/>
          <w:highlight w:val="none"/>
          <w:lang w:eastAsia="zh-CN"/>
        </w:rPr>
        <w:t>草棚、</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rPr>
        <w:t>与</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之间的饲料运输，其特点是短距离，次数频繁，且多处于狭小空间内，因此场内原料输送主要采用</w:t>
      </w:r>
      <w:r>
        <w:rPr>
          <w:rFonts w:hint="default" w:ascii="Times New Roman" w:hAnsi="Times New Roman" w:eastAsia="宋体" w:cs="Times New Roman"/>
          <w:color w:val="auto"/>
          <w:highlight w:val="none"/>
          <w:lang w:eastAsia="zh-CN"/>
        </w:rPr>
        <w:t>日粮搅拌机</w:t>
      </w:r>
      <w:r>
        <w:rPr>
          <w:rFonts w:hint="default" w:ascii="Times New Roman" w:hAnsi="Times New Roman" w:eastAsia="宋体" w:cs="Times New Roman"/>
          <w:color w:val="auto"/>
          <w:highlight w:val="none"/>
        </w:rPr>
        <w:t>。</w:t>
      </w:r>
    </w:p>
    <w:p w14:paraId="4D7CA41B">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260" w:name="_Toc8907"/>
      <w:bookmarkStart w:id="261" w:name="_Toc46421089"/>
      <w:r>
        <w:rPr>
          <w:rFonts w:hint="default" w:ascii="Times New Roman" w:hAnsi="Times New Roman" w:eastAsia="宋体" w:cs="Times New Roman"/>
          <w:color w:val="auto"/>
          <w:highlight w:val="none"/>
        </w:rPr>
        <w:t>3.1.</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总平面布置</w:t>
      </w:r>
      <w:bookmarkEnd w:id="260"/>
      <w:bookmarkEnd w:id="261"/>
    </w:p>
    <w:p w14:paraId="690EC49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本项目分为养殖区、生活区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粪污处置区</w:t>
      </w:r>
      <w:r>
        <w:rPr>
          <w:rFonts w:hint="default" w:ascii="Times New Roman" w:hAnsi="Times New Roman" w:eastAsia="宋体" w:cs="Times New Roman"/>
          <w:color w:val="auto"/>
          <w:highlight w:val="none"/>
          <w:lang w:eastAsia="zh-CN"/>
        </w:rPr>
        <w:t>等</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个功能区。其中养殖区位于</w:t>
      </w:r>
      <w:r>
        <w:rPr>
          <w:rFonts w:hint="default" w:ascii="Times New Roman" w:hAnsi="Times New Roman" w:eastAsia="宋体" w:cs="Times New Roman"/>
          <w:color w:val="auto"/>
          <w:highlight w:val="none"/>
          <w:lang w:eastAsia="zh-CN"/>
        </w:rPr>
        <w:t>场区</w:t>
      </w:r>
      <w:r>
        <w:rPr>
          <w:rFonts w:hint="default" w:ascii="Times New Roman" w:hAnsi="Times New Roman" w:eastAsia="宋体" w:cs="Times New Roman"/>
          <w:color w:val="auto"/>
          <w:highlight w:val="none"/>
          <w:lang w:val="en-US" w:eastAsia="zh-CN"/>
        </w:rPr>
        <w:t>东</w:t>
      </w:r>
      <w:r>
        <w:rPr>
          <w:rFonts w:hint="default" w:ascii="Times New Roman" w:hAnsi="Times New Roman" w:eastAsia="宋体" w:cs="Times New Roman"/>
          <w:color w:val="auto"/>
          <w:highlight w:val="none"/>
          <w:lang w:eastAsia="zh-CN"/>
        </w:rPr>
        <w:t>侧</w:t>
      </w:r>
      <w:r>
        <w:rPr>
          <w:rFonts w:hint="default" w:ascii="Times New Roman" w:hAnsi="Times New Roman" w:eastAsia="宋体" w:cs="Times New Roman"/>
          <w:color w:val="auto"/>
          <w:highlight w:val="none"/>
          <w:lang w:val="en-US" w:eastAsia="zh-CN"/>
        </w:rPr>
        <w:t>和北侧</w:t>
      </w:r>
      <w:r>
        <w:rPr>
          <w:rFonts w:hint="default" w:ascii="Times New Roman" w:hAnsi="Times New Roman" w:eastAsia="宋体" w:cs="Times New Roman"/>
          <w:color w:val="auto"/>
          <w:highlight w:val="none"/>
        </w:rPr>
        <w:t>，生活区位于</w:t>
      </w:r>
      <w:r>
        <w:rPr>
          <w:rFonts w:hint="default" w:ascii="Times New Roman" w:hAnsi="Times New Roman" w:eastAsia="宋体" w:cs="Times New Roman"/>
          <w:color w:val="auto"/>
          <w:highlight w:val="none"/>
          <w:lang w:eastAsia="zh-CN"/>
        </w:rPr>
        <w:t>场区</w:t>
      </w:r>
      <w:r>
        <w:rPr>
          <w:rFonts w:hint="default" w:ascii="Times New Roman" w:hAnsi="Times New Roman" w:eastAsia="宋体" w:cs="Times New Roman"/>
          <w:color w:val="auto"/>
          <w:highlight w:val="none"/>
          <w:lang w:val="en-US" w:eastAsia="zh-CN"/>
        </w:rPr>
        <w:t>西</w:t>
      </w:r>
      <w:r>
        <w:rPr>
          <w:rFonts w:hint="default" w:ascii="Times New Roman" w:hAnsi="Times New Roman" w:eastAsia="宋体" w:cs="Times New Roman"/>
          <w:color w:val="auto"/>
          <w:highlight w:val="none"/>
          <w:lang w:eastAsia="zh-CN"/>
        </w:rPr>
        <w:t>北侧，堆肥场</w:t>
      </w:r>
      <w:r>
        <w:rPr>
          <w:rFonts w:hint="default" w:ascii="Times New Roman" w:hAnsi="Times New Roman" w:eastAsia="宋体" w:cs="Times New Roman"/>
          <w:color w:val="auto"/>
          <w:highlight w:val="none"/>
        </w:rPr>
        <w:t>位于场区</w:t>
      </w:r>
      <w:r>
        <w:rPr>
          <w:rFonts w:hint="default" w:ascii="Times New Roman" w:hAnsi="Times New Roman" w:eastAsia="宋体" w:cs="Times New Roman"/>
          <w:color w:val="auto"/>
          <w:highlight w:val="none"/>
          <w:lang w:eastAsia="zh-CN"/>
        </w:rPr>
        <w:t>南侧，草棚、</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rPr>
        <w:t>位于场区</w:t>
      </w:r>
      <w:r>
        <w:rPr>
          <w:rFonts w:hint="default" w:ascii="Times New Roman" w:hAnsi="Times New Roman" w:eastAsia="宋体" w:cs="Times New Roman"/>
          <w:color w:val="auto"/>
          <w:highlight w:val="none"/>
          <w:lang w:val="en-US" w:eastAsia="zh-CN"/>
        </w:rPr>
        <w:t>西南</w:t>
      </w:r>
      <w:r>
        <w:rPr>
          <w:rFonts w:hint="default" w:ascii="Times New Roman" w:hAnsi="Times New Roman" w:eastAsia="宋体" w:cs="Times New Roman"/>
          <w:color w:val="auto"/>
          <w:highlight w:val="none"/>
          <w:lang w:eastAsia="zh-CN"/>
        </w:rPr>
        <w:t>侧</w:t>
      </w:r>
      <w:r>
        <w:rPr>
          <w:rFonts w:hint="default" w:ascii="Times New Roman" w:hAnsi="Times New Roman" w:eastAsia="宋体" w:cs="Times New Roman"/>
          <w:color w:val="auto"/>
          <w:highlight w:val="none"/>
        </w:rPr>
        <w:t>；见图</w:t>
      </w:r>
      <w:r>
        <w:rPr>
          <w:rFonts w:hint="default" w:ascii="Times New Roman" w:hAnsi="Times New Roman" w:eastAsia="宋体" w:cs="Times New Roman"/>
          <w:color w:val="auto"/>
          <w:highlight w:val="none"/>
          <w:lang w:val="en-US" w:eastAsia="zh-CN"/>
        </w:rPr>
        <w:t>3.1-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所示。</w:t>
      </w:r>
    </w:p>
    <w:p w14:paraId="18976EB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根据《畜禽养殖业污染治理工程技术规范》（HJ497-2009）中规定，畜禽养殖业污染治理工程应与养殖场生产区、居民区等建筑保持一定的卫生防护距离，设置在畜禽养殖场的生产区、办公生活区主导风向的下风向或侧风向处。本项目距场区最近居民位于场区</w:t>
      </w:r>
      <w:r>
        <w:rPr>
          <w:rFonts w:hint="default" w:ascii="Times New Roman" w:hAnsi="Times New Roman" w:eastAsia="宋体" w:cs="Times New Roman"/>
          <w:color w:val="auto"/>
          <w:highlight w:val="none"/>
          <w:lang w:val="en-US" w:eastAsia="zh-CN"/>
        </w:rPr>
        <w:t>西</w:t>
      </w:r>
      <w:r>
        <w:rPr>
          <w:rFonts w:hint="default" w:ascii="Times New Roman" w:hAnsi="Times New Roman" w:eastAsia="宋体" w:cs="Times New Roman"/>
          <w:color w:val="auto"/>
          <w:highlight w:val="none"/>
        </w:rPr>
        <w:t>侧</w:t>
      </w:r>
      <w:r>
        <w:rPr>
          <w:rFonts w:hint="default" w:ascii="Times New Roman" w:hAnsi="Times New Roman" w:eastAsia="宋体" w:cs="Times New Roman"/>
          <w:color w:val="auto"/>
          <w:highlight w:val="none"/>
          <w:lang w:val="en-US" w:eastAsia="zh-CN"/>
        </w:rPr>
        <w:t>70</w:t>
      </w:r>
      <w:r>
        <w:rPr>
          <w:rFonts w:hint="default" w:ascii="Times New Roman" w:hAnsi="Times New Roman" w:eastAsia="宋体" w:cs="Times New Roman"/>
          <w:color w:val="auto"/>
          <w:highlight w:val="none"/>
        </w:rPr>
        <w:t>m处，该地区年主导风向为</w:t>
      </w:r>
      <w:r>
        <w:rPr>
          <w:rFonts w:hint="default" w:ascii="Times New Roman" w:hAnsi="Times New Roman" w:eastAsia="宋体" w:cs="Times New Roman"/>
          <w:color w:val="auto"/>
          <w:highlight w:val="none"/>
          <w:lang w:eastAsia="zh-CN"/>
        </w:rPr>
        <w:t>ENE</w:t>
      </w:r>
      <w:r>
        <w:rPr>
          <w:rFonts w:hint="default" w:ascii="Times New Roman" w:hAnsi="Times New Roman" w:eastAsia="宋体" w:cs="Times New Roman"/>
          <w:color w:val="auto"/>
          <w:highlight w:val="none"/>
        </w:rPr>
        <w:t>风，属于当地20年主导风向的侧风向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本工程养殖区、生活管理区相互分开，</w:t>
      </w:r>
      <w:r>
        <w:rPr>
          <w:rFonts w:hint="default" w:ascii="Times New Roman" w:hAnsi="Times New Roman" w:eastAsia="宋体" w:cs="Times New Roman"/>
          <w:color w:val="FF0000"/>
          <w:highlight w:val="none"/>
        </w:rPr>
        <w:t>堆肥场位于厂区南侧，该地区年主导风向为ENE风，本项目堆肥场位于养殖区及生活区南侧，属于当地20年主导风向的侧风向</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auto"/>
          <w:highlight w:val="none"/>
          <w:lang w:val="en-US" w:eastAsia="zh-CN"/>
        </w:rPr>
        <w:t>因此</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均</w:t>
      </w:r>
      <w:r>
        <w:rPr>
          <w:rFonts w:hint="default" w:ascii="Times New Roman" w:hAnsi="Times New Roman" w:eastAsia="宋体" w:cs="Times New Roman"/>
          <w:color w:val="auto"/>
          <w:highlight w:val="none"/>
        </w:rPr>
        <w:t>符合《畜禽养殖业污染防治技术规范》（HJ/T81-2001）的规定</w:t>
      </w:r>
      <w:r>
        <w:rPr>
          <w:rFonts w:hint="default" w:ascii="Times New Roman" w:hAnsi="Times New Roman" w:eastAsia="宋体" w:cs="Times New Roman"/>
          <w:color w:val="auto"/>
          <w:highlight w:val="none"/>
          <w:lang w:eastAsia="zh-CN"/>
        </w:rPr>
        <w:t>。</w:t>
      </w:r>
    </w:p>
    <w:p w14:paraId="3EA0FFE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）本工程采用干清粪工艺，符合《畜禽养殖业污染防治技术规范》（HJ/T81-2001）的规定。</w:t>
      </w:r>
    </w:p>
    <w:p w14:paraId="02F052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等采取防渗等措施，容积完全满足当地农作物生产用肥的最大间隔时间的养殖场所产生的粪便总量贮存要求，符合《畜禽养殖业污染防治技术规范》（HJ/T81-2001）的规定。</w:t>
      </w:r>
    </w:p>
    <w:p w14:paraId="2393BB2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养殖场</w:t>
      </w:r>
      <w:r>
        <w:rPr>
          <w:rFonts w:hint="default" w:ascii="Times New Roman" w:hAnsi="Times New Roman" w:eastAsia="宋体" w:cs="Times New Roman"/>
          <w:color w:val="auto"/>
          <w:highlight w:val="none"/>
        </w:rPr>
        <w:t>场址选择地势高燥、排水良好、空气流畅、非污染区域，并且避开城镇和村民居住区的水源地；地面应相对平坦，坡度不宜过大，背风向阳，未建在低凹、风口处，符合</w:t>
      </w:r>
      <w:r>
        <w:rPr>
          <w:rFonts w:hint="default" w:ascii="Times New Roman" w:hAnsi="Times New Roman" w:eastAsia="宋体" w:cs="Times New Roman"/>
          <w:color w:val="auto"/>
          <w:highlight w:val="none"/>
          <w:lang w:eastAsia="zh-CN"/>
        </w:rPr>
        <w:t>养殖</w:t>
      </w:r>
      <w:r>
        <w:rPr>
          <w:rFonts w:hint="default" w:ascii="Times New Roman" w:hAnsi="Times New Roman" w:eastAsia="宋体" w:cs="Times New Roman"/>
          <w:color w:val="auto"/>
          <w:highlight w:val="none"/>
        </w:rPr>
        <w:t>场的选址要求。</w:t>
      </w:r>
    </w:p>
    <w:p w14:paraId="2A5BB98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）项目建成投产后，养殖</w:t>
      </w:r>
      <w:r>
        <w:rPr>
          <w:rFonts w:hint="default" w:ascii="Times New Roman" w:hAnsi="Times New Roman" w:eastAsia="宋体" w:cs="Times New Roman"/>
          <w:color w:val="auto"/>
          <w:highlight w:val="none"/>
          <w:lang w:eastAsia="zh-CN"/>
        </w:rPr>
        <w:t>场</w:t>
      </w:r>
      <w:r>
        <w:rPr>
          <w:rFonts w:hint="default" w:ascii="Times New Roman" w:hAnsi="Times New Roman" w:eastAsia="宋体" w:cs="Times New Roman"/>
          <w:color w:val="auto"/>
          <w:highlight w:val="none"/>
        </w:rPr>
        <w:t>废气经处理达标后外排</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对周边环境的影响较小，区域环境空气质量能满足《环境空气质量标准》（GB3095-2012）中二级标准要求。</w:t>
      </w:r>
    </w:p>
    <w:p w14:paraId="04A54D3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）项目周边主要为</w:t>
      </w:r>
      <w:r>
        <w:rPr>
          <w:rFonts w:hint="default" w:ascii="Times New Roman" w:hAnsi="Times New Roman" w:eastAsia="宋体" w:cs="Times New Roman"/>
          <w:color w:val="auto"/>
          <w:highlight w:val="none"/>
          <w:lang w:eastAsia="zh-CN"/>
        </w:rPr>
        <w:t>耕地</w:t>
      </w:r>
      <w:r>
        <w:rPr>
          <w:rFonts w:hint="default" w:ascii="Times New Roman" w:hAnsi="Times New Roman" w:eastAsia="宋体" w:cs="Times New Roman"/>
          <w:color w:val="auto"/>
          <w:highlight w:val="none"/>
        </w:rPr>
        <w:t>，植被为自然植被，人口较少，项目产生的三废经处理后对周边环境影响较小。</w:t>
      </w:r>
    </w:p>
    <w:p w14:paraId="7578F0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综上所述，本工程总平面布置充分利用现有地势，按照功能和工艺流程，总体上按由</w:t>
      </w:r>
      <w:r>
        <w:rPr>
          <w:rFonts w:hint="default" w:ascii="Times New Roman" w:hAnsi="Times New Roman" w:eastAsia="宋体" w:cs="Times New Roman"/>
          <w:color w:val="auto"/>
          <w:highlight w:val="none"/>
          <w:lang w:eastAsia="zh-CN"/>
        </w:rPr>
        <w:t>东</w:t>
      </w:r>
      <w:r>
        <w:rPr>
          <w:rFonts w:hint="default" w:ascii="Times New Roman" w:hAnsi="Times New Roman" w:eastAsia="宋体" w:cs="Times New Roman"/>
          <w:color w:val="auto"/>
          <w:highlight w:val="none"/>
        </w:rPr>
        <w:t>往</w:t>
      </w:r>
      <w:r>
        <w:rPr>
          <w:rFonts w:hint="default" w:ascii="Times New Roman" w:hAnsi="Times New Roman" w:eastAsia="宋体" w:cs="Times New Roman"/>
          <w:color w:val="auto"/>
          <w:highlight w:val="none"/>
          <w:lang w:eastAsia="zh-CN"/>
        </w:rPr>
        <w:t>西</w:t>
      </w:r>
      <w:r>
        <w:rPr>
          <w:rFonts w:hint="default" w:ascii="Times New Roman" w:hAnsi="Times New Roman" w:eastAsia="宋体" w:cs="Times New Roman"/>
          <w:color w:val="auto"/>
          <w:highlight w:val="none"/>
        </w:rPr>
        <w:t>方向布置，生活区和养殖区分开，并用绿化树木和草地建立隔离带，</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位于场地</w:t>
      </w:r>
      <w:r>
        <w:rPr>
          <w:rFonts w:hint="default" w:ascii="Times New Roman" w:hAnsi="Times New Roman" w:eastAsia="宋体" w:cs="Times New Roman"/>
          <w:color w:val="auto"/>
          <w:highlight w:val="none"/>
          <w:lang w:val="en-US" w:eastAsia="zh-CN"/>
        </w:rPr>
        <w:t>西</w:t>
      </w:r>
      <w:r>
        <w:rPr>
          <w:rFonts w:hint="default" w:ascii="Times New Roman" w:hAnsi="Times New Roman" w:eastAsia="宋体" w:cs="Times New Roman"/>
          <w:color w:val="auto"/>
          <w:highlight w:val="none"/>
          <w:lang w:eastAsia="zh-CN"/>
        </w:rPr>
        <w:t>南侧。</w:t>
      </w:r>
      <w:r>
        <w:rPr>
          <w:rFonts w:hint="default" w:ascii="Times New Roman" w:hAnsi="Times New Roman" w:eastAsia="宋体" w:cs="Times New Roman"/>
          <w:color w:val="auto"/>
          <w:highlight w:val="none"/>
        </w:rPr>
        <w:t>场内道路和各种运输管线闭合成环线，规划合理，饲养道和运粪道不交叉。从整体布局和环境影响上看，工程总平面布置较合理</w:t>
      </w:r>
      <w:r>
        <w:rPr>
          <w:rFonts w:hint="default" w:ascii="Times New Roman" w:hAnsi="Times New Roman" w:eastAsia="宋体" w:cs="Times New Roman"/>
          <w:color w:val="auto"/>
          <w:highlight w:val="none"/>
          <w:lang w:eastAsia="zh-CN"/>
        </w:rPr>
        <w:t>。</w:t>
      </w:r>
    </w:p>
    <w:p w14:paraId="16FD051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7458337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09B26F7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71EA0FC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41EC64AD">
      <w:pPr>
        <w:pageBreakBefore w:val="0"/>
        <w:shd w:val="clear"/>
        <w:kinsoku/>
        <w:wordWrap/>
        <w:bidi w:val="0"/>
        <w:spacing w:line="360" w:lineRule="auto"/>
        <w:ind w:left="0" w:leftChars="0" w:firstLine="0" w:firstLineChars="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8416" behindDoc="0" locked="0" layoutInCell="1" allowOverlap="1">
                <wp:simplePos x="0" y="0"/>
                <wp:positionH relativeFrom="column">
                  <wp:posOffset>4300220</wp:posOffset>
                </wp:positionH>
                <wp:positionV relativeFrom="paragraph">
                  <wp:posOffset>2525395</wp:posOffset>
                </wp:positionV>
                <wp:extent cx="75565" cy="75565"/>
                <wp:effectExtent l="12700" t="12700" r="26035" b="26035"/>
                <wp:wrapNone/>
                <wp:docPr id="45" name="椭圆 45"/>
                <wp:cNvGraphicFramePr/>
                <a:graphic xmlns:a="http://schemas.openxmlformats.org/drawingml/2006/main">
                  <a:graphicData uri="http://schemas.microsoft.com/office/word/2010/wordprocessingShape">
                    <wps:wsp>
                      <wps:cNvSpPr/>
                      <wps:spPr>
                        <a:xfrm>
                          <a:off x="5443220" y="3439795"/>
                          <a:ext cx="75565" cy="75565"/>
                        </a:xfrm>
                        <a:prstGeom prst="ellipse">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38.6pt;margin-top:198.85pt;height:5.95pt;width:5.95pt;z-index:251708416;v-text-anchor:middle;mso-width-relative:page;mso-height-relative:page;" filled="f" stroked="t" coordsize="21600,21600" o:gfxdata="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VKUVX2gAAAAsBAAAPAAAAAAAAAAEAIAAAACIAAABkcnMvZG93bnJldi54&#10;bWxQSwECFAAUAAAACACHTuJAKXt3vWoCAADCBAAADgAAAAAAAAABACAAAAApAQAAZHJzL2Uyb0Rv&#10;Yy54bWxQSwUGAAAAAAYABgBZAQAABQYAAAAA&#10;">
                <v:fill on="f" focussize="0,0"/>
                <v:stroke weight="2pt" color="#FFFF00 [2404]"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7392" behindDoc="0" locked="0" layoutInCell="1" allowOverlap="1">
                <wp:simplePos x="0" y="0"/>
                <wp:positionH relativeFrom="column">
                  <wp:posOffset>4321175</wp:posOffset>
                </wp:positionH>
                <wp:positionV relativeFrom="paragraph">
                  <wp:posOffset>2347595</wp:posOffset>
                </wp:positionV>
                <wp:extent cx="106045" cy="156845"/>
                <wp:effectExtent l="45085" t="28575" r="58420" b="43180"/>
                <wp:wrapNone/>
                <wp:docPr id="44" name="矩形 44"/>
                <wp:cNvGraphicFramePr/>
                <a:graphic xmlns:a="http://schemas.openxmlformats.org/drawingml/2006/main">
                  <a:graphicData uri="http://schemas.microsoft.com/office/word/2010/wordprocessingShape">
                    <wps:wsp>
                      <wps:cNvSpPr/>
                      <wps:spPr>
                        <a:xfrm rot="19800000">
                          <a:off x="0" y="0"/>
                          <a:ext cx="106045" cy="156845"/>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0.25pt;margin-top:184.85pt;height:12.35pt;width:8.35pt;rotation:-1966080f;z-index:251707392;v-text-anchor:middle;mso-width-relative:page;mso-height-relative:page;" filled="f" stroked="t" coordsize="21600,21600" o:gfxdata="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tLxG9oAAAALAQAADwAAAAAAAAABACAAAAAiAAAAZHJzL2Rvd25yZXYueG1sUEsB&#10;AhQAFAAAAAgAh07iQGSMMrplAgAAxAQAAA4AAAAAAAAAAQAgAAAAKQEAAGRycy9lMm9Eb2MueG1s&#10;UEsFBgAAAAAGAAYAWQEAAAAGAAAAAA==&#10;">
                <v:fill on="f" focussize="0,0"/>
                <v:stroke weight="2pt" color="#FFFF00 [24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6368" behindDoc="0" locked="0" layoutInCell="1" allowOverlap="1">
                <wp:simplePos x="0" y="0"/>
                <wp:positionH relativeFrom="column">
                  <wp:posOffset>3230880</wp:posOffset>
                </wp:positionH>
                <wp:positionV relativeFrom="paragraph">
                  <wp:posOffset>2819400</wp:posOffset>
                </wp:positionV>
                <wp:extent cx="1593215" cy="1207135"/>
                <wp:effectExtent l="12700" t="12700" r="13335" b="18415"/>
                <wp:wrapNone/>
                <wp:docPr id="42" name="任意多边形 42"/>
                <wp:cNvGraphicFramePr/>
                <a:graphic xmlns:a="http://schemas.openxmlformats.org/drawingml/2006/main">
                  <a:graphicData uri="http://schemas.microsoft.com/office/word/2010/wordprocessingShape">
                    <wps:wsp>
                      <wps:cNvSpPr/>
                      <wps:spPr>
                        <a:xfrm>
                          <a:off x="4373880" y="3733800"/>
                          <a:ext cx="1593215" cy="1207135"/>
                        </a:xfrm>
                        <a:custGeom>
                          <a:avLst/>
                          <a:gdLst>
                            <a:gd name="connisteX0" fmla="*/ 1433195 w 1593215"/>
                            <a:gd name="connsiteY0" fmla="*/ 0 h 1207135"/>
                            <a:gd name="connisteX1" fmla="*/ 0 w 1593215"/>
                            <a:gd name="connsiteY1" fmla="*/ 778510 h 1207135"/>
                            <a:gd name="connisteX2" fmla="*/ 225425 w 1593215"/>
                            <a:gd name="connsiteY2" fmla="*/ 1207135 h 1207135"/>
                            <a:gd name="connisteX3" fmla="*/ 1247140 w 1593215"/>
                            <a:gd name="connsiteY3" fmla="*/ 649605 h 1207135"/>
                            <a:gd name="connisteX4" fmla="*/ 1207770 w 1593215"/>
                            <a:gd name="connsiteY4" fmla="*/ 514985 h 1207135"/>
                            <a:gd name="connisteX5" fmla="*/ 1593215 w 1593215"/>
                            <a:gd name="connsiteY5" fmla="*/ 307340 h 1207135"/>
                            <a:gd name="connisteX6" fmla="*/ 1433195 w 1593215"/>
                            <a:gd name="connsiteY6" fmla="*/ 0 h 120713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593215" h="1207135">
                              <a:moveTo>
                                <a:pt x="1433195" y="0"/>
                              </a:moveTo>
                              <a:lnTo>
                                <a:pt x="0" y="778510"/>
                              </a:lnTo>
                              <a:lnTo>
                                <a:pt x="225425" y="1207135"/>
                              </a:lnTo>
                              <a:lnTo>
                                <a:pt x="1247140" y="649605"/>
                              </a:lnTo>
                              <a:lnTo>
                                <a:pt x="1207770" y="514985"/>
                              </a:lnTo>
                              <a:lnTo>
                                <a:pt x="1593215" y="307340"/>
                              </a:lnTo>
                              <a:lnTo>
                                <a:pt x="1433195" y="0"/>
                              </a:lnTo>
                              <a:close/>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4.4pt;margin-top:222pt;height:95.05pt;width:125.45pt;z-index:251706368;mso-width-relative:page;mso-height-relative:page;" filled="f" stroked="t" coordsize="1593215,1207135" o:gfxdata="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" path="m1433195,0l0,778510,225425,1207135,1247140,649605,1207770,514985,1593215,307340,1433195,0xe">
                <v:path o:connectlocs="1433195,0;0,778510;225425,1207135;1247140,649605;1207770,514985;1593215,307340;1433195,0" o:connectangles="0,0,0,0,0,0,0"/>
                <v:fill on="f" focussize="0,0"/>
                <v:stroke weight="2pt" color="#00B050 [2404]"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5344" behindDoc="0" locked="0" layoutInCell="1" allowOverlap="1">
                <wp:simplePos x="0" y="0"/>
                <wp:positionH relativeFrom="column">
                  <wp:posOffset>3281045</wp:posOffset>
                </wp:positionH>
                <wp:positionV relativeFrom="paragraph">
                  <wp:posOffset>2877820</wp:posOffset>
                </wp:positionV>
                <wp:extent cx="359410" cy="426085"/>
                <wp:effectExtent l="95250" t="74295" r="97790" b="90170"/>
                <wp:wrapNone/>
                <wp:docPr id="38" name="矩形 38"/>
                <wp:cNvGraphicFramePr/>
                <a:graphic xmlns:a="http://schemas.openxmlformats.org/drawingml/2006/main">
                  <a:graphicData uri="http://schemas.microsoft.com/office/word/2010/wordprocessingShape">
                    <wps:wsp>
                      <wps:cNvSpPr/>
                      <wps:spPr>
                        <a:xfrm rot="19800000">
                          <a:off x="0" y="0"/>
                          <a:ext cx="359410" cy="426085"/>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35pt;margin-top:226.6pt;height:33.55pt;width:28.3pt;rotation:-1966080f;z-index:251705344;v-text-anchor:middle;mso-width-relative:page;mso-height-relative:page;" filled="f" stroked="t" coordsize="21600,21600" o:gfxdata="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ZUoTdoAAAALAQAADwAAAAAAAAABACAAAAAiAAAAZHJzL2Rvd25yZXYueG1s&#10;UEsBAhQAFAAAAAgAh07iQFxPOO1oAgAAxAQAAA4AAAAAAAAAAQAgAAAAKQEAAGRycy9lMm9Eb2Mu&#10;eG1sUEsFBgAAAAAGAAYAWQEAAAMGAAAAAA==&#10;">
                <v:fill on="f" focussize="0,0"/>
                <v:stroke weight="2pt" color="#00B050 [24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4320" behindDoc="0" locked="0" layoutInCell="1" allowOverlap="1">
                <wp:simplePos x="0" y="0"/>
                <wp:positionH relativeFrom="column">
                  <wp:posOffset>5092065</wp:posOffset>
                </wp:positionH>
                <wp:positionV relativeFrom="paragraph">
                  <wp:posOffset>898525</wp:posOffset>
                </wp:positionV>
                <wp:extent cx="106045" cy="161925"/>
                <wp:effectExtent l="53975" t="26670" r="68580" b="40005"/>
                <wp:wrapNone/>
                <wp:docPr id="33" name="矩形 33"/>
                <wp:cNvGraphicFramePr/>
                <a:graphic xmlns:a="http://schemas.openxmlformats.org/drawingml/2006/main">
                  <a:graphicData uri="http://schemas.microsoft.com/office/word/2010/wordprocessingShape">
                    <wps:wsp>
                      <wps:cNvSpPr/>
                      <wps:spPr>
                        <a:xfrm rot="18960000">
                          <a:off x="0" y="0"/>
                          <a:ext cx="106045" cy="161925"/>
                        </a:xfrm>
                        <a:prstGeom prst="rect">
                          <a:avLst/>
                        </a:prstGeom>
                        <a:no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0.95pt;margin-top:70.75pt;height:12.75pt;width:8.35pt;rotation:-2883584f;z-index:251704320;v-text-anchor:middle;mso-width-relative:page;mso-height-relative:page;" filled="f" stroked="t" coordsize="21600,21600" o:gfxdata="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qYfNhtcAAAALAQAADwAAAAAAAAABACAAAAAiAAAAZHJzL2Rvd25yZXYueG1s&#10;UEsBAhQAFAAAAAgAh07iQGCIIb9rAgAAxAQAAA4AAAAAAAAAAQAgAAAAJgEAAGRycy9lMm9Eb2Mu&#10;eG1sUEsFBgAAAAAGAAYAWQEAAAMGAAAAAA==&#10;">
                <v:fill on="f" focussize="0,0"/>
                <v:stroke weight="2pt" color="#7030A0 [24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3296" behindDoc="0" locked="0" layoutInCell="1" allowOverlap="1">
                <wp:simplePos x="0" y="0"/>
                <wp:positionH relativeFrom="column">
                  <wp:posOffset>4939665</wp:posOffset>
                </wp:positionH>
                <wp:positionV relativeFrom="paragraph">
                  <wp:posOffset>752475</wp:posOffset>
                </wp:positionV>
                <wp:extent cx="88265" cy="156845"/>
                <wp:effectExtent l="53975" t="22225" r="67310" b="30480"/>
                <wp:wrapNone/>
                <wp:docPr id="30" name="矩形 30"/>
                <wp:cNvGraphicFramePr/>
                <a:graphic xmlns:a="http://schemas.openxmlformats.org/drawingml/2006/main">
                  <a:graphicData uri="http://schemas.microsoft.com/office/word/2010/wordprocessingShape">
                    <wps:wsp>
                      <wps:cNvSpPr/>
                      <wps:spPr>
                        <a:xfrm rot="19080000">
                          <a:off x="0" y="0"/>
                          <a:ext cx="88265" cy="156845"/>
                        </a:xfrm>
                        <a:prstGeom prst="rect">
                          <a:avLst/>
                        </a:prstGeom>
                        <a:noFill/>
                        <a:ln>
                          <a:solidFill>
                            <a:schemeClr val="accent6">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8.95pt;margin-top:59.25pt;height:12.35pt;width:6.95pt;rotation:-2752512f;z-index:251703296;v-text-anchor:middle;mso-width-relative:page;mso-height-relative:page;" filled="f" stroked="t" coordsize="21600,21600" o:gfxdata="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426aDdcAAAALAQAADwAAAAAAAAABACAAAAAiAAAAZHJz&#10;L2Rvd25yZXYueG1sUEsBAhQAFAAAAAgAh07iQJip3eF3AgAA5QQAAA4AAAAAAAAAAQAgAAAAJgEA&#10;AGRycy9lMm9Eb2MueG1sUEsFBgAAAAAGAAYAWQEAAA8GAAAAAA==&#10;">
                <v:fill on="f" focussize="0,0"/>
                <v:stroke weight="2pt" color="#E46C0A [2409]"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2272" behindDoc="0" locked="0" layoutInCell="1" allowOverlap="1">
                <wp:simplePos x="0" y="0"/>
                <wp:positionH relativeFrom="column">
                  <wp:posOffset>2997200</wp:posOffset>
                </wp:positionH>
                <wp:positionV relativeFrom="paragraph">
                  <wp:posOffset>732790</wp:posOffset>
                </wp:positionV>
                <wp:extent cx="2667000" cy="2448560"/>
                <wp:effectExtent l="12700" t="9525" r="25400" b="18415"/>
                <wp:wrapNone/>
                <wp:docPr id="27" name="任意多边形 27"/>
                <wp:cNvGraphicFramePr/>
                <a:graphic xmlns:a="http://schemas.openxmlformats.org/drawingml/2006/main">
                  <a:graphicData uri="http://schemas.microsoft.com/office/word/2010/wordprocessingShape">
                    <wps:wsp>
                      <wps:cNvSpPr/>
                      <wps:spPr>
                        <a:xfrm>
                          <a:off x="4140200" y="1647190"/>
                          <a:ext cx="2667000" cy="2448560"/>
                        </a:xfrm>
                        <a:custGeom>
                          <a:avLst/>
                          <a:gdLst>
                            <a:gd name="connisteX0" fmla="*/ 1905000 w 2667000"/>
                            <a:gd name="connsiteY0" fmla="*/ 0 h 2448560"/>
                            <a:gd name="connisteX1" fmla="*/ 610870 w 2667000"/>
                            <a:gd name="connsiteY1" fmla="*/ 1064260 h 2448560"/>
                            <a:gd name="connisteX2" fmla="*/ 0 w 2667000"/>
                            <a:gd name="connsiteY2" fmla="*/ 1400810 h 2448560"/>
                            <a:gd name="connisteX3" fmla="*/ 347980 w 2667000"/>
                            <a:gd name="connsiteY3" fmla="*/ 2011045 h 2448560"/>
                            <a:gd name="connisteX4" fmla="*/ 1400810 w 2667000"/>
                            <a:gd name="connsiteY4" fmla="*/ 1423035 h 2448560"/>
                            <a:gd name="connisteX5" fmla="*/ 1983740 w 2667000"/>
                            <a:gd name="connsiteY5" fmla="*/ 2436495 h 2448560"/>
                            <a:gd name="connisteX6" fmla="*/ 2017395 w 2667000"/>
                            <a:gd name="connsiteY6" fmla="*/ 2448560 h 2448560"/>
                            <a:gd name="connisteX7" fmla="*/ 2667000 w 2667000"/>
                            <a:gd name="connsiteY7" fmla="*/ 1910715 h 2448560"/>
                            <a:gd name="connisteX8" fmla="*/ 2386965 w 2667000"/>
                            <a:gd name="connsiteY8" fmla="*/ 727710 h 2448560"/>
                            <a:gd name="connisteX9" fmla="*/ 2140585 w 2667000"/>
                            <a:gd name="connsiteY9" fmla="*/ 745490 h 2448560"/>
                            <a:gd name="connisteX10" fmla="*/ 2005965 w 2667000"/>
                            <a:gd name="connsiteY10" fmla="*/ 594360 h 2448560"/>
                            <a:gd name="connisteX11" fmla="*/ 2162810 w 2667000"/>
                            <a:gd name="connsiteY11" fmla="*/ 403860 h 2448560"/>
                            <a:gd name="connisteX12" fmla="*/ 1854200 w 2667000"/>
                            <a:gd name="connsiteY12" fmla="*/ 52070 h 244856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2667000" h="2448560">
                              <a:moveTo>
                                <a:pt x="1905000" y="0"/>
                              </a:moveTo>
                              <a:lnTo>
                                <a:pt x="610870" y="1064260"/>
                              </a:lnTo>
                              <a:lnTo>
                                <a:pt x="0" y="1400810"/>
                              </a:lnTo>
                              <a:lnTo>
                                <a:pt x="347980" y="2011045"/>
                              </a:lnTo>
                              <a:lnTo>
                                <a:pt x="1400810" y="1423035"/>
                              </a:lnTo>
                              <a:lnTo>
                                <a:pt x="1983740" y="2436495"/>
                              </a:lnTo>
                              <a:lnTo>
                                <a:pt x="2017395" y="2448560"/>
                              </a:lnTo>
                              <a:lnTo>
                                <a:pt x="2667000" y="1910715"/>
                              </a:lnTo>
                              <a:lnTo>
                                <a:pt x="2386965" y="727710"/>
                              </a:lnTo>
                              <a:lnTo>
                                <a:pt x="2140585" y="745490"/>
                              </a:lnTo>
                              <a:lnTo>
                                <a:pt x="2005965" y="594360"/>
                              </a:lnTo>
                              <a:lnTo>
                                <a:pt x="2162810" y="403860"/>
                              </a:lnTo>
                              <a:lnTo>
                                <a:pt x="1854200" y="5207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36pt;margin-top:57.7pt;height:192.8pt;width:210pt;z-index:251702272;mso-width-relative:page;mso-height-relative:page;" filled="f" stroked="t" coordsize="2667000,2448560" o:gfxdata="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" path="m1905000,0l610870,1064260,0,1400810,347980,2011045,1400810,1423035,1983740,2436495,2017395,2448560,2667000,1910715,2386965,727710,2140585,745490,2005965,594360,2162810,403860,1854200,52070e">
                <v:path o:connectlocs="1905000,0;610870,1064260;0,1400810;347980,2011045;1400810,1423035;1983740,2436495;2017395,2448560;2667000,1910715;2386965,727710;2140585,745490;2005965,594360;2162810,403860;1854200,52070" o:connectangles="0,0,0,0,0,0,0,0,0,0,0,0,0"/>
                <v:fill on="f" focussize="0,0"/>
                <v:stroke weight="2pt" color="#FF0000 [2404]"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1248" behindDoc="0" locked="0" layoutInCell="1" allowOverlap="1">
                <wp:simplePos x="0" y="0"/>
                <wp:positionH relativeFrom="column">
                  <wp:posOffset>2674620</wp:posOffset>
                </wp:positionH>
                <wp:positionV relativeFrom="paragraph">
                  <wp:posOffset>2428875</wp:posOffset>
                </wp:positionV>
                <wp:extent cx="106045" cy="156845"/>
                <wp:effectExtent l="45085" t="28575" r="58420" b="43180"/>
                <wp:wrapNone/>
                <wp:docPr id="24" name="矩形 24"/>
                <wp:cNvGraphicFramePr/>
                <a:graphic xmlns:a="http://schemas.openxmlformats.org/drawingml/2006/main">
                  <a:graphicData uri="http://schemas.microsoft.com/office/word/2010/wordprocessingShape">
                    <wps:wsp>
                      <wps:cNvSpPr/>
                      <wps:spPr>
                        <a:xfrm rot="19800000">
                          <a:off x="3423285" y="1759585"/>
                          <a:ext cx="106045" cy="156845"/>
                        </a:xfrm>
                        <a:prstGeom prst="rect">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pt;margin-top:191.25pt;height:12.35pt;width:8.35pt;rotation:-1966080f;z-index:251701248;v-text-anchor:middle;mso-width-relative:page;mso-height-relative:page;" filled="f" stroked="t" coordsize="21600,21600" o:gfxdata="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tzJZ3aAAAACwEAAA8AAAAAAAAAAQAgAAAAIgAAAGRycy9k&#10;b3ducmV2LnhtbFBLAQIUABQAAAAIAIdO4kAy7ICvcgIAANAEAAAOAAAAAAAAAAEAIAAAACkBAABk&#10;cnMvZTJvRG9jLnhtbFBLBQYAAAAABgAGAFkBAAANBgAAAAA=&#10;">
                <v:fill on="f" focussize="0,0"/>
                <v:stroke weight="2pt" color="#00B0F0 [2404]" joinstyle="round"/>
                <v:imagedata o:title=""/>
                <o:lock v:ext="edit" aspectratio="f"/>
              </v:rect>
            </w:pict>
          </mc:Fallback>
        </mc:AlternateContent>
      </w:r>
      <w:r>
        <w:rPr>
          <w:rFonts w:hint="default" w:ascii="Times New Roman" w:hAnsi="Times New Roman" w:eastAsia="宋体" w:cs="Times New Roman"/>
          <w:color w:val="auto"/>
          <w:highlight w:val="none"/>
        </w:rPr>
        <w:drawing>
          <wp:inline distT="0" distB="0" distL="114300" distR="114300">
            <wp:extent cx="8395970" cy="4363720"/>
            <wp:effectExtent l="0" t="0" r="5080" b="17780"/>
            <wp:docPr id="12" name="图片 12" descr="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222"/>
                    <pic:cNvPicPr>
                      <a:picLocks noChangeAspect="1"/>
                    </pic:cNvPicPr>
                  </pic:nvPicPr>
                  <pic:blipFill>
                    <a:blip r:embed="rId28"/>
                    <a:stretch>
                      <a:fillRect/>
                    </a:stretch>
                  </pic:blipFill>
                  <pic:spPr>
                    <a:xfrm>
                      <a:off x="0" y="0"/>
                      <a:ext cx="8395970" cy="4363720"/>
                    </a:xfrm>
                    <a:prstGeom prst="rect">
                      <a:avLst/>
                    </a:prstGeom>
                  </pic:spPr>
                </pic:pic>
              </a:graphicData>
            </a:graphic>
          </wp:inline>
        </w:drawing>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00224" behindDoc="0" locked="0" layoutInCell="1" allowOverlap="1">
                <wp:simplePos x="0" y="0"/>
                <wp:positionH relativeFrom="column">
                  <wp:posOffset>2466975</wp:posOffset>
                </wp:positionH>
                <wp:positionV relativeFrom="paragraph">
                  <wp:posOffset>683260</wp:posOffset>
                </wp:positionV>
                <wp:extent cx="3295650" cy="3352800"/>
                <wp:effectExtent l="12700" t="12700" r="25400" b="25400"/>
                <wp:wrapNone/>
                <wp:docPr id="19" name="任意多边形 19"/>
                <wp:cNvGraphicFramePr/>
                <a:graphic xmlns:a="http://schemas.openxmlformats.org/drawingml/2006/main">
                  <a:graphicData uri="http://schemas.microsoft.com/office/word/2010/wordprocessingShape">
                    <wps:wsp>
                      <wps:cNvSpPr/>
                      <wps:spPr>
                        <a:xfrm>
                          <a:off x="3609975" y="1597660"/>
                          <a:ext cx="3295650" cy="3352800"/>
                        </a:xfrm>
                        <a:custGeom>
                          <a:avLst/>
                          <a:gdLst>
                            <a:gd name="connisteX0" fmla="*/ 2432050 w 3295650"/>
                            <a:gd name="connsiteY0" fmla="*/ 0 h 3352800"/>
                            <a:gd name="connisteX1" fmla="*/ 2813050 w 3295650"/>
                            <a:gd name="connsiteY1" fmla="*/ 311150 h 3352800"/>
                            <a:gd name="connisteX2" fmla="*/ 2800350 w 3295650"/>
                            <a:gd name="connsiteY2" fmla="*/ 381000 h 3352800"/>
                            <a:gd name="connisteX3" fmla="*/ 2692400 w 3295650"/>
                            <a:gd name="connsiteY3" fmla="*/ 514350 h 3352800"/>
                            <a:gd name="connisteX4" fmla="*/ 2616200 w 3295650"/>
                            <a:gd name="connsiteY4" fmla="*/ 692150 h 3352800"/>
                            <a:gd name="connisteX5" fmla="*/ 2654300 w 3295650"/>
                            <a:gd name="connsiteY5" fmla="*/ 755650 h 3352800"/>
                            <a:gd name="connisteX6" fmla="*/ 2927350 w 3295650"/>
                            <a:gd name="connsiteY6" fmla="*/ 711200 h 3352800"/>
                            <a:gd name="connisteX7" fmla="*/ 3295650 w 3295650"/>
                            <a:gd name="connsiteY7" fmla="*/ 2298700 h 3352800"/>
                            <a:gd name="connisteX8" fmla="*/ 2882900 w 3295650"/>
                            <a:gd name="connsiteY8" fmla="*/ 2324100 h 3352800"/>
                            <a:gd name="connisteX9" fmla="*/ 2895600 w 3295650"/>
                            <a:gd name="connsiteY9" fmla="*/ 2559050 h 3352800"/>
                            <a:gd name="connisteX10" fmla="*/ 2387600 w 3295650"/>
                            <a:gd name="connsiteY10" fmla="*/ 2501900 h 3352800"/>
                            <a:gd name="connisteX11" fmla="*/ 2146300 w 3295650"/>
                            <a:gd name="connsiteY11" fmla="*/ 2762250 h 3352800"/>
                            <a:gd name="connisteX12" fmla="*/ 996950 w 3295650"/>
                            <a:gd name="connsiteY12" fmla="*/ 3352800 h 3352800"/>
                            <a:gd name="connisteX13" fmla="*/ 0 w 3295650"/>
                            <a:gd name="connsiteY13" fmla="*/ 1530350 h 3352800"/>
                            <a:gd name="connisteX14" fmla="*/ 850900 w 3295650"/>
                            <a:gd name="connsiteY14" fmla="*/ 812800 h 3352800"/>
                            <a:gd name="connisteX15" fmla="*/ 1130300 w 3295650"/>
                            <a:gd name="connsiteY15" fmla="*/ 1085850 h 3352800"/>
                            <a:gd name="connisteX16" fmla="*/ 2432050 w 3295650"/>
                            <a:gd name="connsiteY16" fmla="*/ 0 h 3352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Lst>
                          <a:rect l="l" t="t" r="r" b="b"/>
                          <a:pathLst>
                            <a:path w="3295650" h="3352800">
                              <a:moveTo>
                                <a:pt x="2432050" y="0"/>
                              </a:moveTo>
                              <a:lnTo>
                                <a:pt x="2813050" y="311150"/>
                              </a:lnTo>
                              <a:lnTo>
                                <a:pt x="2800350" y="381000"/>
                              </a:lnTo>
                              <a:lnTo>
                                <a:pt x="2692400" y="514350"/>
                              </a:lnTo>
                              <a:lnTo>
                                <a:pt x="2616200" y="692150"/>
                              </a:lnTo>
                              <a:lnTo>
                                <a:pt x="2654300" y="755650"/>
                              </a:lnTo>
                              <a:lnTo>
                                <a:pt x="2927350" y="711200"/>
                              </a:lnTo>
                              <a:lnTo>
                                <a:pt x="3295650" y="2298700"/>
                              </a:lnTo>
                              <a:lnTo>
                                <a:pt x="2882900" y="2324100"/>
                              </a:lnTo>
                              <a:lnTo>
                                <a:pt x="2895600" y="2559050"/>
                              </a:lnTo>
                              <a:lnTo>
                                <a:pt x="2387600" y="2501900"/>
                              </a:lnTo>
                              <a:lnTo>
                                <a:pt x="2146300" y="2762250"/>
                              </a:lnTo>
                              <a:lnTo>
                                <a:pt x="996950" y="3352800"/>
                              </a:lnTo>
                              <a:lnTo>
                                <a:pt x="0" y="1530350"/>
                              </a:lnTo>
                              <a:lnTo>
                                <a:pt x="850900" y="812800"/>
                              </a:lnTo>
                              <a:lnTo>
                                <a:pt x="1130300" y="1085850"/>
                              </a:lnTo>
                              <a:lnTo>
                                <a:pt x="2432050" y="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94.25pt;margin-top:53.8pt;height:264pt;width:259.5pt;z-index:251700224;mso-width-relative:page;mso-height-relative:page;" filled="f" stroked="t" coordsize="3295650,3352800" o:gfxdata="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" path="m2432050,0l2813050,311150,2800350,381000,2692400,514350,2616200,692150,2654300,755650,2927350,711200,3295650,2298700,2882900,2324100,2895600,2559050,2387600,2501900,2146300,2762250,996950,3352800,0,1530350,850900,812800,1130300,1085850,2432050,0xe">
                <v:path o:connectlocs="2432050,0;2813050,311150;2800350,381000;2692400,514350;2616200,692150;2654300,755650;2927350,711200;3295650,2298700;2882900,2324100;2895600,2559050;2387600,2501900;2146300,2762250;996950,3352800;0,1530350;850900,812800;1130300,1085850;2432050,0" o:connectangles="0,0,0,0,0,0,0,0,0,0,0,0,0,0,0,0,0"/>
                <v:fill on="f"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highlight w:val="none"/>
        </w:rPr>
        <w:drawing>
          <wp:anchor distT="0" distB="0" distL="114300" distR="114300" simplePos="0" relativeHeight="251693056" behindDoc="0" locked="0" layoutInCell="1" allowOverlap="1">
            <wp:simplePos x="0" y="0"/>
            <wp:positionH relativeFrom="column">
              <wp:posOffset>7799705</wp:posOffset>
            </wp:positionH>
            <wp:positionV relativeFrom="page">
              <wp:posOffset>924560</wp:posOffset>
            </wp:positionV>
            <wp:extent cx="612775" cy="673100"/>
            <wp:effectExtent l="0" t="0" r="15875" b="12700"/>
            <wp:wrapNone/>
            <wp:docPr id="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
                    <pic:cNvPicPr>
                      <a:picLocks noChangeAspect="1"/>
                    </pic:cNvPicPr>
                  </pic:nvPicPr>
                  <pic:blipFill>
                    <a:blip r:embed="rId17"/>
                    <a:srcRect l="3538" r="4555"/>
                    <a:stretch>
                      <a:fillRect/>
                    </a:stretch>
                  </pic:blipFill>
                  <pic:spPr>
                    <a:xfrm>
                      <a:off x="0" y="0"/>
                      <a:ext cx="612775" cy="673100"/>
                    </a:xfrm>
                    <a:prstGeom prst="rect">
                      <a:avLst/>
                    </a:prstGeom>
                    <a:noFill/>
                    <a:ln>
                      <a:noFill/>
                    </a:ln>
                  </pic:spPr>
                </pic:pic>
              </a:graphicData>
            </a:graphic>
          </wp:anchor>
        </w:drawing>
      </w:r>
    </w:p>
    <w:p w14:paraId="44CA0353">
      <w:pPr>
        <w:pageBreakBefore w:val="0"/>
        <w:shd w:val="clear"/>
        <w:kinsoku/>
        <w:wordWrap/>
        <w:bidi w:val="0"/>
        <w:ind w:left="0" w:left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图3.1-</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w:t>
      </w:r>
      <w:r>
        <w:rPr>
          <w:rFonts w:hint="default" w:ascii="Times New Roman" w:hAnsi="Times New Roman" w:eastAsia="宋体" w:cs="Times New Roman"/>
          <w:b/>
          <w:bCs/>
          <w:color w:val="auto"/>
          <w:highlight w:val="none"/>
          <w:lang w:eastAsia="zh-CN"/>
        </w:rPr>
        <w:t>平面布置</w:t>
      </w:r>
    </w:p>
    <w:p w14:paraId="28E6387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444E34C0">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262" w:name="_Toc20281"/>
      <w:bookmarkStart w:id="263" w:name="_Toc46421090"/>
      <w:r>
        <w:rPr>
          <w:rFonts w:hint="default" w:ascii="Times New Roman" w:hAnsi="Times New Roman" w:eastAsia="宋体" w:cs="Times New Roman"/>
          <w:color w:val="auto"/>
          <w:highlight w:val="none"/>
        </w:rPr>
        <w:t>3.2项目污染影响因素分析</w:t>
      </w:r>
      <w:bookmarkEnd w:id="262"/>
      <w:bookmarkEnd w:id="263"/>
    </w:p>
    <w:p w14:paraId="64172C4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本项目主要进行</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饲养，不进行放牧作业，主要产污节点包括饲料加工、</w:t>
      </w:r>
      <w:r>
        <w:rPr>
          <w:rFonts w:hint="default" w:ascii="Times New Roman" w:hAnsi="Times New Roman" w:eastAsia="宋体" w:cs="Times New Roman"/>
          <w:color w:val="FF0000"/>
          <w:highlight w:val="none"/>
          <w:lang w:val="en-US" w:eastAsia="zh-CN"/>
        </w:rPr>
        <w:t>肉羊</w:t>
      </w:r>
      <w:r>
        <w:rPr>
          <w:rFonts w:hint="default" w:ascii="Times New Roman" w:hAnsi="Times New Roman" w:eastAsia="宋体" w:cs="Times New Roman"/>
          <w:color w:val="auto"/>
          <w:highlight w:val="none"/>
        </w:rPr>
        <w:t>饲养和</w:t>
      </w:r>
      <w:r>
        <w:rPr>
          <w:rFonts w:hint="default" w:ascii="Times New Roman" w:hAnsi="Times New Roman" w:eastAsia="宋体" w:cs="Times New Roman"/>
          <w:color w:val="auto"/>
          <w:highlight w:val="none"/>
          <w:lang w:eastAsia="zh-CN"/>
        </w:rPr>
        <w:t>粪污处置</w:t>
      </w:r>
      <w:r>
        <w:rPr>
          <w:rFonts w:hint="default" w:ascii="Times New Roman" w:hAnsi="Times New Roman" w:eastAsia="宋体" w:cs="Times New Roman"/>
          <w:color w:val="auto"/>
          <w:highlight w:val="none"/>
        </w:rPr>
        <w:t>过程，项目采用《内蒙古自治区畜禽养殖主要污染物减排项目建设技术指南（试行）（内环发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83号）》的鼓励模式⑤：（储存+土地消纳）</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规模化养殖场建设废弃物储存设施的方式处理养殖废物</w:t>
      </w:r>
      <w:r>
        <w:rPr>
          <w:rFonts w:hint="default" w:ascii="Times New Roman" w:hAnsi="Times New Roman" w:eastAsia="宋体" w:cs="Times New Roman"/>
          <w:color w:val="auto"/>
          <w:highlight w:val="none"/>
          <w:lang w:eastAsia="zh-CN"/>
        </w:rPr>
        <w:t>。</w:t>
      </w:r>
    </w:p>
    <w:p w14:paraId="0E23AA32">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lang w:val="en-US" w:eastAsia="zh-CN"/>
        </w:rPr>
        <w:object>
          <v:shape id="_x0000_i1029" o:spt="75" type="#_x0000_t75" style="height:163.65pt;width:391.9pt;" o:ole="t" filled="f" o:preferrelative="t" stroked="f" coordsize="21600,21600">
            <v:path/>
            <v:fill on="f" focussize="0,0"/>
            <v:stroke on="f"/>
            <v:imagedata r:id="rId30" o:title=""/>
            <o:lock v:ext="edit" aspectratio="t"/>
            <w10:wrap type="none"/>
            <w10:anchorlock/>
          </v:shape>
          <o:OLEObject Type="Embed" ProgID="Visio.Drawing.11" ShapeID="_x0000_i1029" DrawAspect="Content" ObjectID="_1468075729" r:id="rId29">
            <o:LockedField>false</o:LockedField>
          </o:OLEObject>
        </w:object>
      </w:r>
    </w:p>
    <w:p w14:paraId="6F199749">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图3.2-1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eastAsia="zh-CN"/>
        </w:rPr>
        <w:t>肉羊</w:t>
      </w:r>
      <w:r>
        <w:rPr>
          <w:rFonts w:hint="default" w:ascii="Times New Roman" w:hAnsi="Times New Roman" w:eastAsia="宋体" w:cs="Times New Roman"/>
          <w:b/>
          <w:bCs/>
          <w:color w:val="auto"/>
          <w:highlight w:val="none"/>
        </w:rPr>
        <w:t>养殖工艺流程及产污环节</w:t>
      </w:r>
    </w:p>
    <w:p w14:paraId="3B5B5546">
      <w:pPr>
        <w:pStyle w:val="6"/>
        <w:pageBreakBefore w:val="0"/>
        <w:shd w:val="clear"/>
        <w:kinsoku/>
        <w:wordWrap/>
        <w:overflowPunct/>
        <w:autoSpaceDN/>
        <w:bidi w:val="0"/>
        <w:adjustRightInd/>
        <w:snapToGrid w:val="0"/>
        <w:spacing w:before="0" w:after="0" w:line="360" w:lineRule="auto"/>
        <w:ind w:left="0" w:leftChars="0" w:right="0" w:rightChars="0"/>
        <w:textAlignment w:val="auto"/>
        <w:outlineLvl w:val="1"/>
        <w:rPr>
          <w:rStyle w:val="46"/>
          <w:rFonts w:hint="default" w:ascii="Times New Roman" w:hAnsi="Times New Roman" w:eastAsia="宋体" w:cs="Times New Roman"/>
          <w:color w:val="auto"/>
          <w:highlight w:val="none"/>
        </w:rPr>
      </w:pPr>
      <w:bookmarkStart w:id="264" w:name="_Toc27202"/>
      <w:bookmarkStart w:id="265" w:name="_Toc46421091"/>
      <w:r>
        <w:rPr>
          <w:rFonts w:hint="default" w:ascii="Times New Roman" w:hAnsi="Times New Roman" w:eastAsia="宋体" w:cs="Times New Roman"/>
          <w:color w:val="auto"/>
          <w:highlight w:val="none"/>
        </w:rPr>
        <w:t>3.2.1</w:t>
      </w:r>
      <w:bookmarkStart w:id="266" w:name="_Hlk44173656"/>
      <w:r>
        <w:rPr>
          <w:rFonts w:hint="default" w:ascii="Times New Roman" w:hAnsi="Times New Roman" w:eastAsia="宋体" w:cs="Times New Roman"/>
          <w:color w:val="auto"/>
          <w:highlight w:val="none"/>
        </w:rPr>
        <w:t>饲料</w:t>
      </w:r>
      <w:r>
        <w:rPr>
          <w:rFonts w:hint="default" w:ascii="Times New Roman" w:hAnsi="Times New Roman" w:eastAsia="宋体" w:cs="Times New Roman"/>
          <w:color w:val="auto"/>
          <w:highlight w:val="none"/>
          <w:lang w:eastAsia="zh-CN"/>
        </w:rPr>
        <w:t>拌和</w:t>
      </w:r>
      <w:r>
        <w:rPr>
          <w:rFonts w:hint="default" w:ascii="Times New Roman" w:hAnsi="Times New Roman" w:eastAsia="宋体" w:cs="Times New Roman"/>
          <w:color w:val="auto"/>
          <w:highlight w:val="none"/>
        </w:rPr>
        <w:t>工艺流程简述</w:t>
      </w:r>
      <w:bookmarkEnd w:id="264"/>
      <w:bookmarkEnd w:id="265"/>
    </w:p>
    <w:p w14:paraId="0BE8122A">
      <w:pPr>
        <w:pageBreakBefore w:val="0"/>
        <w:shd w:val="clear"/>
        <w:kinsoku/>
        <w:wordWrap/>
        <w:overflowPunct/>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267" w:name="_Toc17628"/>
      <w:bookmarkStart w:id="268" w:name="_Toc2292"/>
      <w:bookmarkStart w:id="269" w:name="_Toc25499"/>
      <w:bookmarkStart w:id="270" w:name="_Toc153"/>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）全混合日粮（TMR）搅拌工艺</w:t>
      </w:r>
      <w:bookmarkEnd w:id="267"/>
      <w:bookmarkEnd w:id="268"/>
      <w:bookmarkEnd w:id="269"/>
      <w:bookmarkEnd w:id="270"/>
    </w:p>
    <w:p w14:paraId="002A2F57">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全混合日粮（TMR）指根据</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营养需要，把饲料、草料、</w:t>
      </w:r>
      <w:r>
        <w:rPr>
          <w:rFonts w:hint="default" w:ascii="Times New Roman" w:hAnsi="Times New Roman" w:eastAsia="宋体" w:cs="Times New Roman"/>
          <w:color w:val="auto"/>
          <w:highlight w:val="none"/>
          <w:lang w:eastAsia="zh-CN"/>
        </w:rPr>
        <w:t>精料</w:t>
      </w:r>
      <w:r>
        <w:rPr>
          <w:rFonts w:hint="default" w:ascii="Times New Roman" w:hAnsi="Times New Roman" w:eastAsia="宋体" w:cs="Times New Roman"/>
          <w:color w:val="auto"/>
          <w:highlight w:val="none"/>
        </w:rPr>
        <w:t>等按合理的比例及要求，利用TMR搅拌机进行搅拌，使之成为混合均匀、营养平衡的日粮。日粮的配制需按照</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的不同阶段进行配制，搅拌时间为5-8分钟。</w:t>
      </w:r>
    </w:p>
    <w:p w14:paraId="5699414C">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产污环节：饲料、</w:t>
      </w:r>
      <w:r>
        <w:rPr>
          <w:rFonts w:hint="default" w:ascii="Times New Roman" w:hAnsi="Times New Roman" w:eastAsia="宋体" w:cs="Times New Roman"/>
          <w:color w:val="auto"/>
          <w:highlight w:val="none"/>
          <w:lang w:eastAsia="zh-CN"/>
        </w:rPr>
        <w:t>干</w:t>
      </w:r>
      <w:r>
        <w:rPr>
          <w:rFonts w:hint="default" w:ascii="Times New Roman" w:hAnsi="Times New Roman" w:eastAsia="宋体" w:cs="Times New Roman"/>
          <w:color w:val="auto"/>
          <w:highlight w:val="none"/>
        </w:rPr>
        <w:t>草料</w:t>
      </w:r>
      <w:r>
        <w:rPr>
          <w:rFonts w:hint="default" w:ascii="Times New Roman" w:hAnsi="Times New Roman" w:eastAsia="宋体" w:cs="Times New Roman"/>
          <w:color w:val="auto"/>
          <w:highlight w:val="none"/>
          <w:lang w:eastAsia="zh-CN"/>
        </w:rPr>
        <w:t>、精饲料</w:t>
      </w:r>
      <w:r>
        <w:rPr>
          <w:rFonts w:hint="default" w:ascii="Times New Roman" w:hAnsi="Times New Roman" w:eastAsia="宋体" w:cs="Times New Roman"/>
          <w:color w:val="auto"/>
          <w:highlight w:val="none"/>
        </w:rPr>
        <w:t>等饲料装卸、日粮饲料配制过程中产生的粉尘以及噪声。</w:t>
      </w:r>
    </w:p>
    <w:p w14:paraId="2A03CF79">
      <w:pPr>
        <w:pStyle w:val="6"/>
        <w:pageBreakBefore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71" w:name="_Toc21988"/>
      <w:bookmarkStart w:id="272" w:name="_Toc46421092"/>
      <w:r>
        <w:rPr>
          <w:rFonts w:hint="default" w:ascii="Times New Roman" w:hAnsi="Times New Roman" w:eastAsia="宋体" w:cs="Times New Roman"/>
          <w:color w:val="auto"/>
          <w:highlight w:val="none"/>
        </w:rPr>
        <w:t>3.2.2</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饲养流程简述</w:t>
      </w:r>
      <w:bookmarkEnd w:id="271"/>
      <w:bookmarkEnd w:id="272"/>
    </w:p>
    <w:p w14:paraId="7D83DC8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外购</w:t>
      </w:r>
      <w:r>
        <w:rPr>
          <w:rFonts w:hint="default" w:ascii="Times New Roman" w:hAnsi="Times New Roman" w:eastAsia="宋体" w:cs="Times New Roman"/>
          <w:color w:val="auto"/>
          <w:sz w:val="24"/>
          <w:szCs w:val="24"/>
          <w:highlight w:val="none"/>
          <w:lang w:val="en-US" w:eastAsia="zh-CN"/>
        </w:rPr>
        <w:t>肉羊</w:t>
      </w:r>
      <w:r>
        <w:rPr>
          <w:rFonts w:hint="default" w:ascii="Times New Roman" w:hAnsi="Times New Roman" w:eastAsia="宋体" w:cs="Times New Roman"/>
          <w:color w:val="auto"/>
          <w:sz w:val="24"/>
          <w:szCs w:val="24"/>
          <w:highlight w:val="none"/>
          <w:lang w:val="en-US" w:eastAsia="zh-CN"/>
        </w:rPr>
        <w:t>在场内进行养殖育肥，进场</w:t>
      </w:r>
      <w:r>
        <w:rPr>
          <w:rFonts w:hint="default" w:ascii="Times New Roman" w:hAnsi="Times New Roman" w:eastAsia="宋体" w:cs="Times New Roman"/>
          <w:color w:val="auto"/>
          <w:sz w:val="24"/>
          <w:szCs w:val="24"/>
          <w:highlight w:val="none"/>
          <w:lang w:val="en-US" w:eastAsia="zh-CN"/>
        </w:rPr>
        <w:t>肉羊</w:t>
      </w:r>
      <w:r>
        <w:rPr>
          <w:rFonts w:hint="default" w:ascii="Times New Roman" w:hAnsi="Times New Roman" w:eastAsia="宋体" w:cs="Times New Roman"/>
          <w:color w:val="auto"/>
          <w:sz w:val="24"/>
          <w:szCs w:val="24"/>
          <w:highlight w:val="none"/>
          <w:lang w:val="en-US" w:eastAsia="zh-CN"/>
        </w:rPr>
        <w:t>经过4个月育肥养殖后，出栏外售。</w:t>
      </w:r>
    </w:p>
    <w:p w14:paraId="7A6FEE13">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达到要求体重的羔羊进入羊圈，按要求饲养15～16周后，公羔体重达到</w:t>
      </w:r>
      <w:r>
        <w:rPr>
          <w:rFonts w:hint="default" w:ascii="Times New Roman" w:hAnsi="Times New Roman" w:eastAsia="宋体"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5千克时出栏、母羔达到</w:t>
      </w:r>
      <w:r>
        <w:rPr>
          <w:rFonts w:hint="default" w:ascii="Times New Roman" w:hAnsi="Times New Roman" w:eastAsia="宋体"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val="en-US" w:eastAsia="zh-CN" w:bidi="ar"/>
        </w:rPr>
        <w:t>0千克时出栏。</w:t>
      </w:r>
    </w:p>
    <w:p w14:paraId="1315784B">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a.饲养方式</w:t>
      </w:r>
    </w:p>
    <w:p w14:paraId="6F0504B0">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育肥期日粮以精料型为主，肥育前期，日喂3-4次，不限量饲喂，自由饮水。肥育后期，日喂2-3次，限量饲养，按随意采食量80%-85%饲喂，自由饮水。或适当降低育肥后期日粮能量和蛋白质水平，不限量饲喂。</w:t>
      </w:r>
    </w:p>
    <w:p w14:paraId="6BDB514D">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b.</w:t>
      </w:r>
      <w:r>
        <w:rPr>
          <w:rFonts w:hint="default" w:ascii="Times New Roman" w:hAnsi="Times New Roman" w:eastAsia="宋体" w:cs="Times New Roman"/>
          <w:color w:val="auto"/>
          <w:kern w:val="0"/>
          <w:sz w:val="24"/>
          <w:szCs w:val="24"/>
          <w:highlight w:val="none"/>
          <w:lang w:val="en-US" w:eastAsia="zh-CN" w:bidi="ar"/>
        </w:rPr>
        <w:t>肉羊</w:t>
      </w:r>
      <w:r>
        <w:rPr>
          <w:rFonts w:hint="default" w:ascii="Times New Roman" w:hAnsi="Times New Roman" w:eastAsia="宋体" w:cs="Times New Roman"/>
          <w:color w:val="auto"/>
          <w:kern w:val="0"/>
          <w:sz w:val="24"/>
          <w:szCs w:val="24"/>
          <w:highlight w:val="none"/>
          <w:lang w:val="en-US" w:eastAsia="zh-CN" w:bidi="ar"/>
        </w:rPr>
        <w:t>的管理</w:t>
      </w:r>
    </w:p>
    <w:p w14:paraId="3401E02A">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肉羊</w:t>
      </w:r>
      <w:r>
        <w:rPr>
          <w:rFonts w:hint="default" w:ascii="Times New Roman" w:hAnsi="Times New Roman" w:eastAsia="宋体" w:cs="Times New Roman"/>
          <w:color w:val="auto"/>
          <w:kern w:val="0"/>
          <w:sz w:val="24"/>
          <w:szCs w:val="24"/>
          <w:highlight w:val="none"/>
          <w:lang w:val="en-US" w:eastAsia="zh-CN" w:bidi="ar"/>
        </w:rPr>
        <w:t>入舍后，按羊的体重大小、体质强弱等相近的原则组群。组群后要保持稳定，减少互相干扰、争斗。组群后要及时进行调教，逐渐养成在固定位置排便、睡觉、进食和饮水的习惯。</w:t>
      </w:r>
      <w:r>
        <w:rPr>
          <w:rFonts w:hint="default" w:ascii="Times New Roman" w:hAnsi="Times New Roman" w:eastAsia="宋体" w:cs="Times New Roman"/>
          <w:color w:val="auto"/>
          <w:kern w:val="0"/>
          <w:sz w:val="24"/>
          <w:szCs w:val="24"/>
          <w:highlight w:val="none"/>
          <w:lang w:val="en-US" w:eastAsia="zh-CN" w:bidi="ar"/>
        </w:rPr>
        <w:t>肉羊</w:t>
      </w:r>
      <w:r>
        <w:rPr>
          <w:rFonts w:hint="default" w:ascii="Times New Roman" w:hAnsi="Times New Roman" w:eastAsia="宋体" w:cs="Times New Roman"/>
          <w:color w:val="auto"/>
          <w:kern w:val="0"/>
          <w:sz w:val="24"/>
          <w:szCs w:val="24"/>
          <w:highlight w:val="none"/>
          <w:lang w:val="en-US" w:eastAsia="zh-CN" w:bidi="ar"/>
        </w:rPr>
        <w:t>生长的适宜温度为15-23℃，气温过高采食量显著下降，降低增重速度或导致减重；气温过低，虽然采食量增加，但用于维持消耗能量增多，同样降低增重速度或导致减重。因此冬季要防寒保暖，采用节能保温羊圈；夏季要防暑降温，可采取喷雾凉水、通风、遮阳等方法，并供给充足清凉饮水。</w:t>
      </w:r>
    </w:p>
    <w:p w14:paraId="52C8B6F1">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c.适时出栏</w:t>
      </w:r>
    </w:p>
    <w:p w14:paraId="05D2648E">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肉羊</w:t>
      </w:r>
      <w:r>
        <w:rPr>
          <w:rFonts w:hint="default" w:ascii="Times New Roman" w:hAnsi="Times New Roman" w:eastAsia="宋体" w:cs="Times New Roman"/>
          <w:color w:val="auto"/>
          <w:kern w:val="0"/>
          <w:sz w:val="24"/>
          <w:szCs w:val="24"/>
          <w:highlight w:val="none"/>
          <w:lang w:val="en-US" w:eastAsia="zh-CN" w:bidi="ar"/>
        </w:rPr>
        <w:t>适宜出栏时间确定，一要考虑羊的胴体品质，二要适应消费者要求，三要考虑经济效益。羊的体重越大，增重成分的脂肪比例越高，胴体瘦肉率随之下降，每单位增重所消耗的饲料随之增加，从而增加养羊成本，降低养羊效益；但体重过小，产肉量少，脂肪少，水分多，肉质欠佳，每单位体重负担母羊成本增大，从而降低养羊效益。</w:t>
      </w:r>
    </w:p>
    <w:p w14:paraId="45C08B57">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综合上述因素，以公羔体重达到35千克出栏、母羔体重达到30千克时出栏为宜。每个阶段都有相应的饲养时间、饲料种类、小环境要求和管理规程等，要按科学的管理和饲养方式进行喂养，并根据实际生产中的情况进行各阶段时间、喂养方式的调节</w:t>
      </w:r>
      <w:r>
        <w:rPr>
          <w:rFonts w:hint="default" w:ascii="Times New Roman" w:hAnsi="Times New Roman" w:eastAsia="宋体" w:cs="Times New Roman"/>
          <w:color w:val="auto"/>
          <w:sz w:val="24"/>
          <w:szCs w:val="22"/>
          <w:highlight w:val="none"/>
          <w:lang w:val="en-US" w:eastAsia="zh-CN"/>
        </w:rPr>
        <w:t>。</w:t>
      </w:r>
    </w:p>
    <w:p w14:paraId="30B8A0AB">
      <w:pPr>
        <w:pStyle w:val="6"/>
        <w:pageBreakBefore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73" w:name="_Toc46421097"/>
      <w:bookmarkStart w:id="274" w:name="_Toc27385"/>
      <w:r>
        <w:rPr>
          <w:rFonts w:hint="default" w:ascii="Times New Roman" w:hAnsi="Times New Roman" w:eastAsia="宋体" w:cs="Times New Roman"/>
          <w:color w:val="auto"/>
          <w:highlight w:val="none"/>
        </w:rPr>
        <w:t>3.2.</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粪污清理工艺</w:t>
      </w:r>
      <w:bookmarkEnd w:id="273"/>
      <w:bookmarkEnd w:id="274"/>
    </w:p>
    <w:p w14:paraId="1DC04BC1">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本项目采用散栏式饲养结合运动场散养技术：</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可在不拴系、无固定床位的</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中自由采食、自由饮水和自由运动。项目</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采用干清粪工艺。粪污采用清粪车将</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内粪污铲出，后由清粪车运至</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储存并堆肥，</w:t>
      </w:r>
      <w:r>
        <w:rPr>
          <w:rFonts w:hint="default" w:ascii="Times New Roman" w:hAnsi="Times New Roman" w:eastAsia="宋体" w:cs="Times New Roman"/>
          <w:color w:val="auto"/>
          <w:highlight w:val="none"/>
          <w:lang w:eastAsia="zh-CN"/>
        </w:rPr>
        <w:t>作为有机肥外售还田综合利用。</w:t>
      </w:r>
    </w:p>
    <w:p w14:paraId="553D20F7">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干清粪工艺的优点是粪便一经产生便分流，可保持舍内清洁，无臭味，产生的污水量少，且浓度低，易于净化处理，最大限度地减少废水的产生和排放，降低废水的污染负荷。干粪直接分离，养分损失小，肥料价值高，经过适当堆制后，可制作出高效生物活性有机肥，是减少和降低畜禽生产给环境所造成严重污染的重要措施之一。</w:t>
      </w:r>
    </w:p>
    <w:p w14:paraId="3C15C8B6">
      <w:pPr>
        <w:pStyle w:val="6"/>
        <w:pageBreakBefore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75" w:name="_Toc4887"/>
      <w:r>
        <w:rPr>
          <w:rFonts w:hint="default" w:ascii="Times New Roman" w:hAnsi="Times New Roman" w:eastAsia="宋体" w:cs="Times New Roman"/>
          <w:color w:val="auto"/>
          <w:highlight w:val="none"/>
        </w:rPr>
        <w:t>3.2.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堆肥</w:t>
      </w:r>
      <w:r>
        <w:rPr>
          <w:rFonts w:hint="default" w:ascii="Times New Roman" w:hAnsi="Times New Roman" w:eastAsia="宋体" w:cs="Times New Roman"/>
          <w:color w:val="auto"/>
          <w:highlight w:val="none"/>
        </w:rPr>
        <w:t>工艺</w:t>
      </w:r>
      <w:bookmarkEnd w:id="275"/>
    </w:p>
    <w:p w14:paraId="6156D7D6">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根据《畜禽养殖业污染治理工程技术规范》（HJ497-2009），本项目</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的处理采用比较成熟的好氧堆肥发酵制作有机肥工艺。处理流程为预处理、发酵等工段。</w:t>
      </w:r>
    </w:p>
    <w:p w14:paraId="0AA14C24">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堆肥发酵工艺流程</w:t>
      </w:r>
    </w:p>
    <w:p w14:paraId="239451E9">
      <w:pPr>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根据《畜禽养殖业污染治理工程技术规范》（HJ497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2009），本项目</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的处理采用比较成熟的好氧堆肥发酵制作有机肥工艺。处理流程为预处理、发酵等工段。</w:t>
      </w:r>
    </w:p>
    <w:p w14:paraId="5FBDC542">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预处理</w:t>
      </w:r>
    </w:p>
    <w:p w14:paraId="7BB45908">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每天将</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清运来的</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用污罐车送到</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进行堆肥。</w:t>
      </w:r>
    </w:p>
    <w:p w14:paraId="72E45307">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②调整C/N比、水分</w:t>
      </w:r>
    </w:p>
    <w:p w14:paraId="38F91D40">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肉羊尿液与羊粪便混合在一起，并与羊圈清理出的垫土进行拌和，保持堆肥材料的含水率在20%～30%之间</w:t>
      </w:r>
      <w:r>
        <w:rPr>
          <w:rFonts w:hint="default" w:ascii="Times New Roman" w:hAnsi="Times New Roman" w:eastAsia="宋体" w:cs="Times New Roman"/>
          <w:color w:val="auto"/>
          <w:highlight w:val="none"/>
        </w:rPr>
        <w:t>。</w:t>
      </w:r>
    </w:p>
    <w:p w14:paraId="6863243E">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③通气状况</w:t>
      </w:r>
    </w:p>
    <w:p w14:paraId="084FF6C2">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好氧发酵是利用好氧微生物在有氧状态下对有机质进行的快速分解，因此，通气是保证好氧发酵顺利进行的重要因素之一。通风供氧起到三个作用，一是给微生物提供新陈代谢所需的氧气，二是带走部分水分，三是控制堆体温度。</w:t>
      </w:r>
    </w:p>
    <w:p w14:paraId="00A749A4">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④pH值</w:t>
      </w:r>
    </w:p>
    <w:p w14:paraId="08C996E9">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pH值</w:t>
      </w:r>
      <w:r>
        <w:rPr>
          <w:rFonts w:hint="default" w:ascii="Times New Roman" w:hAnsi="Times New Roman" w:eastAsia="宋体" w:cs="Times New Roman"/>
          <w:color w:val="auto"/>
          <w:highlight w:val="none"/>
          <w:lang w:eastAsia="zh-CN"/>
        </w:rPr>
        <w:t>是</w:t>
      </w:r>
      <w:r>
        <w:rPr>
          <w:rFonts w:hint="default" w:ascii="Times New Roman" w:hAnsi="Times New Roman" w:eastAsia="宋体" w:cs="Times New Roman"/>
          <w:color w:val="auto"/>
          <w:highlight w:val="none"/>
        </w:rPr>
        <w:t>影响微生物生长的重要因素之一，微生物的降解活动需要一个微酸性或中性的环境条件。pH值过高或过低都不利于微生物的繁殖和有机物的降解。在整个反应过程中，pH值随时间和温度的变化而变化，但一般情况下，堆肥的过程中有足够的缓冲作用，能使pH值稳定在可以保证好氧分解的酸碱度水平。</w:t>
      </w:r>
    </w:p>
    <w:p w14:paraId="670FA10B">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⑤好氧发酵</w:t>
      </w:r>
    </w:p>
    <w:p w14:paraId="3927E13C">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将调整好水分的粪污由铲车进行</w:t>
      </w:r>
      <w:r>
        <w:rPr>
          <w:rFonts w:hint="default" w:ascii="Times New Roman" w:hAnsi="Times New Roman" w:eastAsia="宋体" w:cs="Times New Roman"/>
          <w:color w:val="auto"/>
          <w:highlight w:val="none"/>
          <w:lang w:eastAsia="zh-CN"/>
        </w:rPr>
        <w:t>堆垛</w:t>
      </w:r>
      <w:r>
        <w:rPr>
          <w:rFonts w:hint="default" w:ascii="Times New Roman" w:hAnsi="Times New Roman" w:eastAsia="宋体" w:cs="Times New Roman"/>
          <w:color w:val="auto"/>
          <w:highlight w:val="none"/>
        </w:rPr>
        <w:t>，同时加入一定量的外源微生物“起爆剂”及减少氨释放和保氮的复合菌剂，以加快发酵速度和减少氨气的释放，促使有机质的降解和腐殖质的形成，达到《畜禽粪便无害化处理技术规范》（NY/T1168-2006）中的相关要求后，用于农田施用。好氧发酵分为三个阶段：升温阶段、高温阶段、降温或腐熟保温阶段。</w:t>
      </w:r>
    </w:p>
    <w:p w14:paraId="671297C4">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升温阶段</w:t>
      </w:r>
    </w:p>
    <w:p w14:paraId="326A0FD4">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发酵之前，物料中就存在着各种有害、无害的土著菌群，当C/N比、水分、温度适宜时，各类微生物菌群开始繁殖。当温度达到25℃以上时，中温性微生物菌群进入旺盛的繁殖期，开始活跃地对有机物进行分解和代谢，并产生大量的热。为了缩短堆肥时间，发酵初期在堆肥原料中加入“起爆剂”，即一些含碳量高的微生物易利用的物质，使微生物迅速</w:t>
      </w:r>
      <w:r>
        <w:rPr>
          <w:rFonts w:hint="default" w:ascii="Times New Roman" w:hAnsi="Times New Roman" w:eastAsia="宋体" w:cs="Times New Roman"/>
          <w:color w:val="auto"/>
          <w:highlight w:val="none"/>
          <w:lang w:eastAsia="zh-CN"/>
        </w:rPr>
        <w:t>增殖</w:t>
      </w:r>
      <w:r>
        <w:rPr>
          <w:rFonts w:hint="default" w:ascii="Times New Roman" w:hAnsi="Times New Roman" w:eastAsia="宋体" w:cs="Times New Roman"/>
          <w:color w:val="auto"/>
          <w:highlight w:val="none"/>
        </w:rPr>
        <w:t>，积累热量到高温阶段。</w:t>
      </w:r>
    </w:p>
    <w:p w14:paraId="256908E6">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高温阶段</w:t>
      </w:r>
    </w:p>
    <w:p w14:paraId="3814CAD0">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当发酵温度上升到45℃以上时，即进入高温阶段。除少部分残留下来的和新形成的水溶性有机物继续分解外，复杂的有机物如半纤维素、纤维素等开始强烈分解，同时腐殖质开始形成。此时嗜热真菌、好热放线菌、好热芽孢杆菌等微生物的活动占了优势。当温度升到70℃以上时，大量的嗜热菌类死亡或进入休眠状态，在各种酶的作用下，有机质仍在继续分解。随着微生物的死亡、酶的作用消退，热量逐渐降低，此时，</w:t>
      </w:r>
      <w:r>
        <w:rPr>
          <w:rFonts w:hint="default" w:ascii="Times New Roman" w:hAnsi="Times New Roman" w:eastAsia="宋体" w:cs="Times New Roman"/>
          <w:color w:val="auto"/>
          <w:highlight w:val="none"/>
          <w:lang w:eastAsia="zh-CN"/>
        </w:rPr>
        <w:t>休眠得好的</w:t>
      </w:r>
      <w:r>
        <w:rPr>
          <w:rFonts w:hint="default" w:ascii="Times New Roman" w:hAnsi="Times New Roman" w:eastAsia="宋体" w:cs="Times New Roman"/>
          <w:color w:val="auto"/>
          <w:highlight w:val="none"/>
        </w:rPr>
        <w:t>微生物又重新活跃起来并产生新的热量，经过反复几次保持的高温水平，腐殖质基本形成，堆肥物质初步形成。</w:t>
      </w:r>
    </w:p>
    <w:p w14:paraId="42652AFA">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降温阶段</w:t>
      </w:r>
    </w:p>
    <w:p w14:paraId="34965166">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经过7天的高温堆肥后，进入</w:t>
      </w:r>
      <w:r>
        <w:rPr>
          <w:rFonts w:hint="default" w:ascii="Times New Roman" w:hAnsi="Times New Roman" w:eastAsia="宋体" w:cs="Times New Roman"/>
          <w:color w:val="auto"/>
          <w:highlight w:val="none"/>
          <w:lang w:eastAsia="zh-CN"/>
        </w:rPr>
        <w:t>内源</w:t>
      </w:r>
      <w:r>
        <w:rPr>
          <w:rFonts w:hint="default" w:ascii="Times New Roman" w:hAnsi="Times New Roman" w:eastAsia="宋体" w:cs="Times New Roman"/>
          <w:color w:val="auto"/>
          <w:highlight w:val="none"/>
        </w:rPr>
        <w:t>呼吸后期，只剩下较难分解的有机物和新形成的腐殖质，发热量减少，温度开始下降，当下降到40℃以下，中温微生物重新开始繁殖，剩下的难分解的木质类及纤维素在真菌作用下，少量被降解。此时进入物料的腐熟阶段，将条形堆集中到一起形成大堆，进行厌氧发酵，该阶段需15天。在该阶段物料失重及产热量很小，木质素降解产物与死亡微生物中的蛋白质结合形成对植物生长极其重要的腐植酸，经过该阶段后堆肥完成</w:t>
      </w:r>
      <w:r>
        <w:rPr>
          <w:rFonts w:hint="default" w:ascii="Times New Roman" w:hAnsi="Times New Roman" w:eastAsia="宋体" w:cs="Times New Roman"/>
          <w:color w:val="auto"/>
          <w:highlight w:val="none"/>
          <w:lang w:eastAsia="zh-CN"/>
        </w:rPr>
        <w:t>。</w:t>
      </w:r>
    </w:p>
    <w:p w14:paraId="712EB0EF">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根据《冬季低温环境下羊粪便堆肥参数动态研究》（胡华锋，程璞，刘卫东，黄安群，程学来）（河南牧业工程高等专科学院学报</w:t>
      </w:r>
      <w:r>
        <w:rPr>
          <w:rFonts w:hint="default" w:ascii="Times New Roman" w:hAnsi="Times New Roman" w:eastAsia="宋体" w:cs="Times New Roman"/>
          <w:color w:val="auto"/>
          <w:highlight w:val="none"/>
          <w:lang w:val="en-US" w:eastAsia="zh-CN"/>
        </w:rPr>
        <w:t>第34卷第3期），冬季室外条垛式堆肥过程中，外界环境对堆肥内部温度影响比较大，需要对堆肥进行适当的保温措施和减少堆肥的翻堆频率。因此，本项目冬季采取覆盖废旧塑料薄膜保温和减少堆肥的翻堆频率的措施保持堆肥温度。</w:t>
      </w:r>
    </w:p>
    <w:p w14:paraId="76D0DEF0">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羊粪便堆肥工艺参照《畜禽粪便无害化处理技术规范》（GB/T36195-2018）进行无害化处理，采取静态垛式（好氧堆肥技术）工艺，其堆体温度维持50℃以上的时间不少于7d，或45℃以上不少于14d。本项目羊粪便发酵60天后的羊粪便</w:t>
      </w:r>
      <w:r>
        <w:rPr>
          <w:rFonts w:hint="default" w:ascii="Times New Roman" w:hAnsi="Times New Roman" w:eastAsia="宋体" w:cs="Times New Roman"/>
          <w:color w:val="auto"/>
          <w:kern w:val="0"/>
          <w:sz w:val="24"/>
          <w:szCs w:val="24"/>
          <w:highlight w:val="none"/>
          <w:lang w:val="en-US" w:eastAsia="zh-CN"/>
        </w:rPr>
        <w:t>作为有机肥外售还田综合利用</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经过堆肥处理后</w:t>
      </w:r>
      <w:r>
        <w:rPr>
          <w:rFonts w:hint="default" w:ascii="Times New Roman" w:hAnsi="Times New Roman" w:eastAsia="宋体" w:cs="Times New Roman"/>
          <w:color w:val="auto"/>
          <w:kern w:val="0"/>
          <w:sz w:val="24"/>
          <w:szCs w:val="24"/>
          <w:highlight w:val="none"/>
          <w:lang w:val="en-US" w:eastAsia="zh-CN"/>
        </w:rPr>
        <w:t>有机肥执行表3.2-1</w:t>
      </w:r>
      <w:r>
        <w:rPr>
          <w:rFonts w:hint="default" w:ascii="Times New Roman" w:hAnsi="Times New Roman" w:eastAsia="宋体" w:cs="Times New Roman"/>
          <w:color w:val="auto"/>
          <w:highlight w:val="none"/>
          <w:lang w:val="en-US" w:eastAsia="zh-CN"/>
        </w:rPr>
        <w:t>。</w:t>
      </w:r>
    </w:p>
    <w:p w14:paraId="7D4F8E0B">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p>
    <w:p w14:paraId="74FF0125">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p>
    <w:p w14:paraId="6DB4ED9A">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p>
    <w:p w14:paraId="098BE10B">
      <w:pPr>
        <w:pageBreakBefore w:val="0"/>
        <w:shd w:val="clear"/>
        <w:kinsoku/>
        <w:wordWrap/>
        <w:overflowPunct/>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rPr>
      </w:pPr>
    </w:p>
    <w:p w14:paraId="04607DF9">
      <w:pPr>
        <w:pageBreakBefore w:val="0"/>
        <w:shd w:val="clear"/>
        <w:kinsoku/>
        <w:wordWrap/>
        <w:bidi w:val="0"/>
        <w:ind w:left="0" w:lef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mc:AlternateContent>
          <mc:Choice Requires="wpg">
            <w:drawing>
              <wp:anchor distT="0" distB="0" distL="114300" distR="114300" simplePos="0" relativeHeight="251661312" behindDoc="0" locked="0" layoutInCell="1" allowOverlap="1">
                <wp:simplePos x="0" y="0"/>
                <wp:positionH relativeFrom="column">
                  <wp:posOffset>220980</wp:posOffset>
                </wp:positionH>
                <wp:positionV relativeFrom="paragraph">
                  <wp:posOffset>109220</wp:posOffset>
                </wp:positionV>
                <wp:extent cx="4819015" cy="437515"/>
                <wp:effectExtent l="0" t="0" r="0" b="0"/>
                <wp:wrapNone/>
                <wp:docPr id="61" name="组合 324"/>
                <wp:cNvGraphicFramePr/>
                <a:graphic xmlns:a="http://schemas.openxmlformats.org/drawingml/2006/main">
                  <a:graphicData uri="http://schemas.microsoft.com/office/word/2010/wordprocessingGroup">
                    <wpg:wgp>
                      <wpg:cNvGrpSpPr/>
                      <wpg:grpSpPr>
                        <a:xfrm>
                          <a:off x="0" y="0"/>
                          <a:ext cx="4819015" cy="437515"/>
                          <a:chOff x="855" y="3975"/>
                          <a:chExt cx="7589" cy="689"/>
                        </a:xfrm>
                      </wpg:grpSpPr>
                      <wps:wsp>
                        <wps:cNvPr id="52" name="文本框 2"/>
                        <wps:cNvSpPr txBox="1"/>
                        <wps:spPr>
                          <a:xfrm>
                            <a:off x="3120" y="4110"/>
                            <a:ext cx="119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3CFD59">
                              <w:pPr>
                                <w:spacing w:line="240" w:lineRule="auto"/>
                                <w:ind w:firstLine="0" w:firstLineChars="0"/>
                                <w:jc w:val="center"/>
                                <w:rPr>
                                  <w:sz w:val="21"/>
                                  <w:szCs w:val="21"/>
                                </w:rPr>
                              </w:pPr>
                              <w:r>
                                <w:rPr>
                                  <w:rFonts w:hint="eastAsia"/>
                                  <w:sz w:val="21"/>
                                  <w:szCs w:val="21"/>
                                </w:rPr>
                                <w:t>堆肥</w:t>
                              </w:r>
                            </w:p>
                          </w:txbxContent>
                        </wps:txbx>
                        <wps:bodyPr upright="1">
                          <a:spAutoFit/>
                        </wps:bodyPr>
                      </wps:wsp>
                      <wps:wsp>
                        <wps:cNvPr id="53" name="自选图形 326"/>
                        <wps:cNvCnPr/>
                        <wps:spPr>
                          <a:xfrm>
                            <a:off x="4334" y="4290"/>
                            <a:ext cx="1036" cy="0"/>
                          </a:xfrm>
                          <a:prstGeom prst="straightConnector1">
                            <a:avLst/>
                          </a:prstGeom>
                          <a:ln w="9525" cap="flat" cmpd="sng">
                            <a:solidFill>
                              <a:srgbClr val="000000"/>
                            </a:solidFill>
                            <a:prstDash val="solid"/>
                            <a:headEnd type="none" w="med" len="med"/>
                            <a:tailEnd type="triangle" w="med" len="med"/>
                          </a:ln>
                        </wps:spPr>
                        <wps:bodyPr/>
                      </wps:wsp>
                      <wps:wsp>
                        <wps:cNvPr id="54" name="文本框 2"/>
                        <wps:cNvSpPr txBox="1"/>
                        <wps:spPr>
                          <a:xfrm>
                            <a:off x="5370" y="4110"/>
                            <a:ext cx="119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1D134C">
                              <w:pPr>
                                <w:spacing w:line="240" w:lineRule="auto"/>
                                <w:ind w:firstLine="0" w:firstLineChars="0"/>
                                <w:jc w:val="center"/>
                                <w:rPr>
                                  <w:sz w:val="21"/>
                                  <w:szCs w:val="21"/>
                                </w:rPr>
                              </w:pPr>
                              <w:r>
                                <w:rPr>
                                  <w:rFonts w:hint="eastAsia"/>
                                  <w:sz w:val="21"/>
                                  <w:szCs w:val="21"/>
                                </w:rPr>
                                <w:t>腐熟</w:t>
                              </w:r>
                            </w:p>
                          </w:txbxContent>
                        </wps:txbx>
                        <wps:bodyPr upright="1">
                          <a:spAutoFit/>
                        </wps:bodyPr>
                      </wps:wsp>
                      <wps:wsp>
                        <wps:cNvPr id="55" name="自选图形 328"/>
                        <wps:cNvCnPr/>
                        <wps:spPr>
                          <a:xfrm>
                            <a:off x="6554" y="4290"/>
                            <a:ext cx="1036" cy="0"/>
                          </a:xfrm>
                          <a:prstGeom prst="straightConnector1">
                            <a:avLst/>
                          </a:prstGeom>
                          <a:ln w="9525" cap="flat" cmpd="sng">
                            <a:solidFill>
                              <a:srgbClr val="000000"/>
                            </a:solidFill>
                            <a:prstDash val="solid"/>
                            <a:headEnd type="none" w="med" len="med"/>
                            <a:tailEnd type="triangle" w="med" len="med"/>
                          </a:ln>
                        </wps:spPr>
                        <wps:bodyPr/>
                      </wps:wsp>
                      <wps:wsp>
                        <wps:cNvPr id="56" name="文本框 2"/>
                        <wps:cNvSpPr txBox="1"/>
                        <wps:spPr>
                          <a:xfrm>
                            <a:off x="7245" y="4095"/>
                            <a:ext cx="1199" cy="416"/>
                          </a:xfrm>
                          <a:prstGeom prst="rect">
                            <a:avLst/>
                          </a:prstGeom>
                          <a:noFill/>
                          <a:ln>
                            <a:noFill/>
                          </a:ln>
                        </wps:spPr>
                        <wps:txbx>
                          <w:txbxContent>
                            <w:p w14:paraId="447EFCF3">
                              <w:pPr>
                                <w:spacing w:line="240" w:lineRule="auto"/>
                                <w:ind w:firstLine="0" w:firstLineChars="0"/>
                                <w:jc w:val="center"/>
                                <w:rPr>
                                  <w:sz w:val="21"/>
                                  <w:szCs w:val="21"/>
                                </w:rPr>
                              </w:pPr>
                              <w:r>
                                <w:rPr>
                                  <w:rFonts w:hint="eastAsia"/>
                                  <w:sz w:val="21"/>
                                  <w:szCs w:val="21"/>
                                </w:rPr>
                                <w:t>还田</w:t>
                              </w:r>
                            </w:p>
                          </w:txbxContent>
                        </wps:txbx>
                        <wps:bodyPr upright="1">
                          <a:spAutoFit/>
                        </wps:bodyPr>
                      </wps:wsp>
                      <wps:wsp>
                        <wps:cNvPr id="57" name="自选图形 330"/>
                        <wps:cNvCnPr/>
                        <wps:spPr>
                          <a:xfrm>
                            <a:off x="2069" y="4290"/>
                            <a:ext cx="1036" cy="0"/>
                          </a:xfrm>
                          <a:prstGeom prst="straightConnector1">
                            <a:avLst/>
                          </a:prstGeom>
                          <a:ln w="9525" cap="flat" cmpd="sng">
                            <a:solidFill>
                              <a:srgbClr val="000000"/>
                            </a:solidFill>
                            <a:prstDash val="solid"/>
                            <a:headEnd type="none" w="med" len="med"/>
                            <a:tailEnd type="triangle" w="med" len="med"/>
                          </a:ln>
                        </wps:spPr>
                        <wps:bodyPr/>
                      </wps:wsp>
                      <wps:wsp>
                        <wps:cNvPr id="58" name="文本框 2"/>
                        <wps:cNvSpPr txBox="1"/>
                        <wps:spPr>
                          <a:xfrm>
                            <a:off x="855" y="3975"/>
                            <a:ext cx="1417" cy="689"/>
                          </a:xfrm>
                          <a:prstGeom prst="rect">
                            <a:avLst/>
                          </a:prstGeom>
                          <a:noFill/>
                          <a:ln>
                            <a:noFill/>
                          </a:ln>
                        </wps:spPr>
                        <wps:txbx>
                          <w:txbxContent>
                            <w:p w14:paraId="1DB97630">
                              <w:pPr>
                                <w:spacing w:line="240" w:lineRule="auto"/>
                                <w:ind w:firstLine="0" w:firstLineChars="0"/>
                                <w:jc w:val="center"/>
                                <w:rPr>
                                  <w:sz w:val="21"/>
                                  <w:szCs w:val="21"/>
                                </w:rPr>
                              </w:pPr>
                              <w:r>
                                <w:rPr>
                                  <w:rFonts w:hint="eastAsia"/>
                                  <w:sz w:val="21"/>
                                  <w:szCs w:val="21"/>
                                  <w:lang w:eastAsia="zh-CN"/>
                                </w:rPr>
                                <w:t>羊粪便</w:t>
                              </w:r>
                            </w:p>
                          </w:txbxContent>
                        </wps:txbx>
                        <wps:bodyPr upright="1"/>
                      </wps:wsp>
                    </wpg:wgp>
                  </a:graphicData>
                </a:graphic>
              </wp:anchor>
            </w:drawing>
          </mc:Choice>
          <mc:Fallback>
            <w:pict>
              <v:group id="组合 324" o:spid="_x0000_s1026" o:spt="203" style="position:absolute;left:0pt;margin-left:17.4pt;margin-top:8.6pt;height:34.45pt;width:379.45pt;z-index:251661312;mso-width-relative:page;mso-height-relative:page;" coordorigin="855,3975" coordsize="7589,689" o:gfxdata="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CHHTAnZAAAACAEAAA8A&#10;AAAAAAAAAQAgAAAAIgAAAGRycy9kb3ducmV2LnhtbFBLAQIUABQAAAAIAIdO4kCAkjslpQMAAB0R&#10;AAAOAAAAAAAAAAEAIAAAACgBAABkcnMvZTJvRG9jLnhtbFBLBQYAAAAABgAGAFkBAAA/BwAAAAA=&#10;">
                <o:lock v:ext="edit" aspectratio="f"/>
                <v:shape id="文本框 2" o:spid="_x0000_s1026" o:spt="202" type="#_x0000_t202" style="position:absolute;left:3120;top:4110;height:431;width:1199;" fillcolor="#FFFFFF" filled="t" stroked="t" coordsize="21600,21600" o:gfxdata="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Ojl7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style="mso-fit-shape-to-text:t;">
                    <w:txbxContent>
                      <w:p w14:paraId="343CFD59">
                        <w:pPr>
                          <w:spacing w:line="240" w:lineRule="auto"/>
                          <w:ind w:firstLine="0" w:firstLineChars="0"/>
                          <w:jc w:val="center"/>
                          <w:rPr>
                            <w:sz w:val="21"/>
                            <w:szCs w:val="21"/>
                          </w:rPr>
                        </w:pPr>
                        <w:r>
                          <w:rPr>
                            <w:rFonts w:hint="eastAsia"/>
                            <w:sz w:val="21"/>
                            <w:szCs w:val="21"/>
                          </w:rPr>
                          <w:t>堆肥</w:t>
                        </w:r>
                      </w:p>
                    </w:txbxContent>
                  </v:textbox>
                </v:shape>
                <v:shape id="自选图形 326" o:spid="_x0000_s1026" o:spt="32" type="#_x0000_t32" style="position:absolute;left:4334;top:4290;height:0;width:1036;" filled="f" stroked="t" coordsize="21600,21600" o:gfxdata="UEsDBAoAAAAAAIdO4kAAAAAAAAAAAAAAAAAEAAAAZHJzL1BLAwQUAAAACACHTuJAeTTOTb4AAADb&#10;AAAADwAAAGRycy9kb3ducmV2LnhtbEWPW2sCMRSE3wv9D+EUfNOsShe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TOT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5370;top:4110;height:431;width:1199;" fillcolor="#FFFFFF" filled="t" stroked="t" coordsize="21600,21600" o:gfxdata="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p8El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321D134C">
                        <w:pPr>
                          <w:spacing w:line="240" w:lineRule="auto"/>
                          <w:ind w:firstLine="0" w:firstLineChars="0"/>
                          <w:jc w:val="center"/>
                          <w:rPr>
                            <w:sz w:val="21"/>
                            <w:szCs w:val="21"/>
                          </w:rPr>
                        </w:pPr>
                        <w:r>
                          <w:rPr>
                            <w:rFonts w:hint="eastAsia"/>
                            <w:sz w:val="21"/>
                            <w:szCs w:val="21"/>
                          </w:rPr>
                          <w:t>腐熟</w:t>
                        </w:r>
                      </w:p>
                    </w:txbxContent>
                  </v:textbox>
                </v:shape>
                <v:shape id="自选图形 328" o:spid="_x0000_s1026" o:spt="32" type="#_x0000_t32" style="position:absolute;left:6554;top:4290;height:0;width:1036;" filled="f" stroked="t" coordsize="21600,21600" o:gfxdata="UEsDBAoAAAAAAIdO4kAAAAAAAAAAAAAAAAAEAAAAZHJzL1BLAwQUAAAACACHTuJAmZHzor4AAADb&#10;AAAADwAAAGRycy9kb3ducmV2LnhtbEWPT2sCMRTE7wW/Q3iCt5pVc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Hz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7245;top:4095;height:416;width:1199;" filled="f" stroked="f" coordsize="21600,21600" o:gfxdata="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3+wG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447EFCF3">
                        <w:pPr>
                          <w:spacing w:line="240" w:lineRule="auto"/>
                          <w:ind w:firstLine="0" w:firstLineChars="0"/>
                          <w:jc w:val="center"/>
                          <w:rPr>
                            <w:sz w:val="21"/>
                            <w:szCs w:val="21"/>
                          </w:rPr>
                        </w:pPr>
                        <w:r>
                          <w:rPr>
                            <w:rFonts w:hint="eastAsia"/>
                            <w:sz w:val="21"/>
                            <w:szCs w:val="21"/>
                          </w:rPr>
                          <w:t>还田</w:t>
                        </w:r>
                      </w:p>
                    </w:txbxContent>
                  </v:textbox>
                </v:shape>
                <v:shape id="自选图形 330" o:spid="_x0000_s1026" o:spt="32" type="#_x0000_t32" style="position:absolute;left:2069;top:4290;height:0;width:1036;" filled="f" stroked="t" coordsize="21600,21600" o:gfxdata="UEsDBAoAAAAAAIdO4kAAAAAAAAAAAAAAAAAEAAAAZHJzL1BLAwQUAAAACACHTuJABg/ITr4AAADb&#10;AAAADwAAAGRycy9kb3ducmV2LnhtbEWPW2sCMRSE3wv9D+EU+qZZha5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IT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855;top:3975;height:689;width:1417;"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1DB97630">
                        <w:pPr>
                          <w:spacing w:line="240" w:lineRule="auto"/>
                          <w:ind w:firstLine="0" w:firstLineChars="0"/>
                          <w:jc w:val="center"/>
                          <w:rPr>
                            <w:sz w:val="21"/>
                            <w:szCs w:val="21"/>
                          </w:rPr>
                        </w:pPr>
                        <w:r>
                          <w:rPr>
                            <w:rFonts w:hint="eastAsia"/>
                            <w:sz w:val="21"/>
                            <w:szCs w:val="21"/>
                            <w:lang w:eastAsia="zh-CN"/>
                          </w:rPr>
                          <w:t>羊粪便</w:t>
                        </w:r>
                      </w:p>
                    </w:txbxContent>
                  </v:textbox>
                </v:shape>
              </v:group>
            </w:pict>
          </mc:Fallback>
        </mc:AlternateContent>
      </w:r>
    </w:p>
    <w:p w14:paraId="1CFF1236">
      <w:pPr>
        <w:pageBreakBefore w:val="0"/>
        <w:shd w:val="clear"/>
        <w:kinsoku/>
        <w:wordWrap/>
        <w:overflowPunct/>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rPr>
      </w:pPr>
    </w:p>
    <w:p w14:paraId="611D877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p>
    <w:p w14:paraId="363A994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图3.2-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粪便好氧堆肥工艺流程示意图</w:t>
      </w:r>
    </w:p>
    <w:p w14:paraId="639A5D05">
      <w:pPr>
        <w:pStyle w:val="8"/>
        <w:keepNext/>
        <w:keepLines/>
        <w:pageBreakBefore w:val="0"/>
        <w:widowControl w:val="0"/>
        <w:shd w:val="clear"/>
        <w:kinsoku/>
        <w:wordWrap/>
        <w:overflowPunct/>
        <w:topLinePunct/>
        <w:autoSpaceDE w:val="0"/>
        <w:autoSpaceDN/>
        <w:bidi w:val="0"/>
        <w:adjustRightInd/>
        <w:spacing w:line="360" w:lineRule="auto"/>
        <w:ind w:left="0" w:leftChars="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3.2-1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粪污</w:t>
      </w:r>
      <w:r>
        <w:rPr>
          <w:rFonts w:hint="default" w:ascii="Times New Roman" w:hAnsi="Times New Roman" w:eastAsia="宋体" w:cs="Times New Roman"/>
          <w:color w:val="auto"/>
          <w:sz w:val="24"/>
          <w:szCs w:val="24"/>
          <w:highlight w:val="none"/>
          <w:lang w:val="en-US" w:eastAsia="zh-CN"/>
        </w:rPr>
        <w:t>无害化处理后卫生学要求</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4"/>
        <w:gridCol w:w="2547"/>
        <w:gridCol w:w="1909"/>
        <w:gridCol w:w="2547"/>
      </w:tblGrid>
      <w:tr w14:paraId="6C12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476A0385">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1134" w:type="dxa"/>
            <w:vAlign w:val="center"/>
          </w:tcPr>
          <w:p w14:paraId="20968594">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执行标准名称</w:t>
            </w:r>
          </w:p>
        </w:tc>
        <w:tc>
          <w:tcPr>
            <w:tcW w:w="850" w:type="dxa"/>
            <w:vAlign w:val="center"/>
          </w:tcPr>
          <w:p w14:paraId="68D343F3">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项目</w:t>
            </w:r>
          </w:p>
        </w:tc>
        <w:tc>
          <w:tcPr>
            <w:tcW w:w="1134" w:type="dxa"/>
            <w:vAlign w:val="center"/>
          </w:tcPr>
          <w:p w14:paraId="7F292075">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baseline"/>
                <w:lang w:val="en-US" w:eastAsia="zh-CN"/>
              </w:rPr>
              <w:t>卫生学要求</w:t>
            </w:r>
          </w:p>
        </w:tc>
      </w:tr>
      <w:tr w14:paraId="1834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vAlign w:val="center"/>
          </w:tcPr>
          <w:p w14:paraId="1262776A">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vertAlign w:val="baseline"/>
                <w:lang w:val="en-US" w:eastAsia="zh-CN"/>
              </w:rPr>
              <w:t>腐熟发酵羊粪便</w:t>
            </w:r>
          </w:p>
        </w:tc>
        <w:tc>
          <w:tcPr>
            <w:tcW w:w="1134" w:type="dxa"/>
            <w:vMerge w:val="restart"/>
            <w:vAlign w:val="center"/>
          </w:tcPr>
          <w:p w14:paraId="3918411B">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《畜禽粪便无害化处理技术规范》（GB/T36195-2018）表1</w:t>
            </w:r>
            <w:r>
              <w:rPr>
                <w:rFonts w:hint="default" w:ascii="Times New Roman" w:hAnsi="Times New Roman" w:eastAsia="宋体" w:cs="Times New Roman"/>
                <w:color w:val="auto"/>
                <w:sz w:val="21"/>
                <w:szCs w:val="21"/>
                <w:highlight w:val="none"/>
                <w:lang w:eastAsia="zh-CN"/>
              </w:rPr>
              <w:t>固体畜禽粪污</w:t>
            </w:r>
            <w:r>
              <w:rPr>
                <w:rFonts w:hint="default" w:ascii="Times New Roman" w:hAnsi="Times New Roman" w:eastAsia="宋体" w:cs="Times New Roman"/>
                <w:color w:val="auto"/>
                <w:sz w:val="21"/>
                <w:szCs w:val="21"/>
                <w:highlight w:val="none"/>
              </w:rPr>
              <w:t>便堆肥处理卫生学要求</w:t>
            </w:r>
          </w:p>
        </w:tc>
        <w:tc>
          <w:tcPr>
            <w:tcW w:w="850" w:type="dxa"/>
            <w:vAlign w:val="center"/>
          </w:tcPr>
          <w:p w14:paraId="306C5C78">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蛔虫卵</w:t>
            </w:r>
          </w:p>
        </w:tc>
        <w:tc>
          <w:tcPr>
            <w:tcW w:w="1134" w:type="dxa"/>
            <w:vAlign w:val="center"/>
          </w:tcPr>
          <w:p w14:paraId="5DCE6DDE">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死亡率≥95%</w:t>
            </w:r>
          </w:p>
        </w:tc>
      </w:tr>
      <w:tr w14:paraId="70CA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2F59BED3">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134" w:type="dxa"/>
            <w:vMerge w:val="continue"/>
            <w:vAlign w:val="center"/>
          </w:tcPr>
          <w:p w14:paraId="66856DE1">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850" w:type="dxa"/>
            <w:vAlign w:val="center"/>
          </w:tcPr>
          <w:p w14:paraId="6543161D">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粪大肠菌群数</w:t>
            </w:r>
          </w:p>
        </w:tc>
        <w:tc>
          <w:tcPr>
            <w:tcW w:w="1134" w:type="dxa"/>
            <w:vAlign w:val="center"/>
          </w:tcPr>
          <w:p w14:paraId="0CF45A8C">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vertAlign w:val="superscript"/>
              </w:rPr>
              <w:t>5</w:t>
            </w:r>
            <w:r>
              <w:rPr>
                <w:rFonts w:hint="default" w:ascii="Times New Roman" w:hAnsi="Times New Roman" w:eastAsia="宋体" w:cs="Times New Roman"/>
                <w:color w:val="auto"/>
                <w:sz w:val="21"/>
                <w:szCs w:val="21"/>
                <w:highlight w:val="none"/>
              </w:rPr>
              <w:t>个/kg</w:t>
            </w:r>
          </w:p>
        </w:tc>
      </w:tr>
      <w:tr w14:paraId="1B8B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0375B182">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134" w:type="dxa"/>
            <w:vMerge w:val="continue"/>
            <w:vAlign w:val="center"/>
          </w:tcPr>
          <w:p w14:paraId="0B1719A1">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850" w:type="dxa"/>
            <w:vAlign w:val="center"/>
          </w:tcPr>
          <w:p w14:paraId="686E3F26">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苍蝇</w:t>
            </w:r>
          </w:p>
        </w:tc>
        <w:tc>
          <w:tcPr>
            <w:tcW w:w="1134" w:type="dxa"/>
            <w:vAlign w:val="center"/>
          </w:tcPr>
          <w:p w14:paraId="5666FD2B">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堆体周围不应有活的蛆、蛹或新羽化的成蝇</w:t>
            </w:r>
          </w:p>
        </w:tc>
      </w:tr>
      <w:tr w14:paraId="7980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409038E9">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restart"/>
            <w:vAlign w:val="center"/>
          </w:tcPr>
          <w:p w14:paraId="253F911A">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baseline"/>
                <w:lang w:val="en-US" w:eastAsia="zh-CN"/>
              </w:rPr>
              <w:t>《畜禽粪便还田技术规范》（GB/T25246-2010）表1堆肥的卫生学要求</w:t>
            </w:r>
          </w:p>
        </w:tc>
        <w:tc>
          <w:tcPr>
            <w:tcW w:w="850" w:type="dxa"/>
            <w:vAlign w:val="center"/>
          </w:tcPr>
          <w:p w14:paraId="57D2D222">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rPr>
              <w:t>蛔虫卵</w:t>
            </w:r>
          </w:p>
        </w:tc>
        <w:tc>
          <w:tcPr>
            <w:tcW w:w="1134" w:type="dxa"/>
            <w:vAlign w:val="center"/>
          </w:tcPr>
          <w:p w14:paraId="0E822571">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100%</w:t>
            </w:r>
          </w:p>
        </w:tc>
      </w:tr>
      <w:tr w14:paraId="1150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71C95398">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continue"/>
            <w:vAlign w:val="center"/>
          </w:tcPr>
          <w:p w14:paraId="0F25AE40">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50" w:type="dxa"/>
            <w:vAlign w:val="center"/>
          </w:tcPr>
          <w:p w14:paraId="6709B781">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rPr>
              <w:t>粪大肠菌群数</w:t>
            </w:r>
          </w:p>
        </w:tc>
        <w:tc>
          <w:tcPr>
            <w:tcW w:w="1134" w:type="dxa"/>
            <w:vAlign w:val="center"/>
          </w:tcPr>
          <w:p w14:paraId="70645120">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vertAlign w:val="superscript"/>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vertAlign w:val="superscript"/>
                <w:lang w:val="en-US" w:eastAsia="zh-CN"/>
              </w:rPr>
              <w:t>-2</w:t>
            </w:r>
          </w:p>
        </w:tc>
      </w:tr>
      <w:tr w14:paraId="061C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vAlign w:val="center"/>
          </w:tcPr>
          <w:p w14:paraId="3943D69B">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continue"/>
            <w:vAlign w:val="center"/>
          </w:tcPr>
          <w:p w14:paraId="3B206A9B">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50" w:type="dxa"/>
            <w:vAlign w:val="center"/>
          </w:tcPr>
          <w:p w14:paraId="6DD73C82">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zh-CN" w:eastAsia="zh-CN" w:bidi="zh-CN"/>
              </w:rPr>
            </w:pPr>
            <w:r>
              <w:rPr>
                <w:rFonts w:hint="default" w:ascii="Times New Roman" w:hAnsi="Times New Roman" w:eastAsia="宋体" w:cs="Times New Roman"/>
                <w:color w:val="auto"/>
                <w:sz w:val="21"/>
                <w:szCs w:val="21"/>
                <w:highlight w:val="none"/>
              </w:rPr>
              <w:t>苍蝇</w:t>
            </w:r>
          </w:p>
        </w:tc>
        <w:tc>
          <w:tcPr>
            <w:tcW w:w="1134" w:type="dxa"/>
            <w:vAlign w:val="center"/>
          </w:tcPr>
          <w:p w14:paraId="49953BBF">
            <w:pPr>
              <w:keepNext w:val="0"/>
              <w:keepLines w:val="0"/>
              <w:pageBreakBefore w:val="0"/>
              <w:widowControl w:val="0"/>
              <w:shd w:val="clea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堆肥中及堆肥周围没有活的</w:t>
            </w:r>
            <w:r>
              <w:rPr>
                <w:rFonts w:hint="default" w:ascii="Times New Roman" w:hAnsi="Times New Roman" w:eastAsia="宋体" w:cs="Times New Roman"/>
                <w:color w:val="auto"/>
                <w:sz w:val="21"/>
                <w:szCs w:val="21"/>
                <w:highlight w:val="none"/>
              </w:rPr>
              <w:t>蛆、蛹或新羽化的成蝇</w:t>
            </w:r>
          </w:p>
        </w:tc>
      </w:tr>
      <w:bookmarkEnd w:id="266"/>
    </w:tbl>
    <w:p w14:paraId="38CDF733">
      <w:pPr>
        <w:pStyle w:val="6"/>
        <w:keepNext w:val="0"/>
        <w:keepLines w:val="0"/>
        <w:pageBreakBefore w:val="0"/>
        <w:widowControl w:val="0"/>
        <w:shd w:val="clear"/>
        <w:kinsoku/>
        <w:wordWrap/>
        <w:overflowPunct/>
        <w:topLinePunct w:val="0"/>
        <w:autoSpaceDE/>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sz w:val="24"/>
          <w:szCs w:val="24"/>
          <w:highlight w:val="none"/>
        </w:rPr>
      </w:pPr>
      <w:bookmarkStart w:id="276" w:name="_Toc8984"/>
      <w:bookmarkStart w:id="277" w:name="_Toc15638"/>
      <w:bookmarkStart w:id="278" w:name="_Toc277238933"/>
      <w:bookmarkStart w:id="279" w:name="_Toc15163"/>
      <w:bookmarkStart w:id="280" w:name="_Toc277949249"/>
      <w:bookmarkStart w:id="281" w:name="_Toc276105856"/>
      <w:bookmarkStart w:id="282" w:name="_Toc277244740"/>
      <w:bookmarkStart w:id="283" w:name="_Toc277228930"/>
      <w:bookmarkStart w:id="284" w:name="_Toc276333558"/>
      <w:bookmarkStart w:id="285" w:name="_Toc274251884"/>
      <w:bookmarkStart w:id="286" w:name="_Toc277196476"/>
      <w:bookmarkStart w:id="287" w:name="_Toc277336091"/>
      <w:bookmarkStart w:id="288" w:name="_Toc274251955"/>
      <w:bookmarkStart w:id="289" w:name="_Toc277632284"/>
      <w:bookmarkStart w:id="290" w:name="_Toc277949914"/>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羊圈、堆肥场除臭工艺</w:t>
      </w:r>
      <w:bookmarkEnd w:id="276"/>
      <w:bookmarkEnd w:id="277"/>
    </w:p>
    <w:p w14:paraId="4EC2E02B">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①项目采用干清粪工艺，在羊圈设置通风口，采用自然通风的方式换气，加快排除有害气体。</w:t>
      </w:r>
    </w:p>
    <w:p w14:paraId="2AB1A775">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②养殖区等消毒应采用环境友好的消毒剂和消毒措施，防止产生氯代有机物及其他二次污染物。</w:t>
      </w:r>
    </w:p>
    <w:p w14:paraId="59852691">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③加强场区及场界的绿化，场区绿化以完全消灭裸露地面为原则，选择适宜吸臭植物种类，广种花草树木，场界边缘地带种植双季槐等高大树种形成多层防护林带，以降低恶臭污染的影响程度。</w:t>
      </w:r>
    </w:p>
    <w:p w14:paraId="6DEA3DB6">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④对羊圈、堆肥场喷洒除臭剂。</w:t>
      </w:r>
    </w:p>
    <w:p w14:paraId="2C0A2EA9">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 5 \* GB3 \* MERGEFORMAT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highlight w:val="none"/>
        </w:rPr>
        <w:t>⑤</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合理</w:t>
      </w:r>
      <w:r>
        <w:rPr>
          <w:rFonts w:hint="default" w:ascii="Times New Roman" w:hAnsi="Times New Roman" w:eastAsia="宋体" w:cs="Times New Roman"/>
          <w:color w:val="auto"/>
          <w:kern w:val="0"/>
          <w:sz w:val="24"/>
          <w:szCs w:val="24"/>
          <w:highlight w:val="none"/>
        </w:rPr>
        <w:t>控制饲养密度</w:t>
      </w:r>
      <w:r>
        <w:rPr>
          <w:rFonts w:hint="default" w:ascii="Times New Roman" w:hAnsi="Times New Roman" w:eastAsia="宋体" w:cs="Times New Roman"/>
          <w:color w:val="auto"/>
          <w:kern w:val="0"/>
          <w:sz w:val="24"/>
          <w:szCs w:val="24"/>
          <w:highlight w:val="none"/>
          <w:lang w:eastAsia="zh-CN"/>
        </w:rPr>
        <w:t>，进行科学喂养，可以有效降低恶臭气体的产生</w:t>
      </w:r>
      <w:r>
        <w:rPr>
          <w:rFonts w:hint="default" w:ascii="Times New Roman" w:hAnsi="Times New Roman" w:eastAsia="宋体" w:cs="Times New Roman"/>
          <w:color w:val="auto"/>
          <w:sz w:val="24"/>
          <w:szCs w:val="24"/>
          <w:highlight w:val="none"/>
          <w:lang w:val="en-US" w:eastAsia="zh-CN"/>
        </w:rPr>
        <w:t>。</w:t>
      </w:r>
    </w:p>
    <w:p w14:paraId="7E809E89">
      <w:pPr>
        <w:pStyle w:val="6"/>
        <w:keepNext w:val="0"/>
        <w:keepLines w:val="0"/>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sz w:val="24"/>
          <w:szCs w:val="24"/>
          <w:highlight w:val="none"/>
          <w:lang w:eastAsia="zh-CN"/>
        </w:rPr>
      </w:pPr>
      <w:bookmarkStart w:id="291" w:name="_Toc24249"/>
      <w:bookmarkStart w:id="292" w:name="_Toc1578"/>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.2.</w:t>
      </w:r>
      <w:bookmarkEnd w:id="278"/>
      <w:bookmarkEnd w:id="279"/>
      <w:bookmarkEnd w:id="280"/>
      <w:bookmarkEnd w:id="281"/>
      <w:bookmarkEnd w:id="282"/>
      <w:bookmarkEnd w:id="283"/>
      <w:bookmarkEnd w:id="284"/>
      <w:bookmarkEnd w:id="285"/>
      <w:bookmarkEnd w:id="286"/>
      <w:bookmarkEnd w:id="287"/>
      <w:bookmarkEnd w:id="288"/>
      <w:bookmarkEnd w:id="289"/>
      <w:bookmarkEnd w:id="290"/>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eastAsia="zh-CN"/>
        </w:rPr>
        <w:t>卫生防疫系统</w:t>
      </w:r>
      <w:bookmarkEnd w:id="291"/>
      <w:bookmarkEnd w:id="292"/>
    </w:p>
    <w:p w14:paraId="0AC39E57">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lang w:eastAsia="zh-CN"/>
        </w:rPr>
        <w:t>肉羊</w:t>
      </w:r>
      <w:r>
        <w:rPr>
          <w:rFonts w:hint="default" w:ascii="Times New Roman" w:hAnsi="Times New Roman" w:eastAsia="宋体" w:cs="Times New Roman"/>
          <w:color w:val="auto"/>
          <w:sz w:val="24"/>
          <w:szCs w:val="28"/>
          <w:highlight w:val="none"/>
        </w:rPr>
        <w:t>疫病防控包括消毒和灭菌、免疫接种。按规程进行免疫接种、卫生消毒、定期保健护理、</w:t>
      </w:r>
      <w:r>
        <w:rPr>
          <w:rFonts w:hint="default" w:ascii="Times New Roman" w:hAnsi="Times New Roman" w:eastAsia="宋体" w:cs="Times New Roman"/>
          <w:color w:val="FF0000"/>
          <w:sz w:val="24"/>
          <w:szCs w:val="28"/>
          <w:highlight w:val="none"/>
        </w:rPr>
        <w:t>病</w:t>
      </w:r>
      <w:r>
        <w:rPr>
          <w:rFonts w:hint="default" w:ascii="Times New Roman" w:hAnsi="Times New Roman" w:eastAsia="宋体" w:cs="Times New Roman"/>
          <w:color w:val="FF0000"/>
          <w:sz w:val="24"/>
          <w:szCs w:val="28"/>
          <w:highlight w:val="none"/>
          <w:lang w:val="en-US" w:eastAsia="zh-CN"/>
        </w:rPr>
        <w:t>羊</w:t>
      </w:r>
      <w:r>
        <w:rPr>
          <w:rFonts w:hint="default" w:ascii="Times New Roman" w:hAnsi="Times New Roman" w:eastAsia="宋体" w:cs="Times New Roman"/>
          <w:color w:val="auto"/>
          <w:sz w:val="24"/>
          <w:szCs w:val="28"/>
          <w:highlight w:val="none"/>
        </w:rPr>
        <w:t>隔离治疗，重点做好消化系统疾病、代谢病、蹄病和腹泻病的预防治疗。</w:t>
      </w:r>
    </w:p>
    <w:p w14:paraId="5ECAA8F7">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rPr>
        <w:t>（1）环境消毒</w:t>
      </w:r>
    </w:p>
    <w:p w14:paraId="35844D44">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lang w:eastAsia="zh-CN"/>
        </w:rPr>
        <w:t>羊圈</w:t>
      </w:r>
      <w:r>
        <w:rPr>
          <w:rFonts w:hint="default" w:ascii="Times New Roman" w:hAnsi="Times New Roman" w:eastAsia="宋体" w:cs="Times New Roman"/>
          <w:color w:val="auto"/>
          <w:sz w:val="24"/>
          <w:szCs w:val="28"/>
          <w:highlight w:val="none"/>
        </w:rPr>
        <w:t>周围环境定期撒生石灰消毒。</w:t>
      </w:r>
      <w:r>
        <w:rPr>
          <w:rFonts w:hint="default" w:ascii="Times New Roman" w:hAnsi="Times New Roman" w:eastAsia="宋体" w:cs="Times New Roman"/>
          <w:color w:val="auto"/>
          <w:sz w:val="24"/>
          <w:szCs w:val="28"/>
          <w:highlight w:val="none"/>
          <w:lang w:eastAsia="zh-CN"/>
        </w:rPr>
        <w:t>养殖区</w:t>
      </w:r>
      <w:r>
        <w:rPr>
          <w:rFonts w:hint="default" w:ascii="Times New Roman" w:hAnsi="Times New Roman" w:eastAsia="宋体" w:cs="Times New Roman"/>
          <w:color w:val="auto"/>
          <w:sz w:val="24"/>
          <w:szCs w:val="28"/>
          <w:highlight w:val="none"/>
        </w:rPr>
        <w:t>周围及场内污染地、排粪坑，每月用</w:t>
      </w:r>
      <w:r>
        <w:rPr>
          <w:rFonts w:hint="default" w:ascii="Times New Roman" w:hAnsi="Times New Roman" w:eastAsia="宋体" w:cs="Times New Roman"/>
          <w:color w:val="auto"/>
          <w:sz w:val="24"/>
          <w:szCs w:val="28"/>
          <w:highlight w:val="none"/>
          <w:lang w:eastAsia="zh-CN"/>
        </w:rPr>
        <w:t>消毒水</w:t>
      </w:r>
      <w:r>
        <w:rPr>
          <w:rFonts w:hint="default" w:ascii="Times New Roman" w:hAnsi="Times New Roman" w:eastAsia="宋体" w:cs="Times New Roman"/>
          <w:color w:val="auto"/>
          <w:sz w:val="24"/>
          <w:szCs w:val="28"/>
          <w:highlight w:val="none"/>
        </w:rPr>
        <w:t>消毒1次。在</w:t>
      </w:r>
      <w:r>
        <w:rPr>
          <w:rFonts w:hint="default" w:ascii="Times New Roman" w:hAnsi="Times New Roman" w:eastAsia="宋体" w:cs="Times New Roman"/>
          <w:color w:val="auto"/>
          <w:sz w:val="24"/>
          <w:szCs w:val="28"/>
          <w:highlight w:val="none"/>
          <w:lang w:eastAsia="zh-CN"/>
        </w:rPr>
        <w:t>羊圈</w:t>
      </w:r>
      <w:r>
        <w:rPr>
          <w:rFonts w:hint="default" w:ascii="Times New Roman" w:hAnsi="Times New Roman" w:eastAsia="宋体" w:cs="Times New Roman"/>
          <w:color w:val="auto"/>
          <w:sz w:val="24"/>
          <w:szCs w:val="28"/>
          <w:highlight w:val="none"/>
        </w:rPr>
        <w:t>入口设消毒池。</w:t>
      </w:r>
    </w:p>
    <w:p w14:paraId="4E21ED1A">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rPr>
        <w:t>（2）人员消毒</w:t>
      </w:r>
    </w:p>
    <w:p w14:paraId="33B5F288">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rPr>
        <w:t>工作人员进入生产区净道和</w:t>
      </w:r>
      <w:r>
        <w:rPr>
          <w:rFonts w:hint="default" w:ascii="Times New Roman" w:hAnsi="Times New Roman" w:eastAsia="宋体" w:cs="Times New Roman"/>
          <w:color w:val="auto"/>
          <w:sz w:val="24"/>
          <w:szCs w:val="28"/>
          <w:highlight w:val="none"/>
          <w:lang w:eastAsia="zh-CN"/>
        </w:rPr>
        <w:t>羊圈</w:t>
      </w:r>
      <w:r>
        <w:rPr>
          <w:rFonts w:hint="default" w:ascii="Times New Roman" w:hAnsi="Times New Roman" w:eastAsia="宋体" w:cs="Times New Roman"/>
          <w:color w:val="auto"/>
          <w:sz w:val="24"/>
          <w:szCs w:val="28"/>
          <w:highlight w:val="none"/>
        </w:rPr>
        <w:t>，要更换工作服、工作鞋，并经</w:t>
      </w:r>
      <w:r>
        <w:rPr>
          <w:rFonts w:hint="default" w:ascii="Times New Roman" w:hAnsi="Times New Roman" w:eastAsia="宋体" w:cs="Times New Roman"/>
          <w:color w:val="auto"/>
          <w:sz w:val="24"/>
          <w:szCs w:val="28"/>
          <w:highlight w:val="none"/>
          <w:lang w:eastAsia="zh-CN"/>
        </w:rPr>
        <w:t>消毒液</w:t>
      </w:r>
      <w:r>
        <w:rPr>
          <w:rFonts w:hint="default" w:ascii="Times New Roman" w:hAnsi="Times New Roman" w:eastAsia="宋体" w:cs="Times New Roman"/>
          <w:color w:val="auto"/>
          <w:sz w:val="24"/>
          <w:szCs w:val="28"/>
          <w:highlight w:val="none"/>
        </w:rPr>
        <w:t>进行消毒。外来人员必须进入生产区时，应更换场内工作服、工作鞋，并经</w:t>
      </w:r>
      <w:r>
        <w:rPr>
          <w:rFonts w:hint="default" w:ascii="Times New Roman" w:hAnsi="Times New Roman" w:eastAsia="宋体" w:cs="Times New Roman"/>
          <w:color w:val="auto"/>
          <w:sz w:val="24"/>
          <w:szCs w:val="28"/>
          <w:highlight w:val="none"/>
          <w:lang w:eastAsia="zh-CN"/>
        </w:rPr>
        <w:t>消毒液</w:t>
      </w:r>
      <w:r>
        <w:rPr>
          <w:rFonts w:hint="default" w:ascii="Times New Roman" w:hAnsi="Times New Roman" w:eastAsia="宋体" w:cs="Times New Roman"/>
          <w:color w:val="auto"/>
          <w:sz w:val="24"/>
          <w:szCs w:val="28"/>
          <w:highlight w:val="none"/>
        </w:rPr>
        <w:t>进行消毒，并遵守场内防疫制度，按指定路线行走。</w:t>
      </w:r>
    </w:p>
    <w:p w14:paraId="5A9206D9">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rPr>
      </w:pPr>
      <w:r>
        <w:rPr>
          <w:rFonts w:hint="default" w:ascii="Times New Roman" w:hAnsi="Times New Roman" w:eastAsia="宋体" w:cs="Times New Roman"/>
          <w:color w:val="auto"/>
          <w:sz w:val="24"/>
          <w:szCs w:val="28"/>
          <w:highlight w:val="none"/>
        </w:rPr>
        <w:t>（3）</w:t>
      </w:r>
      <w:r>
        <w:rPr>
          <w:rFonts w:hint="default" w:ascii="Times New Roman" w:hAnsi="Times New Roman" w:eastAsia="宋体" w:cs="Times New Roman"/>
          <w:color w:val="auto"/>
          <w:sz w:val="24"/>
          <w:szCs w:val="28"/>
          <w:highlight w:val="none"/>
          <w:lang w:eastAsia="zh-CN"/>
        </w:rPr>
        <w:t>羊圈</w:t>
      </w:r>
      <w:r>
        <w:rPr>
          <w:rFonts w:hint="default" w:ascii="Times New Roman" w:hAnsi="Times New Roman" w:eastAsia="宋体" w:cs="Times New Roman"/>
          <w:color w:val="auto"/>
          <w:sz w:val="24"/>
          <w:szCs w:val="28"/>
          <w:highlight w:val="none"/>
        </w:rPr>
        <w:t>消毒：每天清扫，定期喷雾消毒。</w:t>
      </w:r>
    </w:p>
    <w:p w14:paraId="07503967">
      <w:pPr>
        <w:keepNext w:val="0"/>
        <w:keepLines w:val="0"/>
        <w:pageBreakBefore w:val="0"/>
        <w:widowControl/>
        <w:shd w:val="clear"/>
        <w:kinsoku/>
        <w:wordWrap/>
        <w:overflowPunct/>
        <w:topLinePunct w:val="0"/>
        <w:autoSpaceDE/>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8"/>
          <w:highlight w:val="none"/>
          <w:lang w:eastAsia="zh-CN"/>
        </w:rPr>
      </w:pPr>
      <w:r>
        <w:rPr>
          <w:rFonts w:hint="default" w:ascii="Times New Roman" w:hAnsi="Times New Roman" w:eastAsia="宋体" w:cs="Times New Roman"/>
          <w:color w:val="auto"/>
          <w:sz w:val="24"/>
          <w:szCs w:val="28"/>
          <w:highlight w:val="none"/>
        </w:rPr>
        <w:t>（4）用具消毒：定期对水槽、饲料车、料桶等饲养用具进行消毒</w:t>
      </w:r>
      <w:r>
        <w:rPr>
          <w:rFonts w:hint="default" w:ascii="Times New Roman" w:hAnsi="Times New Roman" w:eastAsia="宋体" w:cs="Times New Roman"/>
          <w:color w:val="auto"/>
          <w:sz w:val="24"/>
          <w:szCs w:val="28"/>
          <w:highlight w:val="none"/>
          <w:lang w:eastAsia="zh-CN"/>
        </w:rPr>
        <w:t>。</w:t>
      </w:r>
    </w:p>
    <w:p w14:paraId="41152C54">
      <w:pPr>
        <w:pStyle w:val="6"/>
        <w:keepNext w:val="0"/>
        <w:keepLines w:val="0"/>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sz w:val="24"/>
          <w:szCs w:val="24"/>
          <w:highlight w:val="none"/>
          <w:lang w:val="en-US" w:eastAsia="zh-CN"/>
        </w:rPr>
      </w:pPr>
      <w:bookmarkStart w:id="293" w:name="_Toc6874"/>
      <w:r>
        <w:rPr>
          <w:rFonts w:hint="default"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7造粒生产车间生产工艺流程简述</w:t>
      </w:r>
      <w:bookmarkEnd w:id="293"/>
    </w:p>
    <w:p w14:paraId="3703603D">
      <w:pPr>
        <w:spacing w:line="360" w:lineRule="auto"/>
        <w:ind w:firstLine="480" w:firstLineChars="200"/>
        <w:rPr>
          <w:rFonts w:hint="default" w:ascii="Times New Roman" w:hAnsi="Times New Roman" w:eastAsia="宋体" w:cs="Times New Roman"/>
          <w:color w:val="auto"/>
          <w:sz w:val="24"/>
          <w:szCs w:val="20"/>
          <w:lang w:eastAsia="zh-CN"/>
        </w:rPr>
      </w:pP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lang w:val="en-US" w:eastAsia="zh-CN"/>
        </w:rPr>
        <w:t>1</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破碎：</w:t>
      </w:r>
      <w:r>
        <w:rPr>
          <w:rFonts w:hint="default" w:ascii="Times New Roman" w:hAnsi="Times New Roman" w:eastAsia="宋体" w:cs="Times New Roman"/>
          <w:color w:val="auto"/>
          <w:sz w:val="24"/>
          <w:szCs w:val="20"/>
          <w:lang w:eastAsia="zh-CN"/>
        </w:rPr>
        <w:t>项目</w:t>
      </w:r>
      <w:r>
        <w:rPr>
          <w:rFonts w:hint="default" w:ascii="Times New Roman" w:hAnsi="Times New Roman" w:eastAsia="宋体" w:cs="Times New Roman"/>
          <w:color w:val="auto"/>
          <w:sz w:val="24"/>
          <w:szCs w:val="20"/>
        </w:rPr>
        <w:t>原料</w:t>
      </w:r>
      <w:r>
        <w:rPr>
          <w:rFonts w:hint="default" w:ascii="Times New Roman" w:hAnsi="Times New Roman" w:eastAsia="宋体" w:cs="Times New Roman"/>
          <w:color w:val="auto"/>
          <w:sz w:val="24"/>
          <w:szCs w:val="20"/>
          <w:lang w:eastAsia="zh-CN"/>
        </w:rPr>
        <w:t>尺寸较大，需要先进行破碎，使得原料粒径小于</w:t>
      </w:r>
      <w:r>
        <w:rPr>
          <w:rFonts w:hint="default" w:ascii="Times New Roman" w:hAnsi="Times New Roman" w:eastAsia="宋体" w:cs="Times New Roman"/>
          <w:color w:val="auto"/>
          <w:sz w:val="24"/>
          <w:szCs w:val="20"/>
          <w:lang w:val="en-US" w:eastAsia="zh-CN"/>
        </w:rPr>
        <w:t>0.5cm。</w:t>
      </w:r>
      <w:r>
        <w:rPr>
          <w:rFonts w:hint="default" w:ascii="Times New Roman" w:hAnsi="Times New Roman" w:eastAsia="宋体" w:cs="Times New Roman"/>
          <w:color w:val="auto"/>
          <w:sz w:val="24"/>
          <w:szCs w:val="20"/>
        </w:rPr>
        <w:t>利用铲车将原料通过上料口进入破碎机</w:t>
      </w:r>
      <w:r>
        <w:rPr>
          <w:rFonts w:hint="default" w:ascii="Times New Roman" w:hAnsi="Times New Roman" w:eastAsia="宋体" w:cs="Times New Roman"/>
          <w:color w:val="auto"/>
          <w:sz w:val="24"/>
          <w:szCs w:val="20"/>
          <w:lang w:eastAsia="zh-CN"/>
        </w:rPr>
        <w:t>内</w:t>
      </w:r>
      <w:r>
        <w:rPr>
          <w:rFonts w:hint="default" w:ascii="Times New Roman" w:hAnsi="Times New Roman" w:eastAsia="宋体" w:cs="Times New Roman"/>
          <w:color w:val="auto"/>
          <w:sz w:val="24"/>
          <w:szCs w:val="20"/>
        </w:rPr>
        <w:t>，将大块的原料破碎成小块原料</w:t>
      </w:r>
      <w:r>
        <w:rPr>
          <w:rFonts w:hint="default" w:ascii="Times New Roman" w:hAnsi="Times New Roman" w:eastAsia="宋体" w:cs="Times New Roman"/>
          <w:color w:val="auto"/>
          <w:sz w:val="24"/>
          <w:szCs w:val="20"/>
          <w:lang w:eastAsia="zh-CN"/>
        </w:rPr>
        <w:t>。</w:t>
      </w:r>
    </w:p>
    <w:p w14:paraId="51558B39">
      <w:pPr>
        <w:spacing w:line="360" w:lineRule="auto"/>
        <w:ind w:firstLine="480" w:firstLineChars="200"/>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lang w:val="en-US" w:eastAsia="zh-CN"/>
        </w:rPr>
        <w:t>2</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筛分：破碎后的原料通过</w:t>
      </w:r>
      <w:r>
        <w:rPr>
          <w:rFonts w:hint="default" w:ascii="Times New Roman" w:hAnsi="Times New Roman" w:eastAsia="宋体" w:cs="Times New Roman"/>
          <w:color w:val="FF0000"/>
          <w:sz w:val="24"/>
          <w:szCs w:val="20"/>
          <w:lang w:eastAsia="zh-CN"/>
        </w:rPr>
        <w:t>全封闭</w:t>
      </w:r>
      <w:r>
        <w:rPr>
          <w:rFonts w:hint="default" w:ascii="Times New Roman" w:hAnsi="Times New Roman" w:eastAsia="宋体" w:cs="Times New Roman"/>
          <w:color w:val="auto"/>
          <w:sz w:val="24"/>
          <w:szCs w:val="20"/>
          <w:lang w:eastAsia="zh-CN"/>
        </w:rPr>
        <w:t>输送皮带</w:t>
      </w:r>
      <w:r>
        <w:rPr>
          <w:rFonts w:hint="default" w:ascii="Times New Roman" w:hAnsi="Times New Roman" w:eastAsia="宋体" w:cs="Times New Roman"/>
          <w:color w:val="auto"/>
          <w:sz w:val="24"/>
          <w:szCs w:val="20"/>
        </w:rPr>
        <w:t>进入</w:t>
      </w:r>
      <w:r>
        <w:rPr>
          <w:rFonts w:hint="default" w:ascii="Times New Roman" w:hAnsi="Times New Roman" w:eastAsia="宋体" w:cs="Times New Roman"/>
          <w:color w:val="auto"/>
          <w:sz w:val="24"/>
          <w:szCs w:val="20"/>
          <w:lang w:eastAsia="zh-CN"/>
        </w:rPr>
        <w:t>筛分机</w:t>
      </w:r>
      <w:r>
        <w:rPr>
          <w:rFonts w:hint="default" w:ascii="Times New Roman" w:hAnsi="Times New Roman" w:eastAsia="宋体" w:cs="Times New Roman"/>
          <w:color w:val="auto"/>
          <w:sz w:val="24"/>
          <w:szCs w:val="20"/>
        </w:rPr>
        <w:t>进行筛分，筛分作业是一个简单的分离过程：通过颗粒与筛孔进行尺寸比较，较筛孔小的颗粒透筛成为筛下物，较筛孔大的颗粒留在筛面上成为筛上物，从而实现粗细颗粒的分离，是目前应用最广泛、最有效的物料按</w:t>
      </w:r>
      <w:r>
        <w:rPr>
          <w:rFonts w:hint="default" w:ascii="Times New Roman" w:hAnsi="Times New Roman" w:eastAsia="宋体" w:cs="Times New Roman"/>
          <w:color w:val="auto"/>
          <w:sz w:val="24"/>
          <w:szCs w:val="20"/>
          <w:lang w:eastAsia="zh-CN"/>
        </w:rPr>
        <w:t>粒度</w:t>
      </w:r>
      <w:r>
        <w:rPr>
          <w:rFonts w:hint="default" w:ascii="Times New Roman" w:hAnsi="Times New Roman" w:eastAsia="宋体" w:cs="Times New Roman"/>
          <w:color w:val="auto"/>
          <w:sz w:val="24"/>
          <w:szCs w:val="20"/>
        </w:rPr>
        <w:t>进行分类的方法。</w:t>
      </w:r>
    </w:p>
    <w:p w14:paraId="1A57AC88">
      <w:pPr>
        <w:spacing w:line="360" w:lineRule="auto"/>
        <w:ind w:firstLine="480" w:firstLineChars="200"/>
        <w:rPr>
          <w:rFonts w:hint="default" w:ascii="Times New Roman" w:hAnsi="Times New Roman" w:eastAsia="宋体" w:cs="Times New Roman"/>
          <w:color w:val="auto"/>
          <w:sz w:val="24"/>
          <w:szCs w:val="20"/>
        </w:rPr>
      </w:pPr>
      <w:r>
        <w:rPr>
          <w:rFonts w:hint="default" w:ascii="Times New Roman" w:hAnsi="Times New Roman" w:eastAsia="宋体" w:cs="Times New Roman"/>
          <w:color w:val="FF0000"/>
          <w:sz w:val="24"/>
          <w:szCs w:val="20"/>
          <w:lang w:eastAsia="zh-CN"/>
        </w:rPr>
        <w:t>（</w:t>
      </w:r>
      <w:r>
        <w:rPr>
          <w:rFonts w:hint="default" w:ascii="Times New Roman" w:hAnsi="Times New Roman" w:eastAsia="宋体" w:cs="Times New Roman"/>
          <w:color w:val="FF0000"/>
          <w:sz w:val="24"/>
          <w:szCs w:val="20"/>
          <w:lang w:val="en-US" w:eastAsia="zh-CN"/>
        </w:rPr>
        <w:t>3</w:t>
      </w:r>
      <w:r>
        <w:rPr>
          <w:rFonts w:hint="default" w:ascii="Times New Roman" w:hAnsi="Times New Roman" w:eastAsia="宋体" w:cs="Times New Roman"/>
          <w:color w:val="FF0000"/>
          <w:sz w:val="24"/>
          <w:szCs w:val="20"/>
          <w:lang w:eastAsia="zh-CN"/>
        </w:rPr>
        <w:t>）</w:t>
      </w:r>
      <w:r>
        <w:rPr>
          <w:rFonts w:hint="default" w:ascii="Times New Roman" w:hAnsi="Times New Roman" w:eastAsia="宋体" w:cs="Times New Roman"/>
          <w:color w:val="FF0000"/>
          <w:sz w:val="24"/>
          <w:szCs w:val="20"/>
        </w:rPr>
        <w:t>制粒：粉碎后的原料通过</w:t>
      </w:r>
      <w:r>
        <w:rPr>
          <w:rFonts w:hint="default" w:ascii="Times New Roman" w:hAnsi="Times New Roman" w:eastAsia="宋体" w:cs="Times New Roman"/>
          <w:color w:val="FF0000"/>
          <w:sz w:val="24"/>
          <w:szCs w:val="20"/>
          <w:lang w:eastAsia="zh-CN"/>
        </w:rPr>
        <w:t>全封闭输送皮带</w:t>
      </w:r>
      <w:r>
        <w:rPr>
          <w:rFonts w:hint="default" w:ascii="Times New Roman" w:hAnsi="Times New Roman" w:eastAsia="宋体" w:cs="Times New Roman"/>
          <w:color w:val="FF0000"/>
          <w:sz w:val="24"/>
          <w:szCs w:val="20"/>
        </w:rPr>
        <w:t>进入制粒机自带喂料设备</w:t>
      </w:r>
      <w:r>
        <w:rPr>
          <w:rFonts w:hint="default" w:ascii="Times New Roman" w:hAnsi="Times New Roman" w:eastAsia="宋体" w:cs="Times New Roman"/>
          <w:color w:val="FF0000"/>
          <w:sz w:val="24"/>
          <w:szCs w:val="20"/>
          <w:lang w:eastAsia="zh-CN"/>
        </w:rPr>
        <w:t>；</w:t>
      </w:r>
      <w:r>
        <w:rPr>
          <w:rFonts w:hint="default" w:ascii="Times New Roman" w:hAnsi="Times New Roman" w:eastAsia="宋体" w:cs="Times New Roman"/>
          <w:color w:val="auto"/>
          <w:sz w:val="24"/>
          <w:szCs w:val="20"/>
        </w:rPr>
        <w:t>由制粒机自带喂料设备进行喂料，原料被送入制粒机的喂料室，在分料器和刮板的共同作用下均匀地铺在平模上，再将物料挤压进入模孔，物料在模孔中经历成型、保型等过程。由于在制粒机内压力增大，粒子本身发生变形和塑性流动，并在摩擦作用下产生大量热量，导致原料中含有的木质素软化，粘合力增加，使生物质逐渐成型，一定时间后以圆柱状被挤出，旋转的切刀将物料切断，形成圆柱形，经出料口送出。本项目在压缩成型过程中不添加粘结剂。</w:t>
      </w:r>
    </w:p>
    <w:p w14:paraId="13ACA927">
      <w:pPr>
        <w:spacing w:line="360" w:lineRule="auto"/>
        <w:ind w:firstLine="480" w:firstLineChars="200"/>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lang w:val="en-US" w:eastAsia="zh-CN"/>
        </w:rPr>
        <w:t>4</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包装：合格的生物质成型颗粒通过</w:t>
      </w:r>
      <w:r>
        <w:rPr>
          <w:rFonts w:hint="default" w:ascii="Times New Roman" w:hAnsi="Times New Roman" w:eastAsia="宋体" w:cs="Times New Roman"/>
          <w:color w:val="auto"/>
          <w:sz w:val="24"/>
          <w:szCs w:val="20"/>
          <w:lang w:eastAsia="zh-CN"/>
        </w:rPr>
        <w:t>输送皮带</w:t>
      </w:r>
      <w:r>
        <w:rPr>
          <w:rFonts w:hint="default" w:ascii="Times New Roman" w:hAnsi="Times New Roman" w:eastAsia="宋体" w:cs="Times New Roman"/>
          <w:color w:val="auto"/>
          <w:sz w:val="24"/>
          <w:szCs w:val="20"/>
        </w:rPr>
        <w:t>送入自动计量包装机进行计量包装。包装好的袋装成品生物质颗粒用</w:t>
      </w:r>
      <w:r>
        <w:rPr>
          <w:rFonts w:hint="default" w:ascii="Times New Roman" w:hAnsi="Times New Roman" w:eastAsia="宋体" w:cs="Times New Roman"/>
          <w:color w:val="auto"/>
          <w:sz w:val="24"/>
          <w:szCs w:val="20"/>
          <w:lang w:eastAsia="zh-CN"/>
        </w:rPr>
        <w:t>叉车</w:t>
      </w:r>
      <w:r>
        <w:rPr>
          <w:rFonts w:hint="default" w:ascii="Times New Roman" w:hAnsi="Times New Roman" w:eastAsia="宋体" w:cs="Times New Roman"/>
          <w:color w:val="auto"/>
          <w:sz w:val="24"/>
          <w:szCs w:val="20"/>
        </w:rPr>
        <w:t>运至成品储存区待售。</w:t>
      </w:r>
    </w:p>
    <w:p w14:paraId="4EBB4863">
      <w:pPr>
        <w:keepNext w:val="0"/>
        <w:keepLines w:val="0"/>
        <w:pageBreakBefore w:val="0"/>
        <w:shd w:val="clear"/>
        <w:kinsoku/>
        <w:wordWrap/>
        <w:overflowPunct/>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object>
          <v:shape id="_x0000_i1030" o:spt="75" type="#_x0000_t75" style="height:257.75pt;width:382.95pt;" o:ole="t" filled="f" o:preferrelative="t" stroked="f" coordsize="21600,21600">
            <v:path/>
            <v:fill on="f" focussize="0,0"/>
            <v:stroke on="f"/>
            <v:imagedata r:id="rId32" o:title=""/>
            <o:lock v:ext="edit" aspectratio="t"/>
            <w10:wrap type="none"/>
            <w10:anchorlock/>
          </v:shape>
          <o:OLEObject Type="Embed" ProgID="Visio.Drawing.11" ShapeID="_x0000_i1030" DrawAspect="Content" ObjectID="_1468075730" r:id="rId31">
            <o:LockedField>false</o:LockedField>
          </o:OLEObject>
        </w:object>
      </w:r>
    </w:p>
    <w:p w14:paraId="6D56C1C2">
      <w:pPr>
        <w:keepNext w:val="0"/>
        <w:keepLines w:val="0"/>
        <w:pageBreakBefore w:val="0"/>
        <w:shd w:val="clear"/>
        <w:kinsoku/>
        <w:wordWrap/>
        <w:overflowPunct/>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szCs w:val="22"/>
        </w:rPr>
        <w:t>图2</w:t>
      </w:r>
      <w:r>
        <w:rPr>
          <w:rFonts w:hint="default" w:ascii="Times New Roman" w:hAnsi="Times New Roman" w:eastAsia="宋体" w:cs="Times New Roman"/>
          <w:b/>
          <w:bCs/>
          <w:color w:val="auto"/>
          <w:sz w:val="24"/>
          <w:szCs w:val="22"/>
          <w:lang w:val="en-US" w:eastAsia="zh-CN"/>
        </w:rPr>
        <w:t>.3-4  造粒</w:t>
      </w:r>
      <w:r>
        <w:rPr>
          <w:rFonts w:hint="default" w:ascii="Times New Roman" w:hAnsi="Times New Roman" w:eastAsia="宋体" w:cs="Times New Roman"/>
          <w:b/>
          <w:bCs/>
          <w:color w:val="auto"/>
          <w:sz w:val="24"/>
          <w:szCs w:val="22"/>
        </w:rPr>
        <w:t>生产工艺流程图与产污节点图</w:t>
      </w:r>
    </w:p>
    <w:p w14:paraId="536DE839">
      <w:pPr>
        <w:pStyle w:val="6"/>
        <w:keepNext w:val="0"/>
        <w:keepLines w:val="0"/>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sz w:val="24"/>
          <w:szCs w:val="24"/>
          <w:highlight w:val="none"/>
          <w:lang w:val="en-US" w:eastAsia="zh-CN"/>
        </w:rPr>
      </w:pPr>
      <w:bookmarkStart w:id="294" w:name="_Toc17306"/>
      <w:r>
        <w:rPr>
          <w:rFonts w:hint="default"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8玉米烘干线生产工艺流程简述</w:t>
      </w:r>
      <w:bookmarkEnd w:id="294"/>
    </w:p>
    <w:p w14:paraId="179DBEFA">
      <w:pPr>
        <w:keepNext w:val="0"/>
        <w:keepLines w:val="0"/>
        <w:suppressLineNumbers w:val="0"/>
        <w:shd w:val="clea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0"/>
        </w:rPr>
      </w:pPr>
      <w:r>
        <w:rPr>
          <w:rFonts w:hint="default" w:ascii="Times New Roman" w:hAnsi="Times New Roman" w:eastAsia="宋体" w:cs="Times New Roman"/>
          <w:color w:val="auto"/>
          <w:sz w:val="24"/>
          <w:szCs w:val="20"/>
        </w:rPr>
        <w:t>本项目主要工艺流程依次为：收购、</w:t>
      </w:r>
      <w:r>
        <w:rPr>
          <w:rFonts w:hint="default" w:ascii="Times New Roman" w:hAnsi="Times New Roman" w:eastAsia="宋体" w:cs="Times New Roman"/>
          <w:color w:val="auto"/>
          <w:sz w:val="24"/>
          <w:szCs w:val="20"/>
          <w:lang w:eastAsia="zh-CN"/>
        </w:rPr>
        <w:t>检测、上料</w:t>
      </w:r>
      <w:r>
        <w:rPr>
          <w:rFonts w:hint="default" w:ascii="Times New Roman" w:hAnsi="Times New Roman" w:eastAsia="宋体" w:cs="Times New Roman"/>
          <w:color w:val="auto"/>
          <w:sz w:val="24"/>
          <w:szCs w:val="20"/>
        </w:rPr>
        <w:t>、</w:t>
      </w:r>
      <w:r>
        <w:rPr>
          <w:rFonts w:hint="default" w:ascii="Times New Roman" w:hAnsi="Times New Roman" w:eastAsia="宋体" w:cs="Times New Roman"/>
          <w:color w:val="auto"/>
          <w:sz w:val="24"/>
          <w:szCs w:val="20"/>
          <w:lang w:eastAsia="zh-CN"/>
        </w:rPr>
        <w:t>筛分</w:t>
      </w:r>
      <w:r>
        <w:rPr>
          <w:rFonts w:hint="default" w:ascii="Times New Roman" w:hAnsi="Times New Roman" w:eastAsia="宋体" w:cs="Times New Roman"/>
          <w:color w:val="auto"/>
          <w:sz w:val="24"/>
          <w:szCs w:val="20"/>
        </w:rPr>
        <w:t>、烘干、输送、入仓、装车外运。</w:t>
      </w:r>
    </w:p>
    <w:p w14:paraId="1700FD04">
      <w:pPr>
        <w:keepNext w:val="0"/>
        <w:keepLines w:val="0"/>
        <w:suppressLineNumbers w:val="0"/>
        <w:shd w:val="clea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0"/>
          <w:lang w:val="en-US" w:eastAsia="zh-CN"/>
        </w:rPr>
      </w:pPr>
      <w:r>
        <w:rPr>
          <w:rFonts w:hint="default" w:ascii="Times New Roman" w:hAnsi="Times New Roman" w:eastAsia="宋体" w:cs="Times New Roman"/>
          <w:color w:val="auto"/>
          <w:sz w:val="24"/>
          <w:szCs w:val="20"/>
          <w:lang w:eastAsia="zh-CN"/>
        </w:rPr>
        <w:t>原料玉米粒</w:t>
      </w:r>
      <w:r>
        <w:rPr>
          <w:rFonts w:hint="default" w:ascii="Times New Roman" w:hAnsi="Times New Roman" w:eastAsia="宋体" w:cs="Times New Roman"/>
          <w:color w:val="auto"/>
          <w:sz w:val="24"/>
          <w:szCs w:val="20"/>
        </w:rPr>
        <w:t>收获水分</w:t>
      </w:r>
      <w:r>
        <w:rPr>
          <w:rFonts w:hint="default" w:ascii="Times New Roman" w:hAnsi="Times New Roman" w:eastAsia="宋体" w:cs="Times New Roman"/>
          <w:color w:val="auto"/>
          <w:sz w:val="24"/>
          <w:szCs w:val="20"/>
          <w:lang w:eastAsia="zh-CN"/>
        </w:rPr>
        <w:t>通</w:t>
      </w:r>
      <w:r>
        <w:rPr>
          <w:rFonts w:hint="default" w:ascii="Times New Roman" w:hAnsi="Times New Roman" w:eastAsia="宋体" w:cs="Times New Roman"/>
          <w:color w:val="auto"/>
          <w:sz w:val="24"/>
          <w:szCs w:val="20"/>
        </w:rPr>
        <w:t>常</w:t>
      </w:r>
      <w:r>
        <w:rPr>
          <w:rFonts w:hint="default" w:ascii="Times New Roman" w:hAnsi="Times New Roman" w:eastAsia="宋体" w:cs="Times New Roman"/>
          <w:color w:val="auto"/>
          <w:sz w:val="24"/>
          <w:szCs w:val="20"/>
          <w:lang w:eastAsia="zh-CN"/>
        </w:rPr>
        <w:t>为</w:t>
      </w:r>
      <w:r>
        <w:rPr>
          <w:rFonts w:hint="default" w:ascii="Times New Roman" w:hAnsi="Times New Roman" w:eastAsia="宋体" w:cs="Times New Roman"/>
          <w:color w:val="auto"/>
          <w:sz w:val="24"/>
          <w:szCs w:val="20"/>
          <w:lang w:val="en-US" w:eastAsia="zh-CN"/>
        </w:rPr>
        <w:t>18</w:t>
      </w:r>
      <w:r>
        <w:rPr>
          <w:rFonts w:hint="default" w:ascii="Times New Roman" w:hAnsi="Times New Roman" w:eastAsia="宋体" w:cs="Times New Roman"/>
          <w:color w:val="auto"/>
          <w:sz w:val="24"/>
          <w:szCs w:val="20"/>
        </w:rPr>
        <w:t>%～</w:t>
      </w:r>
      <w:r>
        <w:rPr>
          <w:rFonts w:hint="default" w:ascii="Times New Roman" w:hAnsi="Times New Roman" w:eastAsia="宋体" w:cs="Times New Roman"/>
          <w:color w:val="auto"/>
          <w:sz w:val="24"/>
          <w:szCs w:val="20"/>
          <w:lang w:val="en-US" w:eastAsia="zh-CN"/>
        </w:rPr>
        <w:t>28</w:t>
      </w:r>
      <w:r>
        <w:rPr>
          <w:rFonts w:hint="default" w:ascii="Times New Roman" w:hAnsi="Times New Roman" w:eastAsia="宋体" w:cs="Times New Roman"/>
          <w:color w:val="auto"/>
          <w:sz w:val="24"/>
          <w:szCs w:val="20"/>
        </w:rPr>
        <w:t>%，</w:t>
      </w:r>
      <w:r>
        <w:rPr>
          <w:rFonts w:hint="default" w:ascii="Times New Roman" w:hAnsi="Times New Roman" w:eastAsia="宋体" w:cs="Times New Roman"/>
          <w:color w:val="auto"/>
          <w:sz w:val="24"/>
          <w:szCs w:val="20"/>
          <w:lang w:val="en-US" w:eastAsia="zh-CN"/>
        </w:rPr>
        <w:t>收割的玉米先由</w:t>
      </w:r>
      <w:r>
        <w:rPr>
          <w:rFonts w:hint="default" w:ascii="Times New Roman" w:hAnsi="Times New Roman" w:eastAsia="宋体" w:cs="Times New Roman"/>
          <w:color w:val="auto"/>
          <w:sz w:val="24"/>
          <w:szCs w:val="20"/>
        </w:rPr>
        <w:t>当地农户在自家简单加工成</w:t>
      </w:r>
      <w:r>
        <w:rPr>
          <w:rFonts w:hint="default" w:ascii="Times New Roman" w:hAnsi="Times New Roman" w:eastAsia="宋体" w:cs="Times New Roman"/>
          <w:color w:val="auto"/>
          <w:sz w:val="24"/>
          <w:szCs w:val="20"/>
          <w:lang w:eastAsia="zh-CN"/>
        </w:rPr>
        <w:t>玉米粒。建设单位</w:t>
      </w:r>
      <w:r>
        <w:rPr>
          <w:rFonts w:hint="default" w:ascii="Times New Roman" w:hAnsi="Times New Roman" w:eastAsia="宋体" w:cs="Times New Roman"/>
          <w:color w:val="auto"/>
          <w:sz w:val="24"/>
          <w:szCs w:val="20"/>
        </w:rPr>
        <w:t>收购后，</w:t>
      </w:r>
      <w:r>
        <w:rPr>
          <w:rFonts w:hint="default" w:ascii="Times New Roman" w:hAnsi="Times New Roman" w:eastAsia="宋体" w:cs="Times New Roman"/>
          <w:color w:val="auto"/>
          <w:sz w:val="24"/>
          <w:szCs w:val="20"/>
          <w:lang w:eastAsia="zh-CN"/>
        </w:rPr>
        <w:t>玉米粒堆存于晾晒平台，堆高2m。采用水分计检测原料玉米粒的水分含量，以便控制烘干塔</w:t>
      </w:r>
      <w:r>
        <w:rPr>
          <w:rFonts w:hint="default" w:ascii="Times New Roman" w:hAnsi="Times New Roman" w:eastAsia="宋体" w:cs="Times New Roman"/>
          <w:color w:val="auto"/>
          <w:sz w:val="24"/>
          <w:szCs w:val="20"/>
          <w:lang w:val="en-US" w:eastAsia="zh-CN"/>
        </w:rPr>
        <w:t>的烘干温度</w:t>
      </w:r>
      <w:r>
        <w:rPr>
          <w:rFonts w:hint="default" w:ascii="Times New Roman" w:hAnsi="Times New Roman" w:eastAsia="宋体" w:cs="Times New Roman"/>
          <w:color w:val="auto"/>
          <w:sz w:val="24"/>
          <w:szCs w:val="20"/>
          <w:lang w:eastAsia="zh-CN"/>
        </w:rPr>
        <w:t>。</w:t>
      </w:r>
    </w:p>
    <w:p w14:paraId="088C7F30">
      <w:pPr>
        <w:keepNext w:val="0"/>
        <w:keepLines w:val="0"/>
        <w:suppressLineNumbers w:val="0"/>
        <w:shd w:val="clea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0"/>
          <w:lang w:val="en-US" w:eastAsia="zh-CN"/>
        </w:rPr>
      </w:pPr>
      <w:r>
        <w:rPr>
          <w:rFonts w:hint="default" w:ascii="Times New Roman" w:hAnsi="Times New Roman" w:eastAsia="宋体" w:cs="Times New Roman"/>
          <w:color w:val="auto"/>
          <w:sz w:val="24"/>
          <w:szCs w:val="20"/>
          <w:lang w:eastAsia="zh-CN"/>
        </w:rPr>
        <w:t>外购原料玉米粒中含有碎玉米、</w:t>
      </w:r>
      <w:r>
        <w:rPr>
          <w:rFonts w:hint="default" w:ascii="Times New Roman" w:hAnsi="Times New Roman" w:eastAsia="宋体" w:cs="Times New Roman"/>
          <w:color w:val="auto"/>
          <w:sz w:val="24"/>
          <w:szCs w:val="20"/>
        </w:rPr>
        <w:t>皮屑</w:t>
      </w:r>
      <w:r>
        <w:rPr>
          <w:rFonts w:hint="default" w:ascii="Times New Roman" w:hAnsi="Times New Roman" w:eastAsia="宋体" w:cs="Times New Roman"/>
          <w:color w:val="auto"/>
          <w:sz w:val="24"/>
          <w:szCs w:val="20"/>
          <w:lang w:eastAsia="zh-CN"/>
        </w:rPr>
        <w:t>等杂质，首先需要进行筛分去除杂质。</w:t>
      </w:r>
      <w:r>
        <w:rPr>
          <w:rFonts w:hint="default" w:ascii="Times New Roman" w:hAnsi="Times New Roman" w:eastAsia="宋体" w:cs="Times New Roman"/>
          <w:color w:val="auto"/>
          <w:sz w:val="24"/>
          <w:szCs w:val="20"/>
          <w:lang w:val="en-US" w:eastAsia="zh-CN"/>
        </w:rPr>
        <w:t>采用装载机将</w:t>
      </w:r>
      <w:r>
        <w:rPr>
          <w:rFonts w:hint="default" w:ascii="Times New Roman" w:hAnsi="Times New Roman" w:eastAsia="宋体" w:cs="Times New Roman"/>
          <w:color w:val="auto"/>
          <w:sz w:val="24"/>
          <w:szCs w:val="20"/>
          <w:lang w:eastAsia="zh-CN"/>
        </w:rPr>
        <w:t>晾晒平台的原料玉米粒卸入露天的卸料坑（三面设置围挡）内，再经提升机（全封闭外罩）输送至玉米烘前仓内，</w:t>
      </w:r>
      <w:r>
        <w:rPr>
          <w:rFonts w:hint="default" w:ascii="Times New Roman" w:hAnsi="Times New Roman" w:eastAsia="宋体" w:cs="Times New Roman"/>
          <w:color w:val="auto"/>
          <w:sz w:val="24"/>
          <w:szCs w:val="20"/>
          <w:lang w:val="en-US" w:eastAsia="zh-CN"/>
        </w:rPr>
        <w:t>再经</w:t>
      </w:r>
      <w:r>
        <w:rPr>
          <w:rFonts w:hint="default" w:ascii="Times New Roman" w:hAnsi="Times New Roman" w:eastAsia="宋体" w:cs="Times New Roman"/>
          <w:color w:val="auto"/>
          <w:sz w:val="24"/>
          <w:szCs w:val="20"/>
        </w:rPr>
        <w:t>提升机</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全封闭</w:t>
      </w:r>
      <w:r>
        <w:rPr>
          <w:rFonts w:hint="default" w:ascii="Times New Roman" w:hAnsi="Times New Roman" w:eastAsia="宋体" w:cs="Times New Roman"/>
          <w:color w:val="auto"/>
          <w:sz w:val="24"/>
          <w:szCs w:val="20"/>
          <w:lang w:eastAsia="zh-CN"/>
        </w:rPr>
        <w:t>外罩）</w:t>
      </w:r>
      <w:r>
        <w:rPr>
          <w:rFonts w:hint="default" w:ascii="Times New Roman" w:hAnsi="Times New Roman" w:eastAsia="宋体" w:cs="Times New Roman"/>
          <w:color w:val="auto"/>
          <w:sz w:val="24"/>
          <w:szCs w:val="20"/>
          <w:lang w:val="en-US" w:eastAsia="zh-CN"/>
        </w:rPr>
        <w:t>输</w:t>
      </w:r>
      <w:r>
        <w:rPr>
          <w:rFonts w:hint="default" w:ascii="Times New Roman" w:hAnsi="Times New Roman" w:eastAsia="宋体" w:cs="Times New Roman"/>
          <w:color w:val="auto"/>
          <w:sz w:val="24"/>
          <w:szCs w:val="20"/>
        </w:rPr>
        <w:t>送</w:t>
      </w:r>
      <w:r>
        <w:rPr>
          <w:rFonts w:hint="default" w:ascii="Times New Roman" w:hAnsi="Times New Roman" w:eastAsia="宋体" w:cs="Times New Roman"/>
          <w:color w:val="auto"/>
          <w:sz w:val="24"/>
          <w:szCs w:val="20"/>
          <w:lang w:eastAsia="zh-CN"/>
        </w:rPr>
        <w:t>至初清筛（</w:t>
      </w:r>
      <w:r>
        <w:rPr>
          <w:rFonts w:hint="default" w:ascii="Times New Roman" w:hAnsi="Times New Roman" w:eastAsia="宋体" w:cs="Times New Roman"/>
          <w:color w:val="auto"/>
          <w:sz w:val="24"/>
          <w:szCs w:val="20"/>
        </w:rPr>
        <w:t>全封闭</w:t>
      </w:r>
      <w:r>
        <w:rPr>
          <w:rFonts w:hint="default" w:ascii="Times New Roman" w:hAnsi="Times New Roman" w:eastAsia="宋体" w:cs="Times New Roman"/>
          <w:color w:val="auto"/>
          <w:sz w:val="24"/>
          <w:szCs w:val="20"/>
          <w:lang w:eastAsia="zh-CN"/>
        </w:rPr>
        <w:t>外罩）</w:t>
      </w:r>
      <w:r>
        <w:rPr>
          <w:rFonts w:hint="default" w:ascii="Times New Roman" w:hAnsi="Times New Roman" w:eastAsia="宋体" w:cs="Times New Roman"/>
          <w:color w:val="auto"/>
          <w:sz w:val="24"/>
          <w:szCs w:val="20"/>
        </w:rPr>
        <w:t>进行筛分，</w:t>
      </w:r>
      <w:r>
        <w:rPr>
          <w:rFonts w:hint="default" w:ascii="Times New Roman" w:hAnsi="Times New Roman" w:eastAsia="宋体" w:cs="Times New Roman"/>
          <w:color w:val="auto"/>
          <w:sz w:val="24"/>
          <w:szCs w:val="20"/>
          <w:lang w:eastAsia="zh-CN"/>
        </w:rPr>
        <w:t>初清筛四周设置</w:t>
      </w:r>
      <w:r>
        <w:rPr>
          <w:rFonts w:hint="default" w:ascii="Times New Roman" w:hAnsi="Times New Roman" w:eastAsia="宋体" w:cs="Times New Roman"/>
          <w:color w:val="auto"/>
          <w:sz w:val="24"/>
          <w:szCs w:val="20"/>
        </w:rPr>
        <w:t>围挡</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筛下的碎玉米、皮屑等外售养殖户作牲畜饲料</w:t>
      </w:r>
      <w:r>
        <w:rPr>
          <w:rFonts w:hint="default" w:ascii="Times New Roman" w:hAnsi="Times New Roman" w:eastAsia="宋体" w:cs="Times New Roman"/>
          <w:color w:val="auto"/>
          <w:sz w:val="24"/>
          <w:szCs w:val="20"/>
          <w:lang w:eastAsia="zh-CN"/>
        </w:rPr>
        <w:t>；筛上玉米粒</w:t>
      </w:r>
      <w:r>
        <w:rPr>
          <w:rFonts w:hint="default" w:ascii="Times New Roman" w:hAnsi="Times New Roman" w:eastAsia="宋体" w:cs="Times New Roman"/>
          <w:color w:val="auto"/>
          <w:sz w:val="24"/>
          <w:szCs w:val="20"/>
        </w:rPr>
        <w:t>由提升机</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全封闭</w:t>
      </w:r>
      <w:r>
        <w:rPr>
          <w:rFonts w:hint="default" w:ascii="Times New Roman" w:hAnsi="Times New Roman" w:eastAsia="宋体" w:cs="Times New Roman"/>
          <w:color w:val="auto"/>
          <w:sz w:val="24"/>
          <w:szCs w:val="20"/>
          <w:lang w:eastAsia="zh-CN"/>
        </w:rPr>
        <w:t>外罩）</w:t>
      </w:r>
      <w:r>
        <w:rPr>
          <w:rFonts w:hint="default" w:ascii="Times New Roman" w:hAnsi="Times New Roman" w:eastAsia="宋体" w:cs="Times New Roman"/>
          <w:color w:val="auto"/>
          <w:sz w:val="24"/>
          <w:szCs w:val="20"/>
          <w:lang w:val="en-US" w:eastAsia="zh-CN"/>
        </w:rPr>
        <w:t>输</w:t>
      </w:r>
      <w:r>
        <w:rPr>
          <w:rFonts w:hint="default" w:ascii="Times New Roman" w:hAnsi="Times New Roman" w:eastAsia="宋体" w:cs="Times New Roman"/>
          <w:color w:val="auto"/>
          <w:sz w:val="24"/>
          <w:szCs w:val="20"/>
        </w:rPr>
        <w:t>送</w:t>
      </w:r>
      <w:r>
        <w:rPr>
          <w:rFonts w:hint="default" w:ascii="Times New Roman" w:hAnsi="Times New Roman" w:eastAsia="宋体" w:cs="Times New Roman"/>
          <w:color w:val="auto"/>
          <w:sz w:val="24"/>
          <w:szCs w:val="20"/>
          <w:lang w:eastAsia="zh-CN"/>
        </w:rPr>
        <w:t>至</w:t>
      </w:r>
      <w:r>
        <w:rPr>
          <w:rFonts w:hint="default" w:ascii="Times New Roman" w:hAnsi="Times New Roman" w:eastAsia="宋体" w:cs="Times New Roman"/>
          <w:color w:val="auto"/>
          <w:sz w:val="24"/>
          <w:szCs w:val="24"/>
          <w:lang w:val="en-US" w:eastAsia="zh-CN"/>
        </w:rPr>
        <w:t>烘</w:t>
      </w:r>
      <w:r>
        <w:rPr>
          <w:rFonts w:hint="default" w:ascii="Times New Roman" w:hAnsi="Times New Roman" w:eastAsia="宋体" w:cs="Times New Roman"/>
          <w:color w:val="auto"/>
          <w:sz w:val="24"/>
          <w:szCs w:val="24"/>
        </w:rPr>
        <w:t>干塔</w:t>
      </w:r>
      <w:r>
        <w:rPr>
          <w:rFonts w:hint="default" w:ascii="Times New Roman" w:hAnsi="Times New Roman" w:eastAsia="宋体" w:cs="Times New Roman"/>
          <w:color w:val="auto"/>
          <w:sz w:val="24"/>
          <w:szCs w:val="20"/>
        </w:rPr>
        <w:t>进行烘干</w:t>
      </w:r>
      <w:r>
        <w:rPr>
          <w:rFonts w:hint="default" w:ascii="Times New Roman" w:hAnsi="Times New Roman" w:eastAsia="宋体" w:cs="Times New Roman"/>
          <w:color w:val="auto"/>
          <w:sz w:val="24"/>
          <w:szCs w:val="20"/>
          <w:lang w:eastAsia="zh-CN"/>
        </w:rPr>
        <w:t>。</w:t>
      </w:r>
    </w:p>
    <w:p w14:paraId="1DC82586">
      <w:pPr>
        <w:keepNext w:val="0"/>
        <w:keepLines w:val="0"/>
        <w:suppressLineNumbers w:val="0"/>
        <w:shd w:val="clea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0"/>
          <w:lang w:eastAsia="zh-CN"/>
        </w:rPr>
      </w:pPr>
      <w:r>
        <w:rPr>
          <w:rFonts w:hint="default" w:ascii="Times New Roman" w:hAnsi="Times New Roman" w:eastAsia="宋体" w:cs="Times New Roman"/>
          <w:color w:val="auto"/>
          <w:sz w:val="24"/>
          <w:szCs w:val="20"/>
        </w:rPr>
        <w:t>烘干后的</w:t>
      </w:r>
      <w:r>
        <w:rPr>
          <w:rFonts w:hint="default" w:ascii="Times New Roman" w:hAnsi="Times New Roman" w:eastAsia="宋体" w:cs="Times New Roman"/>
          <w:color w:val="auto"/>
          <w:sz w:val="24"/>
          <w:szCs w:val="20"/>
          <w:lang w:eastAsia="zh-CN"/>
        </w:rPr>
        <w:t>玉米粒（</w:t>
      </w:r>
      <w:r>
        <w:rPr>
          <w:rFonts w:hint="default" w:ascii="Times New Roman" w:hAnsi="Times New Roman" w:eastAsia="宋体" w:cs="Times New Roman"/>
          <w:color w:val="auto"/>
          <w:sz w:val="24"/>
          <w:szCs w:val="20"/>
        </w:rPr>
        <w:t>水分</w:t>
      </w:r>
      <w:r>
        <w:rPr>
          <w:rFonts w:hint="default" w:ascii="Times New Roman" w:hAnsi="Times New Roman" w:eastAsia="宋体" w:cs="Times New Roman"/>
          <w:color w:val="auto"/>
          <w:sz w:val="24"/>
          <w:szCs w:val="20"/>
          <w:lang w:eastAsia="zh-CN"/>
        </w:rPr>
        <w:t>通</w:t>
      </w:r>
      <w:r>
        <w:rPr>
          <w:rFonts w:hint="default" w:ascii="Times New Roman" w:hAnsi="Times New Roman" w:eastAsia="宋体" w:cs="Times New Roman"/>
          <w:color w:val="auto"/>
          <w:sz w:val="24"/>
          <w:szCs w:val="20"/>
        </w:rPr>
        <w:t>常</w:t>
      </w:r>
      <w:r>
        <w:rPr>
          <w:rFonts w:hint="default" w:ascii="Times New Roman" w:hAnsi="Times New Roman" w:eastAsia="宋体" w:cs="Times New Roman"/>
          <w:color w:val="auto"/>
          <w:sz w:val="24"/>
          <w:szCs w:val="20"/>
          <w:lang w:eastAsia="zh-CN"/>
        </w:rPr>
        <w:t>为</w:t>
      </w:r>
      <w:r>
        <w:rPr>
          <w:rFonts w:hint="default" w:ascii="Times New Roman" w:hAnsi="Times New Roman" w:eastAsia="宋体" w:cs="Times New Roman"/>
          <w:color w:val="auto"/>
          <w:sz w:val="24"/>
          <w:szCs w:val="20"/>
          <w:lang w:val="en-US" w:eastAsia="zh-CN"/>
        </w:rPr>
        <w:t>14</w:t>
      </w:r>
      <w:r>
        <w:rPr>
          <w:rFonts w:hint="default" w:ascii="Times New Roman" w:hAnsi="Times New Roman" w:eastAsia="宋体" w:cs="Times New Roman"/>
          <w:color w:val="auto"/>
          <w:sz w:val="24"/>
          <w:szCs w:val="20"/>
        </w:rPr>
        <w:t>%</w:t>
      </w:r>
      <w:r>
        <w:rPr>
          <w:rFonts w:hint="default"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由全封闭皮带输送机输送到</w:t>
      </w:r>
      <w:r>
        <w:rPr>
          <w:rFonts w:hint="default" w:ascii="Times New Roman" w:hAnsi="Times New Roman" w:eastAsia="宋体" w:cs="Times New Roman"/>
          <w:color w:val="auto"/>
          <w:sz w:val="24"/>
          <w:lang w:eastAsia="zh-CN"/>
        </w:rPr>
        <w:t>干粮库</w:t>
      </w:r>
      <w:r>
        <w:rPr>
          <w:rFonts w:hint="default" w:ascii="Times New Roman" w:hAnsi="Times New Roman" w:eastAsia="宋体" w:cs="Times New Roman"/>
          <w:color w:val="auto"/>
          <w:sz w:val="24"/>
          <w:szCs w:val="20"/>
          <w:lang w:eastAsia="zh-CN"/>
        </w:rPr>
        <w:t>内</w:t>
      </w:r>
      <w:r>
        <w:rPr>
          <w:rFonts w:hint="default" w:ascii="Times New Roman" w:hAnsi="Times New Roman" w:eastAsia="宋体" w:cs="Times New Roman"/>
          <w:color w:val="auto"/>
          <w:sz w:val="24"/>
          <w:szCs w:val="20"/>
        </w:rPr>
        <w:t>储存，装车外售</w:t>
      </w:r>
      <w:r>
        <w:rPr>
          <w:rFonts w:hint="default" w:ascii="Times New Roman" w:hAnsi="Times New Roman" w:eastAsia="宋体" w:cs="Times New Roman"/>
          <w:color w:val="auto"/>
          <w:sz w:val="24"/>
          <w:szCs w:val="20"/>
          <w:lang w:eastAsia="zh-CN"/>
        </w:rPr>
        <w:t>。</w:t>
      </w:r>
    </w:p>
    <w:p w14:paraId="52878BB4">
      <w:pPr>
        <w:keepNext w:val="0"/>
        <w:keepLines w:val="0"/>
        <w:suppressLineNumbers w:val="0"/>
        <w:shd w:val="clear"/>
        <w:spacing w:before="0" w:beforeAutospacing="0" w:after="0" w:afterAutospacing="0" w:line="360" w:lineRule="auto"/>
        <w:ind w:left="0" w:leftChars="0" w:right="0" w:firstLine="0" w:firstLineChars="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object>
          <v:shape id="_x0000_i1031" o:spt="75" type="#_x0000_t75" style="height:517.65pt;width:413.85pt;" o:ole="t" filled="f" o:preferrelative="t" stroked="f" coordsize="21600,21600">
            <v:path/>
            <v:fill on="f" focussize="0,0"/>
            <v:stroke on="f"/>
            <v:imagedata r:id="rId34" o:title=""/>
            <o:lock v:ext="edit" aspectratio="t"/>
            <w10:wrap type="none"/>
            <w10:anchorlock/>
          </v:shape>
          <o:OLEObject Type="Embed" ProgID="Visio.Drawing.11" ShapeID="_x0000_i1031" DrawAspect="Content" ObjectID="_1468075731" r:id="rId33">
            <o:LockedField>false</o:LockedField>
          </o:OLEObject>
        </w:object>
      </w:r>
      <w:r>
        <w:rPr>
          <w:rFonts w:hint="default" w:ascii="Times New Roman" w:hAnsi="Times New Roman" w:eastAsia="宋体" w:cs="Times New Roman"/>
          <w:b/>
          <w:bCs/>
          <w:color w:val="auto"/>
          <w:kern w:val="2"/>
          <w:sz w:val="24"/>
          <w:szCs w:val="22"/>
          <w:highlight w:val="none"/>
        </w:rPr>
        <w:t>图</w:t>
      </w:r>
      <w:r>
        <w:rPr>
          <w:rFonts w:hint="default" w:ascii="Times New Roman" w:hAnsi="Times New Roman" w:eastAsia="宋体" w:cs="Times New Roman"/>
          <w:b/>
          <w:bCs/>
          <w:color w:val="auto"/>
          <w:kern w:val="2"/>
          <w:sz w:val="24"/>
          <w:szCs w:val="22"/>
          <w:highlight w:val="none"/>
          <w:lang w:val="en-US" w:eastAsia="zh-CN"/>
        </w:rPr>
        <w:t>2</w:t>
      </w:r>
      <w:r>
        <w:rPr>
          <w:rFonts w:hint="default" w:ascii="Times New Roman" w:hAnsi="Times New Roman" w:eastAsia="宋体" w:cs="Times New Roman"/>
          <w:b/>
          <w:bCs/>
          <w:color w:val="auto"/>
          <w:kern w:val="2"/>
          <w:sz w:val="24"/>
          <w:szCs w:val="22"/>
          <w:highlight w:val="none"/>
          <w:lang w:val="en-US" w:eastAsia="zh-CN"/>
        </w:rPr>
        <w:t>.3</w:t>
      </w:r>
      <w:r>
        <w:rPr>
          <w:rFonts w:hint="default" w:ascii="Times New Roman" w:hAnsi="Times New Roman" w:eastAsia="宋体" w:cs="Times New Roman"/>
          <w:b/>
          <w:bCs/>
          <w:color w:val="auto"/>
          <w:kern w:val="2"/>
          <w:sz w:val="24"/>
          <w:szCs w:val="22"/>
          <w:highlight w:val="none"/>
          <w:lang w:val="en-US" w:eastAsia="zh-CN"/>
        </w:rPr>
        <w:t>-</w:t>
      </w:r>
      <w:r>
        <w:rPr>
          <w:rFonts w:hint="default" w:ascii="Times New Roman" w:hAnsi="Times New Roman" w:eastAsia="宋体" w:cs="Times New Roman"/>
          <w:b/>
          <w:bCs/>
          <w:color w:val="auto"/>
          <w:kern w:val="2"/>
          <w:sz w:val="24"/>
          <w:szCs w:val="22"/>
          <w:highlight w:val="none"/>
          <w:lang w:val="en-US" w:eastAsia="zh-CN"/>
        </w:rPr>
        <w:t>5</w:t>
      </w:r>
      <w:r>
        <w:rPr>
          <w:rFonts w:hint="default" w:ascii="Times New Roman" w:hAnsi="Times New Roman" w:eastAsia="宋体" w:cs="Times New Roman"/>
          <w:b/>
          <w:bCs/>
          <w:color w:val="auto"/>
          <w:kern w:val="2"/>
          <w:sz w:val="24"/>
          <w:szCs w:val="22"/>
          <w:highlight w:val="none"/>
        </w:rPr>
        <w:t xml:space="preserve">   玉米粒烘干线生产工艺流程图与产污节点图</w:t>
      </w:r>
    </w:p>
    <w:p w14:paraId="0AEF67A7">
      <w:pPr>
        <w:keepNext w:val="0"/>
        <w:keepLines w:val="0"/>
        <w:pageBreakBefore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根据项目流程及建设内容可知，项目主要污染物见下表。</w:t>
      </w:r>
    </w:p>
    <w:p w14:paraId="4A75474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表3.2-</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项目排污环节分析一览表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8"/>
        <w:gridCol w:w="468"/>
        <w:gridCol w:w="1177"/>
        <w:gridCol w:w="1177"/>
        <w:gridCol w:w="4987"/>
      </w:tblGrid>
      <w:tr w14:paraId="00A35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tcBorders>
              <w:top w:val="single" w:color="auto" w:sz="4" w:space="0"/>
              <w:left w:val="single" w:color="auto" w:sz="4" w:space="0"/>
            </w:tcBorders>
            <w:tcMar>
              <w:left w:w="28" w:type="dxa"/>
              <w:right w:w="28" w:type="dxa"/>
            </w:tcMar>
            <w:vAlign w:val="center"/>
          </w:tcPr>
          <w:p w14:paraId="7FD8C8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468" w:type="dxa"/>
            <w:tcBorders>
              <w:top w:val="single" w:color="auto" w:sz="4" w:space="0"/>
            </w:tcBorders>
            <w:tcMar>
              <w:left w:w="28" w:type="dxa"/>
              <w:right w:w="28" w:type="dxa"/>
            </w:tcMar>
            <w:vAlign w:val="center"/>
          </w:tcPr>
          <w:p w14:paraId="75FBCC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编号</w:t>
            </w:r>
          </w:p>
        </w:tc>
        <w:tc>
          <w:tcPr>
            <w:tcW w:w="1177" w:type="dxa"/>
            <w:tcBorders>
              <w:top w:val="single" w:color="auto" w:sz="4" w:space="0"/>
            </w:tcBorders>
            <w:tcMar>
              <w:left w:w="28" w:type="dxa"/>
              <w:right w:w="28" w:type="dxa"/>
            </w:tcMar>
            <w:vAlign w:val="center"/>
          </w:tcPr>
          <w:p w14:paraId="4021C4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污染工序</w:t>
            </w:r>
          </w:p>
        </w:tc>
        <w:tc>
          <w:tcPr>
            <w:tcW w:w="1177" w:type="dxa"/>
            <w:tcBorders>
              <w:top w:val="single" w:color="auto" w:sz="4" w:space="0"/>
            </w:tcBorders>
            <w:tcMar>
              <w:left w:w="28" w:type="dxa"/>
              <w:right w:w="28" w:type="dxa"/>
            </w:tcMar>
            <w:vAlign w:val="center"/>
          </w:tcPr>
          <w:p w14:paraId="46B992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主要污染物</w:t>
            </w:r>
          </w:p>
        </w:tc>
        <w:tc>
          <w:tcPr>
            <w:tcW w:w="4987" w:type="dxa"/>
            <w:tcBorders>
              <w:top w:val="single" w:color="auto" w:sz="4" w:space="0"/>
              <w:right w:val="single" w:color="auto" w:sz="4" w:space="0"/>
            </w:tcBorders>
            <w:tcMar>
              <w:left w:w="28" w:type="dxa"/>
              <w:right w:w="28" w:type="dxa"/>
            </w:tcMar>
            <w:vAlign w:val="center"/>
          </w:tcPr>
          <w:p w14:paraId="0D74BB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处理措施/去向</w:t>
            </w:r>
          </w:p>
        </w:tc>
      </w:tr>
      <w:tr w14:paraId="5197B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restart"/>
            <w:tcBorders>
              <w:left w:val="single" w:color="auto" w:sz="4" w:space="0"/>
            </w:tcBorders>
            <w:tcMar>
              <w:left w:w="28" w:type="dxa"/>
              <w:right w:w="28" w:type="dxa"/>
            </w:tcMar>
            <w:vAlign w:val="center"/>
          </w:tcPr>
          <w:p w14:paraId="2AA700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468" w:type="dxa"/>
            <w:tcMar>
              <w:left w:w="28" w:type="dxa"/>
              <w:right w:w="28" w:type="dxa"/>
            </w:tcMar>
            <w:vAlign w:val="center"/>
          </w:tcPr>
          <w:p w14:paraId="175386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1</w:t>
            </w:r>
          </w:p>
        </w:tc>
        <w:tc>
          <w:tcPr>
            <w:tcW w:w="1177" w:type="dxa"/>
            <w:tcMar>
              <w:left w:w="28" w:type="dxa"/>
              <w:right w:w="28" w:type="dxa"/>
            </w:tcMar>
            <w:vAlign w:val="center"/>
          </w:tcPr>
          <w:p w14:paraId="2BF7DD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羊圈</w:t>
            </w:r>
          </w:p>
        </w:tc>
        <w:tc>
          <w:tcPr>
            <w:tcW w:w="1177" w:type="dxa"/>
            <w:tcMar>
              <w:left w:w="28" w:type="dxa"/>
              <w:right w:w="28" w:type="dxa"/>
            </w:tcMar>
            <w:vAlign w:val="center"/>
          </w:tcPr>
          <w:p w14:paraId="08AB80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氨、硫化氢</w:t>
            </w:r>
            <w:r>
              <w:rPr>
                <w:rFonts w:hint="default" w:ascii="Times New Roman" w:hAnsi="Times New Roman" w:eastAsia="宋体" w:cs="Times New Roman"/>
                <w:color w:val="auto"/>
                <w:sz w:val="21"/>
                <w:szCs w:val="21"/>
                <w:highlight w:val="none"/>
              </w:rPr>
              <w:t>、臭气浓度</w:t>
            </w:r>
          </w:p>
        </w:tc>
        <w:tc>
          <w:tcPr>
            <w:tcW w:w="4987" w:type="dxa"/>
            <w:tcBorders>
              <w:right w:val="single" w:color="auto" w:sz="4" w:space="0"/>
            </w:tcBorders>
            <w:tcMar>
              <w:left w:w="28" w:type="dxa"/>
              <w:right w:w="28" w:type="dxa"/>
            </w:tcMar>
            <w:vAlign w:val="center"/>
          </w:tcPr>
          <w:p w14:paraId="7E388F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FF0000"/>
                <w:kern w:val="0"/>
                <w:sz w:val="21"/>
                <w:szCs w:val="21"/>
                <w:highlight w:val="none"/>
                <w:lang w:val="en-US" w:eastAsia="zh-CN" w:bidi="ar"/>
              </w:rPr>
              <w:t>添加EM菌剂、合理搭配饲料</w:t>
            </w:r>
            <w:r>
              <w:rPr>
                <w:rFonts w:hint="default" w:ascii="Times New Roman" w:hAnsi="Times New Roman" w:eastAsia="宋体" w:cs="Times New Roman"/>
                <w:color w:val="FF0000"/>
                <w:kern w:val="0"/>
                <w:sz w:val="21"/>
                <w:szCs w:val="21"/>
                <w:highlight w:val="none"/>
                <w:lang w:val="en-US" w:eastAsia="zh-CN" w:bidi="ar"/>
              </w:rPr>
              <w:t>、</w:t>
            </w:r>
            <w:r>
              <w:rPr>
                <w:rFonts w:hint="default" w:ascii="Times New Roman" w:hAnsi="Times New Roman" w:eastAsia="宋体" w:cs="Times New Roman"/>
                <w:color w:val="FF0000"/>
                <w:kern w:val="0"/>
                <w:sz w:val="21"/>
                <w:szCs w:val="21"/>
                <w:highlight w:val="none"/>
                <w:lang w:val="en-US" w:eastAsia="zh-CN" w:bidi="ar"/>
              </w:rPr>
              <w:t>喷洒除臭剂、加强通风、羊圈之间设置绿化防护带</w:t>
            </w:r>
          </w:p>
        </w:tc>
      </w:tr>
      <w:tr w14:paraId="36B5C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71B12B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315E6C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2</w:t>
            </w:r>
          </w:p>
        </w:tc>
        <w:tc>
          <w:tcPr>
            <w:tcW w:w="1177" w:type="dxa"/>
            <w:tcMar>
              <w:left w:w="28" w:type="dxa"/>
              <w:right w:w="28" w:type="dxa"/>
            </w:tcMar>
            <w:vAlign w:val="center"/>
          </w:tcPr>
          <w:p w14:paraId="75B3D9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堆肥场</w:t>
            </w:r>
          </w:p>
        </w:tc>
        <w:tc>
          <w:tcPr>
            <w:tcW w:w="1177" w:type="dxa"/>
            <w:tcMar>
              <w:left w:w="28" w:type="dxa"/>
              <w:right w:w="28" w:type="dxa"/>
            </w:tcMar>
            <w:vAlign w:val="center"/>
          </w:tcPr>
          <w:p w14:paraId="5750D6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氨、硫化氢</w:t>
            </w:r>
            <w:r>
              <w:rPr>
                <w:rFonts w:hint="default" w:ascii="Times New Roman" w:hAnsi="Times New Roman" w:eastAsia="宋体" w:cs="Times New Roman"/>
                <w:color w:val="auto"/>
                <w:sz w:val="21"/>
                <w:szCs w:val="21"/>
                <w:highlight w:val="none"/>
              </w:rPr>
              <w:t>、臭气浓度</w:t>
            </w:r>
          </w:p>
        </w:tc>
        <w:tc>
          <w:tcPr>
            <w:tcW w:w="4987" w:type="dxa"/>
            <w:tcBorders>
              <w:right w:val="single" w:color="auto" w:sz="4" w:space="0"/>
            </w:tcBorders>
            <w:tcMar>
              <w:left w:w="28" w:type="dxa"/>
              <w:right w:w="28" w:type="dxa"/>
            </w:tcMar>
            <w:vAlign w:val="center"/>
          </w:tcPr>
          <w:p w14:paraId="5356E6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FF0000"/>
                <w:kern w:val="0"/>
                <w:sz w:val="21"/>
                <w:szCs w:val="21"/>
                <w:highlight w:val="none"/>
                <w:lang w:val="en-US" w:eastAsia="zh-CN" w:bidi="ar"/>
              </w:rPr>
              <w:t>喷洒除臭剂、四周进行绿化</w:t>
            </w:r>
          </w:p>
        </w:tc>
      </w:tr>
      <w:tr w14:paraId="35CD4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2D92BB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6C3019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3</w:t>
            </w:r>
          </w:p>
        </w:tc>
        <w:tc>
          <w:tcPr>
            <w:tcW w:w="1177" w:type="dxa"/>
            <w:shd w:val="clear" w:color="auto" w:fill="auto"/>
            <w:tcMar>
              <w:left w:w="28" w:type="dxa"/>
              <w:right w:w="28" w:type="dxa"/>
            </w:tcMar>
            <w:vAlign w:val="center"/>
          </w:tcPr>
          <w:p w14:paraId="37DA414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日粮搅拌车间</w:t>
            </w:r>
          </w:p>
        </w:tc>
        <w:tc>
          <w:tcPr>
            <w:tcW w:w="1177" w:type="dxa"/>
            <w:tcMar>
              <w:left w:w="28" w:type="dxa"/>
              <w:right w:w="28" w:type="dxa"/>
            </w:tcMar>
            <w:vAlign w:val="center"/>
          </w:tcPr>
          <w:p w14:paraId="5D7B51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w:t>
            </w:r>
          </w:p>
        </w:tc>
        <w:tc>
          <w:tcPr>
            <w:tcW w:w="4987" w:type="dxa"/>
            <w:tcBorders>
              <w:right w:val="single" w:color="auto" w:sz="4" w:space="0"/>
            </w:tcBorders>
            <w:shd w:val="clear" w:color="auto" w:fill="auto"/>
            <w:tcMar>
              <w:left w:w="28" w:type="dxa"/>
              <w:right w:w="28" w:type="dxa"/>
            </w:tcMar>
            <w:vAlign w:val="center"/>
          </w:tcPr>
          <w:p w14:paraId="665477B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420" w:firstLineChars="200"/>
              <w:jc w:val="left"/>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日粮搅拌车间</w:t>
            </w:r>
            <w:r>
              <w:rPr>
                <w:rFonts w:hint="default" w:ascii="Times New Roman" w:hAnsi="Times New Roman" w:eastAsia="宋体" w:cs="Times New Roman"/>
                <w:color w:val="FF0000"/>
                <w:sz w:val="21"/>
                <w:szCs w:val="21"/>
                <w:highlight w:val="none"/>
              </w:rPr>
              <w:t>密闭</w:t>
            </w:r>
            <w:r>
              <w:rPr>
                <w:rFonts w:hint="default" w:ascii="Times New Roman" w:hAnsi="Times New Roman" w:eastAsia="宋体" w:cs="Times New Roman"/>
                <w:color w:val="FF0000"/>
                <w:sz w:val="21"/>
                <w:szCs w:val="21"/>
                <w:highlight w:val="none"/>
                <w:lang w:eastAsia="zh-CN"/>
              </w:rPr>
              <w:t>设置</w:t>
            </w:r>
            <w:r>
              <w:rPr>
                <w:rFonts w:hint="default" w:ascii="Times New Roman" w:hAnsi="Times New Roman" w:eastAsia="宋体" w:cs="Times New Roman"/>
                <w:color w:val="FF0000"/>
                <w:sz w:val="21"/>
                <w:szCs w:val="21"/>
                <w:highlight w:val="none"/>
                <w:lang w:eastAsia="zh-CN"/>
              </w:rPr>
              <w:t>、洒水抑尘</w:t>
            </w:r>
          </w:p>
        </w:tc>
      </w:tr>
      <w:tr w14:paraId="6ED34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1A99C1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49AF4F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4</w:t>
            </w:r>
          </w:p>
        </w:tc>
        <w:tc>
          <w:tcPr>
            <w:tcW w:w="1177" w:type="dxa"/>
            <w:shd w:val="clear" w:color="auto" w:fill="auto"/>
            <w:tcMar>
              <w:left w:w="28" w:type="dxa"/>
              <w:right w:w="28" w:type="dxa"/>
            </w:tcMar>
            <w:vAlign w:val="center"/>
          </w:tcPr>
          <w:p w14:paraId="19701FE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造粒车间</w:t>
            </w:r>
          </w:p>
        </w:tc>
        <w:tc>
          <w:tcPr>
            <w:tcW w:w="1177" w:type="dxa"/>
            <w:tcMar>
              <w:left w:w="28" w:type="dxa"/>
              <w:right w:w="28" w:type="dxa"/>
            </w:tcMar>
            <w:vAlign w:val="center"/>
          </w:tcPr>
          <w:p w14:paraId="2726C7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颗粒物</w:t>
            </w:r>
          </w:p>
        </w:tc>
        <w:tc>
          <w:tcPr>
            <w:tcW w:w="4987" w:type="dxa"/>
            <w:tcBorders>
              <w:right w:val="single" w:color="auto" w:sz="4" w:space="0"/>
            </w:tcBorders>
            <w:shd w:val="clear" w:color="auto" w:fill="auto"/>
            <w:tcMar>
              <w:left w:w="28" w:type="dxa"/>
              <w:right w:w="28" w:type="dxa"/>
            </w:tcMar>
            <w:vAlign w:val="center"/>
          </w:tcPr>
          <w:p w14:paraId="275A99A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420" w:firstLineChars="200"/>
              <w:jc w:val="left"/>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全封闭设置、布袋除尘器</w:t>
            </w:r>
          </w:p>
        </w:tc>
      </w:tr>
      <w:tr w14:paraId="26658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613561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36C23D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5</w:t>
            </w:r>
          </w:p>
        </w:tc>
        <w:tc>
          <w:tcPr>
            <w:tcW w:w="1177" w:type="dxa"/>
            <w:shd w:val="clear" w:color="auto" w:fill="auto"/>
            <w:tcMar>
              <w:left w:w="28" w:type="dxa"/>
              <w:right w:w="28" w:type="dxa"/>
            </w:tcMar>
            <w:vAlign w:val="center"/>
          </w:tcPr>
          <w:p w14:paraId="085FCB8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玉米粒筛分</w:t>
            </w:r>
          </w:p>
        </w:tc>
        <w:tc>
          <w:tcPr>
            <w:tcW w:w="1177" w:type="dxa"/>
            <w:tcMar>
              <w:left w:w="28" w:type="dxa"/>
              <w:right w:w="28" w:type="dxa"/>
            </w:tcMar>
            <w:vAlign w:val="center"/>
          </w:tcPr>
          <w:p w14:paraId="6A20C4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颗粒物</w:t>
            </w:r>
          </w:p>
        </w:tc>
        <w:tc>
          <w:tcPr>
            <w:tcW w:w="4987" w:type="dxa"/>
            <w:tcBorders>
              <w:right w:val="single" w:color="auto" w:sz="4" w:space="0"/>
            </w:tcBorders>
            <w:shd w:val="clear" w:color="auto" w:fill="auto"/>
            <w:tcMar>
              <w:left w:w="28" w:type="dxa"/>
              <w:right w:w="28" w:type="dxa"/>
            </w:tcMar>
            <w:vAlign w:val="center"/>
          </w:tcPr>
          <w:p w14:paraId="6657A2E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420" w:firstLineChars="200"/>
              <w:jc w:val="left"/>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封闭外罩</w:t>
            </w:r>
          </w:p>
        </w:tc>
      </w:tr>
      <w:tr w14:paraId="7FF31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15C3C5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5041D3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6</w:t>
            </w:r>
          </w:p>
        </w:tc>
        <w:tc>
          <w:tcPr>
            <w:tcW w:w="1177" w:type="dxa"/>
            <w:tcMar>
              <w:left w:w="28" w:type="dxa"/>
              <w:right w:w="28" w:type="dxa"/>
            </w:tcMar>
            <w:vAlign w:val="center"/>
          </w:tcPr>
          <w:p w14:paraId="000F5A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FF0000"/>
                <w:sz w:val="21"/>
                <w:szCs w:val="21"/>
                <w:highlight w:val="none"/>
                <w:lang w:eastAsia="zh-CN"/>
              </w:rPr>
              <w:t>玉米粒烘干</w:t>
            </w:r>
          </w:p>
        </w:tc>
        <w:tc>
          <w:tcPr>
            <w:tcW w:w="1177" w:type="dxa"/>
            <w:tcMar>
              <w:left w:w="28" w:type="dxa"/>
              <w:right w:w="28" w:type="dxa"/>
            </w:tcMar>
            <w:vAlign w:val="center"/>
          </w:tcPr>
          <w:p w14:paraId="61C410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颗粒物</w:t>
            </w:r>
          </w:p>
        </w:tc>
        <w:tc>
          <w:tcPr>
            <w:tcW w:w="4987" w:type="dxa"/>
            <w:tcBorders>
              <w:right w:val="single" w:color="auto" w:sz="4" w:space="0"/>
            </w:tcBorders>
            <w:tcMar>
              <w:left w:w="28" w:type="dxa"/>
              <w:right w:w="28" w:type="dxa"/>
            </w:tcMar>
            <w:vAlign w:val="center"/>
          </w:tcPr>
          <w:p w14:paraId="7F0020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封闭外罩</w:t>
            </w:r>
          </w:p>
        </w:tc>
      </w:tr>
      <w:tr w14:paraId="6F60B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67E17A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shd w:val="clear" w:color="auto" w:fill="auto"/>
            <w:tcMar>
              <w:left w:w="28" w:type="dxa"/>
              <w:right w:w="28" w:type="dxa"/>
            </w:tcMar>
            <w:vAlign w:val="center"/>
          </w:tcPr>
          <w:p w14:paraId="68F0E1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z w:val="21"/>
                <w:szCs w:val="21"/>
                <w:highlight w:val="none"/>
                <w:lang w:val="en-US" w:eastAsia="zh-CN"/>
              </w:rPr>
              <w:t>7</w:t>
            </w:r>
          </w:p>
        </w:tc>
        <w:tc>
          <w:tcPr>
            <w:tcW w:w="1177" w:type="dxa"/>
            <w:shd w:val="clear" w:color="auto" w:fill="auto"/>
            <w:tcMar>
              <w:left w:w="28" w:type="dxa"/>
              <w:right w:w="28" w:type="dxa"/>
            </w:tcMar>
            <w:vAlign w:val="center"/>
          </w:tcPr>
          <w:p w14:paraId="61D764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生物质热风炉</w:t>
            </w:r>
            <w:r>
              <w:rPr>
                <w:rFonts w:hint="default" w:ascii="Times New Roman" w:hAnsi="Times New Roman" w:eastAsia="宋体" w:cs="Times New Roman"/>
                <w:color w:val="auto"/>
                <w:sz w:val="21"/>
                <w:szCs w:val="21"/>
                <w:highlight w:val="none"/>
                <w:lang w:val="en-US" w:eastAsia="zh-CN"/>
              </w:rPr>
              <w:t>废气</w:t>
            </w:r>
          </w:p>
        </w:tc>
        <w:tc>
          <w:tcPr>
            <w:tcW w:w="1177" w:type="dxa"/>
            <w:shd w:val="clear" w:color="auto" w:fill="auto"/>
            <w:tcMar>
              <w:left w:w="28" w:type="dxa"/>
              <w:right w:w="28" w:type="dxa"/>
            </w:tcMar>
            <w:vAlign w:val="center"/>
          </w:tcPr>
          <w:p w14:paraId="15C68ADD">
            <w:pPr>
              <w:keepNext w:val="0"/>
              <w:keepLines w:val="0"/>
              <w:pageBreakBefore w:val="0"/>
              <w:widowControl w:val="0"/>
              <w:suppressLineNumbers w:val="0"/>
              <w:shd w:val="clear"/>
              <w:kinsoku/>
              <w:wordWrap/>
              <w:overflowPunct/>
              <w:topLinePunct/>
              <w:autoSpaceDE w:val="0"/>
              <w:autoSpaceDN/>
              <w:bidi w:val="0"/>
              <w:adjustRightIn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颗粒物、二氧化硫、氮氧化物</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sz w:val="21"/>
                <w:szCs w:val="21"/>
                <w:highlight w:val="none"/>
                <w:lang w:eastAsia="zh-CN"/>
              </w:rPr>
              <w:t>汞</w:t>
            </w: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sz w:val="21"/>
                <w:szCs w:val="21"/>
                <w:highlight w:val="none"/>
                <w:lang w:eastAsia="zh-CN"/>
              </w:rPr>
              <w:t>烟气黑度</w:t>
            </w:r>
          </w:p>
        </w:tc>
        <w:tc>
          <w:tcPr>
            <w:tcW w:w="4987" w:type="dxa"/>
            <w:tcBorders>
              <w:right w:val="single" w:color="auto" w:sz="4" w:space="0"/>
            </w:tcBorders>
            <w:shd w:val="clear" w:color="auto" w:fill="auto"/>
            <w:tcMar>
              <w:left w:w="28" w:type="dxa"/>
              <w:right w:w="28" w:type="dxa"/>
            </w:tcMar>
            <w:vAlign w:val="center"/>
          </w:tcPr>
          <w:p w14:paraId="64E26A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val="en-US" w:eastAsia="zh-CN"/>
              </w:rPr>
              <w:t>布袋除尘器</w:t>
            </w:r>
            <w:r>
              <w:rPr>
                <w:rFonts w:hint="default" w:ascii="Times New Roman" w:hAnsi="Times New Roman" w:eastAsia="宋体" w:cs="Times New Roman"/>
                <w:color w:val="auto"/>
                <w:sz w:val="21"/>
                <w:szCs w:val="21"/>
                <w:highlight w:val="none"/>
                <w:lang w:val="en-US" w:eastAsia="zh-CN"/>
              </w:rPr>
              <w:t>处理后，由1根15m高排气筒（P1）排放</w:t>
            </w:r>
            <w:r>
              <w:rPr>
                <w:rFonts w:hint="default" w:ascii="Times New Roman" w:hAnsi="Times New Roman" w:eastAsia="宋体" w:cs="Times New Roman"/>
                <w:color w:val="auto"/>
                <w:sz w:val="21"/>
                <w:szCs w:val="21"/>
                <w:highlight w:val="none"/>
              </w:rPr>
              <w:t>。</w:t>
            </w:r>
          </w:p>
        </w:tc>
      </w:tr>
      <w:tr w14:paraId="7C088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tcBorders>
              <w:left w:val="single" w:color="auto" w:sz="4" w:space="0"/>
            </w:tcBorders>
            <w:tcMar>
              <w:left w:w="28" w:type="dxa"/>
              <w:right w:w="28" w:type="dxa"/>
            </w:tcMar>
            <w:vAlign w:val="center"/>
          </w:tcPr>
          <w:p w14:paraId="03D928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468" w:type="dxa"/>
            <w:tcMar>
              <w:left w:w="28" w:type="dxa"/>
              <w:right w:w="28" w:type="dxa"/>
            </w:tcMar>
            <w:vAlign w:val="center"/>
          </w:tcPr>
          <w:p w14:paraId="3C57E5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W1</w:t>
            </w:r>
          </w:p>
        </w:tc>
        <w:tc>
          <w:tcPr>
            <w:tcW w:w="1177" w:type="dxa"/>
            <w:tcMar>
              <w:left w:w="28" w:type="dxa"/>
              <w:right w:w="28" w:type="dxa"/>
            </w:tcMar>
            <w:vAlign w:val="center"/>
          </w:tcPr>
          <w:p w14:paraId="22D813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工作人员</w:t>
            </w:r>
          </w:p>
        </w:tc>
        <w:tc>
          <w:tcPr>
            <w:tcW w:w="1177" w:type="dxa"/>
            <w:tcMar>
              <w:left w:w="28" w:type="dxa"/>
              <w:right w:w="28" w:type="dxa"/>
            </w:tcMar>
            <w:vAlign w:val="center"/>
          </w:tcPr>
          <w:p w14:paraId="0895D2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生活污水</w:t>
            </w:r>
          </w:p>
        </w:tc>
        <w:tc>
          <w:tcPr>
            <w:tcW w:w="4987" w:type="dxa"/>
            <w:tcBorders>
              <w:right w:val="single" w:color="auto" w:sz="4" w:space="0"/>
            </w:tcBorders>
            <w:tcMar>
              <w:left w:w="28" w:type="dxa"/>
              <w:right w:w="28" w:type="dxa"/>
            </w:tcMar>
            <w:vAlign w:val="center"/>
          </w:tcPr>
          <w:p w14:paraId="31C189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eastAsia="zh-CN"/>
              </w:rPr>
              <w:t>经化粪池处理</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定期由当地环卫部门清运处置。</w:t>
            </w:r>
          </w:p>
        </w:tc>
      </w:tr>
      <w:tr w14:paraId="1360E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restart"/>
            <w:tcBorders>
              <w:left w:val="single" w:color="auto" w:sz="4" w:space="0"/>
            </w:tcBorders>
            <w:tcMar>
              <w:left w:w="28" w:type="dxa"/>
              <w:right w:w="28" w:type="dxa"/>
            </w:tcMar>
            <w:vAlign w:val="center"/>
          </w:tcPr>
          <w:p w14:paraId="467A58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468" w:type="dxa"/>
            <w:tcMar>
              <w:left w:w="28" w:type="dxa"/>
              <w:right w:w="28" w:type="dxa"/>
            </w:tcMar>
            <w:vAlign w:val="center"/>
          </w:tcPr>
          <w:p w14:paraId="2ABACD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S1</w:t>
            </w:r>
          </w:p>
        </w:tc>
        <w:tc>
          <w:tcPr>
            <w:tcW w:w="1177" w:type="dxa"/>
            <w:vMerge w:val="restart"/>
            <w:tcMar>
              <w:left w:w="28" w:type="dxa"/>
              <w:right w:w="28" w:type="dxa"/>
            </w:tcMar>
            <w:vAlign w:val="center"/>
          </w:tcPr>
          <w:p w14:paraId="0DD4A9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羊圈</w:t>
            </w:r>
          </w:p>
        </w:tc>
        <w:tc>
          <w:tcPr>
            <w:tcW w:w="1177" w:type="dxa"/>
            <w:tcMar>
              <w:left w:w="28" w:type="dxa"/>
              <w:right w:w="28" w:type="dxa"/>
            </w:tcMar>
            <w:vAlign w:val="center"/>
          </w:tcPr>
          <w:p w14:paraId="293507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w:t>
            </w:r>
          </w:p>
        </w:tc>
        <w:tc>
          <w:tcPr>
            <w:tcW w:w="4987" w:type="dxa"/>
            <w:tcBorders>
              <w:right w:val="single" w:color="auto" w:sz="4" w:space="0"/>
            </w:tcBorders>
            <w:tcMar>
              <w:left w:w="28" w:type="dxa"/>
              <w:right w:w="28" w:type="dxa"/>
            </w:tcMar>
            <w:vAlign w:val="center"/>
          </w:tcPr>
          <w:p w14:paraId="262DEA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本项目清粪方式采用干清粪工艺，定期采用清粪车将羊圈内粪污铲出，后由清粪车运至堆肥场储存并堆肥发酵，作为有机肥外售还田综合利用</w:t>
            </w:r>
            <w:r>
              <w:rPr>
                <w:rFonts w:hint="default" w:ascii="Times New Roman" w:hAnsi="Times New Roman" w:eastAsia="宋体" w:cs="Times New Roman"/>
                <w:color w:val="0000FF"/>
                <w:kern w:val="0"/>
                <w:sz w:val="21"/>
                <w:szCs w:val="21"/>
                <w:highlight w:val="none"/>
                <w:lang w:val="en-US" w:eastAsia="zh-CN"/>
              </w:rPr>
              <w:t>。</w:t>
            </w:r>
          </w:p>
        </w:tc>
      </w:tr>
      <w:tr w14:paraId="594AA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48F477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6DB9F9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S2</w:t>
            </w:r>
          </w:p>
        </w:tc>
        <w:tc>
          <w:tcPr>
            <w:tcW w:w="1177" w:type="dxa"/>
            <w:vMerge w:val="continue"/>
            <w:tcMar>
              <w:left w:w="28" w:type="dxa"/>
              <w:right w:w="28" w:type="dxa"/>
            </w:tcMar>
            <w:vAlign w:val="center"/>
          </w:tcPr>
          <w:p w14:paraId="4A0C22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p>
        </w:tc>
        <w:tc>
          <w:tcPr>
            <w:tcW w:w="1177" w:type="dxa"/>
            <w:shd w:val="clear" w:color="auto" w:fill="auto"/>
            <w:tcMar>
              <w:left w:w="28" w:type="dxa"/>
              <w:right w:w="28" w:type="dxa"/>
            </w:tcMar>
            <w:vAlign w:val="center"/>
          </w:tcPr>
          <w:p w14:paraId="4898C9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病死羊</w:t>
            </w:r>
          </w:p>
        </w:tc>
        <w:tc>
          <w:tcPr>
            <w:tcW w:w="4987" w:type="dxa"/>
            <w:tcBorders>
              <w:right w:val="single" w:color="auto" w:sz="4" w:space="0"/>
            </w:tcBorders>
            <w:shd w:val="clear" w:color="auto" w:fill="auto"/>
            <w:tcMar>
              <w:left w:w="28" w:type="dxa"/>
              <w:right w:w="28" w:type="dxa"/>
            </w:tcMar>
            <w:vAlign w:val="center"/>
          </w:tcPr>
          <w:p w14:paraId="217EFE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eastAsia="zh-CN"/>
              </w:rPr>
              <w:t>病死羊暂存于冷藏间，交由巴彦淖尔市绿之源生物技术发展有限公司进行无害化处理</w:t>
            </w:r>
            <w:r>
              <w:rPr>
                <w:rFonts w:hint="default" w:ascii="Times New Roman" w:hAnsi="Times New Roman" w:eastAsia="宋体" w:cs="Times New Roman"/>
                <w:color w:val="0000FF"/>
                <w:sz w:val="21"/>
                <w:szCs w:val="21"/>
                <w:highlight w:val="none"/>
                <w:lang w:eastAsia="zh-CN"/>
              </w:rPr>
              <w:t>。</w:t>
            </w:r>
          </w:p>
        </w:tc>
      </w:tr>
      <w:tr w14:paraId="720DC2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60F8E3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49C778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S3</w:t>
            </w:r>
          </w:p>
        </w:tc>
        <w:tc>
          <w:tcPr>
            <w:tcW w:w="1177" w:type="dxa"/>
            <w:tcMar>
              <w:left w:w="28" w:type="dxa"/>
              <w:right w:w="28" w:type="dxa"/>
            </w:tcMar>
            <w:vAlign w:val="center"/>
          </w:tcPr>
          <w:p w14:paraId="165921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造粒车间布袋除尘器</w:t>
            </w:r>
          </w:p>
        </w:tc>
        <w:tc>
          <w:tcPr>
            <w:tcW w:w="1177" w:type="dxa"/>
            <w:shd w:val="clear" w:color="auto" w:fill="auto"/>
            <w:tcMar>
              <w:left w:w="28" w:type="dxa"/>
              <w:right w:w="28" w:type="dxa"/>
            </w:tcMar>
            <w:vAlign w:val="center"/>
          </w:tcPr>
          <w:p w14:paraId="4047D1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除尘灰</w:t>
            </w:r>
          </w:p>
        </w:tc>
        <w:tc>
          <w:tcPr>
            <w:tcW w:w="4987" w:type="dxa"/>
            <w:tcBorders>
              <w:right w:val="single" w:color="auto" w:sz="4" w:space="0"/>
            </w:tcBorders>
            <w:shd w:val="clear" w:color="auto" w:fill="auto"/>
            <w:tcMar>
              <w:left w:w="28" w:type="dxa"/>
              <w:right w:w="28" w:type="dxa"/>
            </w:tcMar>
            <w:vAlign w:val="center"/>
          </w:tcPr>
          <w:p w14:paraId="6E87B7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采用袋装后暂存于一般固废暂存间，收集后作为原料回用于生产</w:t>
            </w:r>
            <w:r>
              <w:rPr>
                <w:rFonts w:hint="default" w:ascii="Times New Roman" w:hAnsi="Times New Roman" w:eastAsia="宋体" w:cs="Times New Roman"/>
                <w:b w:val="0"/>
                <w:bCs w:val="0"/>
                <w:color w:val="0000FF"/>
                <w:sz w:val="21"/>
                <w:szCs w:val="21"/>
                <w:highlight w:val="none"/>
                <w:lang w:val="en-US" w:eastAsia="zh-CN"/>
              </w:rPr>
              <w:t>。</w:t>
            </w:r>
          </w:p>
        </w:tc>
      </w:tr>
      <w:tr w14:paraId="541A6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1A790B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109A07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w:t>
            </w:r>
            <w:r>
              <w:rPr>
                <w:rFonts w:hint="default" w:ascii="Times New Roman" w:hAnsi="Times New Roman" w:eastAsia="宋体" w:cs="Times New Roman"/>
                <w:color w:val="auto"/>
                <w:sz w:val="21"/>
                <w:szCs w:val="21"/>
                <w:highlight w:val="none"/>
                <w:lang w:val="en-US" w:eastAsia="zh-CN"/>
              </w:rPr>
              <w:t>4</w:t>
            </w:r>
          </w:p>
        </w:tc>
        <w:tc>
          <w:tcPr>
            <w:tcW w:w="1177" w:type="dxa"/>
            <w:tcMar>
              <w:left w:w="28" w:type="dxa"/>
              <w:right w:w="28" w:type="dxa"/>
            </w:tcMar>
            <w:vAlign w:val="center"/>
          </w:tcPr>
          <w:p w14:paraId="5405D6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玉米粒烘干线</w:t>
            </w:r>
          </w:p>
        </w:tc>
        <w:tc>
          <w:tcPr>
            <w:tcW w:w="1177" w:type="dxa"/>
            <w:shd w:val="clear" w:color="auto" w:fill="auto"/>
            <w:tcMar>
              <w:left w:w="28" w:type="dxa"/>
              <w:right w:w="28" w:type="dxa"/>
            </w:tcMar>
            <w:vAlign w:val="center"/>
          </w:tcPr>
          <w:p w14:paraId="59594F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碎玉米、皮屑等杂质</w:t>
            </w:r>
          </w:p>
        </w:tc>
        <w:tc>
          <w:tcPr>
            <w:tcW w:w="4987" w:type="dxa"/>
            <w:tcBorders>
              <w:right w:val="single" w:color="auto" w:sz="4" w:space="0"/>
            </w:tcBorders>
            <w:shd w:val="clear" w:color="auto" w:fill="auto"/>
            <w:tcMar>
              <w:left w:w="28" w:type="dxa"/>
              <w:right w:w="28" w:type="dxa"/>
            </w:tcMar>
            <w:vAlign w:val="center"/>
          </w:tcPr>
          <w:p w14:paraId="7F5150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kern w:val="0"/>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采用编织袋收集后暂存于</w:t>
            </w:r>
            <w:r>
              <w:rPr>
                <w:rFonts w:hint="default" w:ascii="Times New Roman" w:hAnsi="Times New Roman" w:eastAsia="宋体" w:cs="Times New Roman"/>
                <w:b w:val="0"/>
                <w:bCs w:val="0"/>
                <w:color w:val="0000FF"/>
                <w:sz w:val="21"/>
                <w:szCs w:val="21"/>
                <w:highlight w:val="none"/>
                <w:lang w:val="en-US" w:eastAsia="zh-CN"/>
              </w:rPr>
              <w:t>一般固废暂存间</w:t>
            </w:r>
            <w:r>
              <w:rPr>
                <w:rFonts w:hint="default" w:ascii="Times New Roman" w:hAnsi="Times New Roman" w:eastAsia="宋体" w:cs="Times New Roman"/>
                <w:b w:val="0"/>
                <w:bCs w:val="0"/>
                <w:color w:val="0000FF"/>
                <w:sz w:val="21"/>
                <w:szCs w:val="21"/>
                <w:highlight w:val="none"/>
                <w:lang w:val="en-US" w:eastAsia="zh-CN"/>
              </w:rPr>
              <w:t>，</w:t>
            </w:r>
            <w:r>
              <w:rPr>
                <w:rFonts w:hint="default" w:ascii="Times New Roman" w:hAnsi="Times New Roman" w:eastAsia="宋体" w:cs="Times New Roman"/>
                <w:b w:val="0"/>
                <w:bCs w:val="0"/>
                <w:color w:val="0000FF"/>
                <w:sz w:val="21"/>
                <w:szCs w:val="21"/>
                <w:highlight w:val="none"/>
                <w:lang w:val="en-US" w:eastAsia="zh-CN"/>
              </w:rPr>
              <w:t>作为饲料回用。</w:t>
            </w:r>
          </w:p>
        </w:tc>
      </w:tr>
      <w:tr w14:paraId="1E1A0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5AD0EA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3F830A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w:t>
            </w:r>
            <w:r>
              <w:rPr>
                <w:rFonts w:hint="default" w:ascii="Times New Roman" w:hAnsi="Times New Roman" w:eastAsia="宋体" w:cs="Times New Roman"/>
                <w:color w:val="auto"/>
                <w:sz w:val="21"/>
                <w:szCs w:val="21"/>
                <w:highlight w:val="none"/>
                <w:lang w:val="en-US" w:eastAsia="zh-CN"/>
              </w:rPr>
              <w:t>5</w:t>
            </w:r>
          </w:p>
        </w:tc>
        <w:tc>
          <w:tcPr>
            <w:tcW w:w="1177" w:type="dxa"/>
            <w:shd w:val="clear" w:color="auto" w:fill="auto"/>
            <w:tcMar>
              <w:left w:w="28" w:type="dxa"/>
              <w:right w:w="28" w:type="dxa"/>
            </w:tcMar>
            <w:vAlign w:val="center"/>
          </w:tcPr>
          <w:p w14:paraId="1DEF8A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生物质热风炉</w:t>
            </w:r>
          </w:p>
        </w:tc>
        <w:tc>
          <w:tcPr>
            <w:tcW w:w="1177" w:type="dxa"/>
            <w:shd w:val="clear" w:color="auto" w:fill="auto"/>
            <w:tcMar>
              <w:left w:w="28" w:type="dxa"/>
              <w:right w:w="28" w:type="dxa"/>
            </w:tcMar>
            <w:vAlign w:val="center"/>
          </w:tcPr>
          <w:p w14:paraId="5D5E10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炉渣</w:t>
            </w:r>
          </w:p>
        </w:tc>
        <w:tc>
          <w:tcPr>
            <w:tcW w:w="4987" w:type="dxa"/>
            <w:tcBorders>
              <w:right w:val="single" w:color="auto" w:sz="4" w:space="0"/>
            </w:tcBorders>
            <w:shd w:val="clear" w:color="auto" w:fill="auto"/>
            <w:tcMar>
              <w:left w:w="28" w:type="dxa"/>
              <w:right w:w="28" w:type="dxa"/>
            </w:tcMar>
            <w:vAlign w:val="center"/>
          </w:tcPr>
          <w:p w14:paraId="683432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0"/>
                <w:sz w:val="21"/>
                <w:szCs w:val="21"/>
                <w:highlight w:val="none"/>
                <w:lang w:eastAsia="zh-CN"/>
              </w:rPr>
              <w:t>暂存于全封闭灰渣库内，定期外售综合利用</w:t>
            </w:r>
            <w:r>
              <w:rPr>
                <w:rFonts w:hint="default" w:ascii="Times New Roman" w:hAnsi="Times New Roman" w:eastAsia="宋体" w:cs="Times New Roman"/>
                <w:color w:val="0000FF"/>
                <w:kern w:val="0"/>
                <w:sz w:val="21"/>
                <w:szCs w:val="21"/>
                <w:highlight w:val="none"/>
                <w:lang w:eastAsia="zh-CN"/>
              </w:rPr>
              <w:t>。</w:t>
            </w:r>
          </w:p>
        </w:tc>
      </w:tr>
      <w:tr w14:paraId="00963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350F29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1A0EC8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w:t>
            </w:r>
            <w:r>
              <w:rPr>
                <w:rFonts w:hint="default" w:ascii="Times New Roman" w:hAnsi="Times New Roman" w:eastAsia="宋体" w:cs="Times New Roman"/>
                <w:color w:val="auto"/>
                <w:sz w:val="21"/>
                <w:szCs w:val="21"/>
                <w:highlight w:val="none"/>
                <w:lang w:val="en-US" w:eastAsia="zh-CN"/>
              </w:rPr>
              <w:t>6</w:t>
            </w:r>
          </w:p>
        </w:tc>
        <w:tc>
          <w:tcPr>
            <w:tcW w:w="1177" w:type="dxa"/>
            <w:tcMar>
              <w:left w:w="28" w:type="dxa"/>
              <w:right w:w="28" w:type="dxa"/>
            </w:tcMar>
            <w:vAlign w:val="center"/>
          </w:tcPr>
          <w:p w14:paraId="3C247E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生物质热风炉</w:t>
            </w:r>
            <w:r>
              <w:rPr>
                <w:rFonts w:hint="default" w:ascii="Times New Roman" w:hAnsi="Times New Roman" w:eastAsia="宋体" w:cs="Times New Roman"/>
                <w:b w:val="0"/>
                <w:bCs w:val="0"/>
                <w:color w:val="0000FF"/>
                <w:sz w:val="21"/>
                <w:szCs w:val="21"/>
                <w:highlight w:val="none"/>
                <w:lang w:val="en-US" w:eastAsia="zh-CN"/>
              </w:rPr>
              <w:t>布袋除尘器</w:t>
            </w:r>
          </w:p>
        </w:tc>
        <w:tc>
          <w:tcPr>
            <w:tcW w:w="1177" w:type="dxa"/>
            <w:shd w:val="clear" w:color="auto" w:fill="auto"/>
            <w:tcMar>
              <w:left w:w="28" w:type="dxa"/>
              <w:right w:w="28" w:type="dxa"/>
            </w:tcMar>
            <w:vAlign w:val="center"/>
          </w:tcPr>
          <w:p w14:paraId="45DABD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val="0"/>
                <w:color w:val="auto"/>
                <w:sz w:val="21"/>
                <w:szCs w:val="21"/>
                <w:highlight w:val="none"/>
              </w:rPr>
              <w:t>除尘灰</w:t>
            </w:r>
          </w:p>
        </w:tc>
        <w:tc>
          <w:tcPr>
            <w:tcW w:w="4987" w:type="dxa"/>
            <w:tcBorders>
              <w:right w:val="single" w:color="auto" w:sz="4" w:space="0"/>
            </w:tcBorders>
            <w:shd w:val="clear" w:color="auto" w:fill="auto"/>
            <w:tcMar>
              <w:left w:w="28" w:type="dxa"/>
              <w:right w:w="28" w:type="dxa"/>
            </w:tcMar>
            <w:vAlign w:val="center"/>
          </w:tcPr>
          <w:p w14:paraId="08E7EB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0000FF"/>
                <w:kern w:val="0"/>
                <w:sz w:val="21"/>
                <w:szCs w:val="21"/>
                <w:highlight w:val="none"/>
                <w:lang w:eastAsia="zh-CN"/>
              </w:rPr>
            </w:pPr>
            <w:r>
              <w:rPr>
                <w:rFonts w:hint="default" w:ascii="Times New Roman" w:hAnsi="Times New Roman" w:eastAsia="宋体" w:cs="Times New Roman"/>
                <w:color w:val="0000FF"/>
                <w:sz w:val="21"/>
                <w:szCs w:val="21"/>
                <w:highlight w:val="none"/>
              </w:rPr>
              <w:t>堆存于</w:t>
            </w:r>
            <w:r>
              <w:rPr>
                <w:rFonts w:hint="default" w:ascii="Times New Roman" w:hAnsi="Times New Roman" w:eastAsia="宋体" w:cs="Times New Roman"/>
                <w:color w:val="0000FF"/>
                <w:sz w:val="21"/>
                <w:szCs w:val="21"/>
                <w:highlight w:val="none"/>
                <w:lang w:eastAsia="zh-CN"/>
              </w:rPr>
              <w:t>全封闭灰渣库</w:t>
            </w:r>
            <w:r>
              <w:rPr>
                <w:rFonts w:hint="default" w:ascii="Times New Roman" w:hAnsi="Times New Roman" w:eastAsia="宋体" w:cs="Times New Roman"/>
                <w:color w:val="0000FF"/>
                <w:sz w:val="21"/>
                <w:szCs w:val="21"/>
                <w:highlight w:val="none"/>
              </w:rPr>
              <w:t>内，定期外售综合利用</w:t>
            </w:r>
          </w:p>
        </w:tc>
      </w:tr>
      <w:tr w14:paraId="1AEB77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7522A0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shd w:val="clear" w:color="auto" w:fill="auto"/>
            <w:tcMar>
              <w:left w:w="28" w:type="dxa"/>
              <w:right w:w="28" w:type="dxa"/>
            </w:tcMar>
            <w:vAlign w:val="center"/>
          </w:tcPr>
          <w:p w14:paraId="320010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w:t>
            </w:r>
            <w:r>
              <w:rPr>
                <w:rFonts w:hint="default" w:ascii="Times New Roman" w:hAnsi="Times New Roman" w:eastAsia="宋体" w:cs="Times New Roman"/>
                <w:color w:val="auto"/>
                <w:sz w:val="21"/>
                <w:szCs w:val="21"/>
                <w:highlight w:val="none"/>
                <w:lang w:val="en-US" w:eastAsia="zh-CN"/>
              </w:rPr>
              <w:t>7</w:t>
            </w:r>
          </w:p>
        </w:tc>
        <w:tc>
          <w:tcPr>
            <w:tcW w:w="1177" w:type="dxa"/>
            <w:shd w:val="clear" w:color="auto" w:fill="auto"/>
            <w:tcMar>
              <w:left w:w="28" w:type="dxa"/>
              <w:right w:w="28" w:type="dxa"/>
            </w:tcMar>
            <w:vAlign w:val="center"/>
          </w:tcPr>
          <w:p w14:paraId="3D034A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检疫检测间</w:t>
            </w:r>
          </w:p>
        </w:tc>
        <w:tc>
          <w:tcPr>
            <w:tcW w:w="1177" w:type="dxa"/>
            <w:shd w:val="clear" w:color="auto" w:fill="auto"/>
            <w:tcMar>
              <w:left w:w="28" w:type="dxa"/>
              <w:right w:w="28" w:type="dxa"/>
            </w:tcMar>
            <w:vAlign w:val="center"/>
          </w:tcPr>
          <w:p w14:paraId="24953F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医疗垃圾</w:t>
            </w:r>
          </w:p>
        </w:tc>
        <w:tc>
          <w:tcPr>
            <w:tcW w:w="4987" w:type="dxa"/>
            <w:tcBorders>
              <w:right w:val="single" w:color="auto" w:sz="4" w:space="0"/>
            </w:tcBorders>
            <w:shd w:val="clear" w:color="auto" w:fill="auto"/>
            <w:tcMar>
              <w:left w:w="28" w:type="dxa"/>
              <w:right w:w="28" w:type="dxa"/>
            </w:tcMar>
            <w:vAlign w:val="center"/>
          </w:tcPr>
          <w:p w14:paraId="0B535E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医疗垃圾</w:t>
            </w:r>
            <w:r>
              <w:rPr>
                <w:rFonts w:hint="default" w:ascii="Times New Roman" w:hAnsi="Times New Roman" w:eastAsia="宋体" w:cs="Times New Roman"/>
                <w:color w:val="auto"/>
                <w:sz w:val="21"/>
                <w:szCs w:val="21"/>
                <w:highlight w:val="none"/>
              </w:rPr>
              <w:t>（废弃的消毒器具及针筒等）</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密封装袋暂存于</w:t>
            </w:r>
            <w:r>
              <w:rPr>
                <w:rFonts w:hint="default" w:ascii="Times New Roman" w:hAnsi="Times New Roman" w:eastAsia="宋体" w:cs="Times New Roman"/>
                <w:color w:val="auto"/>
                <w:sz w:val="21"/>
                <w:szCs w:val="21"/>
                <w:highlight w:val="none"/>
                <w:lang w:eastAsia="zh-CN"/>
              </w:rPr>
              <w:t>危废暂存间</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危废暂存间</w:t>
            </w:r>
            <w:r>
              <w:rPr>
                <w:rFonts w:hint="default" w:ascii="Times New Roman" w:hAnsi="Times New Roman" w:eastAsia="宋体" w:cs="Times New Roman"/>
                <w:color w:val="auto"/>
                <w:sz w:val="21"/>
                <w:szCs w:val="21"/>
                <w:highlight w:val="none"/>
              </w:rPr>
              <w:t>按照《危险废物贮存污染控制标准》（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）要求管理、建设，定期由有资质单位接收处理</w:t>
            </w:r>
            <w:r>
              <w:rPr>
                <w:rFonts w:hint="default" w:ascii="Times New Roman" w:hAnsi="Times New Roman" w:eastAsia="宋体" w:cs="Times New Roman"/>
                <w:color w:val="auto"/>
                <w:sz w:val="21"/>
                <w:szCs w:val="21"/>
                <w:highlight w:val="none"/>
                <w:lang w:eastAsia="zh-CN"/>
              </w:rPr>
              <w:t>。</w:t>
            </w:r>
          </w:p>
        </w:tc>
      </w:tr>
      <w:tr w14:paraId="519CB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vMerge w:val="continue"/>
            <w:tcBorders>
              <w:left w:val="single" w:color="auto" w:sz="4" w:space="0"/>
            </w:tcBorders>
            <w:tcMar>
              <w:left w:w="28" w:type="dxa"/>
              <w:right w:w="28" w:type="dxa"/>
            </w:tcMar>
            <w:vAlign w:val="center"/>
          </w:tcPr>
          <w:p w14:paraId="5F3386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468" w:type="dxa"/>
            <w:tcMar>
              <w:left w:w="28" w:type="dxa"/>
              <w:right w:w="28" w:type="dxa"/>
            </w:tcMar>
            <w:vAlign w:val="center"/>
          </w:tcPr>
          <w:p w14:paraId="3B70B2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1177" w:type="dxa"/>
            <w:tcMar>
              <w:left w:w="28" w:type="dxa"/>
              <w:right w:w="28" w:type="dxa"/>
            </w:tcMar>
            <w:vAlign w:val="center"/>
          </w:tcPr>
          <w:p w14:paraId="42B39B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工作人员</w:t>
            </w:r>
          </w:p>
        </w:tc>
        <w:tc>
          <w:tcPr>
            <w:tcW w:w="1177" w:type="dxa"/>
            <w:tcMar>
              <w:left w:w="28" w:type="dxa"/>
              <w:right w:w="28" w:type="dxa"/>
            </w:tcMar>
            <w:vAlign w:val="center"/>
          </w:tcPr>
          <w:p w14:paraId="556710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生活垃圾</w:t>
            </w:r>
          </w:p>
        </w:tc>
        <w:tc>
          <w:tcPr>
            <w:tcW w:w="4987" w:type="dxa"/>
            <w:tcBorders>
              <w:right w:val="single" w:color="auto" w:sz="4" w:space="0"/>
            </w:tcBorders>
            <w:tcMar>
              <w:left w:w="28" w:type="dxa"/>
              <w:right w:w="28" w:type="dxa"/>
            </w:tcMar>
            <w:vAlign w:val="center"/>
          </w:tcPr>
          <w:p w14:paraId="6B2D1B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bidi="zh-CN"/>
              </w:rPr>
              <w:t>场区</w:t>
            </w:r>
            <w:r>
              <w:rPr>
                <w:rFonts w:hint="default" w:ascii="Times New Roman" w:hAnsi="Times New Roman" w:eastAsia="宋体" w:cs="Times New Roman"/>
                <w:color w:val="auto"/>
                <w:sz w:val="21"/>
                <w:szCs w:val="21"/>
                <w:highlight w:val="none"/>
                <w:lang w:bidi="zh-CN"/>
              </w:rPr>
              <w:t>设置垃圾桶分类收集</w:t>
            </w:r>
            <w:r>
              <w:rPr>
                <w:rFonts w:hint="default" w:ascii="Times New Roman" w:hAnsi="Times New Roman" w:eastAsia="宋体" w:cs="Times New Roman"/>
                <w:color w:val="auto"/>
                <w:sz w:val="21"/>
                <w:szCs w:val="21"/>
                <w:highlight w:val="none"/>
                <w:lang w:val="en-US" w:bidi="zh-CN"/>
              </w:rPr>
              <w:t>工作人员产生的生活垃圾</w:t>
            </w:r>
            <w:r>
              <w:rPr>
                <w:rFonts w:hint="default" w:ascii="Times New Roman" w:hAnsi="Times New Roman" w:eastAsia="宋体" w:cs="Times New Roman"/>
                <w:color w:val="auto"/>
                <w:sz w:val="21"/>
                <w:szCs w:val="21"/>
                <w:highlight w:val="none"/>
                <w:lang w:bidi="zh-CN"/>
              </w:rPr>
              <w:t>，</w:t>
            </w:r>
            <w:r>
              <w:rPr>
                <w:rFonts w:hint="default" w:ascii="Times New Roman" w:hAnsi="Times New Roman" w:eastAsia="宋体" w:cs="Times New Roman"/>
                <w:color w:val="auto"/>
                <w:sz w:val="21"/>
                <w:szCs w:val="21"/>
                <w:highlight w:val="none"/>
                <w:lang w:val="en-US" w:bidi="zh-CN"/>
              </w:rPr>
              <w:t>定期</w:t>
            </w:r>
            <w:r>
              <w:rPr>
                <w:rFonts w:hint="default" w:ascii="Times New Roman" w:hAnsi="Times New Roman" w:eastAsia="宋体" w:cs="Times New Roman"/>
                <w:color w:val="auto"/>
                <w:sz w:val="21"/>
                <w:szCs w:val="21"/>
                <w:highlight w:val="none"/>
                <w:lang w:bidi="zh-CN"/>
              </w:rPr>
              <w:t>清运到环卫部门指定的地点集中处理。</w:t>
            </w:r>
          </w:p>
        </w:tc>
      </w:tr>
      <w:tr w14:paraId="5C573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dxa"/>
            <w:tcBorders>
              <w:left w:val="single" w:color="auto" w:sz="4" w:space="0"/>
              <w:bottom w:val="single" w:color="auto" w:sz="4" w:space="0"/>
            </w:tcBorders>
            <w:tcMar>
              <w:left w:w="28" w:type="dxa"/>
              <w:right w:w="28" w:type="dxa"/>
            </w:tcMar>
            <w:vAlign w:val="center"/>
          </w:tcPr>
          <w:p w14:paraId="25CC1C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468" w:type="dxa"/>
            <w:tcBorders>
              <w:bottom w:val="single" w:color="auto" w:sz="4" w:space="0"/>
            </w:tcBorders>
            <w:tcMar>
              <w:left w:w="28" w:type="dxa"/>
              <w:right w:w="28" w:type="dxa"/>
            </w:tcMar>
            <w:vAlign w:val="center"/>
          </w:tcPr>
          <w:p w14:paraId="1710D5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w:t>
            </w:r>
          </w:p>
        </w:tc>
        <w:tc>
          <w:tcPr>
            <w:tcW w:w="1177" w:type="dxa"/>
            <w:tcBorders>
              <w:bottom w:val="single" w:color="auto" w:sz="4" w:space="0"/>
            </w:tcBorders>
            <w:tcMar>
              <w:left w:w="28" w:type="dxa"/>
              <w:right w:w="28" w:type="dxa"/>
            </w:tcMar>
            <w:vAlign w:val="center"/>
          </w:tcPr>
          <w:p w14:paraId="234B12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各工段</w:t>
            </w:r>
          </w:p>
        </w:tc>
        <w:tc>
          <w:tcPr>
            <w:tcW w:w="1177" w:type="dxa"/>
            <w:tcBorders>
              <w:bottom w:val="single" w:color="auto" w:sz="4" w:space="0"/>
            </w:tcBorders>
            <w:tcMar>
              <w:left w:w="28" w:type="dxa"/>
              <w:right w:w="28" w:type="dxa"/>
            </w:tcMar>
            <w:vAlign w:val="center"/>
          </w:tcPr>
          <w:p w14:paraId="2967AE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4987" w:type="dxa"/>
            <w:tcBorders>
              <w:bottom w:val="single" w:color="auto" w:sz="4" w:space="0"/>
              <w:right w:val="single" w:color="auto" w:sz="4" w:space="0"/>
            </w:tcBorders>
            <w:tcMar>
              <w:left w:w="28" w:type="dxa"/>
              <w:right w:w="28" w:type="dxa"/>
            </w:tcMar>
            <w:vAlign w:val="center"/>
          </w:tcPr>
          <w:p w14:paraId="6B60A9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left"/>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采取减振、隔声、合理布局等降噪措施</w:t>
            </w:r>
            <w:r>
              <w:rPr>
                <w:rFonts w:hint="default" w:ascii="Times New Roman" w:hAnsi="Times New Roman" w:eastAsia="宋体" w:cs="Times New Roman"/>
                <w:color w:val="auto"/>
                <w:sz w:val="21"/>
                <w:szCs w:val="21"/>
                <w:highlight w:val="none"/>
                <w:lang w:eastAsia="zh-CN"/>
              </w:rPr>
              <w:t>。</w:t>
            </w:r>
          </w:p>
        </w:tc>
      </w:tr>
    </w:tbl>
    <w:p w14:paraId="3F3B10F3">
      <w:pPr>
        <w:pStyle w:val="4"/>
        <w:pageBreakBefore w:val="0"/>
        <w:widowControl w:val="0"/>
        <w:shd w:val="clear"/>
        <w:kinsoku/>
        <w:wordWrap/>
        <w:topLine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295" w:name="_Toc46421098"/>
      <w:bookmarkStart w:id="296" w:name="_Toc523322300"/>
      <w:bookmarkStart w:id="297" w:name="_Toc29539"/>
      <w:r>
        <w:rPr>
          <w:rFonts w:hint="default" w:ascii="Times New Roman" w:hAnsi="Times New Roman" w:eastAsia="宋体" w:cs="Times New Roman"/>
          <w:color w:val="auto"/>
          <w:highlight w:val="none"/>
        </w:rPr>
        <w:t>3.3项目污染源源强核算</w:t>
      </w:r>
      <w:bookmarkEnd w:id="295"/>
      <w:bookmarkEnd w:id="296"/>
      <w:bookmarkEnd w:id="297"/>
    </w:p>
    <w:p w14:paraId="343E0992">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根据工艺流程，通过产排污分析，本工程污染物产排情况按工序分别进行论述。</w:t>
      </w:r>
    </w:p>
    <w:p w14:paraId="2FD7EC3C">
      <w:pPr>
        <w:pStyle w:val="6"/>
        <w:pageBreakBefore w:val="0"/>
        <w:widowControl w:val="0"/>
        <w:shd w:val="clear"/>
        <w:kinsoku/>
        <w:wordWrap/>
        <w:topLine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298" w:name="_Toc24983"/>
      <w:bookmarkStart w:id="299" w:name="_Toc46421099"/>
      <w:r>
        <w:rPr>
          <w:rFonts w:hint="default" w:ascii="Times New Roman" w:hAnsi="Times New Roman" w:eastAsia="宋体" w:cs="Times New Roman"/>
          <w:color w:val="auto"/>
          <w:highlight w:val="none"/>
        </w:rPr>
        <w:t>3.3.1大气污染物</w:t>
      </w:r>
      <w:bookmarkEnd w:id="298"/>
      <w:bookmarkEnd w:id="299"/>
    </w:p>
    <w:p w14:paraId="469ADFF0">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eastAsia="zh-CN"/>
        </w:rPr>
        <w:t>项目运营期废气污染物主要包括</w:t>
      </w:r>
      <w:r>
        <w:rPr>
          <w:rFonts w:hint="default" w:ascii="Times New Roman" w:hAnsi="Times New Roman" w:eastAsia="宋体" w:cs="Times New Roman"/>
          <w:color w:val="FF0000"/>
          <w:highlight w:val="none"/>
          <w:lang w:eastAsia="zh-CN"/>
        </w:rPr>
        <w:t>羊圈</w:t>
      </w:r>
      <w:r>
        <w:rPr>
          <w:rFonts w:hint="default" w:ascii="Times New Roman" w:hAnsi="Times New Roman" w:eastAsia="宋体" w:cs="Times New Roman"/>
          <w:color w:val="FF0000"/>
          <w:highlight w:val="none"/>
        </w:rPr>
        <w:t>恶臭气体</w:t>
      </w:r>
      <w:r>
        <w:rPr>
          <w:rFonts w:hint="default" w:ascii="Times New Roman" w:hAnsi="Times New Roman" w:eastAsia="宋体" w:cs="Times New Roman"/>
          <w:color w:val="FF0000"/>
          <w:highlight w:val="none"/>
          <w:lang w:eastAsia="zh-CN"/>
        </w:rPr>
        <w:t>、堆肥场</w:t>
      </w:r>
      <w:r>
        <w:rPr>
          <w:rFonts w:hint="default" w:ascii="Times New Roman" w:hAnsi="Times New Roman" w:eastAsia="宋体" w:cs="Times New Roman"/>
          <w:color w:val="FF0000"/>
          <w:highlight w:val="none"/>
        </w:rPr>
        <w:t>恶臭气体</w:t>
      </w:r>
      <w:r>
        <w:rPr>
          <w:rFonts w:hint="default" w:ascii="Times New Roman" w:hAnsi="Times New Roman" w:eastAsia="宋体" w:cs="Times New Roman"/>
          <w:color w:val="FF0000"/>
          <w:highlight w:val="none"/>
          <w:lang w:eastAsia="zh-CN"/>
        </w:rPr>
        <w:t>、日粮搅拌车间</w:t>
      </w:r>
      <w:r>
        <w:rPr>
          <w:rFonts w:hint="default" w:ascii="Times New Roman" w:hAnsi="Times New Roman" w:eastAsia="宋体" w:cs="Times New Roman"/>
          <w:color w:val="FF0000"/>
          <w:highlight w:val="none"/>
          <w:lang w:val="en-US" w:eastAsia="zh-CN"/>
        </w:rPr>
        <w:t>废气、造粒车间废气、玉米粒筛分和烘干废气、生物质热风炉废气等。</w:t>
      </w:r>
    </w:p>
    <w:p w14:paraId="23E01B7C">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lang w:eastAsia="zh-CN"/>
        </w:rPr>
        <w:t>）羊圈</w:t>
      </w:r>
      <w:r>
        <w:rPr>
          <w:rFonts w:hint="default" w:ascii="Times New Roman" w:hAnsi="Times New Roman" w:eastAsia="宋体" w:cs="Times New Roman"/>
          <w:color w:val="FF0000"/>
          <w:highlight w:val="none"/>
        </w:rPr>
        <w:t>恶臭气体（G</w:t>
      </w:r>
      <w:r>
        <w:rPr>
          <w:rFonts w:hint="default"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rPr>
        <w:t>）</w:t>
      </w:r>
    </w:p>
    <w:p w14:paraId="62CCF5A8">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养殖</w:t>
      </w:r>
      <w:r>
        <w:rPr>
          <w:rFonts w:hint="default" w:ascii="Times New Roman" w:hAnsi="Times New Roman" w:eastAsia="宋体" w:cs="Times New Roman"/>
          <w:color w:val="auto"/>
          <w:highlight w:val="none"/>
          <w:lang w:val="en-US" w:eastAsia="zh-CN"/>
        </w:rPr>
        <w:t>区</w:t>
      </w:r>
      <w:r>
        <w:rPr>
          <w:rFonts w:hint="default" w:ascii="Times New Roman" w:hAnsi="Times New Roman" w:eastAsia="宋体" w:cs="Times New Roman"/>
          <w:color w:val="auto"/>
          <w:highlight w:val="none"/>
        </w:rPr>
        <w:t>有味气体来源于多个方面，如动物呼吸、动物皮肤、饲料、死禽死畜、</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尿等，</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中不可避免将有恶臭产生。养殖场散发的恶臭及有害气体成分很多，但主要以氨、硫化氢、粪臭素、硫醇类为主，本环评废气以NH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和H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S为特征污染物进行评价。</w:t>
      </w:r>
    </w:p>
    <w:p w14:paraId="42CEFFCF">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目前，尚未有针对养羊场恶臭气体源强的相关规范和研究，本次评价参考《</w:t>
      </w:r>
      <w:r>
        <w:rPr>
          <w:rFonts w:hint="default" w:ascii="Times New Roman" w:hAnsi="Times New Roman" w:eastAsia="宋体" w:cs="Times New Roman"/>
          <w:color w:val="auto"/>
          <w:highlight w:val="none"/>
          <w:lang w:eastAsia="zh-CN"/>
        </w:rPr>
        <w:t>排污许可证申请与核发技术规范 畜禽养殖行业</w:t>
      </w:r>
      <w:r>
        <w:rPr>
          <w:rFonts w:hint="default" w:ascii="Times New Roman" w:hAnsi="Times New Roman" w:eastAsia="宋体" w:cs="Times New Roman"/>
          <w:color w:val="auto"/>
          <w:highlight w:val="none"/>
        </w:rPr>
        <w:t>》（HJ1029-2019）：“对具有不同畜禽种类的排污单位，污染物产生系数可将养殖量换算成相应的畜禽品种养殖量后进行核定，换算比例为：3只羊折算成1头猪”。</w:t>
      </w:r>
    </w:p>
    <w:p w14:paraId="296EF238">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根据国环宏博（北京）节能环保科技有限蔡晓霞论文《拟建畜牧养殖场环境空气质量监测与评价》（中国环境管理干部学院学报）</w:t>
      </w:r>
      <w:r>
        <w:rPr>
          <w:rFonts w:hint="default" w:ascii="Times New Roman" w:hAnsi="Times New Roman" w:eastAsia="宋体" w:cs="Times New Roman"/>
          <w:color w:val="FF0000"/>
          <w:highlight w:val="none"/>
          <w:lang w:val="en-US" w:eastAsia="zh-CN"/>
        </w:rPr>
        <w:t>4.1.1猪舍废气</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highlight w:val="none"/>
          <w:lang w:val="en-US" w:eastAsia="zh-CN"/>
        </w:rPr>
        <w:t>育肥猪</w:t>
      </w:r>
      <w:r>
        <w:rPr>
          <w:rFonts w:hint="default" w:ascii="Times New Roman" w:hAnsi="Times New Roman" w:eastAsia="宋体" w:cs="Times New Roman"/>
          <w:color w:val="FF0000"/>
          <w:highlight w:val="none"/>
        </w:rPr>
        <w:t>NH</w:t>
      </w:r>
      <w:r>
        <w:rPr>
          <w:rFonts w:hint="default" w:ascii="Times New Roman" w:hAnsi="Times New Roman" w:eastAsia="宋体" w:cs="Times New Roman"/>
          <w:color w:val="FF0000"/>
          <w:highlight w:val="none"/>
          <w:vertAlign w:val="subscript"/>
        </w:rPr>
        <w:t>3</w:t>
      </w:r>
      <w:r>
        <w:rPr>
          <w:rFonts w:hint="default" w:ascii="Times New Roman" w:hAnsi="Times New Roman" w:eastAsia="宋体" w:cs="Times New Roman"/>
          <w:color w:val="FF0000"/>
          <w:highlight w:val="none"/>
          <w:vertAlign w:val="baseline"/>
          <w:lang w:val="en-US" w:eastAsia="zh-CN"/>
        </w:rPr>
        <w:t>产生</w:t>
      </w:r>
      <w:r>
        <w:rPr>
          <w:rFonts w:hint="default" w:ascii="Times New Roman" w:hAnsi="Times New Roman" w:eastAsia="宋体" w:cs="Times New Roman"/>
          <w:color w:val="FF0000"/>
          <w:highlight w:val="none"/>
        </w:rPr>
        <w:t>源强为0.2g/</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头·d</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，H</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S</w:t>
      </w:r>
      <w:r>
        <w:rPr>
          <w:rFonts w:hint="default" w:ascii="Times New Roman" w:hAnsi="Times New Roman" w:eastAsia="宋体" w:cs="Times New Roman"/>
          <w:color w:val="FF0000"/>
          <w:highlight w:val="none"/>
          <w:vertAlign w:val="baseline"/>
          <w:lang w:val="en-US" w:eastAsia="zh-CN"/>
        </w:rPr>
        <w:t>产生</w:t>
      </w:r>
      <w:r>
        <w:rPr>
          <w:rFonts w:hint="default" w:ascii="Times New Roman" w:hAnsi="Times New Roman" w:eastAsia="宋体" w:cs="Times New Roman"/>
          <w:color w:val="FF0000"/>
          <w:highlight w:val="none"/>
        </w:rPr>
        <w:t>源强为0.017g/</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头·d</w:t>
      </w:r>
      <w:r>
        <w:rPr>
          <w:rFonts w:hint="default" w:ascii="Times New Roman" w:hAnsi="Times New Roman" w:eastAsia="宋体" w:cs="Times New Roman"/>
          <w:color w:val="FF0000"/>
          <w:highlight w:val="none"/>
          <w:lang w:eastAsia="zh-CN"/>
        </w:rPr>
        <w:t>）。</w:t>
      </w:r>
    </w:p>
    <w:p w14:paraId="182486CA">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本项目场区</w:t>
      </w:r>
      <w:r>
        <w:rPr>
          <w:rFonts w:hint="default" w:ascii="Times New Roman" w:hAnsi="Times New Roman" w:eastAsia="宋体" w:cs="Times New Roman"/>
          <w:color w:val="FF0000"/>
          <w:highlight w:val="none"/>
          <w:lang w:val="en-US" w:eastAsia="zh-CN"/>
        </w:rPr>
        <w:t>内</w:t>
      </w:r>
      <w:r>
        <w:rPr>
          <w:rFonts w:hint="default" w:ascii="Times New Roman" w:hAnsi="Times New Roman" w:eastAsia="宋体" w:cs="Times New Roman"/>
          <w:color w:val="FF0000"/>
          <w:highlight w:val="none"/>
        </w:rPr>
        <w:t>单次存栏</w:t>
      </w:r>
      <w:r>
        <w:rPr>
          <w:rFonts w:hint="default" w:ascii="Times New Roman" w:hAnsi="Times New Roman" w:eastAsia="宋体" w:cs="Times New Roman"/>
          <w:color w:val="FF0000"/>
          <w:highlight w:val="none"/>
          <w:lang w:eastAsia="zh-CN"/>
        </w:rPr>
        <w:t>肉羊</w:t>
      </w:r>
      <w:r>
        <w:rPr>
          <w:rFonts w:hint="default" w:ascii="Times New Roman" w:hAnsi="Times New Roman" w:eastAsia="宋体" w:cs="Times New Roman"/>
          <w:color w:val="FF0000"/>
          <w:highlight w:val="none"/>
          <w:lang w:val="en-US" w:eastAsia="zh-CN"/>
        </w:rPr>
        <w:t>23</w:t>
      </w:r>
      <w:r>
        <w:rPr>
          <w:rFonts w:hint="default" w:ascii="Times New Roman" w:hAnsi="Times New Roman" w:eastAsia="宋体" w:cs="Times New Roman"/>
          <w:color w:val="FF0000"/>
          <w:highlight w:val="none"/>
        </w:rPr>
        <w:t>000只，折合育肥猪</w:t>
      </w:r>
      <w:r>
        <w:rPr>
          <w:rFonts w:hint="default" w:ascii="Times New Roman" w:hAnsi="Times New Roman" w:eastAsia="宋体" w:cs="Times New Roman"/>
          <w:color w:val="FF0000"/>
          <w:highlight w:val="none"/>
          <w:lang w:val="en-US" w:eastAsia="zh-CN"/>
        </w:rPr>
        <w:t>7667</w:t>
      </w:r>
      <w:r>
        <w:rPr>
          <w:rFonts w:hint="default" w:ascii="Times New Roman" w:hAnsi="Times New Roman" w:eastAsia="宋体" w:cs="Times New Roman"/>
          <w:color w:val="FF0000"/>
          <w:highlight w:val="none"/>
        </w:rPr>
        <w:t>头</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则项目</w:t>
      </w:r>
      <w:r>
        <w:rPr>
          <w:rFonts w:hint="default" w:ascii="Times New Roman" w:hAnsi="Times New Roman" w:eastAsia="宋体" w:cs="Times New Roman"/>
          <w:color w:val="FF0000"/>
          <w:highlight w:val="none"/>
          <w:lang w:eastAsia="zh-CN"/>
        </w:rPr>
        <w:t>羊圈</w:t>
      </w:r>
      <w:r>
        <w:rPr>
          <w:rFonts w:hint="default" w:ascii="Times New Roman" w:hAnsi="Times New Roman" w:eastAsia="宋体" w:cs="Times New Roman"/>
          <w:color w:val="FF0000"/>
          <w:highlight w:val="none"/>
        </w:rPr>
        <w:t>恶臭气体产生情况见表</w:t>
      </w:r>
      <w:r>
        <w:rPr>
          <w:rFonts w:hint="default" w:ascii="Times New Roman" w:hAnsi="Times New Roman" w:eastAsia="宋体" w:cs="Times New Roman"/>
          <w:color w:val="FF0000"/>
          <w:highlight w:val="none"/>
          <w:lang w:val="en-US" w:eastAsia="zh-CN"/>
        </w:rPr>
        <w:t>3.3</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rPr>
        <w:t>。</w:t>
      </w:r>
    </w:p>
    <w:p w14:paraId="190F04B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b/>
          <w:bCs/>
          <w:color w:val="FF0000"/>
          <w:highlight w:val="none"/>
        </w:rPr>
        <w:t>表3.3-1</w:t>
      </w:r>
      <w:r>
        <w:rPr>
          <w:rFonts w:hint="default" w:ascii="Times New Roman" w:hAnsi="Times New Roman" w:eastAsia="宋体" w:cs="Times New Roman"/>
          <w:b/>
          <w:bCs/>
          <w:color w:val="FF0000"/>
          <w:highlight w:val="none"/>
          <w:lang w:val="en-US" w:eastAsia="zh-CN"/>
        </w:rPr>
        <w:t xml:space="preserve">  </w:t>
      </w:r>
      <w:r>
        <w:rPr>
          <w:rFonts w:hint="default" w:ascii="Times New Roman" w:hAnsi="Times New Roman" w:eastAsia="宋体" w:cs="Times New Roman"/>
          <w:b/>
          <w:bCs/>
          <w:color w:val="FF0000"/>
          <w:highlight w:val="none"/>
        </w:rPr>
        <w:t>项目养殖过程中</w:t>
      </w:r>
      <w:r>
        <w:rPr>
          <w:rFonts w:hint="default" w:ascii="Times New Roman" w:hAnsi="Times New Roman" w:eastAsia="宋体" w:cs="Times New Roman"/>
          <w:b/>
          <w:bCs/>
          <w:color w:val="FF0000"/>
          <w:highlight w:val="none"/>
          <w:lang w:eastAsia="zh-CN"/>
        </w:rPr>
        <w:t>羊圈</w:t>
      </w:r>
      <w:r>
        <w:rPr>
          <w:rFonts w:hint="default" w:ascii="Times New Roman" w:hAnsi="Times New Roman" w:eastAsia="宋体" w:cs="Times New Roman"/>
          <w:b/>
          <w:bCs/>
          <w:color w:val="FF0000"/>
          <w:highlight w:val="none"/>
        </w:rPr>
        <w:t>恶臭气体产生量一览表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7"/>
        <w:gridCol w:w="2767"/>
        <w:gridCol w:w="2763"/>
      </w:tblGrid>
      <w:tr w14:paraId="7BBC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14" w:type="dxa"/>
            <w:gridSpan w:val="2"/>
            <w:vAlign w:val="center"/>
          </w:tcPr>
          <w:p w14:paraId="1C1345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种类</w:t>
            </w:r>
          </w:p>
        </w:tc>
        <w:tc>
          <w:tcPr>
            <w:tcW w:w="2763" w:type="dxa"/>
            <w:vAlign w:val="center"/>
          </w:tcPr>
          <w:p w14:paraId="1AEAC9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肉羊</w:t>
            </w:r>
          </w:p>
        </w:tc>
      </w:tr>
      <w:tr w14:paraId="46B6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14" w:type="dxa"/>
            <w:gridSpan w:val="2"/>
            <w:vAlign w:val="center"/>
          </w:tcPr>
          <w:p w14:paraId="3543B2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rPr>
              <w:t>羊只日存栏量（只）</w:t>
            </w:r>
          </w:p>
        </w:tc>
        <w:tc>
          <w:tcPr>
            <w:tcW w:w="2763" w:type="dxa"/>
            <w:vAlign w:val="center"/>
          </w:tcPr>
          <w:p w14:paraId="760ABE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23000</w:t>
            </w:r>
          </w:p>
        </w:tc>
      </w:tr>
      <w:tr w14:paraId="536B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14" w:type="dxa"/>
            <w:gridSpan w:val="2"/>
            <w:vAlign w:val="center"/>
          </w:tcPr>
          <w:p w14:paraId="4B259E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rPr>
              <w:t>折合</w:t>
            </w:r>
            <w:r>
              <w:rPr>
                <w:rFonts w:hint="default" w:ascii="Times New Roman" w:hAnsi="Times New Roman" w:eastAsia="宋体" w:cs="Times New Roman"/>
                <w:color w:val="FF0000"/>
                <w:sz w:val="21"/>
                <w:szCs w:val="21"/>
                <w:highlight w:val="none"/>
                <w:vertAlign w:val="baseline"/>
                <w:lang w:val="en-US" w:eastAsia="zh-CN"/>
              </w:rPr>
              <w:t>生</w:t>
            </w:r>
            <w:r>
              <w:rPr>
                <w:rFonts w:hint="default" w:ascii="Times New Roman" w:hAnsi="Times New Roman" w:eastAsia="宋体" w:cs="Times New Roman"/>
                <w:color w:val="FF0000"/>
                <w:sz w:val="21"/>
                <w:szCs w:val="21"/>
                <w:highlight w:val="none"/>
                <w:vertAlign w:val="baseline"/>
              </w:rPr>
              <w:t>猪存栏量（头）</w:t>
            </w:r>
          </w:p>
        </w:tc>
        <w:tc>
          <w:tcPr>
            <w:tcW w:w="2763" w:type="dxa"/>
            <w:vAlign w:val="center"/>
          </w:tcPr>
          <w:p w14:paraId="7FB638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lang w:val="en-US" w:eastAsia="zh-CN"/>
              </w:rPr>
              <w:t>7667</w:t>
            </w:r>
          </w:p>
        </w:tc>
      </w:tr>
      <w:tr w14:paraId="4F27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restart"/>
            <w:vAlign w:val="center"/>
          </w:tcPr>
          <w:p w14:paraId="089EC3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生</w:t>
            </w:r>
            <w:r>
              <w:rPr>
                <w:rFonts w:hint="default" w:ascii="Times New Roman" w:hAnsi="Times New Roman" w:eastAsia="宋体" w:cs="Times New Roman"/>
                <w:color w:val="FF0000"/>
                <w:sz w:val="21"/>
                <w:szCs w:val="21"/>
                <w:highlight w:val="none"/>
                <w:vertAlign w:val="baseline"/>
              </w:rPr>
              <w:t>猪产污系数</w:t>
            </w:r>
          </w:p>
        </w:tc>
        <w:tc>
          <w:tcPr>
            <w:tcW w:w="2767" w:type="dxa"/>
            <w:vAlign w:val="center"/>
          </w:tcPr>
          <w:p w14:paraId="382D91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NH</w:t>
            </w:r>
            <w:r>
              <w:rPr>
                <w:rFonts w:hint="default" w:ascii="Times New Roman" w:hAnsi="Times New Roman" w:eastAsia="宋体" w:cs="Times New Roman"/>
                <w:color w:val="FF0000"/>
                <w:sz w:val="21"/>
                <w:szCs w:val="21"/>
                <w:highlight w:val="none"/>
                <w:vertAlign w:val="subscript"/>
              </w:rPr>
              <w:t>3</w:t>
            </w:r>
            <w:r>
              <w:rPr>
                <w:rFonts w:hint="default" w:ascii="Times New Roman" w:hAnsi="Times New Roman" w:eastAsia="宋体" w:cs="Times New Roman"/>
                <w:color w:val="FF0000"/>
                <w:sz w:val="21"/>
                <w:szCs w:val="21"/>
                <w:highlight w:val="none"/>
                <w:vertAlign w:val="baseline"/>
              </w:rPr>
              <w:t>（g/</w:t>
            </w:r>
            <w:r>
              <w:rPr>
                <w:rFonts w:hint="default" w:ascii="Times New Roman" w:hAnsi="Times New Roman" w:eastAsia="宋体" w:cs="Times New Roman"/>
                <w:color w:val="FF0000"/>
                <w:sz w:val="21"/>
                <w:szCs w:val="21"/>
                <w:highlight w:val="none"/>
                <w:vertAlign w:val="baseline"/>
                <w:lang w:eastAsia="zh-CN"/>
              </w:rPr>
              <w:t>只</w:t>
            </w:r>
            <w:r>
              <w:rPr>
                <w:rFonts w:hint="default" w:ascii="Times New Roman" w:hAnsi="Times New Roman" w:eastAsia="宋体" w:cs="Times New Roman"/>
                <w:color w:val="FF0000"/>
                <w:sz w:val="21"/>
                <w:szCs w:val="21"/>
                <w:highlight w:val="none"/>
                <w:vertAlign w:val="baseline"/>
              </w:rPr>
              <w:t>·d）</w:t>
            </w:r>
          </w:p>
        </w:tc>
        <w:tc>
          <w:tcPr>
            <w:tcW w:w="2763" w:type="dxa"/>
            <w:vAlign w:val="center"/>
          </w:tcPr>
          <w:p w14:paraId="230040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0.2</w:t>
            </w:r>
          </w:p>
        </w:tc>
      </w:tr>
      <w:tr w14:paraId="7547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continue"/>
            <w:vAlign w:val="center"/>
          </w:tcPr>
          <w:p w14:paraId="68B658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p>
        </w:tc>
        <w:tc>
          <w:tcPr>
            <w:tcW w:w="2767" w:type="dxa"/>
            <w:vAlign w:val="center"/>
          </w:tcPr>
          <w:p w14:paraId="4E37DF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vertAlign w:val="baseline"/>
              </w:rPr>
              <w:t>S（g/</w:t>
            </w:r>
            <w:r>
              <w:rPr>
                <w:rFonts w:hint="default" w:ascii="Times New Roman" w:hAnsi="Times New Roman" w:eastAsia="宋体" w:cs="Times New Roman"/>
                <w:color w:val="FF0000"/>
                <w:sz w:val="21"/>
                <w:szCs w:val="21"/>
                <w:highlight w:val="none"/>
                <w:vertAlign w:val="baseline"/>
                <w:lang w:eastAsia="zh-CN"/>
              </w:rPr>
              <w:t>只</w:t>
            </w:r>
            <w:r>
              <w:rPr>
                <w:rFonts w:hint="default" w:ascii="Times New Roman" w:hAnsi="Times New Roman" w:eastAsia="宋体" w:cs="Times New Roman"/>
                <w:color w:val="FF0000"/>
                <w:sz w:val="21"/>
                <w:szCs w:val="21"/>
                <w:highlight w:val="none"/>
                <w:vertAlign w:val="baseline"/>
              </w:rPr>
              <w:t>·d）</w:t>
            </w:r>
          </w:p>
        </w:tc>
        <w:tc>
          <w:tcPr>
            <w:tcW w:w="2763" w:type="dxa"/>
            <w:vAlign w:val="center"/>
          </w:tcPr>
          <w:p w14:paraId="6F5C28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0.017</w:t>
            </w:r>
          </w:p>
        </w:tc>
      </w:tr>
      <w:tr w14:paraId="00AF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restart"/>
            <w:vAlign w:val="center"/>
          </w:tcPr>
          <w:p w14:paraId="40BA5F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肉羊</w:t>
            </w:r>
            <w:r>
              <w:rPr>
                <w:rFonts w:hint="default" w:ascii="Times New Roman" w:hAnsi="Times New Roman" w:eastAsia="宋体" w:cs="Times New Roman"/>
                <w:color w:val="FF0000"/>
                <w:sz w:val="21"/>
                <w:szCs w:val="21"/>
                <w:highlight w:val="none"/>
                <w:vertAlign w:val="baseline"/>
              </w:rPr>
              <w:t>产生速率</w:t>
            </w:r>
          </w:p>
        </w:tc>
        <w:tc>
          <w:tcPr>
            <w:tcW w:w="2767" w:type="dxa"/>
            <w:vAlign w:val="center"/>
          </w:tcPr>
          <w:p w14:paraId="446AEC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NH</w:t>
            </w:r>
            <w:r>
              <w:rPr>
                <w:rFonts w:hint="default" w:ascii="Times New Roman" w:hAnsi="Times New Roman" w:eastAsia="宋体" w:cs="Times New Roman"/>
                <w:color w:val="FF0000"/>
                <w:sz w:val="21"/>
                <w:szCs w:val="21"/>
                <w:highlight w:val="none"/>
                <w:vertAlign w:val="subscript"/>
              </w:rPr>
              <w:t>3</w:t>
            </w:r>
            <w:r>
              <w:rPr>
                <w:rFonts w:hint="default" w:ascii="Times New Roman" w:hAnsi="Times New Roman" w:eastAsia="宋体" w:cs="Times New Roman"/>
                <w:color w:val="FF0000"/>
                <w:sz w:val="21"/>
                <w:szCs w:val="21"/>
                <w:highlight w:val="none"/>
                <w:vertAlign w:val="baseline"/>
              </w:rPr>
              <w:t>（kg/</w:t>
            </w:r>
            <w:r>
              <w:rPr>
                <w:rFonts w:hint="default" w:ascii="Times New Roman" w:hAnsi="Times New Roman" w:eastAsia="宋体" w:cs="Times New Roman"/>
                <w:color w:val="FF0000"/>
                <w:sz w:val="21"/>
                <w:szCs w:val="21"/>
                <w:highlight w:val="none"/>
                <w:vertAlign w:val="baseline"/>
                <w:lang w:val="en-US" w:eastAsia="zh-CN"/>
              </w:rPr>
              <w:t>d</w:t>
            </w:r>
            <w:r>
              <w:rPr>
                <w:rFonts w:hint="default" w:ascii="Times New Roman" w:hAnsi="Times New Roman" w:eastAsia="宋体" w:cs="Times New Roman"/>
                <w:color w:val="FF0000"/>
                <w:sz w:val="21"/>
                <w:szCs w:val="21"/>
                <w:highlight w:val="none"/>
                <w:vertAlign w:val="baseline"/>
              </w:rPr>
              <w:t>）</w:t>
            </w:r>
          </w:p>
        </w:tc>
        <w:tc>
          <w:tcPr>
            <w:tcW w:w="2763" w:type="dxa"/>
            <w:vAlign w:val="center"/>
          </w:tcPr>
          <w:p w14:paraId="2DC378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1.533</w:t>
            </w:r>
          </w:p>
        </w:tc>
      </w:tr>
      <w:tr w14:paraId="292A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continue"/>
            <w:vAlign w:val="center"/>
          </w:tcPr>
          <w:p w14:paraId="6FE929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p>
        </w:tc>
        <w:tc>
          <w:tcPr>
            <w:tcW w:w="2767" w:type="dxa"/>
            <w:vAlign w:val="center"/>
          </w:tcPr>
          <w:p w14:paraId="562FD7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vertAlign w:val="baseline"/>
              </w:rPr>
              <w:t>S（kg/</w:t>
            </w:r>
            <w:r>
              <w:rPr>
                <w:rFonts w:hint="default" w:ascii="Times New Roman" w:hAnsi="Times New Roman" w:eastAsia="宋体" w:cs="Times New Roman"/>
                <w:color w:val="FF0000"/>
                <w:sz w:val="21"/>
                <w:szCs w:val="21"/>
                <w:highlight w:val="none"/>
                <w:vertAlign w:val="baseline"/>
                <w:lang w:val="en-US" w:eastAsia="zh-CN"/>
              </w:rPr>
              <w:t>d</w:t>
            </w:r>
            <w:r>
              <w:rPr>
                <w:rFonts w:hint="default" w:ascii="Times New Roman" w:hAnsi="Times New Roman" w:eastAsia="宋体" w:cs="Times New Roman"/>
                <w:color w:val="FF0000"/>
                <w:sz w:val="21"/>
                <w:szCs w:val="21"/>
                <w:highlight w:val="none"/>
                <w:vertAlign w:val="baseline"/>
              </w:rPr>
              <w:t>）</w:t>
            </w:r>
          </w:p>
        </w:tc>
        <w:tc>
          <w:tcPr>
            <w:tcW w:w="2763" w:type="dxa"/>
            <w:vAlign w:val="center"/>
          </w:tcPr>
          <w:p w14:paraId="4A4EBC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0.130</w:t>
            </w:r>
          </w:p>
        </w:tc>
      </w:tr>
      <w:tr w14:paraId="67BE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restart"/>
            <w:vAlign w:val="center"/>
          </w:tcPr>
          <w:p w14:paraId="06CAF5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肉羊</w:t>
            </w:r>
            <w:r>
              <w:rPr>
                <w:rFonts w:hint="default" w:ascii="Times New Roman" w:hAnsi="Times New Roman" w:eastAsia="宋体" w:cs="Times New Roman"/>
                <w:color w:val="FF0000"/>
                <w:sz w:val="21"/>
                <w:szCs w:val="21"/>
                <w:highlight w:val="none"/>
                <w:vertAlign w:val="baseline"/>
              </w:rPr>
              <w:t>产生量</w:t>
            </w:r>
          </w:p>
        </w:tc>
        <w:tc>
          <w:tcPr>
            <w:tcW w:w="2767" w:type="dxa"/>
            <w:vAlign w:val="center"/>
          </w:tcPr>
          <w:p w14:paraId="32597E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NH</w:t>
            </w:r>
            <w:r>
              <w:rPr>
                <w:rFonts w:hint="default" w:ascii="Times New Roman" w:hAnsi="Times New Roman" w:eastAsia="宋体" w:cs="Times New Roman"/>
                <w:color w:val="FF0000"/>
                <w:sz w:val="21"/>
                <w:szCs w:val="21"/>
                <w:highlight w:val="none"/>
                <w:vertAlign w:val="subscript"/>
              </w:rPr>
              <w:t>3</w:t>
            </w:r>
            <w:r>
              <w:rPr>
                <w:rFonts w:hint="default" w:ascii="Times New Roman" w:hAnsi="Times New Roman" w:eastAsia="宋体" w:cs="Times New Roman"/>
                <w:color w:val="FF0000"/>
                <w:sz w:val="21"/>
                <w:szCs w:val="21"/>
                <w:highlight w:val="none"/>
                <w:vertAlign w:val="baseline"/>
              </w:rPr>
              <w:t>（t/a）</w:t>
            </w:r>
          </w:p>
        </w:tc>
        <w:tc>
          <w:tcPr>
            <w:tcW w:w="2763" w:type="dxa"/>
            <w:vAlign w:val="center"/>
          </w:tcPr>
          <w:p w14:paraId="5CDA0D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0.560</w:t>
            </w:r>
          </w:p>
        </w:tc>
      </w:tr>
      <w:tr w14:paraId="5AF8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7" w:type="dxa"/>
            <w:vMerge w:val="continue"/>
            <w:vAlign w:val="center"/>
          </w:tcPr>
          <w:p w14:paraId="621AD0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p>
        </w:tc>
        <w:tc>
          <w:tcPr>
            <w:tcW w:w="2767" w:type="dxa"/>
            <w:vAlign w:val="center"/>
          </w:tcPr>
          <w:p w14:paraId="646F74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vertAlign w:val="baseline"/>
              </w:rPr>
              <w:t>S（t/a）</w:t>
            </w:r>
          </w:p>
        </w:tc>
        <w:tc>
          <w:tcPr>
            <w:tcW w:w="2763" w:type="dxa"/>
            <w:vAlign w:val="center"/>
          </w:tcPr>
          <w:p w14:paraId="2A9F6F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0.047</w:t>
            </w:r>
          </w:p>
        </w:tc>
      </w:tr>
    </w:tbl>
    <w:p w14:paraId="024BC6AA">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kern w:val="0"/>
          <w:sz w:val="24"/>
          <w:szCs w:val="24"/>
          <w:highlight w:val="none"/>
          <w:lang w:val="en-US" w:eastAsia="zh-CN" w:bidi="ar"/>
        </w:rPr>
        <w:t>项目通过采用优化饲料配比，饲料中添加EM菌剂、并合理搭配饲料喂养羊的方法从源头减少恶臭产生量。根据《家畜环境卫生学》（安立龙，高等教育出版社）提供的资料，在畜禽混合料中加入EM菌剂等有益微生物复合制剂，能有效地降解NH</w:t>
      </w:r>
      <w:r>
        <w:rPr>
          <w:rFonts w:hint="default" w:ascii="Times New Roman" w:hAnsi="Times New Roman" w:eastAsia="宋体" w:cs="Times New Roman"/>
          <w:color w:val="FF0000"/>
          <w:kern w:val="0"/>
          <w:sz w:val="24"/>
          <w:szCs w:val="24"/>
          <w:highlight w:val="none"/>
          <w:vertAlign w:val="subscript"/>
          <w:lang w:val="en-US" w:eastAsia="zh-CN" w:bidi="ar"/>
        </w:rPr>
        <w:t>3</w:t>
      </w:r>
      <w:r>
        <w:rPr>
          <w:rFonts w:hint="default" w:ascii="Times New Roman" w:hAnsi="Times New Roman" w:eastAsia="宋体" w:cs="Times New Roman"/>
          <w:color w:val="FF0000"/>
          <w:kern w:val="0"/>
          <w:sz w:val="24"/>
          <w:szCs w:val="24"/>
          <w:highlight w:val="none"/>
          <w:lang w:val="en-US" w:eastAsia="zh-CN" w:bidi="ar"/>
        </w:rPr>
        <w:t>、H</w:t>
      </w:r>
      <w:r>
        <w:rPr>
          <w:rFonts w:hint="default" w:ascii="Times New Roman" w:hAnsi="Times New Roman" w:eastAsia="宋体" w:cs="Times New Roman"/>
          <w:color w:val="FF0000"/>
          <w:kern w:val="0"/>
          <w:sz w:val="24"/>
          <w:szCs w:val="24"/>
          <w:highlight w:val="none"/>
          <w:vertAlign w:val="subscript"/>
          <w:lang w:val="en-US" w:eastAsia="zh-CN" w:bidi="ar"/>
        </w:rPr>
        <w:t>2</w:t>
      </w:r>
      <w:r>
        <w:rPr>
          <w:rFonts w:hint="default" w:ascii="Times New Roman" w:hAnsi="Times New Roman" w:eastAsia="宋体" w:cs="Times New Roman"/>
          <w:color w:val="FF0000"/>
          <w:kern w:val="0"/>
          <w:sz w:val="24"/>
          <w:szCs w:val="24"/>
          <w:highlight w:val="none"/>
          <w:lang w:val="en-US" w:eastAsia="zh-CN" w:bidi="ar"/>
        </w:rPr>
        <w:t>S等有害气体，NH</w:t>
      </w:r>
      <w:r>
        <w:rPr>
          <w:rFonts w:hint="default" w:ascii="Times New Roman" w:hAnsi="Times New Roman" w:eastAsia="宋体" w:cs="Times New Roman"/>
          <w:color w:val="FF0000"/>
          <w:kern w:val="0"/>
          <w:sz w:val="24"/>
          <w:szCs w:val="24"/>
          <w:highlight w:val="none"/>
          <w:vertAlign w:val="subscript"/>
          <w:lang w:val="en-US" w:eastAsia="zh-CN" w:bidi="ar"/>
        </w:rPr>
        <w:t>3</w:t>
      </w:r>
      <w:r>
        <w:rPr>
          <w:rFonts w:hint="default" w:ascii="Times New Roman" w:hAnsi="Times New Roman" w:eastAsia="宋体" w:cs="Times New Roman"/>
          <w:color w:val="FF0000"/>
          <w:kern w:val="0"/>
          <w:sz w:val="24"/>
          <w:szCs w:val="24"/>
          <w:highlight w:val="none"/>
          <w:lang w:val="en-US" w:eastAsia="zh-CN" w:bidi="ar"/>
        </w:rPr>
        <w:t>的平均降解率为72.5%，H</w:t>
      </w:r>
      <w:r>
        <w:rPr>
          <w:rFonts w:hint="default" w:ascii="Times New Roman" w:hAnsi="Times New Roman" w:eastAsia="宋体" w:cs="Times New Roman"/>
          <w:color w:val="FF0000"/>
          <w:kern w:val="0"/>
          <w:sz w:val="24"/>
          <w:szCs w:val="24"/>
          <w:highlight w:val="none"/>
          <w:vertAlign w:val="subscript"/>
          <w:lang w:val="en-US" w:eastAsia="zh-CN" w:bidi="ar"/>
        </w:rPr>
        <w:t>2</w:t>
      </w:r>
      <w:r>
        <w:rPr>
          <w:rFonts w:hint="default" w:ascii="Times New Roman" w:hAnsi="Times New Roman" w:eastAsia="宋体" w:cs="Times New Roman"/>
          <w:color w:val="FF0000"/>
          <w:kern w:val="0"/>
          <w:sz w:val="24"/>
          <w:szCs w:val="24"/>
          <w:highlight w:val="none"/>
          <w:lang w:val="en-US" w:eastAsia="zh-CN" w:bidi="ar"/>
        </w:rPr>
        <w:t>S的平均降解率为81.5%；同时通过在羊圈周边喷洒除臭剂、加强通风、羊圈之间设置绿化防护带等措施对养殖区臭气排放进行控制，进一步降低臭气的排放。</w:t>
      </w:r>
    </w:p>
    <w:p w14:paraId="1AF18CA6">
      <w:pPr>
        <w:keepNext w:val="0"/>
        <w:keepLines w:val="0"/>
        <w:pageBreakBefore w:val="0"/>
        <w:widowControl/>
        <w:suppressLineNumbers w:val="0"/>
        <w:shd w:val="clear"/>
        <w:kinsoku/>
        <w:wordWrap/>
        <w:bidi w:val="0"/>
        <w:spacing w:line="360" w:lineRule="auto"/>
        <w:ind w:left="0" w:leftChars="0"/>
        <w:jc w:val="left"/>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综上，通过采取上述措施，养殖区恶臭消除率至少可达到80%以上。项目养殖区恶臭污染物排放情况详见表3.3-2。</w:t>
      </w:r>
    </w:p>
    <w:p w14:paraId="299D0DC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表3.3-</w:t>
      </w:r>
      <w:r>
        <w:rPr>
          <w:rFonts w:hint="default"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val="en-US" w:eastAsia="zh-CN"/>
        </w:rPr>
        <w:t xml:space="preserve">  </w:t>
      </w:r>
      <w:r>
        <w:rPr>
          <w:rFonts w:hint="default" w:ascii="Times New Roman" w:hAnsi="Times New Roman" w:eastAsia="宋体" w:cs="Times New Roman"/>
          <w:color w:val="FF0000"/>
          <w:sz w:val="24"/>
          <w:szCs w:val="24"/>
          <w:highlight w:val="none"/>
        </w:rPr>
        <w:t>项目羊圈恶臭气体排放源强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14CE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2A53D88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595AE71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579490E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7734362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1E62E21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0127D23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33DBA17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3F06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6215494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2FB66A5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200A35D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4903A53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3E30E3C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231AC5E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1221C69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4DCE44A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6B933AC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612E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28350DA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color w:val="auto"/>
                <w:sz w:val="21"/>
                <w:szCs w:val="21"/>
                <w:highlight w:val="none"/>
                <w:lang w:eastAsia="zh-CN"/>
              </w:rPr>
              <w:t>羊圈</w:t>
            </w:r>
          </w:p>
        </w:tc>
        <w:tc>
          <w:tcPr>
            <w:tcW w:w="797" w:type="dxa"/>
            <w:vMerge w:val="restart"/>
            <w:noWrap w:val="0"/>
            <w:tcMar>
              <w:left w:w="28" w:type="dxa"/>
              <w:right w:w="28" w:type="dxa"/>
            </w:tcMar>
            <w:vAlign w:val="center"/>
          </w:tcPr>
          <w:p w14:paraId="4C84176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2077E8E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rPr>
              <w:t>NH</w:t>
            </w:r>
            <w:r>
              <w:rPr>
                <w:rFonts w:hint="default" w:ascii="Times New Roman" w:hAnsi="Times New Roman" w:eastAsia="宋体" w:cs="Times New Roman"/>
                <w:color w:val="auto"/>
                <w:sz w:val="21"/>
                <w:szCs w:val="21"/>
                <w:highlight w:val="none"/>
                <w:vertAlign w:val="subscript"/>
              </w:rPr>
              <w:t>3</w:t>
            </w:r>
          </w:p>
        </w:tc>
        <w:tc>
          <w:tcPr>
            <w:tcW w:w="798" w:type="dxa"/>
            <w:noWrap w:val="0"/>
            <w:tcMar>
              <w:left w:w="28" w:type="dxa"/>
              <w:right w:w="28" w:type="dxa"/>
            </w:tcMar>
            <w:vAlign w:val="center"/>
          </w:tcPr>
          <w:p w14:paraId="74E8086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7669E2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0.560</w:t>
            </w:r>
          </w:p>
        </w:tc>
        <w:tc>
          <w:tcPr>
            <w:tcW w:w="1468" w:type="dxa"/>
            <w:vMerge w:val="restart"/>
            <w:noWrap w:val="0"/>
            <w:tcMar>
              <w:left w:w="28" w:type="dxa"/>
              <w:right w:w="28" w:type="dxa"/>
            </w:tcMar>
            <w:vAlign w:val="center"/>
          </w:tcPr>
          <w:p w14:paraId="025A033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添加EM菌剂、合理搭配饲料</w:t>
            </w:r>
            <w:r>
              <w:rPr>
                <w:rFonts w:hint="default" w:ascii="Times New Roman" w:hAnsi="Times New Roman" w:eastAsia="宋体" w:cs="Times New Roman"/>
                <w:color w:val="FF0000"/>
                <w:kern w:val="0"/>
                <w:sz w:val="21"/>
                <w:szCs w:val="21"/>
                <w:highlight w:val="none"/>
                <w:lang w:val="en-US" w:eastAsia="zh-CN" w:bidi="ar"/>
              </w:rPr>
              <w:t>、</w:t>
            </w:r>
            <w:r>
              <w:rPr>
                <w:rFonts w:hint="default" w:ascii="Times New Roman" w:hAnsi="Times New Roman" w:eastAsia="宋体" w:cs="Times New Roman"/>
                <w:color w:val="FF0000"/>
                <w:kern w:val="0"/>
                <w:sz w:val="21"/>
                <w:szCs w:val="21"/>
                <w:highlight w:val="none"/>
                <w:lang w:val="en-US" w:eastAsia="zh-CN" w:bidi="ar"/>
              </w:rPr>
              <w:t>喷洒除臭剂、加强通风、羊圈之间设置绿化防护带</w:t>
            </w:r>
          </w:p>
        </w:tc>
        <w:tc>
          <w:tcPr>
            <w:tcW w:w="798" w:type="dxa"/>
            <w:noWrap w:val="0"/>
            <w:tcMar>
              <w:left w:w="28" w:type="dxa"/>
              <w:right w:w="28" w:type="dxa"/>
            </w:tcMar>
            <w:vAlign w:val="center"/>
          </w:tcPr>
          <w:p w14:paraId="512274A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456E065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0.112</w:t>
            </w:r>
          </w:p>
        </w:tc>
        <w:tc>
          <w:tcPr>
            <w:tcW w:w="1226" w:type="dxa"/>
            <w:vMerge w:val="restart"/>
            <w:noWrap w:val="0"/>
            <w:tcMar>
              <w:left w:w="28" w:type="dxa"/>
              <w:right w:w="28" w:type="dxa"/>
            </w:tcMar>
            <w:vAlign w:val="center"/>
          </w:tcPr>
          <w:p w14:paraId="3ADC1CC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《恶臭污染物排放标准》（GB14554-93）表1恶臭污染物厂界标准值</w:t>
            </w:r>
          </w:p>
        </w:tc>
      </w:tr>
      <w:tr w14:paraId="290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406538E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797" w:type="dxa"/>
            <w:vMerge w:val="continue"/>
            <w:noWrap w:val="0"/>
            <w:tcMar>
              <w:left w:w="28" w:type="dxa"/>
              <w:right w:w="28" w:type="dxa"/>
            </w:tcMar>
            <w:vAlign w:val="center"/>
          </w:tcPr>
          <w:p w14:paraId="0DB494B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p>
        </w:tc>
        <w:tc>
          <w:tcPr>
            <w:tcW w:w="797" w:type="dxa"/>
            <w:noWrap w:val="0"/>
            <w:tcMar>
              <w:left w:w="28" w:type="dxa"/>
              <w:right w:w="28" w:type="dxa"/>
            </w:tcMar>
            <w:vAlign w:val="center"/>
          </w:tcPr>
          <w:p w14:paraId="7838367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vertAlign w:val="baseline"/>
              </w:rPr>
              <w:t>S</w:t>
            </w:r>
          </w:p>
        </w:tc>
        <w:tc>
          <w:tcPr>
            <w:tcW w:w="798" w:type="dxa"/>
            <w:noWrap w:val="0"/>
            <w:tcMar>
              <w:left w:w="28" w:type="dxa"/>
              <w:right w:w="28" w:type="dxa"/>
            </w:tcMar>
            <w:vAlign w:val="center"/>
          </w:tcPr>
          <w:p w14:paraId="0000103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5AD34E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0.047</w:t>
            </w:r>
          </w:p>
        </w:tc>
        <w:tc>
          <w:tcPr>
            <w:tcW w:w="1468" w:type="dxa"/>
            <w:vMerge w:val="continue"/>
            <w:noWrap w:val="0"/>
            <w:tcMar>
              <w:left w:w="28" w:type="dxa"/>
              <w:right w:w="28" w:type="dxa"/>
            </w:tcMar>
            <w:vAlign w:val="center"/>
          </w:tcPr>
          <w:p w14:paraId="14DE4C7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798" w:type="dxa"/>
            <w:noWrap w:val="0"/>
            <w:tcMar>
              <w:left w:w="28" w:type="dxa"/>
              <w:right w:w="28" w:type="dxa"/>
            </w:tcMar>
            <w:vAlign w:val="center"/>
          </w:tcPr>
          <w:p w14:paraId="44233E0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6A254C1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0.009</w:t>
            </w:r>
          </w:p>
        </w:tc>
        <w:tc>
          <w:tcPr>
            <w:tcW w:w="1226" w:type="dxa"/>
            <w:vMerge w:val="continue"/>
            <w:noWrap w:val="0"/>
            <w:tcMar>
              <w:left w:w="28" w:type="dxa"/>
              <w:right w:w="28" w:type="dxa"/>
            </w:tcMar>
            <w:vAlign w:val="center"/>
          </w:tcPr>
          <w:p w14:paraId="0CE46CB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r>
    </w:tbl>
    <w:p w14:paraId="5BD7E9D4">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（2）堆肥场</w:t>
      </w:r>
      <w:r>
        <w:rPr>
          <w:rFonts w:hint="default" w:ascii="Times New Roman" w:hAnsi="Times New Roman" w:eastAsia="宋体" w:cs="Times New Roman"/>
          <w:color w:val="FF0000"/>
          <w:highlight w:val="none"/>
        </w:rPr>
        <w:t>恶臭气体（G</w:t>
      </w:r>
      <w:r>
        <w:rPr>
          <w:rFonts w:hint="default" w:ascii="Times New Roman" w:hAnsi="Times New Roman" w:eastAsia="宋体" w:cs="Times New Roman"/>
          <w:color w:val="FF0000"/>
          <w:highlight w:val="none"/>
          <w:lang w:val="en-US" w:eastAsia="zh-CN"/>
        </w:rPr>
        <w:t>2</w:t>
      </w:r>
      <w:r>
        <w:rPr>
          <w:rFonts w:hint="default" w:ascii="Times New Roman" w:hAnsi="Times New Roman" w:eastAsia="宋体" w:cs="Times New Roman"/>
          <w:color w:val="FF0000"/>
          <w:highlight w:val="none"/>
        </w:rPr>
        <w:t>）</w:t>
      </w:r>
    </w:p>
    <w:p w14:paraId="70CFCEEF">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羊只生长过程中排泄的粪便，采取干清粪工艺，采取机械方式将</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及时、单独清出，同时，将</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运至</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进行无害化堆肥处理，经处理后的</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及时外运处理，减少</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在厂区内的暂存时间。</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在</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内的暂存过程中，其中的蛋白质、氨基酸会因微生物的活动而进行脱羧作用和脱氨作用，这是</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暂存过程中臭味产生的主要因素。</w:t>
      </w:r>
    </w:p>
    <w:p w14:paraId="42C70F1A">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根据国环宏博（北京）节能环保科技有限蔡晓霞论文《拟建畜牧养殖场环境空气质量监测与评价》（中国环境管理干部学院学报）</w:t>
      </w:r>
      <w:r>
        <w:rPr>
          <w:rFonts w:hint="default" w:ascii="Times New Roman" w:hAnsi="Times New Roman" w:eastAsia="宋体" w:cs="Times New Roman"/>
          <w:color w:val="FF0000"/>
          <w:highlight w:val="none"/>
          <w:lang w:val="en-US" w:eastAsia="zh-CN"/>
        </w:rPr>
        <w:t>4.1.3有机肥堆场废气</w:t>
      </w:r>
      <w:r>
        <w:rPr>
          <w:rFonts w:hint="default" w:ascii="Times New Roman" w:hAnsi="Times New Roman" w:eastAsia="宋体" w:cs="Times New Roman"/>
          <w:color w:val="FF0000"/>
          <w:highlight w:val="none"/>
        </w:rPr>
        <w:t>，NH</w:t>
      </w:r>
      <w:r>
        <w:rPr>
          <w:rFonts w:hint="default" w:ascii="Times New Roman" w:hAnsi="Times New Roman" w:eastAsia="宋体" w:cs="Times New Roman"/>
          <w:color w:val="FF0000"/>
          <w:highlight w:val="none"/>
          <w:vertAlign w:val="subscript"/>
        </w:rPr>
        <w:t>3</w:t>
      </w:r>
      <w:r>
        <w:rPr>
          <w:rFonts w:hint="default" w:ascii="Times New Roman" w:hAnsi="Times New Roman" w:eastAsia="宋体" w:cs="Times New Roman"/>
          <w:color w:val="FF0000"/>
          <w:highlight w:val="none"/>
          <w:vertAlign w:val="baseline"/>
          <w:lang w:val="en-US" w:eastAsia="zh-CN"/>
        </w:rPr>
        <w:t>产生系数</w:t>
      </w:r>
      <w:r>
        <w:rPr>
          <w:rFonts w:hint="default" w:ascii="Times New Roman" w:hAnsi="Times New Roman" w:eastAsia="宋体" w:cs="Times New Roman"/>
          <w:color w:val="FF0000"/>
          <w:highlight w:val="none"/>
        </w:rPr>
        <w:t>为</w:t>
      </w:r>
      <w:r>
        <w:rPr>
          <w:rFonts w:hint="default" w:ascii="Times New Roman" w:hAnsi="Times New Roman" w:eastAsia="宋体" w:cs="Times New Roman"/>
          <w:color w:val="FF0000"/>
          <w:highlight w:val="none"/>
          <w:lang w:val="en-US" w:eastAsia="zh-CN"/>
        </w:rPr>
        <w:t>5g/（m</w:t>
      </w:r>
      <w:r>
        <w:rPr>
          <w:rFonts w:hint="default" w:ascii="Times New Roman" w:hAnsi="Times New Roman" w:eastAsia="宋体" w:cs="Times New Roman"/>
          <w:color w:val="FF0000"/>
          <w:highlight w:val="none"/>
          <w:vertAlign w:val="superscript"/>
          <w:lang w:val="en-US" w:eastAsia="zh-CN"/>
        </w:rPr>
        <w:t>2</w:t>
      </w:r>
      <w:r>
        <w:rPr>
          <w:rFonts w:hint="default" w:ascii="Times New Roman" w:hAnsi="Times New Roman" w:eastAsia="宋体" w:cs="Times New Roman"/>
          <w:color w:val="FF0000"/>
          <w:highlight w:val="none"/>
          <w:lang w:val="en-US" w:eastAsia="zh-CN"/>
        </w:rPr>
        <w:t>·d），</w:t>
      </w:r>
      <w:r>
        <w:rPr>
          <w:rFonts w:hint="default" w:ascii="Times New Roman" w:hAnsi="Times New Roman" w:eastAsia="宋体" w:cs="Times New Roman"/>
          <w:color w:val="FF0000"/>
          <w:highlight w:val="none"/>
        </w:rPr>
        <w:t>H</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S</w:t>
      </w:r>
      <w:r>
        <w:rPr>
          <w:rFonts w:hint="default" w:ascii="Times New Roman" w:hAnsi="Times New Roman" w:eastAsia="宋体" w:cs="Times New Roman"/>
          <w:color w:val="FF0000"/>
          <w:highlight w:val="none"/>
          <w:vertAlign w:val="baseline"/>
          <w:lang w:val="en-US" w:eastAsia="zh-CN"/>
        </w:rPr>
        <w:t>产生系数</w:t>
      </w:r>
      <w:r>
        <w:rPr>
          <w:rFonts w:hint="default" w:ascii="Times New Roman" w:hAnsi="Times New Roman" w:eastAsia="宋体" w:cs="Times New Roman"/>
          <w:color w:val="FF0000"/>
          <w:highlight w:val="none"/>
        </w:rPr>
        <w:t>为</w:t>
      </w:r>
      <w:r>
        <w:rPr>
          <w:rFonts w:hint="default" w:ascii="Times New Roman" w:hAnsi="Times New Roman" w:eastAsia="宋体" w:cs="Times New Roman"/>
          <w:color w:val="FF0000"/>
          <w:highlight w:val="none"/>
          <w:lang w:val="en-US" w:eastAsia="zh-CN"/>
        </w:rPr>
        <w:t>0.3g/（m</w:t>
      </w:r>
      <w:r>
        <w:rPr>
          <w:rFonts w:hint="default" w:ascii="Times New Roman" w:hAnsi="Times New Roman" w:eastAsia="宋体" w:cs="Times New Roman"/>
          <w:color w:val="FF0000"/>
          <w:highlight w:val="none"/>
          <w:vertAlign w:val="superscript"/>
          <w:lang w:val="en-US" w:eastAsia="zh-CN"/>
        </w:rPr>
        <w:t>2</w:t>
      </w:r>
      <w:r>
        <w:rPr>
          <w:rFonts w:hint="default" w:ascii="Times New Roman" w:hAnsi="Times New Roman" w:eastAsia="宋体" w:cs="Times New Roman"/>
          <w:color w:val="FF0000"/>
          <w:highlight w:val="none"/>
          <w:lang w:val="en-US" w:eastAsia="zh-CN"/>
        </w:rPr>
        <w:t>·d），按</w:t>
      </w:r>
      <w:r>
        <w:rPr>
          <w:rFonts w:hint="default" w:ascii="Times New Roman" w:hAnsi="Times New Roman" w:eastAsia="宋体" w:cs="Times New Roman"/>
          <w:color w:val="FF0000"/>
          <w:highlight w:val="none"/>
        </w:rPr>
        <w:t>换算比例3只羊折算成1头猪</w:t>
      </w:r>
      <w:r>
        <w:rPr>
          <w:rFonts w:hint="default" w:ascii="Times New Roman" w:hAnsi="Times New Roman" w:eastAsia="宋体" w:cs="Times New Roman"/>
          <w:color w:val="FF0000"/>
          <w:highlight w:val="none"/>
          <w:lang w:val="en-US" w:eastAsia="zh-CN"/>
        </w:rPr>
        <w:t>计算，本项目堆肥场</w:t>
      </w:r>
      <w:r>
        <w:rPr>
          <w:rFonts w:hint="default" w:ascii="Times New Roman" w:hAnsi="Times New Roman" w:eastAsia="宋体" w:cs="Times New Roman"/>
          <w:color w:val="FF0000"/>
          <w:highlight w:val="none"/>
        </w:rPr>
        <w:t>NH</w:t>
      </w:r>
      <w:r>
        <w:rPr>
          <w:rFonts w:hint="default" w:ascii="Times New Roman" w:hAnsi="Times New Roman" w:eastAsia="宋体" w:cs="Times New Roman"/>
          <w:color w:val="FF0000"/>
          <w:highlight w:val="none"/>
          <w:vertAlign w:val="subscript"/>
        </w:rPr>
        <w:t>3</w:t>
      </w:r>
      <w:r>
        <w:rPr>
          <w:rFonts w:hint="default" w:ascii="Times New Roman" w:hAnsi="Times New Roman" w:eastAsia="宋体" w:cs="Times New Roman"/>
          <w:color w:val="FF0000"/>
          <w:highlight w:val="none"/>
          <w:vertAlign w:val="baseline"/>
          <w:lang w:val="en-US" w:eastAsia="zh-CN"/>
        </w:rPr>
        <w:t>产生系数</w:t>
      </w:r>
      <w:r>
        <w:rPr>
          <w:rFonts w:hint="default" w:ascii="Times New Roman" w:hAnsi="Times New Roman" w:eastAsia="宋体" w:cs="Times New Roman"/>
          <w:color w:val="FF0000"/>
          <w:highlight w:val="none"/>
        </w:rPr>
        <w:t>为</w:t>
      </w:r>
      <w:r>
        <w:rPr>
          <w:rFonts w:hint="default" w:ascii="Times New Roman" w:hAnsi="Times New Roman" w:eastAsia="宋体" w:cs="Times New Roman"/>
          <w:color w:val="FF0000"/>
          <w:highlight w:val="none"/>
          <w:lang w:val="en-US" w:eastAsia="zh-CN"/>
        </w:rPr>
        <w:t>1.667g/（m</w:t>
      </w:r>
      <w:r>
        <w:rPr>
          <w:rFonts w:hint="default" w:ascii="Times New Roman" w:hAnsi="Times New Roman" w:eastAsia="宋体" w:cs="Times New Roman"/>
          <w:color w:val="FF0000"/>
          <w:highlight w:val="none"/>
          <w:vertAlign w:val="superscript"/>
          <w:lang w:val="en-US" w:eastAsia="zh-CN"/>
        </w:rPr>
        <w:t>2</w:t>
      </w:r>
      <w:r>
        <w:rPr>
          <w:rFonts w:hint="default" w:ascii="Times New Roman" w:hAnsi="Times New Roman" w:eastAsia="宋体" w:cs="Times New Roman"/>
          <w:color w:val="FF0000"/>
          <w:highlight w:val="none"/>
          <w:lang w:val="en-US" w:eastAsia="zh-CN"/>
        </w:rPr>
        <w:t>·d），</w:t>
      </w:r>
      <w:r>
        <w:rPr>
          <w:rFonts w:hint="default" w:ascii="Times New Roman" w:hAnsi="Times New Roman" w:eastAsia="宋体" w:cs="Times New Roman"/>
          <w:color w:val="FF0000"/>
          <w:highlight w:val="none"/>
        </w:rPr>
        <w:t>H</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S</w:t>
      </w:r>
      <w:r>
        <w:rPr>
          <w:rFonts w:hint="default" w:ascii="Times New Roman" w:hAnsi="Times New Roman" w:eastAsia="宋体" w:cs="Times New Roman"/>
          <w:color w:val="FF0000"/>
          <w:highlight w:val="none"/>
          <w:vertAlign w:val="baseline"/>
          <w:lang w:val="en-US" w:eastAsia="zh-CN"/>
        </w:rPr>
        <w:t>产生系数</w:t>
      </w:r>
      <w:r>
        <w:rPr>
          <w:rFonts w:hint="default" w:ascii="Times New Roman" w:hAnsi="Times New Roman" w:eastAsia="宋体" w:cs="Times New Roman"/>
          <w:color w:val="FF0000"/>
          <w:highlight w:val="none"/>
        </w:rPr>
        <w:t>为</w:t>
      </w:r>
      <w:r>
        <w:rPr>
          <w:rFonts w:hint="default" w:ascii="Times New Roman" w:hAnsi="Times New Roman" w:eastAsia="宋体" w:cs="Times New Roman"/>
          <w:color w:val="FF0000"/>
          <w:highlight w:val="none"/>
          <w:lang w:val="en-US" w:eastAsia="zh-CN"/>
        </w:rPr>
        <w:t>0.1g/（m</w:t>
      </w:r>
      <w:r>
        <w:rPr>
          <w:rFonts w:hint="default" w:ascii="Times New Roman" w:hAnsi="Times New Roman" w:eastAsia="宋体" w:cs="Times New Roman"/>
          <w:color w:val="FF0000"/>
          <w:highlight w:val="none"/>
          <w:vertAlign w:val="superscript"/>
          <w:lang w:val="en-US" w:eastAsia="zh-CN"/>
        </w:rPr>
        <w:t>2</w:t>
      </w:r>
      <w:r>
        <w:rPr>
          <w:rFonts w:hint="default" w:ascii="Times New Roman" w:hAnsi="Times New Roman" w:eastAsia="宋体" w:cs="Times New Roman"/>
          <w:color w:val="FF0000"/>
          <w:highlight w:val="none"/>
          <w:lang w:val="en-US" w:eastAsia="zh-CN"/>
        </w:rPr>
        <w:t>·d）</w:t>
      </w:r>
      <w:r>
        <w:rPr>
          <w:rFonts w:hint="default" w:ascii="Times New Roman" w:hAnsi="Times New Roman" w:eastAsia="宋体" w:cs="Times New Roman"/>
          <w:color w:val="FF0000"/>
          <w:highlight w:val="none"/>
          <w:lang w:eastAsia="zh-CN"/>
        </w:rPr>
        <w:t>。本项目堆肥场</w:t>
      </w:r>
      <w:r>
        <w:rPr>
          <w:rFonts w:hint="default" w:ascii="Times New Roman" w:hAnsi="Times New Roman" w:eastAsia="宋体" w:cs="Times New Roman"/>
          <w:color w:val="FF0000"/>
          <w:highlight w:val="none"/>
          <w:lang w:val="en-US" w:eastAsia="zh-CN"/>
        </w:rPr>
        <w:t>面积为300m</w:t>
      </w:r>
      <w:r>
        <w:rPr>
          <w:rFonts w:hint="default" w:ascii="Times New Roman" w:hAnsi="Times New Roman" w:eastAsia="宋体" w:cs="Times New Roman"/>
          <w:color w:val="FF0000"/>
          <w:highlight w:val="none"/>
          <w:vertAlign w:val="superscript"/>
          <w:lang w:val="en-US" w:eastAsia="zh-CN"/>
        </w:rPr>
        <w:t>2</w:t>
      </w:r>
      <w:r>
        <w:rPr>
          <w:rFonts w:hint="default" w:ascii="Times New Roman" w:hAnsi="Times New Roman" w:eastAsia="宋体" w:cs="Times New Roman"/>
          <w:color w:val="FF0000"/>
          <w:highlight w:val="none"/>
          <w:lang w:val="en-US" w:eastAsia="zh-CN"/>
        </w:rPr>
        <w:t>，则</w:t>
      </w:r>
      <w:r>
        <w:rPr>
          <w:rFonts w:hint="default" w:ascii="Times New Roman" w:hAnsi="Times New Roman" w:eastAsia="宋体" w:cs="Times New Roman"/>
          <w:color w:val="FF0000"/>
          <w:highlight w:val="none"/>
        </w:rPr>
        <w:t>NH</w:t>
      </w:r>
      <w:r>
        <w:rPr>
          <w:rFonts w:hint="default" w:ascii="Times New Roman" w:hAnsi="Times New Roman" w:eastAsia="宋体" w:cs="Times New Roman"/>
          <w:color w:val="FF0000"/>
          <w:highlight w:val="none"/>
          <w:vertAlign w:val="subscript"/>
        </w:rPr>
        <w:t>3</w:t>
      </w:r>
      <w:r>
        <w:rPr>
          <w:rFonts w:hint="default" w:ascii="Times New Roman" w:hAnsi="Times New Roman" w:eastAsia="宋体" w:cs="Times New Roman"/>
          <w:color w:val="FF0000"/>
          <w:highlight w:val="none"/>
          <w:vertAlign w:val="baseline"/>
          <w:lang w:val="en-US" w:eastAsia="zh-CN"/>
        </w:rPr>
        <w:t>产生量为0.500kg/d</w:t>
      </w:r>
      <w:r>
        <w:rPr>
          <w:rFonts w:hint="default"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rPr>
        <w:t>H</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S</w:t>
      </w:r>
      <w:r>
        <w:rPr>
          <w:rFonts w:hint="default" w:ascii="Times New Roman" w:hAnsi="Times New Roman" w:eastAsia="宋体" w:cs="Times New Roman"/>
          <w:color w:val="FF0000"/>
          <w:highlight w:val="none"/>
          <w:vertAlign w:val="baseline"/>
          <w:lang w:val="en-US" w:eastAsia="zh-CN"/>
        </w:rPr>
        <w:t>产生量为0.030kg/d</w:t>
      </w:r>
      <w:r>
        <w:rPr>
          <w:rFonts w:hint="default" w:ascii="Times New Roman" w:hAnsi="Times New Roman" w:eastAsia="宋体" w:cs="Times New Roman"/>
          <w:color w:val="FF0000"/>
          <w:highlight w:val="none"/>
          <w:lang w:val="en-US" w:eastAsia="zh-CN"/>
        </w:rPr>
        <w:t>。</w:t>
      </w:r>
    </w:p>
    <w:p w14:paraId="0C1218CD">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定期在堆肥场喷洒植物型除臭剂，并堆肥场四周</w:t>
      </w:r>
      <w:r>
        <w:rPr>
          <w:rFonts w:hint="default" w:ascii="Times New Roman" w:hAnsi="Times New Roman" w:eastAsia="宋体" w:cs="Times New Roman"/>
          <w:color w:val="FF0000"/>
          <w:highlight w:val="none"/>
          <w:lang w:val="en-US" w:eastAsia="zh-CN"/>
        </w:rPr>
        <w:t>进行</w:t>
      </w:r>
      <w:r>
        <w:rPr>
          <w:rFonts w:hint="default" w:ascii="Times New Roman" w:hAnsi="Times New Roman" w:eastAsia="宋体" w:cs="Times New Roman"/>
          <w:color w:val="FF0000"/>
          <w:highlight w:val="none"/>
        </w:rPr>
        <w:t>绿化，可有效减少恶臭气体的排放量</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kern w:val="0"/>
          <w:sz w:val="24"/>
          <w:szCs w:val="24"/>
          <w:highlight w:val="none"/>
          <w:lang w:val="en-US" w:eastAsia="zh-CN" w:bidi="ar"/>
        </w:rPr>
        <w:t>通过采取上述措施，</w:t>
      </w:r>
      <w:r>
        <w:rPr>
          <w:rFonts w:hint="default" w:ascii="Times New Roman" w:hAnsi="Times New Roman" w:eastAsia="宋体" w:cs="Times New Roman"/>
          <w:color w:val="FF0000"/>
          <w:highlight w:val="none"/>
        </w:rPr>
        <w:t>堆肥场</w:t>
      </w:r>
      <w:r>
        <w:rPr>
          <w:rFonts w:hint="default" w:ascii="Times New Roman" w:hAnsi="Times New Roman" w:eastAsia="宋体" w:cs="Times New Roman"/>
          <w:color w:val="FF0000"/>
          <w:kern w:val="0"/>
          <w:sz w:val="24"/>
          <w:szCs w:val="24"/>
          <w:highlight w:val="none"/>
          <w:lang w:val="en-US" w:eastAsia="zh-CN" w:bidi="ar"/>
        </w:rPr>
        <w:t>恶臭消除率至少可达到80%以上。项目</w:t>
      </w:r>
      <w:r>
        <w:rPr>
          <w:rFonts w:hint="default" w:ascii="Times New Roman" w:hAnsi="Times New Roman" w:eastAsia="宋体" w:cs="Times New Roman"/>
          <w:color w:val="FF0000"/>
          <w:highlight w:val="none"/>
        </w:rPr>
        <w:t>堆肥场</w:t>
      </w:r>
      <w:r>
        <w:rPr>
          <w:rFonts w:hint="default" w:ascii="Times New Roman" w:hAnsi="Times New Roman" w:eastAsia="宋体" w:cs="Times New Roman"/>
          <w:color w:val="FF0000"/>
          <w:kern w:val="0"/>
          <w:sz w:val="24"/>
          <w:szCs w:val="24"/>
          <w:highlight w:val="none"/>
          <w:lang w:val="en-US" w:eastAsia="zh-CN" w:bidi="ar"/>
        </w:rPr>
        <w:t>恶臭污染物排放情况详见表3.3-</w:t>
      </w:r>
      <w:r>
        <w:rPr>
          <w:rFonts w:hint="default" w:ascii="Times New Roman" w:hAnsi="Times New Roman" w:eastAsia="宋体" w:cs="Times New Roman"/>
          <w:color w:val="FF0000"/>
          <w:kern w:val="0"/>
          <w:sz w:val="24"/>
          <w:szCs w:val="24"/>
          <w:highlight w:val="none"/>
          <w:lang w:val="en-US" w:eastAsia="zh-CN" w:bidi="ar"/>
        </w:rPr>
        <w:t>3。</w:t>
      </w:r>
    </w:p>
    <w:p w14:paraId="4B18959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表3.3-</w:t>
      </w:r>
      <w:r>
        <w:rPr>
          <w:rFonts w:hint="default" w:ascii="Times New Roman" w:hAnsi="Times New Roman" w:eastAsia="宋体" w:cs="Times New Roman"/>
          <w:color w:val="FF0000"/>
          <w:sz w:val="24"/>
          <w:szCs w:val="24"/>
          <w:highlight w:val="none"/>
          <w:lang w:val="en-US" w:eastAsia="zh-CN"/>
        </w:rPr>
        <w:t xml:space="preserve">3  </w:t>
      </w:r>
      <w:r>
        <w:rPr>
          <w:rFonts w:hint="default" w:ascii="Times New Roman" w:hAnsi="Times New Roman" w:eastAsia="宋体" w:cs="Times New Roman"/>
          <w:color w:val="FF0000"/>
          <w:sz w:val="24"/>
          <w:szCs w:val="24"/>
          <w:highlight w:val="none"/>
        </w:rPr>
        <w:t>项目堆肥场恶臭气体排放源强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39FE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76A5A5F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59DAAE5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6238294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68E273A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7A48BF0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25C820E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429465C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6A04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3AC5311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275DC44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15F2E7B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174982A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0F6A97E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4505405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32C7294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0CA663D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28441AD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58D0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12CB1A3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堆肥场</w:t>
            </w:r>
          </w:p>
        </w:tc>
        <w:tc>
          <w:tcPr>
            <w:tcW w:w="797" w:type="dxa"/>
            <w:vMerge w:val="restart"/>
            <w:noWrap w:val="0"/>
            <w:tcMar>
              <w:left w:w="28" w:type="dxa"/>
              <w:right w:w="28" w:type="dxa"/>
            </w:tcMar>
            <w:vAlign w:val="center"/>
          </w:tcPr>
          <w:p w14:paraId="3F5F7FC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562BA17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rPr>
              <w:t>NH</w:t>
            </w:r>
            <w:r>
              <w:rPr>
                <w:rFonts w:hint="default" w:ascii="Times New Roman" w:hAnsi="Times New Roman" w:eastAsia="宋体" w:cs="Times New Roman"/>
                <w:color w:val="auto"/>
                <w:sz w:val="21"/>
                <w:szCs w:val="21"/>
                <w:highlight w:val="none"/>
                <w:vertAlign w:val="subscript"/>
              </w:rPr>
              <w:t>3</w:t>
            </w:r>
          </w:p>
        </w:tc>
        <w:tc>
          <w:tcPr>
            <w:tcW w:w="798" w:type="dxa"/>
            <w:noWrap w:val="0"/>
            <w:tcMar>
              <w:left w:w="28" w:type="dxa"/>
              <w:right w:w="28" w:type="dxa"/>
            </w:tcMar>
            <w:vAlign w:val="center"/>
          </w:tcPr>
          <w:p w14:paraId="50FB345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016459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0.183</w:t>
            </w:r>
          </w:p>
        </w:tc>
        <w:tc>
          <w:tcPr>
            <w:tcW w:w="1468" w:type="dxa"/>
            <w:vMerge w:val="restart"/>
            <w:noWrap w:val="0"/>
            <w:tcMar>
              <w:left w:w="28" w:type="dxa"/>
              <w:right w:w="28" w:type="dxa"/>
            </w:tcMar>
            <w:vAlign w:val="center"/>
          </w:tcPr>
          <w:p w14:paraId="1E18B71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喷洒除臭剂、四周进行绿化</w:t>
            </w:r>
          </w:p>
        </w:tc>
        <w:tc>
          <w:tcPr>
            <w:tcW w:w="798" w:type="dxa"/>
            <w:noWrap w:val="0"/>
            <w:tcMar>
              <w:left w:w="28" w:type="dxa"/>
              <w:right w:w="28" w:type="dxa"/>
            </w:tcMar>
            <w:vAlign w:val="center"/>
          </w:tcPr>
          <w:p w14:paraId="17CB329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387940E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0.037</w:t>
            </w:r>
          </w:p>
        </w:tc>
        <w:tc>
          <w:tcPr>
            <w:tcW w:w="1226" w:type="dxa"/>
            <w:vMerge w:val="restart"/>
            <w:noWrap w:val="0"/>
            <w:tcMar>
              <w:left w:w="28" w:type="dxa"/>
              <w:right w:w="28" w:type="dxa"/>
            </w:tcMar>
            <w:vAlign w:val="center"/>
          </w:tcPr>
          <w:p w14:paraId="75C70D0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《恶臭污染物排放标准》（GB14554-93）表1恶臭污染物厂界标准值</w:t>
            </w:r>
          </w:p>
        </w:tc>
      </w:tr>
      <w:tr w14:paraId="7012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4652D6E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797" w:type="dxa"/>
            <w:vMerge w:val="continue"/>
            <w:noWrap w:val="0"/>
            <w:tcMar>
              <w:left w:w="28" w:type="dxa"/>
              <w:right w:w="28" w:type="dxa"/>
            </w:tcMar>
            <w:vAlign w:val="center"/>
          </w:tcPr>
          <w:p w14:paraId="42ED158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p>
        </w:tc>
        <w:tc>
          <w:tcPr>
            <w:tcW w:w="797" w:type="dxa"/>
            <w:noWrap w:val="0"/>
            <w:tcMar>
              <w:left w:w="28" w:type="dxa"/>
              <w:right w:w="28" w:type="dxa"/>
            </w:tcMar>
            <w:vAlign w:val="center"/>
          </w:tcPr>
          <w:p w14:paraId="0B90643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vertAlign w:val="baseline"/>
              </w:rPr>
              <w:t>S</w:t>
            </w:r>
          </w:p>
        </w:tc>
        <w:tc>
          <w:tcPr>
            <w:tcW w:w="798" w:type="dxa"/>
            <w:noWrap w:val="0"/>
            <w:tcMar>
              <w:left w:w="28" w:type="dxa"/>
              <w:right w:w="28" w:type="dxa"/>
            </w:tcMar>
            <w:vAlign w:val="center"/>
          </w:tcPr>
          <w:p w14:paraId="5D39D52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63D8F6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0.011</w:t>
            </w:r>
          </w:p>
        </w:tc>
        <w:tc>
          <w:tcPr>
            <w:tcW w:w="1468" w:type="dxa"/>
            <w:vMerge w:val="continue"/>
            <w:noWrap w:val="0"/>
            <w:tcMar>
              <w:left w:w="28" w:type="dxa"/>
              <w:right w:w="28" w:type="dxa"/>
            </w:tcMar>
            <w:vAlign w:val="center"/>
          </w:tcPr>
          <w:p w14:paraId="6F75755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798" w:type="dxa"/>
            <w:noWrap w:val="0"/>
            <w:tcMar>
              <w:left w:w="28" w:type="dxa"/>
              <w:right w:w="28" w:type="dxa"/>
            </w:tcMar>
            <w:vAlign w:val="center"/>
          </w:tcPr>
          <w:p w14:paraId="696A134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32F768A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0.002</w:t>
            </w:r>
          </w:p>
        </w:tc>
        <w:tc>
          <w:tcPr>
            <w:tcW w:w="1226" w:type="dxa"/>
            <w:vMerge w:val="continue"/>
            <w:noWrap w:val="0"/>
            <w:tcMar>
              <w:left w:w="28" w:type="dxa"/>
              <w:right w:w="28" w:type="dxa"/>
            </w:tcMar>
            <w:vAlign w:val="center"/>
          </w:tcPr>
          <w:p w14:paraId="1E7A3F1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r>
    </w:tbl>
    <w:p w14:paraId="3FF7F95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）日粮搅拌车间废气</w:t>
      </w:r>
      <w:r>
        <w:rPr>
          <w:rFonts w:hint="default" w:ascii="Times New Roman" w:hAnsi="Times New Roman" w:eastAsia="宋体" w:cs="Times New Roman"/>
          <w:color w:val="auto"/>
          <w:highlight w:val="none"/>
        </w:rPr>
        <w:t>（G</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p>
    <w:p w14:paraId="024219F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项目饲料（玉米、</w:t>
      </w:r>
      <w:r>
        <w:rPr>
          <w:rFonts w:hint="default" w:ascii="Times New Roman" w:hAnsi="Times New Roman" w:eastAsia="宋体" w:cs="Times New Roman"/>
          <w:color w:val="auto"/>
          <w:highlight w:val="none"/>
          <w:lang w:val="en-US" w:eastAsia="zh-CN"/>
        </w:rPr>
        <w:t>豆粕、棉粕等</w:t>
      </w:r>
      <w:r>
        <w:rPr>
          <w:rFonts w:hint="default" w:ascii="Times New Roman" w:hAnsi="Times New Roman" w:eastAsia="宋体" w:cs="Times New Roman"/>
          <w:color w:val="auto"/>
          <w:highlight w:val="none"/>
          <w:lang w:val="en-US" w:eastAsia="zh-CN"/>
        </w:rPr>
        <w:t>）搅拌加工过程会产生一定量的粉尘。搅拌系统为密闭式作业，搅拌过程加水进行，因此外逸粉尘量较少。</w:t>
      </w:r>
    </w:p>
    <w:p w14:paraId="59A0484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highlight w:val="none"/>
          <w:lang w:val="en-US" w:eastAsia="zh-CN"/>
        </w:rPr>
        <w:t>本</w:t>
      </w:r>
      <w:r>
        <w:rPr>
          <w:rFonts w:hint="default" w:ascii="Times New Roman" w:hAnsi="Times New Roman" w:eastAsia="宋体" w:cs="Times New Roman"/>
          <w:color w:val="auto"/>
          <w:highlight w:val="none"/>
          <w:lang w:val="en-US" w:eastAsia="zh-CN"/>
        </w:rPr>
        <w:t>项目</w:t>
      </w:r>
      <w:r>
        <w:rPr>
          <w:rFonts w:hint="default" w:ascii="Times New Roman" w:hAnsi="Times New Roman" w:eastAsia="宋体" w:cs="Times New Roman"/>
          <w:color w:val="auto"/>
          <w:highlight w:val="none"/>
          <w:lang w:val="en-US" w:eastAsia="zh-CN"/>
        </w:rPr>
        <w:t>年消耗精饲料1260</w:t>
      </w:r>
      <w:r>
        <w:rPr>
          <w:rFonts w:hint="default" w:ascii="Times New Roman" w:hAnsi="Times New Roman" w:eastAsia="宋体" w:cs="Times New Roman"/>
          <w:color w:val="auto"/>
          <w:highlight w:val="none"/>
          <w:lang w:val="en-US" w:eastAsia="zh-CN"/>
        </w:rPr>
        <w:t>0t，</w:t>
      </w:r>
      <w:r>
        <w:rPr>
          <w:rFonts w:hint="default" w:ascii="Times New Roman" w:hAnsi="Times New Roman" w:eastAsia="宋体" w:cs="Times New Roman"/>
          <w:color w:val="auto"/>
          <w:highlight w:val="none"/>
        </w:rPr>
        <w:t>项目日粮搅拌车间废气产生量参照《排放源统计调查产排污核算方法和系数手册》（公告2021</w:t>
      </w:r>
      <w:r>
        <w:rPr>
          <w:rFonts w:hint="default" w:ascii="Times New Roman" w:hAnsi="Times New Roman" w:eastAsia="宋体" w:cs="Times New Roman"/>
          <w:color w:val="auto"/>
          <w:sz w:val="24"/>
          <w:szCs w:val="24"/>
          <w:highlight w:val="none"/>
        </w:rPr>
        <w:t>年第24号）--132饲料加工行业系数手册进行核算，</w:t>
      </w:r>
      <w:r>
        <w:rPr>
          <w:rFonts w:hint="default" w:ascii="Times New Roman" w:hAnsi="Times New Roman" w:eastAsia="宋体" w:cs="Times New Roman"/>
          <w:color w:val="auto"/>
          <w:sz w:val="24"/>
          <w:szCs w:val="24"/>
          <w:highlight w:val="none"/>
          <w:lang w:val="en-US" w:eastAsia="zh-CN"/>
        </w:rPr>
        <w:t>小于10万吨/年规模的颗粒物产生系数为0.043</w:t>
      </w:r>
      <w:r>
        <w:rPr>
          <w:rFonts w:hint="default" w:ascii="Times New Roman" w:hAnsi="Times New Roman" w:eastAsia="宋体" w:cs="Times New Roman"/>
          <w:color w:val="auto"/>
          <w:sz w:val="24"/>
          <w:szCs w:val="24"/>
          <w:highlight w:val="none"/>
        </w:rPr>
        <w:t>千克/吨-产品</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则</w:t>
      </w:r>
      <w:r>
        <w:rPr>
          <w:rFonts w:hint="default" w:ascii="Times New Roman" w:hAnsi="Times New Roman" w:eastAsia="宋体" w:cs="Times New Roman"/>
          <w:color w:val="auto"/>
          <w:highlight w:val="none"/>
          <w:lang w:eastAsia="zh-CN"/>
        </w:rPr>
        <w:t>日粮搅拌车间废气</w:t>
      </w:r>
      <w:r>
        <w:rPr>
          <w:rFonts w:hint="default" w:ascii="Times New Roman" w:hAnsi="Times New Roman" w:eastAsia="宋体" w:cs="Times New Roman"/>
          <w:color w:val="auto"/>
          <w:highlight w:val="none"/>
          <w:lang w:val="en-US" w:eastAsia="zh-CN"/>
        </w:rPr>
        <w:t>产生量为0.542t/a。</w:t>
      </w:r>
    </w:p>
    <w:p w14:paraId="275A5B8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项目配料时间为</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h/天，且</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rPr>
        <w:t>密闭</w:t>
      </w:r>
      <w:r>
        <w:rPr>
          <w:rFonts w:hint="default" w:ascii="Times New Roman" w:hAnsi="Times New Roman" w:eastAsia="宋体" w:cs="Times New Roman"/>
          <w:color w:val="auto"/>
          <w:highlight w:val="none"/>
          <w:lang w:eastAsia="zh-CN"/>
        </w:rPr>
        <w:t>设置，</w:t>
      </w:r>
      <w:r>
        <w:rPr>
          <w:rFonts w:hint="default" w:ascii="Times New Roman" w:hAnsi="Times New Roman" w:eastAsia="宋体" w:cs="Times New Roman"/>
          <w:color w:val="auto"/>
          <w:highlight w:val="none"/>
        </w:rPr>
        <w:t>饲料配制期间门窗紧闭并在配制过程中</w:t>
      </w:r>
      <w:r>
        <w:rPr>
          <w:rFonts w:hint="default" w:ascii="Times New Roman" w:hAnsi="Times New Roman" w:eastAsia="宋体" w:cs="Times New Roman"/>
          <w:color w:val="auto"/>
          <w:highlight w:val="none"/>
          <w:lang w:eastAsia="zh-CN"/>
        </w:rPr>
        <w:t>洒水抑尘</w:t>
      </w:r>
      <w:r>
        <w:rPr>
          <w:rFonts w:hint="default" w:ascii="Times New Roman" w:hAnsi="Times New Roman" w:eastAsia="宋体" w:cs="Times New Roman"/>
          <w:color w:val="auto"/>
          <w:highlight w:val="none"/>
        </w:rPr>
        <w:t>，排放粉尘</w:t>
      </w:r>
      <w:r>
        <w:rPr>
          <w:rFonts w:hint="default" w:ascii="Times New Roman" w:hAnsi="Times New Roman" w:eastAsia="宋体" w:cs="Times New Roman"/>
          <w:color w:val="auto"/>
          <w:highlight w:val="none"/>
          <w:lang w:val="en-US" w:eastAsia="zh-CN"/>
        </w:rPr>
        <w:t>90</w:t>
      </w:r>
      <w:r>
        <w:rPr>
          <w:rFonts w:hint="default" w:ascii="Times New Roman" w:hAnsi="Times New Roman" w:eastAsia="宋体" w:cs="Times New Roman"/>
          <w:color w:val="auto"/>
          <w:highlight w:val="none"/>
        </w:rPr>
        <w:t>%沉降于车间内，项目粉尘产排污情况见下表。</w:t>
      </w:r>
    </w:p>
    <w:p w14:paraId="2A9E385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表3.3-</w:t>
      </w:r>
      <w:r>
        <w:rPr>
          <w:rFonts w:hint="default" w:ascii="Times New Roman" w:hAnsi="Times New Roman" w:eastAsia="宋体" w:cs="Times New Roman"/>
          <w:color w:val="auto"/>
          <w:sz w:val="24"/>
          <w:szCs w:val="24"/>
          <w:highlight w:val="none"/>
          <w:lang w:val="en-US" w:eastAsia="zh-CN"/>
        </w:rPr>
        <w:t xml:space="preserve">4  </w:t>
      </w:r>
      <w:r>
        <w:rPr>
          <w:rFonts w:hint="default" w:ascii="Times New Roman" w:hAnsi="Times New Roman" w:eastAsia="宋体" w:cs="Times New Roman"/>
          <w:color w:val="FF0000"/>
          <w:sz w:val="24"/>
          <w:szCs w:val="24"/>
          <w:highlight w:val="none"/>
        </w:rPr>
        <w:t>项目日粮搅拌车间废气排放源强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62D4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3169659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7FA4007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5926EBC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0B46837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68E82CD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68B6787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6B3C265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1313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443654B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7ED9FDA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3D44FF4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467C1C7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39D23FD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4EFE454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590B305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4D6D891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407122A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6B1E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noWrap w:val="0"/>
            <w:tcMar>
              <w:left w:w="28" w:type="dxa"/>
              <w:right w:w="28" w:type="dxa"/>
            </w:tcMar>
            <w:vAlign w:val="center"/>
          </w:tcPr>
          <w:p w14:paraId="3804986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日粮搅拌车间</w:t>
            </w:r>
          </w:p>
        </w:tc>
        <w:tc>
          <w:tcPr>
            <w:tcW w:w="797" w:type="dxa"/>
            <w:noWrap w:val="0"/>
            <w:tcMar>
              <w:left w:w="28" w:type="dxa"/>
              <w:right w:w="28" w:type="dxa"/>
            </w:tcMar>
            <w:vAlign w:val="center"/>
          </w:tcPr>
          <w:p w14:paraId="5EB7264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40BBCAF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颗粒物</w:t>
            </w:r>
          </w:p>
        </w:tc>
        <w:tc>
          <w:tcPr>
            <w:tcW w:w="798" w:type="dxa"/>
            <w:noWrap w:val="0"/>
            <w:tcMar>
              <w:left w:w="28" w:type="dxa"/>
              <w:right w:w="28" w:type="dxa"/>
            </w:tcMar>
            <w:vAlign w:val="center"/>
          </w:tcPr>
          <w:p w14:paraId="7941E88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2EC466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lang w:val="en-US" w:eastAsia="zh-CN"/>
              </w:rPr>
              <w:t>0.542</w:t>
            </w:r>
          </w:p>
        </w:tc>
        <w:tc>
          <w:tcPr>
            <w:tcW w:w="1468" w:type="dxa"/>
            <w:noWrap w:val="0"/>
            <w:tcMar>
              <w:left w:w="28" w:type="dxa"/>
              <w:right w:w="28" w:type="dxa"/>
            </w:tcMar>
            <w:vAlign w:val="center"/>
          </w:tcPr>
          <w:p w14:paraId="332DBF0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sz w:val="21"/>
                <w:szCs w:val="21"/>
                <w:highlight w:val="none"/>
                <w:lang w:eastAsia="zh-CN"/>
              </w:rPr>
              <w:t>日粮搅拌车间</w:t>
            </w:r>
            <w:r>
              <w:rPr>
                <w:rFonts w:hint="default" w:ascii="Times New Roman" w:hAnsi="Times New Roman" w:eastAsia="宋体" w:cs="Times New Roman"/>
                <w:color w:val="FF0000"/>
                <w:sz w:val="21"/>
                <w:szCs w:val="21"/>
                <w:highlight w:val="none"/>
              </w:rPr>
              <w:t>密闭</w:t>
            </w:r>
            <w:r>
              <w:rPr>
                <w:rFonts w:hint="default" w:ascii="Times New Roman" w:hAnsi="Times New Roman" w:eastAsia="宋体" w:cs="Times New Roman"/>
                <w:color w:val="FF0000"/>
                <w:sz w:val="21"/>
                <w:szCs w:val="21"/>
                <w:highlight w:val="none"/>
                <w:lang w:eastAsia="zh-CN"/>
              </w:rPr>
              <w:t>设置</w:t>
            </w:r>
            <w:r>
              <w:rPr>
                <w:rFonts w:hint="default" w:ascii="Times New Roman" w:hAnsi="Times New Roman" w:eastAsia="宋体" w:cs="Times New Roman"/>
                <w:color w:val="FF0000"/>
                <w:sz w:val="21"/>
                <w:szCs w:val="21"/>
                <w:highlight w:val="none"/>
                <w:lang w:eastAsia="zh-CN"/>
              </w:rPr>
              <w:t>、洒水抑尘</w:t>
            </w:r>
          </w:p>
        </w:tc>
        <w:tc>
          <w:tcPr>
            <w:tcW w:w="798" w:type="dxa"/>
            <w:noWrap w:val="0"/>
            <w:tcMar>
              <w:left w:w="28" w:type="dxa"/>
              <w:right w:w="28" w:type="dxa"/>
            </w:tcMar>
            <w:vAlign w:val="center"/>
          </w:tcPr>
          <w:p w14:paraId="2349279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2C04E73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w:t>
            </w:r>
            <w:r>
              <w:rPr>
                <w:rFonts w:hint="default" w:ascii="Times New Roman" w:hAnsi="Times New Roman" w:eastAsia="宋体" w:cs="Times New Roman"/>
                <w:b w:val="0"/>
                <w:bCs w:val="0"/>
                <w:color w:val="FF0000"/>
                <w:sz w:val="21"/>
                <w:szCs w:val="21"/>
                <w:highlight w:val="none"/>
                <w:lang w:val="en-US" w:eastAsia="zh-CN"/>
              </w:rPr>
              <w:t>54</w:t>
            </w:r>
          </w:p>
        </w:tc>
        <w:tc>
          <w:tcPr>
            <w:tcW w:w="1226" w:type="dxa"/>
            <w:noWrap w:val="0"/>
            <w:tcMar>
              <w:left w:w="28" w:type="dxa"/>
              <w:right w:w="28" w:type="dxa"/>
            </w:tcMar>
            <w:vAlign w:val="center"/>
          </w:tcPr>
          <w:p w14:paraId="649DCD7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《大气污染物综合排放标准》（GB16297-1996）表2新污染源大气污染物排放限值</w:t>
            </w:r>
          </w:p>
        </w:tc>
      </w:tr>
    </w:tbl>
    <w:p w14:paraId="39C841A7">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lang w:val="en-US" w:eastAsia="zh-CN"/>
        </w:rPr>
        <w:t>4</w:t>
      </w:r>
      <w:r>
        <w:rPr>
          <w:rFonts w:hint="default" w:ascii="Times New Roman" w:hAnsi="Times New Roman" w:eastAsia="宋体" w:cs="Times New Roman"/>
          <w:color w:val="FF0000"/>
          <w:highlight w:val="none"/>
          <w:lang w:eastAsia="zh-CN"/>
        </w:rPr>
        <w:t>）造粒车间废气</w:t>
      </w:r>
      <w:r>
        <w:rPr>
          <w:rFonts w:hint="default" w:ascii="Times New Roman" w:hAnsi="Times New Roman" w:eastAsia="宋体" w:cs="Times New Roman"/>
          <w:color w:val="FF0000"/>
          <w:highlight w:val="none"/>
        </w:rPr>
        <w:t>（G</w:t>
      </w:r>
      <w:r>
        <w:rPr>
          <w:rFonts w:hint="default" w:ascii="Times New Roman" w:hAnsi="Times New Roman" w:eastAsia="宋体" w:cs="Times New Roman"/>
          <w:color w:val="FF0000"/>
          <w:highlight w:val="none"/>
          <w:lang w:val="en-US" w:eastAsia="zh-CN"/>
        </w:rPr>
        <w:t>4</w:t>
      </w:r>
      <w:r>
        <w:rPr>
          <w:rFonts w:hint="default" w:ascii="Times New Roman" w:hAnsi="Times New Roman" w:eastAsia="宋体" w:cs="Times New Roman"/>
          <w:color w:val="FF0000"/>
          <w:highlight w:val="none"/>
        </w:rPr>
        <w:t>）</w:t>
      </w:r>
    </w:p>
    <w:p w14:paraId="52EB910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val="en-US" w:eastAsia="zh-CN"/>
        </w:rPr>
        <w:t>造粒生产线的破碎机、筛分机和制粒机在生产过程中会产生废气，主要污染物为颗粒物。</w:t>
      </w:r>
    </w:p>
    <w:p w14:paraId="76053974">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FF0000"/>
          <w:sz w:val="24"/>
          <w:szCs w:val="24"/>
          <w:lang w:val="en-US" w:eastAsia="zh-CN"/>
        </w:rPr>
        <w:t>根据《排放源统计调查产排污核算方法和系数手册》-C2542生物质致密成型燃料加工行业系数手册中颗粒物产污系数6.69×10</w:t>
      </w:r>
      <w:r>
        <w:rPr>
          <w:rFonts w:hint="default" w:ascii="Times New Roman" w:hAnsi="Times New Roman" w:eastAsia="宋体" w:cs="Times New Roman"/>
          <w:color w:val="FF0000"/>
          <w:sz w:val="24"/>
          <w:szCs w:val="24"/>
          <w:vertAlign w:val="superscript"/>
          <w:lang w:val="en-US" w:eastAsia="zh-CN"/>
        </w:rPr>
        <w:t>-4</w:t>
      </w:r>
      <w:r>
        <w:rPr>
          <w:rFonts w:hint="default" w:ascii="Times New Roman" w:hAnsi="Times New Roman" w:eastAsia="宋体" w:cs="Times New Roman"/>
          <w:color w:val="FF0000"/>
          <w:sz w:val="24"/>
          <w:szCs w:val="24"/>
          <w:lang w:val="en-US" w:eastAsia="zh-CN"/>
        </w:rPr>
        <w:t>t/t-产品，本项目产品年生产量为1296t，则破碎机、筛分机和制粒机产生的颗粒物量为0.867t/a。</w:t>
      </w:r>
      <w:r>
        <w:rPr>
          <w:rFonts w:hint="default" w:ascii="Times New Roman" w:hAnsi="Times New Roman" w:eastAsia="宋体" w:cs="Times New Roman"/>
          <w:color w:val="auto"/>
          <w:sz w:val="24"/>
          <w:szCs w:val="24"/>
          <w:lang w:val="en-US" w:eastAsia="zh-CN"/>
        </w:rPr>
        <w:t>生产线设备全封闭，收集的废气经1台布袋除尘器处理后，以无组织形式排放。</w:t>
      </w:r>
    </w:p>
    <w:p w14:paraId="3140BB5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FF0000"/>
          <w:sz w:val="24"/>
          <w:szCs w:val="24"/>
          <w:lang w:val="en-US" w:eastAsia="zh-CN"/>
        </w:rPr>
        <w:t>根据《排放源统计调查产排污核算方法和系数手册》-C2542生物质致密成型燃料加工行业系数手册中袋式除尘效率为92%，则</w:t>
      </w:r>
      <w:r>
        <w:rPr>
          <w:rFonts w:hint="default" w:ascii="Times New Roman" w:hAnsi="Times New Roman" w:eastAsia="宋体" w:cs="Times New Roman"/>
          <w:color w:val="FF0000"/>
          <w:highlight w:val="none"/>
          <w:lang w:eastAsia="zh-CN"/>
        </w:rPr>
        <w:t>造粒车间废气</w:t>
      </w:r>
      <w:r>
        <w:rPr>
          <w:rFonts w:hint="default" w:ascii="Times New Roman" w:hAnsi="Times New Roman" w:eastAsia="宋体" w:cs="Times New Roman"/>
          <w:color w:val="FF0000"/>
          <w:highlight w:val="none"/>
          <w:lang w:val="en-US" w:eastAsia="zh-CN"/>
        </w:rPr>
        <w:t>排放量为0.069t/a。</w:t>
      </w:r>
    </w:p>
    <w:p w14:paraId="253D0BE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表3.3-</w:t>
      </w:r>
      <w:r>
        <w:rPr>
          <w:rFonts w:hint="default" w:ascii="Times New Roman" w:hAnsi="Times New Roman" w:eastAsia="宋体" w:cs="Times New Roman"/>
          <w:color w:val="auto"/>
          <w:sz w:val="24"/>
          <w:szCs w:val="24"/>
          <w:highlight w:val="none"/>
          <w:lang w:val="en-US" w:eastAsia="zh-CN"/>
        </w:rPr>
        <w:t xml:space="preserve">5  </w:t>
      </w:r>
      <w:r>
        <w:rPr>
          <w:rFonts w:hint="default" w:ascii="Times New Roman" w:hAnsi="Times New Roman" w:eastAsia="宋体" w:cs="Times New Roman"/>
          <w:color w:val="FF0000"/>
          <w:sz w:val="24"/>
          <w:szCs w:val="24"/>
          <w:highlight w:val="none"/>
        </w:rPr>
        <w:t>项目造粒车间废气排放源强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7066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246E124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4600643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1820330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415C1B2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5338317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0EA7889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326CBBF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6231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7996CE5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057EEF6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1DF1023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52808FF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1E2AD04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2C97E9F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29A0DD3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137889F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21D8F13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2CD8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noWrap w:val="0"/>
            <w:tcMar>
              <w:left w:w="28" w:type="dxa"/>
              <w:right w:w="28" w:type="dxa"/>
            </w:tcMar>
            <w:vAlign w:val="center"/>
          </w:tcPr>
          <w:p w14:paraId="5272949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val="en-US" w:eastAsia="zh-CN"/>
              </w:rPr>
              <w:t>造粒</w:t>
            </w:r>
            <w:r>
              <w:rPr>
                <w:rFonts w:hint="default" w:ascii="Times New Roman" w:hAnsi="Times New Roman" w:eastAsia="宋体" w:cs="Times New Roman"/>
                <w:b w:val="0"/>
                <w:bCs w:val="0"/>
                <w:color w:val="FF0000"/>
                <w:sz w:val="21"/>
                <w:szCs w:val="21"/>
                <w:highlight w:val="none"/>
                <w:lang w:eastAsia="zh-CN"/>
              </w:rPr>
              <w:t>车间</w:t>
            </w:r>
          </w:p>
        </w:tc>
        <w:tc>
          <w:tcPr>
            <w:tcW w:w="797" w:type="dxa"/>
            <w:noWrap w:val="0"/>
            <w:tcMar>
              <w:left w:w="28" w:type="dxa"/>
              <w:right w:w="28" w:type="dxa"/>
            </w:tcMar>
            <w:vAlign w:val="center"/>
          </w:tcPr>
          <w:p w14:paraId="23CC07D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63E802E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颗粒物</w:t>
            </w:r>
          </w:p>
        </w:tc>
        <w:tc>
          <w:tcPr>
            <w:tcW w:w="798" w:type="dxa"/>
            <w:noWrap w:val="0"/>
            <w:tcMar>
              <w:left w:w="28" w:type="dxa"/>
              <w:right w:w="28" w:type="dxa"/>
            </w:tcMar>
            <w:vAlign w:val="center"/>
          </w:tcPr>
          <w:p w14:paraId="01857F4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2D8233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0.867</w:t>
            </w:r>
          </w:p>
        </w:tc>
        <w:tc>
          <w:tcPr>
            <w:tcW w:w="1468" w:type="dxa"/>
            <w:noWrap w:val="0"/>
            <w:tcMar>
              <w:left w:w="28" w:type="dxa"/>
              <w:right w:w="28" w:type="dxa"/>
            </w:tcMar>
            <w:vAlign w:val="center"/>
          </w:tcPr>
          <w:p w14:paraId="08FE994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全封闭设置、布袋除尘器</w:t>
            </w:r>
          </w:p>
        </w:tc>
        <w:tc>
          <w:tcPr>
            <w:tcW w:w="798" w:type="dxa"/>
            <w:noWrap w:val="0"/>
            <w:tcMar>
              <w:left w:w="28" w:type="dxa"/>
              <w:right w:w="28" w:type="dxa"/>
            </w:tcMar>
            <w:vAlign w:val="center"/>
          </w:tcPr>
          <w:p w14:paraId="68391F7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4881712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w:t>
            </w:r>
            <w:r>
              <w:rPr>
                <w:rFonts w:hint="default" w:ascii="Times New Roman" w:hAnsi="Times New Roman" w:eastAsia="宋体" w:cs="Times New Roman"/>
                <w:b w:val="0"/>
                <w:bCs w:val="0"/>
                <w:color w:val="FF0000"/>
                <w:sz w:val="21"/>
                <w:szCs w:val="21"/>
                <w:highlight w:val="none"/>
                <w:lang w:val="en-US" w:eastAsia="zh-CN"/>
              </w:rPr>
              <w:t>69</w:t>
            </w:r>
          </w:p>
        </w:tc>
        <w:tc>
          <w:tcPr>
            <w:tcW w:w="1226" w:type="dxa"/>
            <w:noWrap w:val="0"/>
            <w:tcMar>
              <w:left w:w="28" w:type="dxa"/>
              <w:right w:w="28" w:type="dxa"/>
            </w:tcMar>
            <w:vAlign w:val="center"/>
          </w:tcPr>
          <w:p w14:paraId="3846A24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《大气污染物综合排放标准》（GB16297-1996）表2新污染源大气污染物排放限值</w:t>
            </w:r>
          </w:p>
        </w:tc>
      </w:tr>
    </w:tbl>
    <w:p w14:paraId="15380BB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color w:val="FF0000"/>
          <w:sz w:val="24"/>
          <w:szCs w:val="24"/>
          <w:highlight w:val="none"/>
          <w:lang w:eastAsia="zh-CN"/>
        </w:rPr>
      </w:pP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5</w:t>
      </w:r>
      <w:r>
        <w:rPr>
          <w:rFonts w:hint="default" w:ascii="Times New Roman" w:hAnsi="Times New Roman" w:eastAsia="宋体" w:cs="Times New Roman"/>
          <w:b w:val="0"/>
          <w:bCs w:val="0"/>
          <w:color w:val="FF0000"/>
          <w:sz w:val="24"/>
          <w:szCs w:val="24"/>
          <w:highlight w:val="none"/>
          <w:lang w:eastAsia="zh-CN"/>
        </w:rPr>
        <w:t>）玉米粒筛分废气（G</w:t>
      </w:r>
      <w:r>
        <w:rPr>
          <w:rFonts w:hint="default" w:ascii="Times New Roman" w:hAnsi="Times New Roman" w:eastAsia="宋体" w:cs="Times New Roman"/>
          <w:b w:val="0"/>
          <w:bCs w:val="0"/>
          <w:color w:val="FF0000"/>
          <w:sz w:val="24"/>
          <w:szCs w:val="24"/>
          <w:highlight w:val="none"/>
          <w:lang w:val="en-US" w:eastAsia="zh-CN"/>
        </w:rPr>
        <w:t>5</w:t>
      </w:r>
      <w:r>
        <w:rPr>
          <w:rFonts w:hint="default" w:ascii="Times New Roman" w:hAnsi="Times New Roman" w:eastAsia="宋体" w:cs="Times New Roman"/>
          <w:b w:val="0"/>
          <w:bCs w:val="0"/>
          <w:color w:val="FF0000"/>
          <w:sz w:val="24"/>
          <w:szCs w:val="24"/>
          <w:highlight w:val="none"/>
          <w:lang w:eastAsia="zh-CN"/>
        </w:rPr>
        <w:t>）</w:t>
      </w:r>
    </w:p>
    <w:p w14:paraId="309ABBB7">
      <w:pPr>
        <w:keepNext w:val="0"/>
        <w:keepLines w:val="0"/>
        <w:pageBreakBefore w:val="0"/>
        <w:suppressLineNumbers w:val="0"/>
        <w:shd w:val="clear"/>
        <w:kinsoku/>
        <w:wordWrap/>
        <w:bidi w:val="0"/>
        <w:spacing w:before="0" w:beforeAutospacing="0" w:after="0" w:afterAutospacing="0" w:line="360" w:lineRule="auto"/>
        <w:ind w:left="0" w:leftChars="0" w:right="0" w:firstLine="480" w:firstLineChars="200"/>
        <w:jc w:val="left"/>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highlight w:val="none"/>
          <w:lang w:eastAsia="zh-CN"/>
        </w:rPr>
        <w:t>玉米粒烘干线</w:t>
      </w:r>
      <w:r>
        <w:rPr>
          <w:rFonts w:hint="default" w:ascii="Times New Roman" w:hAnsi="Times New Roman" w:eastAsia="宋体" w:cs="Times New Roman"/>
          <w:b w:val="0"/>
          <w:bCs w:val="0"/>
          <w:color w:val="FF0000"/>
          <w:sz w:val="24"/>
          <w:szCs w:val="24"/>
          <w:highlight w:val="none"/>
        </w:rPr>
        <w:t>原料玉米粒</w:t>
      </w:r>
      <w:r>
        <w:rPr>
          <w:rFonts w:hint="default" w:ascii="Times New Roman" w:hAnsi="Times New Roman" w:eastAsia="宋体" w:cs="Times New Roman"/>
          <w:b w:val="0"/>
          <w:bCs w:val="0"/>
          <w:color w:val="FF0000"/>
          <w:sz w:val="24"/>
          <w:szCs w:val="24"/>
          <w:highlight w:val="none"/>
          <w:lang w:val="en-US" w:eastAsia="zh-CN"/>
        </w:rPr>
        <w:t>采用</w:t>
      </w:r>
      <w:r>
        <w:rPr>
          <w:rFonts w:hint="default" w:ascii="Times New Roman" w:hAnsi="Times New Roman" w:eastAsia="宋体" w:cs="Times New Roman"/>
          <w:b w:val="0"/>
          <w:bCs w:val="0"/>
          <w:color w:val="FF0000"/>
          <w:sz w:val="24"/>
          <w:szCs w:val="24"/>
          <w:highlight w:val="none"/>
          <w:lang w:eastAsia="zh-CN"/>
        </w:rPr>
        <w:t>初清筛进行筛分，</w:t>
      </w:r>
      <w:r>
        <w:rPr>
          <w:rFonts w:hint="default" w:ascii="Times New Roman" w:hAnsi="Times New Roman" w:eastAsia="宋体" w:cs="Times New Roman"/>
          <w:b w:val="0"/>
          <w:bCs w:val="0"/>
          <w:color w:val="FF0000"/>
          <w:sz w:val="24"/>
          <w:szCs w:val="24"/>
          <w:highlight w:val="none"/>
          <w:lang w:val="en-US" w:eastAsia="zh-CN"/>
        </w:rPr>
        <w:t>筛分过程中</w:t>
      </w:r>
      <w:r>
        <w:rPr>
          <w:rFonts w:hint="default" w:ascii="Times New Roman" w:hAnsi="Times New Roman" w:eastAsia="宋体" w:cs="Times New Roman"/>
          <w:b w:val="0"/>
          <w:bCs w:val="0"/>
          <w:color w:val="FF0000"/>
          <w:sz w:val="24"/>
          <w:szCs w:val="20"/>
          <w:highlight w:val="none"/>
          <w:lang w:val="en-US" w:eastAsia="zh-CN"/>
        </w:rPr>
        <w:t>会产生少量粉尘，</w:t>
      </w:r>
      <w:r>
        <w:rPr>
          <w:rFonts w:hint="default" w:ascii="Times New Roman" w:hAnsi="Times New Roman" w:eastAsia="宋体" w:cs="Times New Roman"/>
          <w:b w:val="0"/>
          <w:bCs w:val="0"/>
          <w:color w:val="FF0000"/>
          <w:sz w:val="24"/>
          <w:szCs w:val="24"/>
          <w:highlight w:val="none"/>
          <w:lang w:val="en-US" w:eastAsia="zh-CN"/>
        </w:rPr>
        <w:t>项目</w:t>
      </w:r>
      <w:r>
        <w:rPr>
          <w:rFonts w:hint="default" w:ascii="Times New Roman" w:hAnsi="Times New Roman" w:eastAsia="宋体" w:cs="Times New Roman"/>
          <w:b w:val="0"/>
          <w:bCs w:val="0"/>
          <w:color w:val="FF0000"/>
          <w:sz w:val="24"/>
          <w:szCs w:val="24"/>
          <w:highlight w:val="none"/>
        </w:rPr>
        <w:t>对</w:t>
      </w:r>
      <w:r>
        <w:rPr>
          <w:rFonts w:hint="default" w:ascii="Times New Roman" w:hAnsi="Times New Roman" w:eastAsia="宋体" w:cs="Times New Roman"/>
          <w:b w:val="0"/>
          <w:bCs w:val="0"/>
          <w:color w:val="FF0000"/>
          <w:sz w:val="24"/>
          <w:szCs w:val="24"/>
          <w:highlight w:val="none"/>
          <w:lang w:eastAsia="zh-CN"/>
        </w:rPr>
        <w:t>初清筛</w:t>
      </w:r>
      <w:r>
        <w:rPr>
          <w:rFonts w:hint="default" w:ascii="Times New Roman" w:hAnsi="Times New Roman" w:eastAsia="宋体" w:cs="Times New Roman"/>
          <w:b w:val="0"/>
          <w:bCs w:val="0"/>
          <w:color w:val="FF0000"/>
          <w:sz w:val="24"/>
          <w:szCs w:val="24"/>
          <w:highlight w:val="none"/>
        </w:rPr>
        <w:t>进行封闭设置</w:t>
      </w:r>
      <w:r>
        <w:rPr>
          <w:rFonts w:hint="default" w:ascii="Times New Roman" w:hAnsi="Times New Roman" w:eastAsia="宋体" w:cs="Times New Roman"/>
          <w:b w:val="0"/>
          <w:bCs w:val="0"/>
          <w:color w:val="FF0000"/>
          <w:sz w:val="24"/>
          <w:szCs w:val="20"/>
          <w:highlight w:val="none"/>
          <w:lang w:val="en-US" w:eastAsia="zh-CN"/>
        </w:rPr>
        <w:t>。</w:t>
      </w:r>
    </w:p>
    <w:p w14:paraId="14E8A48E">
      <w:pPr>
        <w:keepNext w:val="0"/>
        <w:keepLines w:val="0"/>
        <w:pageBreakBefore w:val="0"/>
        <w:suppressLineNumbers w:val="0"/>
        <w:shd w:val="clear"/>
        <w:kinsoku/>
        <w:wordWrap/>
        <w:bidi w:val="0"/>
        <w:spacing w:before="0" w:beforeAutospacing="0" w:after="0" w:afterAutospacing="0" w:line="360" w:lineRule="auto"/>
        <w:ind w:left="0" w:leftChars="0" w:right="0" w:firstLine="480" w:firstLineChars="200"/>
        <w:jc w:val="left"/>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highlight w:val="none"/>
          <w:lang w:eastAsia="zh-CN"/>
        </w:rPr>
        <w:t>玉米粒烘干线</w:t>
      </w:r>
      <w:r>
        <w:rPr>
          <w:rFonts w:hint="default" w:ascii="Times New Roman" w:hAnsi="Times New Roman" w:eastAsia="宋体" w:cs="Times New Roman"/>
          <w:b w:val="0"/>
          <w:bCs w:val="0"/>
          <w:color w:val="FF0000"/>
          <w:sz w:val="24"/>
          <w:szCs w:val="24"/>
          <w:highlight w:val="none"/>
          <w:lang w:val="en-US" w:eastAsia="zh-CN"/>
        </w:rPr>
        <w:t>消耗</w:t>
      </w:r>
      <w:r>
        <w:rPr>
          <w:rFonts w:hint="default" w:ascii="Times New Roman" w:hAnsi="Times New Roman" w:eastAsia="宋体" w:cs="Times New Roman"/>
          <w:b w:val="0"/>
          <w:bCs w:val="0"/>
          <w:color w:val="FF0000"/>
          <w:sz w:val="24"/>
          <w:szCs w:val="24"/>
          <w:highlight w:val="none"/>
          <w:lang w:eastAsia="zh-CN"/>
        </w:rPr>
        <w:t>原料</w:t>
      </w:r>
      <w:r>
        <w:rPr>
          <w:rFonts w:hint="default" w:ascii="Times New Roman" w:hAnsi="Times New Roman" w:eastAsia="宋体" w:cs="Times New Roman"/>
          <w:b w:val="0"/>
          <w:bCs w:val="0"/>
          <w:color w:val="FF0000"/>
          <w:sz w:val="24"/>
          <w:szCs w:val="24"/>
          <w:highlight w:val="none"/>
          <w:lang w:val="en-US" w:eastAsia="zh-CN"/>
        </w:rPr>
        <w:t>玉米粒量为</w:t>
      </w:r>
      <w:r>
        <w:rPr>
          <w:rFonts w:hint="default" w:ascii="Times New Roman" w:hAnsi="Times New Roman" w:eastAsia="宋体" w:cs="Times New Roman"/>
          <w:b w:val="0"/>
          <w:bCs w:val="0"/>
          <w:color w:val="FF0000"/>
          <w:sz w:val="24"/>
          <w:szCs w:val="24"/>
          <w:highlight w:val="none"/>
          <w:lang w:val="en-US" w:eastAsia="zh-CN"/>
        </w:rPr>
        <w:t>8</w:t>
      </w:r>
      <w:r>
        <w:rPr>
          <w:rFonts w:hint="default" w:ascii="Times New Roman" w:hAnsi="Times New Roman" w:eastAsia="宋体" w:cs="Times New Roman"/>
          <w:b w:val="0"/>
          <w:bCs w:val="0"/>
          <w:color w:val="FF0000"/>
          <w:sz w:val="24"/>
          <w:szCs w:val="24"/>
          <w:highlight w:val="none"/>
          <w:lang w:val="en-US" w:eastAsia="zh-CN"/>
        </w:rPr>
        <w:t>000t/a，含有的玉米粒皮屑量按1‰计算，则玉米粒皮屑量为</w:t>
      </w:r>
      <w:r>
        <w:rPr>
          <w:rFonts w:hint="default" w:ascii="Times New Roman" w:hAnsi="Times New Roman" w:eastAsia="宋体" w:cs="Times New Roman"/>
          <w:b w:val="0"/>
          <w:bCs w:val="0"/>
          <w:color w:val="FF0000"/>
          <w:sz w:val="24"/>
          <w:szCs w:val="24"/>
          <w:highlight w:val="none"/>
          <w:lang w:val="en-US" w:eastAsia="zh-CN"/>
        </w:rPr>
        <w:t>8</w:t>
      </w:r>
      <w:r>
        <w:rPr>
          <w:rFonts w:hint="default" w:ascii="Times New Roman" w:hAnsi="Times New Roman" w:eastAsia="宋体" w:cs="Times New Roman"/>
          <w:b w:val="0"/>
          <w:bCs w:val="0"/>
          <w:color w:val="FF0000"/>
          <w:sz w:val="24"/>
          <w:szCs w:val="24"/>
          <w:highlight w:val="none"/>
          <w:lang w:val="en-US" w:eastAsia="zh-CN"/>
        </w:rPr>
        <w:t>t/a，</w:t>
      </w:r>
      <w:r>
        <w:rPr>
          <w:rFonts w:hint="default" w:ascii="Times New Roman" w:hAnsi="Times New Roman" w:eastAsia="宋体" w:cs="Times New Roman"/>
          <w:b w:val="0"/>
          <w:bCs w:val="0"/>
          <w:color w:val="FF0000"/>
          <w:sz w:val="24"/>
          <w:szCs w:val="24"/>
          <w:highlight w:val="none"/>
        </w:rPr>
        <w:t>参照《逸散性工业粉尘控制技术》</w:t>
      </w:r>
      <w:r>
        <w:rPr>
          <w:rFonts w:hint="default" w:ascii="Times New Roman" w:hAnsi="Times New Roman" w:eastAsia="宋体" w:cs="Times New Roman"/>
          <w:b w:val="0"/>
          <w:bCs w:val="0"/>
          <w:color w:val="FF0000"/>
          <w:sz w:val="24"/>
          <w:szCs w:val="24"/>
          <w:highlight w:val="none"/>
          <w:lang w:eastAsia="zh-CN"/>
        </w:rPr>
        <w:t>谷物贮仓中“</w:t>
      </w:r>
      <w:r>
        <w:rPr>
          <w:rFonts w:hint="default" w:ascii="Times New Roman" w:hAnsi="Times New Roman" w:eastAsia="宋体" w:cs="Times New Roman"/>
          <w:b w:val="0"/>
          <w:bCs w:val="0"/>
          <w:color w:val="FF0000"/>
          <w:sz w:val="24"/>
          <w:szCs w:val="24"/>
          <w:highlight w:val="none"/>
          <w:lang w:val="en-US" w:eastAsia="zh-CN"/>
        </w:rPr>
        <w:t>过筛</w:t>
      </w:r>
      <w:r>
        <w:rPr>
          <w:rFonts w:hint="default" w:ascii="Times New Roman" w:hAnsi="Times New Roman" w:eastAsia="宋体" w:cs="Times New Roman"/>
          <w:b w:val="0"/>
          <w:bCs w:val="0"/>
          <w:color w:val="FF0000"/>
          <w:sz w:val="24"/>
          <w:szCs w:val="24"/>
          <w:highlight w:val="none"/>
          <w:lang w:eastAsia="zh-CN"/>
        </w:rPr>
        <w:t>和清理”的产污系数--</w:t>
      </w:r>
      <w:r>
        <w:rPr>
          <w:rFonts w:hint="default" w:ascii="Times New Roman" w:hAnsi="Times New Roman" w:eastAsia="宋体" w:cs="Times New Roman"/>
          <w:b w:val="0"/>
          <w:bCs w:val="0"/>
          <w:color w:val="FF0000"/>
          <w:sz w:val="24"/>
          <w:szCs w:val="24"/>
          <w:highlight w:val="none"/>
          <w:lang w:val="en-US" w:eastAsia="zh-CN"/>
        </w:rPr>
        <w:t>2.5</w:t>
      </w:r>
      <w:r>
        <w:rPr>
          <w:rFonts w:hint="default" w:ascii="Times New Roman" w:hAnsi="Times New Roman" w:eastAsia="宋体" w:cs="Times New Roman"/>
          <w:b w:val="0"/>
          <w:bCs w:val="0"/>
          <w:color w:val="FF0000"/>
          <w:sz w:val="24"/>
          <w:szCs w:val="24"/>
          <w:highlight w:val="none"/>
          <w:lang w:eastAsia="zh-CN"/>
        </w:rPr>
        <w:t>kg/t（</w:t>
      </w:r>
      <w:r>
        <w:rPr>
          <w:rFonts w:hint="default" w:ascii="Times New Roman" w:hAnsi="Times New Roman" w:eastAsia="宋体" w:cs="Times New Roman"/>
          <w:b w:val="0"/>
          <w:bCs w:val="0"/>
          <w:color w:val="FF0000"/>
          <w:sz w:val="24"/>
          <w:szCs w:val="24"/>
          <w:highlight w:val="none"/>
          <w:lang w:val="en-US" w:eastAsia="zh-CN"/>
        </w:rPr>
        <w:t>过筛和</w:t>
      </w:r>
      <w:r>
        <w:rPr>
          <w:rFonts w:hint="default" w:ascii="Times New Roman" w:hAnsi="Times New Roman" w:eastAsia="宋体" w:cs="Times New Roman"/>
          <w:b w:val="0"/>
          <w:bCs w:val="0"/>
          <w:color w:val="FF0000"/>
          <w:sz w:val="24"/>
          <w:szCs w:val="24"/>
          <w:highlight w:val="none"/>
          <w:lang w:eastAsia="zh-CN"/>
        </w:rPr>
        <w:t>清理料），则玉米粒筛分过程中颗粒物产生量为</w:t>
      </w:r>
      <w:r>
        <w:rPr>
          <w:rFonts w:hint="default" w:ascii="Times New Roman" w:hAnsi="Times New Roman" w:eastAsia="宋体" w:cs="Times New Roman"/>
          <w:b w:val="0"/>
          <w:bCs w:val="0"/>
          <w:color w:val="FF0000"/>
          <w:sz w:val="24"/>
          <w:szCs w:val="24"/>
          <w:highlight w:val="none"/>
          <w:lang w:val="en-US" w:eastAsia="zh-CN"/>
        </w:rPr>
        <w:t>0.0</w:t>
      </w:r>
      <w:r>
        <w:rPr>
          <w:rFonts w:hint="default" w:ascii="Times New Roman" w:hAnsi="Times New Roman" w:eastAsia="宋体" w:cs="Times New Roman"/>
          <w:b w:val="0"/>
          <w:bCs w:val="0"/>
          <w:color w:val="FF0000"/>
          <w:sz w:val="24"/>
          <w:szCs w:val="24"/>
          <w:highlight w:val="none"/>
          <w:lang w:val="en-US" w:eastAsia="zh-CN"/>
        </w:rPr>
        <w:t>20</w:t>
      </w:r>
      <w:r>
        <w:rPr>
          <w:rFonts w:hint="default" w:ascii="Times New Roman" w:hAnsi="Times New Roman" w:eastAsia="宋体" w:cs="Times New Roman"/>
          <w:b w:val="0"/>
          <w:bCs w:val="0"/>
          <w:color w:val="FF0000"/>
          <w:sz w:val="24"/>
          <w:szCs w:val="24"/>
          <w:highlight w:val="none"/>
          <w:lang w:val="en-US" w:eastAsia="zh-CN"/>
        </w:rPr>
        <w:t>t/a，在封闭外罩内沉降后（降尘效率按60%计），则</w:t>
      </w:r>
      <w:r>
        <w:rPr>
          <w:rFonts w:hint="default" w:ascii="Times New Roman" w:hAnsi="Times New Roman" w:eastAsia="宋体" w:cs="Times New Roman"/>
          <w:b w:val="0"/>
          <w:bCs w:val="0"/>
          <w:color w:val="FF0000"/>
          <w:sz w:val="24"/>
          <w:szCs w:val="24"/>
          <w:highlight w:val="none"/>
          <w:lang w:eastAsia="zh-CN"/>
        </w:rPr>
        <w:t>玉米粒筛分过程中颗粒物排放量为</w:t>
      </w:r>
      <w:r>
        <w:rPr>
          <w:rFonts w:hint="default" w:ascii="Times New Roman" w:hAnsi="Times New Roman" w:eastAsia="宋体" w:cs="Times New Roman"/>
          <w:b w:val="0"/>
          <w:bCs w:val="0"/>
          <w:color w:val="FF0000"/>
          <w:sz w:val="24"/>
          <w:szCs w:val="24"/>
          <w:highlight w:val="none"/>
          <w:lang w:val="en-US" w:eastAsia="zh-CN"/>
        </w:rPr>
        <w:t>0.0</w:t>
      </w:r>
      <w:r>
        <w:rPr>
          <w:rFonts w:hint="default" w:ascii="Times New Roman" w:hAnsi="Times New Roman" w:eastAsia="宋体" w:cs="Times New Roman"/>
          <w:b w:val="0"/>
          <w:bCs w:val="0"/>
          <w:color w:val="FF0000"/>
          <w:sz w:val="24"/>
          <w:szCs w:val="24"/>
          <w:highlight w:val="none"/>
          <w:lang w:val="en-US" w:eastAsia="zh-CN"/>
        </w:rPr>
        <w:t>08</w:t>
      </w:r>
      <w:r>
        <w:rPr>
          <w:rFonts w:hint="default" w:ascii="Times New Roman" w:hAnsi="Times New Roman" w:eastAsia="宋体" w:cs="Times New Roman"/>
          <w:b w:val="0"/>
          <w:bCs w:val="0"/>
          <w:color w:val="FF0000"/>
          <w:sz w:val="24"/>
          <w:szCs w:val="24"/>
          <w:highlight w:val="none"/>
          <w:lang w:val="en-US" w:eastAsia="zh-CN"/>
        </w:rPr>
        <w:t>t/a，以无组织形式排放。</w:t>
      </w:r>
    </w:p>
    <w:p w14:paraId="5C5CA082">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表3.3-</w:t>
      </w:r>
      <w:r>
        <w:rPr>
          <w:rFonts w:hint="default" w:ascii="Times New Roman" w:hAnsi="Times New Roman" w:eastAsia="宋体" w:cs="Times New Roman"/>
          <w:color w:val="auto"/>
          <w:sz w:val="24"/>
          <w:szCs w:val="24"/>
          <w:highlight w:val="none"/>
          <w:lang w:val="en-US" w:eastAsia="zh-CN"/>
        </w:rPr>
        <w:t xml:space="preserve">6  </w:t>
      </w:r>
      <w:r>
        <w:rPr>
          <w:rFonts w:hint="default" w:ascii="Times New Roman" w:hAnsi="Times New Roman" w:eastAsia="宋体" w:cs="Times New Roman"/>
          <w:color w:val="FF0000"/>
          <w:sz w:val="24"/>
          <w:szCs w:val="24"/>
          <w:highlight w:val="none"/>
        </w:rPr>
        <w:t>项目玉米粒筛分废气排放源强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55A8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7C59778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6D22B23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4DCA60A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75ACE33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6D0382A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75DE012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5B0D1FF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778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2F32376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35A808B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1F6A18D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6DE5FE6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2B22179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38034DA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54ACF76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3000DFD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7C5B105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7F9B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noWrap w:val="0"/>
            <w:tcMar>
              <w:left w:w="28" w:type="dxa"/>
              <w:right w:w="28" w:type="dxa"/>
            </w:tcMar>
            <w:vAlign w:val="center"/>
          </w:tcPr>
          <w:p w14:paraId="278A40F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玉米粒筛分</w:t>
            </w:r>
          </w:p>
        </w:tc>
        <w:tc>
          <w:tcPr>
            <w:tcW w:w="797" w:type="dxa"/>
            <w:noWrap w:val="0"/>
            <w:tcMar>
              <w:left w:w="28" w:type="dxa"/>
              <w:right w:w="28" w:type="dxa"/>
            </w:tcMar>
            <w:vAlign w:val="center"/>
          </w:tcPr>
          <w:p w14:paraId="396612C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715571D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颗粒物</w:t>
            </w:r>
          </w:p>
        </w:tc>
        <w:tc>
          <w:tcPr>
            <w:tcW w:w="798" w:type="dxa"/>
            <w:noWrap w:val="0"/>
            <w:tcMar>
              <w:left w:w="28" w:type="dxa"/>
              <w:right w:w="28" w:type="dxa"/>
            </w:tcMar>
            <w:vAlign w:val="center"/>
          </w:tcPr>
          <w:p w14:paraId="48263B6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531F82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0.020</w:t>
            </w:r>
          </w:p>
        </w:tc>
        <w:tc>
          <w:tcPr>
            <w:tcW w:w="1468" w:type="dxa"/>
            <w:noWrap w:val="0"/>
            <w:tcMar>
              <w:left w:w="28" w:type="dxa"/>
              <w:right w:w="28" w:type="dxa"/>
            </w:tcMar>
            <w:vAlign w:val="center"/>
          </w:tcPr>
          <w:p w14:paraId="330D534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封闭外罩</w:t>
            </w:r>
          </w:p>
        </w:tc>
        <w:tc>
          <w:tcPr>
            <w:tcW w:w="798" w:type="dxa"/>
            <w:noWrap w:val="0"/>
            <w:tcMar>
              <w:left w:w="28" w:type="dxa"/>
              <w:right w:w="28" w:type="dxa"/>
            </w:tcMar>
            <w:vAlign w:val="center"/>
          </w:tcPr>
          <w:p w14:paraId="721A0C4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68877C8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0.008</w:t>
            </w:r>
          </w:p>
        </w:tc>
        <w:tc>
          <w:tcPr>
            <w:tcW w:w="1226" w:type="dxa"/>
            <w:noWrap w:val="0"/>
            <w:tcMar>
              <w:left w:w="28" w:type="dxa"/>
              <w:right w:w="28" w:type="dxa"/>
            </w:tcMar>
            <w:vAlign w:val="center"/>
          </w:tcPr>
          <w:p w14:paraId="77F96AD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《大气污染物综合排放标准》（GB16297-1996）表2新污染源大气污染物排放限值</w:t>
            </w:r>
          </w:p>
        </w:tc>
      </w:tr>
    </w:tbl>
    <w:p w14:paraId="1EEF23B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6</w:t>
      </w:r>
      <w:r>
        <w:rPr>
          <w:rFonts w:hint="default" w:ascii="Times New Roman" w:hAnsi="Times New Roman" w:eastAsia="宋体" w:cs="Times New Roman"/>
          <w:b w:val="0"/>
          <w:bCs w:val="0"/>
          <w:color w:val="FF0000"/>
          <w:sz w:val="24"/>
          <w:szCs w:val="24"/>
          <w:highlight w:val="none"/>
          <w:lang w:eastAsia="zh-CN"/>
        </w:rPr>
        <w:t>）玉米粒烘干废气（G</w:t>
      </w:r>
      <w:r>
        <w:rPr>
          <w:rFonts w:hint="default" w:ascii="Times New Roman" w:hAnsi="Times New Roman" w:eastAsia="宋体" w:cs="Times New Roman"/>
          <w:b w:val="0"/>
          <w:bCs w:val="0"/>
          <w:color w:val="FF0000"/>
          <w:sz w:val="24"/>
          <w:szCs w:val="24"/>
          <w:highlight w:val="none"/>
          <w:lang w:val="en-US" w:eastAsia="zh-CN"/>
        </w:rPr>
        <w:t>6</w:t>
      </w:r>
      <w:r>
        <w:rPr>
          <w:rFonts w:hint="default" w:ascii="Times New Roman" w:hAnsi="Times New Roman" w:eastAsia="宋体" w:cs="Times New Roman"/>
          <w:b w:val="0"/>
          <w:bCs w:val="0"/>
          <w:color w:val="FF0000"/>
          <w:sz w:val="24"/>
          <w:szCs w:val="24"/>
          <w:highlight w:val="none"/>
          <w:lang w:eastAsia="zh-CN"/>
        </w:rPr>
        <w:t>）</w:t>
      </w:r>
    </w:p>
    <w:p w14:paraId="79A6E1E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auto"/>
          <w:sz w:val="24"/>
          <w:szCs w:val="20"/>
          <w:highlight w:val="none"/>
          <w:lang w:val="en-US" w:eastAsia="zh-CN"/>
        </w:rPr>
      </w:pPr>
      <w:r>
        <w:rPr>
          <w:rFonts w:hint="default" w:ascii="Times New Roman" w:hAnsi="Times New Roman" w:eastAsia="宋体" w:cs="Times New Roman"/>
          <w:b w:val="0"/>
          <w:bCs w:val="0"/>
          <w:color w:val="auto"/>
          <w:sz w:val="24"/>
          <w:highlight w:val="none"/>
          <w:lang w:eastAsia="zh-CN"/>
        </w:rPr>
        <w:t>玉米粒烘干线</w:t>
      </w:r>
      <w:r>
        <w:rPr>
          <w:rFonts w:hint="default" w:ascii="Times New Roman" w:hAnsi="Times New Roman" w:eastAsia="宋体" w:cs="Times New Roman"/>
          <w:b w:val="0"/>
          <w:bCs w:val="0"/>
          <w:color w:val="auto"/>
          <w:sz w:val="24"/>
          <w:szCs w:val="24"/>
          <w:highlight w:val="none"/>
        </w:rPr>
        <w:t>原料玉米粒</w:t>
      </w:r>
      <w:r>
        <w:rPr>
          <w:rFonts w:hint="default" w:ascii="Times New Roman" w:hAnsi="Times New Roman" w:eastAsia="宋体" w:cs="Times New Roman"/>
          <w:b w:val="0"/>
          <w:bCs w:val="0"/>
          <w:color w:val="auto"/>
          <w:sz w:val="24"/>
          <w:szCs w:val="24"/>
          <w:highlight w:val="none"/>
          <w:lang w:val="en-US" w:eastAsia="zh-CN"/>
        </w:rPr>
        <w:t>烘干过程中</w:t>
      </w:r>
      <w:r>
        <w:rPr>
          <w:rFonts w:hint="default" w:ascii="Times New Roman" w:hAnsi="Times New Roman" w:eastAsia="宋体" w:cs="Times New Roman"/>
          <w:b w:val="0"/>
          <w:bCs w:val="0"/>
          <w:color w:val="auto"/>
          <w:sz w:val="24"/>
          <w:szCs w:val="20"/>
          <w:highlight w:val="none"/>
          <w:lang w:val="en-US" w:eastAsia="zh-CN"/>
        </w:rPr>
        <w:t>会产生少量粉尘，</w:t>
      </w:r>
      <w:r>
        <w:rPr>
          <w:rFonts w:hint="default" w:ascii="Times New Roman" w:hAnsi="Times New Roman" w:eastAsia="宋体" w:cs="Times New Roman"/>
          <w:b w:val="0"/>
          <w:bCs w:val="0"/>
          <w:color w:val="auto"/>
          <w:sz w:val="24"/>
          <w:szCs w:val="20"/>
          <w:highlight w:val="none"/>
          <w:lang w:val="en-US" w:eastAsia="zh-CN"/>
        </w:rPr>
        <w:t>烘干塔设置封闭彩钢板外罩</w:t>
      </w:r>
      <w:r>
        <w:rPr>
          <w:rFonts w:hint="default" w:ascii="Times New Roman" w:hAnsi="Times New Roman" w:eastAsia="宋体" w:cs="Times New Roman"/>
          <w:b w:val="0"/>
          <w:bCs w:val="0"/>
          <w:color w:val="auto"/>
          <w:sz w:val="24"/>
          <w:szCs w:val="20"/>
          <w:highlight w:val="none"/>
          <w:lang w:val="en-US" w:eastAsia="zh-CN"/>
        </w:rPr>
        <w:t>，粉尘收集量为60%。</w:t>
      </w:r>
    </w:p>
    <w:p w14:paraId="79C6C5A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color w:val="FF0000"/>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玉米粒烘干线</w:t>
      </w:r>
      <w:r>
        <w:rPr>
          <w:rFonts w:hint="default" w:ascii="Times New Roman" w:hAnsi="Times New Roman" w:eastAsia="宋体" w:cs="Times New Roman"/>
          <w:b w:val="0"/>
          <w:bCs w:val="0"/>
          <w:color w:val="auto"/>
          <w:sz w:val="24"/>
          <w:szCs w:val="24"/>
          <w:highlight w:val="none"/>
          <w:lang w:val="en-US" w:eastAsia="zh-CN"/>
        </w:rPr>
        <w:t>消耗</w:t>
      </w:r>
      <w:r>
        <w:rPr>
          <w:rFonts w:hint="default" w:ascii="Times New Roman" w:hAnsi="Times New Roman" w:eastAsia="宋体" w:cs="Times New Roman"/>
          <w:b w:val="0"/>
          <w:bCs w:val="0"/>
          <w:color w:val="auto"/>
          <w:sz w:val="24"/>
          <w:szCs w:val="24"/>
          <w:highlight w:val="none"/>
          <w:lang w:eastAsia="zh-CN"/>
        </w:rPr>
        <w:t>原料</w:t>
      </w:r>
      <w:r>
        <w:rPr>
          <w:rFonts w:hint="default" w:ascii="Times New Roman" w:hAnsi="Times New Roman" w:eastAsia="宋体" w:cs="Times New Roman"/>
          <w:b w:val="0"/>
          <w:bCs w:val="0"/>
          <w:color w:val="auto"/>
          <w:sz w:val="24"/>
          <w:szCs w:val="24"/>
          <w:highlight w:val="none"/>
          <w:lang w:val="en-US" w:eastAsia="zh-CN"/>
        </w:rPr>
        <w:t>玉米粒量为</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000t/a，含有的玉米粒皮屑量按1‰计算，则玉米粒皮屑量为</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t/a，</w:t>
      </w:r>
      <w:r>
        <w:rPr>
          <w:rFonts w:hint="default" w:ascii="Times New Roman" w:hAnsi="Times New Roman" w:eastAsia="宋体" w:cs="Times New Roman"/>
          <w:b w:val="0"/>
          <w:bCs w:val="0"/>
          <w:color w:val="auto"/>
          <w:sz w:val="24"/>
          <w:szCs w:val="24"/>
          <w:highlight w:val="none"/>
        </w:rPr>
        <w:t>参照《逸散性工业粉尘控制技术》</w:t>
      </w:r>
      <w:r>
        <w:rPr>
          <w:rFonts w:hint="default" w:ascii="Times New Roman" w:hAnsi="Times New Roman" w:eastAsia="宋体" w:cs="Times New Roman"/>
          <w:b w:val="0"/>
          <w:bCs w:val="0"/>
          <w:color w:val="auto"/>
          <w:sz w:val="24"/>
          <w:szCs w:val="24"/>
          <w:highlight w:val="none"/>
          <w:lang w:eastAsia="zh-CN"/>
        </w:rPr>
        <w:t>谷物贮仓中“干燥”的产污系数--</w:t>
      </w:r>
      <w:r>
        <w:rPr>
          <w:rFonts w:hint="default" w:ascii="Times New Roman" w:hAnsi="Times New Roman" w:eastAsia="宋体" w:cs="Times New Roman"/>
          <w:b w:val="0"/>
          <w:bCs w:val="0"/>
          <w:color w:val="auto"/>
          <w:sz w:val="24"/>
          <w:szCs w:val="24"/>
          <w:highlight w:val="none"/>
          <w:lang w:val="en-US" w:eastAsia="zh-CN"/>
        </w:rPr>
        <w:t>0.25</w:t>
      </w:r>
      <w:r>
        <w:rPr>
          <w:rFonts w:hint="default" w:ascii="Times New Roman" w:hAnsi="Times New Roman" w:eastAsia="宋体" w:cs="Times New Roman"/>
          <w:b w:val="0"/>
          <w:bCs w:val="0"/>
          <w:color w:val="auto"/>
          <w:sz w:val="24"/>
          <w:szCs w:val="24"/>
          <w:highlight w:val="none"/>
          <w:lang w:eastAsia="zh-CN"/>
        </w:rPr>
        <w:t>kg/t（干燥</w:t>
      </w:r>
      <w:r>
        <w:rPr>
          <w:rFonts w:hint="default" w:ascii="Times New Roman" w:hAnsi="Times New Roman" w:eastAsia="宋体" w:cs="Times New Roman"/>
          <w:b w:val="0"/>
          <w:bCs w:val="0"/>
          <w:color w:val="auto"/>
          <w:sz w:val="24"/>
          <w:szCs w:val="24"/>
          <w:highlight w:val="none"/>
          <w:lang w:val="en-US" w:eastAsia="zh-CN"/>
        </w:rPr>
        <w:t>料</w:t>
      </w:r>
      <w:r>
        <w:rPr>
          <w:rFonts w:hint="default" w:ascii="Times New Roman" w:hAnsi="Times New Roman" w:eastAsia="宋体" w:cs="Times New Roman"/>
          <w:b w:val="0"/>
          <w:bCs w:val="0"/>
          <w:color w:val="auto"/>
          <w:sz w:val="24"/>
          <w:szCs w:val="24"/>
          <w:highlight w:val="none"/>
          <w:lang w:eastAsia="zh-CN"/>
        </w:rPr>
        <w:t>），则玉米粒烘干过程中颗粒物产生量为</w:t>
      </w:r>
      <w:r>
        <w:rPr>
          <w:rFonts w:hint="default" w:ascii="Times New Roman" w:hAnsi="Times New Roman" w:eastAsia="宋体" w:cs="Times New Roman"/>
          <w:b w:val="0"/>
          <w:bCs w:val="0"/>
          <w:color w:val="auto"/>
          <w:sz w:val="24"/>
          <w:szCs w:val="24"/>
          <w:highlight w:val="none"/>
          <w:lang w:val="en-US" w:eastAsia="zh-CN"/>
        </w:rPr>
        <w:t>0.0</w:t>
      </w:r>
      <w:r>
        <w:rPr>
          <w:rFonts w:hint="default" w:ascii="Times New Roman" w:hAnsi="Times New Roman" w:eastAsia="宋体" w:cs="Times New Roman"/>
          <w:b w:val="0"/>
          <w:bCs w:val="0"/>
          <w:color w:val="auto"/>
          <w:sz w:val="24"/>
          <w:szCs w:val="24"/>
          <w:highlight w:val="none"/>
          <w:lang w:val="en-US" w:eastAsia="zh-CN"/>
        </w:rPr>
        <w:t>20</w:t>
      </w:r>
      <w:r>
        <w:rPr>
          <w:rFonts w:hint="default" w:ascii="Times New Roman" w:hAnsi="Times New Roman" w:eastAsia="宋体" w:cs="Times New Roman"/>
          <w:b w:val="0"/>
          <w:bCs w:val="0"/>
          <w:color w:val="auto"/>
          <w:sz w:val="24"/>
          <w:szCs w:val="24"/>
          <w:highlight w:val="none"/>
          <w:lang w:val="en-US" w:eastAsia="zh-CN"/>
        </w:rPr>
        <w:t>t/a，则</w:t>
      </w:r>
      <w:r>
        <w:rPr>
          <w:rFonts w:hint="default" w:ascii="Times New Roman" w:hAnsi="Times New Roman" w:eastAsia="宋体" w:cs="Times New Roman"/>
          <w:b w:val="0"/>
          <w:bCs w:val="0"/>
          <w:color w:val="auto"/>
          <w:sz w:val="24"/>
          <w:szCs w:val="24"/>
          <w:highlight w:val="none"/>
          <w:lang w:eastAsia="zh-CN"/>
        </w:rPr>
        <w:t>玉米粒烘干过程中颗粒物排放量为</w:t>
      </w:r>
      <w:r>
        <w:rPr>
          <w:rFonts w:hint="default" w:ascii="Times New Roman" w:hAnsi="Times New Roman" w:eastAsia="宋体" w:cs="Times New Roman"/>
          <w:b w:val="0"/>
          <w:bCs w:val="0"/>
          <w:color w:val="auto"/>
          <w:sz w:val="24"/>
          <w:szCs w:val="24"/>
          <w:highlight w:val="none"/>
          <w:lang w:val="en-US" w:eastAsia="zh-CN"/>
        </w:rPr>
        <w:t>0.00</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t/a，以无组织形式排放。</w:t>
      </w:r>
    </w:p>
    <w:p w14:paraId="7C64747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表3.3-</w:t>
      </w:r>
      <w:r>
        <w:rPr>
          <w:rFonts w:hint="default" w:ascii="Times New Roman" w:hAnsi="Times New Roman" w:eastAsia="宋体" w:cs="Times New Roman"/>
          <w:color w:val="auto"/>
          <w:sz w:val="24"/>
          <w:szCs w:val="24"/>
          <w:highlight w:val="none"/>
          <w:lang w:val="en-US" w:eastAsia="zh-CN"/>
        </w:rPr>
        <w:t xml:space="preserve">7  </w:t>
      </w:r>
      <w:r>
        <w:rPr>
          <w:rFonts w:hint="default" w:ascii="Times New Roman" w:hAnsi="Times New Roman" w:eastAsia="宋体" w:cs="Times New Roman"/>
          <w:color w:val="FF0000"/>
          <w:sz w:val="24"/>
          <w:szCs w:val="24"/>
          <w:highlight w:val="none"/>
        </w:rPr>
        <w:t>项目玉米粒烘干废气排放源强</w:t>
      </w:r>
      <w:r>
        <w:rPr>
          <w:rFonts w:hint="default" w:ascii="Times New Roman" w:hAnsi="Times New Roman" w:eastAsia="宋体" w:cs="Times New Roman"/>
          <w:b/>
          <w:bCs/>
          <w:color w:val="FF0000"/>
          <w:highlight w:val="none"/>
        </w:rPr>
        <w:t>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7"/>
        <w:gridCol w:w="797"/>
        <w:gridCol w:w="797"/>
        <w:gridCol w:w="798"/>
        <w:gridCol w:w="798"/>
        <w:gridCol w:w="1468"/>
        <w:gridCol w:w="798"/>
        <w:gridCol w:w="798"/>
        <w:gridCol w:w="1226"/>
      </w:tblGrid>
      <w:tr w14:paraId="411C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restart"/>
            <w:noWrap w:val="0"/>
            <w:tcMar>
              <w:left w:w="28" w:type="dxa"/>
              <w:right w:w="28" w:type="dxa"/>
            </w:tcMar>
            <w:vAlign w:val="center"/>
          </w:tcPr>
          <w:p w14:paraId="2C31C03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污染源</w:t>
            </w:r>
          </w:p>
        </w:tc>
        <w:tc>
          <w:tcPr>
            <w:tcW w:w="797" w:type="dxa"/>
            <w:vMerge w:val="restart"/>
            <w:noWrap w:val="0"/>
            <w:tcMar>
              <w:left w:w="28" w:type="dxa"/>
              <w:right w:w="28" w:type="dxa"/>
            </w:tcMar>
            <w:vAlign w:val="center"/>
          </w:tcPr>
          <w:p w14:paraId="1331B8C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排放方式</w:t>
            </w:r>
          </w:p>
        </w:tc>
        <w:tc>
          <w:tcPr>
            <w:tcW w:w="797" w:type="dxa"/>
            <w:vMerge w:val="restart"/>
            <w:noWrap w:val="0"/>
            <w:tcMar>
              <w:left w:w="28" w:type="dxa"/>
              <w:right w:w="28" w:type="dxa"/>
            </w:tcMar>
            <w:vAlign w:val="center"/>
          </w:tcPr>
          <w:p w14:paraId="4C5A5CE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污染因子</w:t>
            </w:r>
          </w:p>
        </w:tc>
        <w:tc>
          <w:tcPr>
            <w:tcW w:w="1596" w:type="dxa"/>
            <w:gridSpan w:val="2"/>
            <w:noWrap w:val="0"/>
            <w:tcMar>
              <w:left w:w="28" w:type="dxa"/>
              <w:right w:w="28" w:type="dxa"/>
            </w:tcMar>
            <w:vAlign w:val="center"/>
          </w:tcPr>
          <w:p w14:paraId="40C862A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污染物产生情况</w:t>
            </w:r>
          </w:p>
        </w:tc>
        <w:tc>
          <w:tcPr>
            <w:tcW w:w="1468" w:type="dxa"/>
            <w:vMerge w:val="restart"/>
            <w:noWrap w:val="0"/>
            <w:tcMar>
              <w:left w:w="28" w:type="dxa"/>
              <w:right w:w="28" w:type="dxa"/>
            </w:tcMar>
            <w:vAlign w:val="center"/>
          </w:tcPr>
          <w:p w14:paraId="608DDFD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治理措施</w:t>
            </w:r>
          </w:p>
        </w:tc>
        <w:tc>
          <w:tcPr>
            <w:tcW w:w="1596" w:type="dxa"/>
            <w:gridSpan w:val="2"/>
            <w:noWrap w:val="0"/>
            <w:tcMar>
              <w:left w:w="28" w:type="dxa"/>
              <w:right w:w="28" w:type="dxa"/>
            </w:tcMar>
            <w:vAlign w:val="center"/>
          </w:tcPr>
          <w:p w14:paraId="4036FE0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污染物排放情况</w:t>
            </w:r>
          </w:p>
        </w:tc>
        <w:tc>
          <w:tcPr>
            <w:tcW w:w="1226" w:type="dxa"/>
            <w:vMerge w:val="restart"/>
            <w:noWrap w:val="0"/>
            <w:tcMar>
              <w:left w:w="28" w:type="dxa"/>
              <w:right w:w="28" w:type="dxa"/>
            </w:tcMar>
            <w:vAlign w:val="center"/>
          </w:tcPr>
          <w:p w14:paraId="0706125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排放标准</w:t>
            </w:r>
          </w:p>
        </w:tc>
      </w:tr>
      <w:tr w14:paraId="0F3F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vMerge w:val="continue"/>
            <w:noWrap w:val="0"/>
            <w:tcMar>
              <w:left w:w="28" w:type="dxa"/>
              <w:right w:w="28" w:type="dxa"/>
            </w:tcMar>
            <w:vAlign w:val="center"/>
          </w:tcPr>
          <w:p w14:paraId="0E6AE13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15FB63C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7" w:type="dxa"/>
            <w:vMerge w:val="continue"/>
            <w:noWrap w:val="0"/>
            <w:tcMar>
              <w:left w:w="28" w:type="dxa"/>
              <w:right w:w="28" w:type="dxa"/>
            </w:tcMar>
            <w:vAlign w:val="center"/>
          </w:tcPr>
          <w:p w14:paraId="1261BB1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12538A6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652A02B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468" w:type="dxa"/>
            <w:vMerge w:val="continue"/>
            <w:noWrap w:val="0"/>
            <w:tcMar>
              <w:left w:w="28" w:type="dxa"/>
              <w:right w:w="28" w:type="dxa"/>
            </w:tcMar>
            <w:vAlign w:val="center"/>
          </w:tcPr>
          <w:p w14:paraId="7A280F7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798" w:type="dxa"/>
            <w:noWrap w:val="0"/>
            <w:tcMar>
              <w:left w:w="28" w:type="dxa"/>
              <w:right w:w="28" w:type="dxa"/>
            </w:tcMar>
            <w:vAlign w:val="center"/>
          </w:tcPr>
          <w:p w14:paraId="75DA77F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mg/m</w:t>
            </w:r>
            <w:r>
              <w:rPr>
                <w:rFonts w:hint="default" w:ascii="Times New Roman" w:hAnsi="Times New Roman" w:eastAsia="宋体" w:cs="Times New Roman"/>
                <w:b w:val="0"/>
                <w:bCs w:val="0"/>
                <w:color w:val="FF0000"/>
                <w:sz w:val="21"/>
                <w:szCs w:val="21"/>
                <w:highlight w:val="none"/>
                <w:vertAlign w:val="superscript"/>
              </w:rPr>
              <w:t>3</w:t>
            </w:r>
          </w:p>
        </w:tc>
        <w:tc>
          <w:tcPr>
            <w:tcW w:w="798" w:type="dxa"/>
            <w:noWrap w:val="0"/>
            <w:tcMar>
              <w:left w:w="28" w:type="dxa"/>
              <w:right w:w="28" w:type="dxa"/>
            </w:tcMar>
            <w:vAlign w:val="center"/>
          </w:tcPr>
          <w:p w14:paraId="4907C4B4">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t/a</w:t>
            </w:r>
          </w:p>
        </w:tc>
        <w:tc>
          <w:tcPr>
            <w:tcW w:w="1226" w:type="dxa"/>
            <w:vMerge w:val="continue"/>
            <w:noWrap w:val="0"/>
            <w:tcMar>
              <w:left w:w="28" w:type="dxa"/>
              <w:right w:w="28" w:type="dxa"/>
            </w:tcMar>
            <w:vAlign w:val="center"/>
          </w:tcPr>
          <w:p w14:paraId="00A03DE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2EBA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7" w:type="dxa"/>
            <w:noWrap w:val="0"/>
            <w:tcMar>
              <w:left w:w="28" w:type="dxa"/>
              <w:right w:w="28" w:type="dxa"/>
            </w:tcMar>
            <w:vAlign w:val="center"/>
          </w:tcPr>
          <w:p w14:paraId="4B782AD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玉米粒烘干</w:t>
            </w:r>
          </w:p>
        </w:tc>
        <w:tc>
          <w:tcPr>
            <w:tcW w:w="797" w:type="dxa"/>
            <w:noWrap w:val="0"/>
            <w:tcMar>
              <w:left w:w="28" w:type="dxa"/>
              <w:right w:w="28" w:type="dxa"/>
            </w:tcMar>
            <w:vAlign w:val="center"/>
          </w:tcPr>
          <w:p w14:paraId="04F8661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无组织</w:t>
            </w:r>
          </w:p>
        </w:tc>
        <w:tc>
          <w:tcPr>
            <w:tcW w:w="797" w:type="dxa"/>
            <w:noWrap w:val="0"/>
            <w:tcMar>
              <w:left w:w="28" w:type="dxa"/>
              <w:right w:w="28" w:type="dxa"/>
            </w:tcMar>
            <w:vAlign w:val="center"/>
          </w:tcPr>
          <w:p w14:paraId="5C84D97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颗粒物</w:t>
            </w:r>
          </w:p>
        </w:tc>
        <w:tc>
          <w:tcPr>
            <w:tcW w:w="798" w:type="dxa"/>
            <w:noWrap w:val="0"/>
            <w:tcMar>
              <w:left w:w="28" w:type="dxa"/>
              <w:right w:w="28" w:type="dxa"/>
            </w:tcMar>
            <w:vAlign w:val="center"/>
          </w:tcPr>
          <w:p w14:paraId="08366893">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shd w:val="clear" w:color="auto" w:fill="auto"/>
            <w:noWrap w:val="0"/>
            <w:tcMar>
              <w:left w:w="28" w:type="dxa"/>
              <w:right w:w="28" w:type="dxa"/>
            </w:tcMar>
            <w:vAlign w:val="center"/>
          </w:tcPr>
          <w:p w14:paraId="4ECA95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0.020</w:t>
            </w:r>
          </w:p>
        </w:tc>
        <w:tc>
          <w:tcPr>
            <w:tcW w:w="1468" w:type="dxa"/>
            <w:noWrap w:val="0"/>
            <w:tcMar>
              <w:left w:w="28" w:type="dxa"/>
              <w:right w:w="28" w:type="dxa"/>
            </w:tcMar>
            <w:vAlign w:val="center"/>
          </w:tcPr>
          <w:p w14:paraId="2582578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封闭外罩</w:t>
            </w:r>
          </w:p>
        </w:tc>
        <w:tc>
          <w:tcPr>
            <w:tcW w:w="798" w:type="dxa"/>
            <w:noWrap w:val="0"/>
            <w:tcMar>
              <w:left w:w="28" w:type="dxa"/>
              <w:right w:w="28" w:type="dxa"/>
            </w:tcMar>
            <w:vAlign w:val="center"/>
          </w:tcPr>
          <w:p w14:paraId="0729484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lang w:val="en-US" w:eastAsia="zh-CN"/>
              </w:rPr>
              <w:t>/</w:t>
            </w:r>
          </w:p>
        </w:tc>
        <w:tc>
          <w:tcPr>
            <w:tcW w:w="798" w:type="dxa"/>
            <w:noWrap w:val="0"/>
            <w:tcMar>
              <w:left w:w="28" w:type="dxa"/>
              <w:right w:w="28" w:type="dxa"/>
            </w:tcMar>
            <w:vAlign w:val="center"/>
          </w:tcPr>
          <w:p w14:paraId="13FC834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0.008</w:t>
            </w:r>
          </w:p>
        </w:tc>
        <w:tc>
          <w:tcPr>
            <w:tcW w:w="1226" w:type="dxa"/>
            <w:noWrap w:val="0"/>
            <w:tcMar>
              <w:left w:w="28" w:type="dxa"/>
              <w:right w:w="28" w:type="dxa"/>
            </w:tcMar>
            <w:vAlign w:val="center"/>
          </w:tcPr>
          <w:p w14:paraId="0503BE9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《大气污染物综合排放标准》（GB16297-1996）表2新污染源大气污染物排放限值</w:t>
            </w:r>
          </w:p>
        </w:tc>
      </w:tr>
    </w:tbl>
    <w:p w14:paraId="29C9A8B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7</w:t>
      </w: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生物质热风炉</w:t>
      </w:r>
      <w:r>
        <w:rPr>
          <w:rFonts w:hint="default" w:ascii="Times New Roman" w:hAnsi="Times New Roman" w:eastAsia="宋体" w:cs="Times New Roman"/>
          <w:b w:val="0"/>
          <w:bCs w:val="0"/>
          <w:color w:val="FF0000"/>
          <w:sz w:val="24"/>
          <w:szCs w:val="24"/>
          <w:highlight w:val="none"/>
          <w:lang w:eastAsia="zh-CN"/>
        </w:rPr>
        <w:t>废气</w:t>
      </w: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G7</w:t>
      </w:r>
      <w:r>
        <w:rPr>
          <w:rFonts w:hint="default" w:ascii="Times New Roman" w:hAnsi="Times New Roman" w:eastAsia="宋体" w:cs="Times New Roman"/>
          <w:b w:val="0"/>
          <w:bCs w:val="0"/>
          <w:color w:val="FF0000"/>
          <w:sz w:val="24"/>
          <w:szCs w:val="24"/>
          <w:highlight w:val="none"/>
          <w:lang w:eastAsia="zh-CN"/>
        </w:rPr>
        <w:t>）</w:t>
      </w:r>
    </w:p>
    <w:p w14:paraId="431C90B2">
      <w:pPr>
        <w:keepNext w:val="0"/>
        <w:keepLines w:val="0"/>
        <w:pageBreakBefore w:val="0"/>
        <w:shd w:val="clear"/>
        <w:kinsoku/>
        <w:wordWrap/>
        <w:overflowPunct/>
        <w:autoSpaceDN/>
        <w:bidi w:val="0"/>
        <w:adjustRightInd/>
        <w:snapToGrid/>
        <w:spacing w:line="360" w:lineRule="auto"/>
        <w:ind w:left="0" w:leftChars="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项目建设1台3t/h生物质热风炉，燃烧过程产生的颗粒物、SO</w:t>
      </w:r>
      <w:r>
        <w:rPr>
          <w:rFonts w:hint="default" w:ascii="Times New Roman" w:hAnsi="Times New Roman" w:eastAsia="宋体" w:cs="Times New Roman"/>
          <w:color w:val="FF0000"/>
          <w:highlight w:val="none"/>
          <w:vertAlign w:val="subscript"/>
          <w:lang w:val="en-US" w:eastAsia="zh-CN"/>
        </w:rPr>
        <w:t>2</w:t>
      </w:r>
      <w:r>
        <w:rPr>
          <w:rFonts w:hint="default" w:ascii="Times New Roman" w:hAnsi="Times New Roman" w:eastAsia="宋体" w:cs="Times New Roman"/>
          <w:color w:val="FF0000"/>
          <w:highlight w:val="none"/>
          <w:lang w:val="en-US" w:eastAsia="zh-CN"/>
        </w:rPr>
        <w:t>、NOx、汞、</w:t>
      </w:r>
      <w:r>
        <w:rPr>
          <w:rFonts w:hint="default" w:ascii="Times New Roman" w:hAnsi="Times New Roman" w:eastAsia="宋体" w:cs="Times New Roman"/>
          <w:color w:val="FF0000"/>
          <w:highlight w:val="none"/>
          <w:lang w:eastAsia="zh-CN"/>
        </w:rPr>
        <w:t>烟气黑度</w:t>
      </w:r>
      <w:r>
        <w:rPr>
          <w:rFonts w:hint="default" w:ascii="Times New Roman" w:hAnsi="Times New Roman" w:eastAsia="宋体" w:cs="Times New Roman"/>
          <w:color w:val="FF0000"/>
          <w:highlight w:val="none"/>
          <w:lang w:val="en-US" w:eastAsia="zh-CN"/>
        </w:rPr>
        <w:t>。全年工作日为90天，每天工作24小时，生物质燃料消耗量为1296t/a。生物质热风炉产生的废气经</w:t>
      </w:r>
      <w:r>
        <w:rPr>
          <w:rFonts w:hint="default" w:ascii="Times New Roman" w:hAnsi="Times New Roman" w:eastAsia="宋体" w:cs="Times New Roman"/>
          <w:color w:val="FF0000"/>
          <w:highlight w:val="none"/>
          <w:lang w:val="en-US" w:eastAsia="zh-CN"/>
        </w:rPr>
        <w:t>布袋除尘器</w:t>
      </w:r>
      <w:r>
        <w:rPr>
          <w:rFonts w:hint="default" w:ascii="Times New Roman" w:hAnsi="Times New Roman" w:eastAsia="宋体" w:cs="Times New Roman"/>
          <w:color w:val="FF0000"/>
          <w:highlight w:val="none"/>
          <w:lang w:val="en-US" w:eastAsia="zh-CN"/>
        </w:rPr>
        <w:t>处理，风机风量为</w:t>
      </w:r>
      <w:r>
        <w:rPr>
          <w:rFonts w:hint="default" w:ascii="Times New Roman" w:hAnsi="Times New Roman" w:eastAsia="宋体" w:cs="Times New Roman"/>
          <w:color w:val="FF0000"/>
          <w:highlight w:val="none"/>
          <w:lang w:val="en-US" w:eastAsia="zh-CN"/>
        </w:rPr>
        <w:t>3</w:t>
      </w:r>
      <w:r>
        <w:rPr>
          <w:rFonts w:hint="default" w:ascii="Times New Roman" w:hAnsi="Times New Roman" w:eastAsia="宋体" w:cs="Times New Roman"/>
          <w:color w:val="FF0000"/>
          <w:highlight w:val="none"/>
          <w:lang w:val="en-US" w:eastAsia="zh-CN"/>
        </w:rPr>
        <w:t>000m</w:t>
      </w:r>
      <w:r>
        <w:rPr>
          <w:rFonts w:hint="default" w:ascii="Times New Roman" w:hAnsi="Times New Roman" w:eastAsia="宋体" w:cs="Times New Roman"/>
          <w:color w:val="FF0000"/>
          <w:highlight w:val="none"/>
          <w:vertAlign w:val="superscript"/>
          <w:lang w:val="en-US" w:eastAsia="zh-CN"/>
        </w:rPr>
        <w:t>3</w:t>
      </w:r>
      <w:r>
        <w:rPr>
          <w:rFonts w:hint="default" w:ascii="Times New Roman" w:hAnsi="Times New Roman" w:eastAsia="宋体" w:cs="Times New Roman"/>
          <w:color w:val="FF0000"/>
          <w:highlight w:val="none"/>
          <w:lang w:val="en-US" w:eastAsia="zh-CN"/>
        </w:rPr>
        <w:t>/h，由1根15m高排气筒（P1）排放。</w:t>
      </w:r>
    </w:p>
    <w:p w14:paraId="3379528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FF0000"/>
          <w:kern w:val="0"/>
          <w:sz w:val="24"/>
          <w:szCs w:val="24"/>
          <w:highlight w:val="none"/>
          <w:lang w:val="en-US" w:eastAsia="zh-CN"/>
        </w:rPr>
      </w:pPr>
      <w:r>
        <w:rPr>
          <w:rFonts w:hint="default" w:ascii="Times New Roman" w:hAnsi="Times New Roman" w:eastAsia="宋体" w:cs="Times New Roman"/>
          <w:b/>
          <w:bCs/>
          <w:color w:val="FF0000"/>
          <w:kern w:val="0"/>
          <w:sz w:val="24"/>
          <w:szCs w:val="24"/>
          <w:highlight w:val="none"/>
          <w:lang w:val="en-US" w:eastAsia="zh-CN"/>
        </w:rPr>
        <w:t>1）颗粒物</w:t>
      </w:r>
    </w:p>
    <w:p w14:paraId="3C97504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w:t>
      </w:r>
      <w:r>
        <w:rPr>
          <w:rFonts w:hint="default" w:ascii="Times New Roman" w:hAnsi="Times New Roman" w:eastAsia="宋体" w:cs="Times New Roman"/>
          <w:color w:val="FF0000"/>
          <w:highlight w:val="none"/>
          <w:lang w:val="en-US" w:eastAsia="zh-CN"/>
        </w:rPr>
        <w:t>生物质</w:t>
      </w:r>
      <w:r>
        <w:rPr>
          <w:rFonts w:hint="default" w:ascii="Times New Roman" w:hAnsi="Times New Roman" w:eastAsia="宋体" w:cs="Times New Roman"/>
          <w:color w:val="FF0000"/>
          <w:sz w:val="24"/>
          <w:szCs w:val="24"/>
          <w:highlight w:val="none"/>
          <w:lang w:val="en-US" w:eastAsia="zh-CN"/>
        </w:rPr>
        <w:t>工业锅炉，颗粒物产污系数按0.5千克/吨-原料，生物质成型燃料消耗量为1296t/a，</w:t>
      </w:r>
      <w:r>
        <w:rPr>
          <w:rFonts w:hint="default" w:ascii="Times New Roman" w:hAnsi="Times New Roman" w:eastAsia="宋体" w:cs="Times New Roman"/>
          <w:color w:val="FF0000"/>
          <w:sz w:val="24"/>
          <w:szCs w:val="24"/>
          <w:highlight w:val="none"/>
        </w:rPr>
        <w:t>则1台</w:t>
      </w:r>
      <w:r>
        <w:rPr>
          <w:rFonts w:hint="default" w:ascii="Times New Roman" w:hAnsi="Times New Roman" w:eastAsia="宋体" w:cs="Times New Roman"/>
          <w:color w:val="FF0000"/>
          <w:sz w:val="24"/>
          <w:szCs w:val="24"/>
          <w:highlight w:val="none"/>
          <w:lang w:val="en-US" w:eastAsia="zh-CN"/>
        </w:rPr>
        <w:t>3t/h生物质热风炉</w:t>
      </w:r>
      <w:r>
        <w:rPr>
          <w:rFonts w:hint="default" w:ascii="Times New Roman" w:hAnsi="Times New Roman" w:eastAsia="宋体" w:cs="Times New Roman"/>
          <w:color w:val="FF0000"/>
          <w:sz w:val="24"/>
          <w:szCs w:val="24"/>
          <w:highlight w:val="none"/>
          <w:lang w:eastAsia="zh-CN"/>
        </w:rPr>
        <w:t>颗粒物产生量为</w:t>
      </w:r>
      <w:r>
        <w:rPr>
          <w:rFonts w:hint="default" w:ascii="Times New Roman" w:hAnsi="Times New Roman" w:eastAsia="宋体" w:cs="Times New Roman"/>
          <w:color w:val="FF0000"/>
          <w:sz w:val="24"/>
          <w:szCs w:val="24"/>
          <w:highlight w:val="none"/>
          <w:lang w:val="en-US" w:eastAsia="zh-CN"/>
        </w:rPr>
        <w:t>1296t/a</w:t>
      </w:r>
      <w:r>
        <w:rPr>
          <w:rFonts w:hint="default" w:ascii="Times New Roman" w:hAnsi="Times New Roman" w:eastAsia="宋体" w:cs="Times New Roman"/>
          <w:color w:val="FF0000"/>
          <w:sz w:val="24"/>
          <w:szCs w:val="24"/>
          <w:highlight w:val="none"/>
        </w:rPr>
        <w:t>×0.5千克/吨-原料</w:t>
      </w:r>
      <w:r>
        <w:rPr>
          <w:rFonts w:hint="default" w:ascii="Times New Roman" w:hAnsi="Times New Roman" w:eastAsia="宋体" w:cs="Times New Roman"/>
          <w:b w:val="0"/>
          <w:bCs w:val="0"/>
          <w:color w:val="FF0000"/>
          <w:kern w:val="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0.648t/a</w:t>
      </w:r>
      <w:r>
        <w:rPr>
          <w:rFonts w:hint="default" w:ascii="Times New Roman" w:hAnsi="Times New Roman" w:eastAsia="宋体" w:cs="Times New Roman"/>
          <w:b w:val="0"/>
          <w:bCs w:val="0"/>
          <w:color w:val="FF0000"/>
          <w:kern w:val="0"/>
          <w:sz w:val="24"/>
          <w:szCs w:val="24"/>
          <w:highlight w:val="none"/>
          <w:lang w:val="en-US" w:eastAsia="zh-CN"/>
        </w:rPr>
        <w:t>。</w:t>
      </w:r>
    </w:p>
    <w:p w14:paraId="4CFA833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w:t>
      </w:r>
      <w:r>
        <w:rPr>
          <w:rFonts w:hint="default" w:ascii="Times New Roman" w:hAnsi="Times New Roman" w:eastAsia="宋体" w:cs="Times New Roman"/>
          <w:color w:val="FF0000"/>
          <w:sz w:val="24"/>
          <w:szCs w:val="24"/>
          <w:highlight w:val="none"/>
        </w:rPr>
        <w:t>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rPr>
        <w:t>进行处理</w:t>
      </w:r>
      <w:r>
        <w:rPr>
          <w:rFonts w:hint="default" w:ascii="Times New Roman" w:hAnsi="Times New Roman" w:eastAsia="宋体" w:cs="Times New Roman"/>
          <w:color w:val="FF0000"/>
          <w:sz w:val="24"/>
          <w:szCs w:val="24"/>
          <w:highlight w:val="none"/>
          <w:lang w:eastAsia="zh-CN"/>
        </w:rPr>
        <w:t>，参考《排放源统计调查产排污核算方法和系数手册》（公告2021年第24号）-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布袋除尘器</w:t>
      </w:r>
      <w:r>
        <w:rPr>
          <w:rFonts w:hint="default" w:ascii="Times New Roman" w:hAnsi="Times New Roman" w:eastAsia="宋体" w:cs="Times New Roman"/>
          <w:color w:val="FF0000"/>
          <w:sz w:val="24"/>
          <w:szCs w:val="24"/>
          <w:highlight w:val="none"/>
          <w:lang w:eastAsia="zh-CN"/>
        </w:rPr>
        <w:t>去除效率为</w:t>
      </w:r>
      <w:r>
        <w:rPr>
          <w:rFonts w:hint="default" w:ascii="Times New Roman" w:hAnsi="Times New Roman" w:eastAsia="宋体" w:cs="Times New Roman"/>
          <w:color w:val="FF0000"/>
          <w:sz w:val="24"/>
          <w:szCs w:val="24"/>
          <w:highlight w:val="none"/>
          <w:lang w:val="en-US" w:eastAsia="zh-CN"/>
        </w:rPr>
        <w:t>99%（本次评价取9</w:t>
      </w:r>
      <w:r>
        <w:rPr>
          <w:rFonts w:hint="default" w:ascii="Times New Roman" w:hAnsi="Times New Roman" w:eastAsia="宋体" w:cs="Times New Roman"/>
          <w:color w:val="FF0000"/>
          <w:sz w:val="24"/>
          <w:szCs w:val="24"/>
          <w:highlight w:val="none"/>
          <w:lang w:val="en-US" w:eastAsia="zh-CN"/>
        </w:rPr>
        <w:t>5</w:t>
      </w:r>
      <w:r>
        <w:rPr>
          <w:rFonts w:hint="default" w:ascii="Times New Roman" w:hAnsi="Times New Roman" w:eastAsia="宋体" w:cs="Times New Roman"/>
          <w:color w:val="FF0000"/>
          <w:sz w:val="24"/>
          <w:szCs w:val="24"/>
          <w:highlight w:val="none"/>
          <w:lang w:val="en-US" w:eastAsia="zh-CN"/>
        </w:rPr>
        <w:t>%）。</w:t>
      </w:r>
    </w:p>
    <w:p w14:paraId="3FEB7FE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则1台3t/h生物质热风炉</w:t>
      </w:r>
      <w:r>
        <w:rPr>
          <w:rFonts w:hint="default" w:ascii="Times New Roman" w:hAnsi="Times New Roman" w:eastAsia="宋体" w:cs="Times New Roman"/>
          <w:color w:val="FF0000"/>
          <w:sz w:val="24"/>
          <w:szCs w:val="24"/>
          <w:highlight w:val="none"/>
          <w:lang w:eastAsia="zh-CN"/>
        </w:rPr>
        <w:t>颗粒物</w:t>
      </w:r>
      <w:r>
        <w:rPr>
          <w:rFonts w:hint="default" w:ascii="Times New Roman" w:hAnsi="Times New Roman" w:eastAsia="宋体" w:cs="Times New Roman"/>
          <w:color w:val="FF0000"/>
          <w:sz w:val="24"/>
          <w:szCs w:val="24"/>
          <w:highlight w:val="none"/>
        </w:rPr>
        <w:t>排放</w:t>
      </w:r>
      <w:r>
        <w:rPr>
          <w:rFonts w:hint="default" w:ascii="Times New Roman" w:hAnsi="Times New Roman" w:eastAsia="宋体" w:cs="Times New Roman"/>
          <w:color w:val="FF0000"/>
          <w:sz w:val="24"/>
          <w:szCs w:val="24"/>
          <w:highlight w:val="none"/>
          <w:lang w:val="en-US" w:eastAsia="zh-CN"/>
        </w:rPr>
        <w:t>量</w:t>
      </w:r>
      <w:r>
        <w:rPr>
          <w:rFonts w:hint="default" w:ascii="Times New Roman" w:hAnsi="Times New Roman" w:eastAsia="宋体" w:cs="Times New Roman"/>
          <w:color w:val="FF0000"/>
          <w:sz w:val="24"/>
          <w:szCs w:val="24"/>
          <w:highlight w:val="none"/>
        </w:rPr>
        <w:t>为</w:t>
      </w:r>
      <w:r>
        <w:rPr>
          <w:rFonts w:hint="default" w:ascii="Times New Roman" w:hAnsi="Times New Roman" w:eastAsia="宋体" w:cs="Times New Roman"/>
          <w:color w:val="FF0000"/>
          <w:sz w:val="24"/>
          <w:szCs w:val="24"/>
          <w:highlight w:val="none"/>
          <w:lang w:val="en-US" w:eastAsia="zh-CN"/>
        </w:rPr>
        <w:t>0.032</w:t>
      </w:r>
      <w:r>
        <w:rPr>
          <w:rFonts w:hint="default" w:ascii="Times New Roman" w:hAnsi="Times New Roman" w:eastAsia="宋体" w:cs="Times New Roman"/>
          <w:color w:val="FF0000"/>
          <w:sz w:val="24"/>
          <w:szCs w:val="24"/>
          <w:highlight w:val="none"/>
        </w:rPr>
        <w:t>t</w:t>
      </w:r>
      <w:r>
        <w:rPr>
          <w:rFonts w:hint="default" w:ascii="Times New Roman" w:hAnsi="Times New Roman" w:eastAsia="宋体" w:cs="Times New Roman"/>
          <w:color w:val="FF0000"/>
          <w:sz w:val="24"/>
          <w:szCs w:val="24"/>
          <w:highlight w:val="none"/>
          <w:lang w:val="en-US" w:eastAsia="zh-CN"/>
        </w:rPr>
        <w:t>/a。</w:t>
      </w:r>
    </w:p>
    <w:p w14:paraId="3C50E05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FF0000"/>
          <w:kern w:val="0"/>
          <w:sz w:val="24"/>
          <w:szCs w:val="24"/>
          <w:highlight w:val="none"/>
        </w:rPr>
      </w:pPr>
      <w:r>
        <w:rPr>
          <w:rFonts w:hint="default" w:ascii="Times New Roman" w:hAnsi="Times New Roman" w:eastAsia="宋体" w:cs="Times New Roman"/>
          <w:b/>
          <w:bCs/>
          <w:color w:val="FF0000"/>
          <w:kern w:val="0"/>
          <w:sz w:val="24"/>
          <w:szCs w:val="24"/>
          <w:highlight w:val="none"/>
          <w:lang w:val="en-US" w:eastAsia="zh-CN"/>
        </w:rPr>
        <w:t>2</w:t>
      </w:r>
      <w:r>
        <w:rPr>
          <w:rFonts w:hint="default" w:ascii="Times New Roman" w:hAnsi="Times New Roman" w:eastAsia="宋体" w:cs="Times New Roman"/>
          <w:b/>
          <w:bCs/>
          <w:color w:val="FF0000"/>
          <w:kern w:val="0"/>
          <w:sz w:val="24"/>
          <w:szCs w:val="24"/>
          <w:highlight w:val="none"/>
        </w:rPr>
        <w:t>）二氧化硫</w:t>
      </w:r>
    </w:p>
    <w:p w14:paraId="23C23CD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根据《排放源统计调查产排污核算方法和系数手册》（公告2021年第24号）--4430工业锅炉（热力供应）行业系数手册--生物质工业锅炉，二氧化硫产污系数按17S千克/吨-原料，本项目S为0.07。</w:t>
      </w:r>
      <w:r>
        <w:rPr>
          <w:rFonts w:hint="default" w:ascii="Times New Roman" w:hAnsi="Times New Roman" w:eastAsia="宋体" w:cs="Times New Roman"/>
          <w:color w:val="FF0000"/>
          <w:kern w:val="0"/>
          <w:sz w:val="24"/>
          <w:szCs w:val="24"/>
          <w:highlight w:val="none"/>
        </w:rPr>
        <w:t>生物质成型燃料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color w:val="FF0000"/>
          <w:sz w:val="24"/>
          <w:szCs w:val="24"/>
          <w:highlight w:val="none"/>
        </w:rPr>
        <w:t>t/a，则1台</w:t>
      </w:r>
      <w:r>
        <w:rPr>
          <w:rFonts w:hint="default" w:ascii="Times New Roman" w:hAnsi="Times New Roman" w:eastAsia="宋体" w:cs="Times New Roman"/>
          <w:color w:val="FF0000"/>
          <w:sz w:val="24"/>
          <w:szCs w:val="24"/>
          <w:highlight w:val="none"/>
          <w:lang w:val="en-US" w:eastAsia="zh-CN"/>
        </w:rPr>
        <w:t>3t/h生物质热风炉</w:t>
      </w:r>
      <w:r>
        <w:rPr>
          <w:rFonts w:hint="default" w:ascii="Times New Roman" w:hAnsi="Times New Roman" w:eastAsia="宋体" w:cs="Times New Roman"/>
          <w:b w:val="0"/>
          <w:bCs w:val="0"/>
          <w:color w:val="FF0000"/>
          <w:kern w:val="0"/>
          <w:sz w:val="24"/>
          <w:szCs w:val="24"/>
          <w:highlight w:val="none"/>
          <w:lang w:val="en-US" w:eastAsia="zh-CN"/>
        </w:rPr>
        <w:t>二氧化硫产生量为1296t/a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kern w:val="0"/>
          <w:sz w:val="24"/>
          <w:szCs w:val="24"/>
          <w:highlight w:val="none"/>
          <w:lang w:val="en-US" w:eastAsia="zh-CN"/>
        </w:rPr>
        <w:t>17</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0.07</w:t>
      </w:r>
      <w:r>
        <w:rPr>
          <w:rFonts w:hint="default" w:ascii="Times New Roman" w:hAnsi="Times New Roman" w:eastAsia="宋体" w:cs="Times New Roman"/>
          <w:b w:val="0"/>
          <w:bCs w:val="0"/>
          <w:color w:val="FF0000"/>
          <w:kern w:val="0"/>
          <w:sz w:val="24"/>
          <w:szCs w:val="24"/>
          <w:highlight w:val="none"/>
          <w:lang w:val="en-US" w:eastAsia="zh-CN"/>
        </w:rPr>
        <w:t>千克/吨-原料=</w:t>
      </w:r>
      <w:r>
        <w:rPr>
          <w:rFonts w:hint="default" w:ascii="Times New Roman" w:hAnsi="Times New Roman" w:eastAsia="宋体" w:cs="Times New Roman"/>
          <w:color w:val="FF0000"/>
          <w:sz w:val="24"/>
          <w:szCs w:val="24"/>
          <w:highlight w:val="none"/>
          <w:lang w:val="en-US" w:eastAsia="zh-CN"/>
        </w:rPr>
        <w:t>1.542t/a</w:t>
      </w:r>
      <w:r>
        <w:rPr>
          <w:rFonts w:hint="default" w:ascii="Times New Roman" w:hAnsi="Times New Roman" w:eastAsia="宋体" w:cs="Times New Roman"/>
          <w:b w:val="0"/>
          <w:bCs w:val="0"/>
          <w:color w:val="FF0000"/>
          <w:kern w:val="0"/>
          <w:sz w:val="24"/>
          <w:szCs w:val="24"/>
          <w:highlight w:val="none"/>
          <w:lang w:val="en-US" w:eastAsia="zh-CN"/>
        </w:rPr>
        <w:t>。</w:t>
      </w:r>
    </w:p>
    <w:p w14:paraId="1733C54C">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lang w:eastAsia="zh-CN"/>
        </w:rPr>
        <w:t>进行处理，参考《排放源统计调查产排污核算方法和系数手册》（公告2021年第24号）-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highlight w:val="none"/>
          <w:lang w:val="en-US" w:eastAsia="zh-CN"/>
        </w:rPr>
        <w:t>，脱硫效率为0</w:t>
      </w:r>
      <w:r>
        <w:rPr>
          <w:rFonts w:hint="default" w:ascii="Times New Roman" w:hAnsi="Times New Roman" w:eastAsia="宋体" w:cs="Times New Roman"/>
          <w:color w:val="FF0000"/>
          <w:sz w:val="24"/>
          <w:szCs w:val="24"/>
          <w:highlight w:val="none"/>
          <w:lang w:val="en-US" w:eastAsia="zh-CN"/>
        </w:rPr>
        <w:t>。</w:t>
      </w:r>
    </w:p>
    <w:p w14:paraId="36F6DA54">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val="en-US" w:eastAsia="zh-CN"/>
        </w:rPr>
        <w:t>则1台3t/h生物质热风炉二氧化硫</w:t>
      </w:r>
      <w:r>
        <w:rPr>
          <w:rFonts w:hint="default" w:ascii="Times New Roman" w:hAnsi="Times New Roman" w:eastAsia="宋体" w:cs="Times New Roman"/>
          <w:color w:val="FF0000"/>
          <w:sz w:val="24"/>
          <w:szCs w:val="24"/>
          <w:highlight w:val="none"/>
        </w:rPr>
        <w:t>排放量</w:t>
      </w:r>
      <w:r>
        <w:rPr>
          <w:rFonts w:hint="default" w:ascii="Times New Roman" w:hAnsi="Times New Roman" w:eastAsia="宋体" w:cs="Times New Roman"/>
          <w:color w:val="FF0000"/>
          <w:sz w:val="24"/>
          <w:szCs w:val="24"/>
          <w:highlight w:val="none"/>
          <w:lang w:val="en-US" w:eastAsia="zh-CN"/>
        </w:rPr>
        <w:t>为1.542t/a</w:t>
      </w:r>
      <w:r>
        <w:rPr>
          <w:rFonts w:hint="default" w:ascii="Times New Roman" w:hAnsi="Times New Roman" w:eastAsia="宋体" w:cs="Times New Roman"/>
          <w:color w:val="FF0000"/>
          <w:sz w:val="24"/>
          <w:szCs w:val="24"/>
          <w:highlight w:val="none"/>
        </w:rPr>
        <w:t>。</w:t>
      </w:r>
    </w:p>
    <w:p w14:paraId="692EE908">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sz w:val="24"/>
          <w:szCs w:val="24"/>
          <w:highlight w:val="none"/>
          <w:lang w:val="en-US" w:eastAsia="zh-CN"/>
        </w:rPr>
        <w:t>3</w:t>
      </w:r>
      <w:r>
        <w:rPr>
          <w:rFonts w:hint="default" w:ascii="Times New Roman" w:hAnsi="Times New Roman" w:eastAsia="宋体" w:cs="Times New Roman"/>
          <w:b/>
          <w:bCs/>
          <w:color w:val="FF0000"/>
          <w:sz w:val="24"/>
          <w:szCs w:val="24"/>
          <w:highlight w:val="none"/>
        </w:rPr>
        <w:t>）氮氧化物</w:t>
      </w:r>
    </w:p>
    <w:p w14:paraId="4FEE8CE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w:t>
      </w:r>
      <w:r>
        <w:rPr>
          <w:rFonts w:hint="default" w:ascii="Times New Roman" w:hAnsi="Times New Roman" w:eastAsia="宋体" w:cs="Times New Roman"/>
          <w:b w:val="0"/>
          <w:bCs w:val="0"/>
          <w:color w:val="FF0000"/>
          <w:sz w:val="24"/>
          <w:szCs w:val="24"/>
          <w:highlight w:val="none"/>
        </w:rPr>
        <w:t>氮氧化物</w:t>
      </w:r>
      <w:r>
        <w:rPr>
          <w:rFonts w:hint="default" w:ascii="Times New Roman" w:hAnsi="Times New Roman" w:eastAsia="宋体" w:cs="Times New Roman"/>
          <w:b w:val="0"/>
          <w:bCs w:val="0"/>
          <w:color w:val="FF0000"/>
          <w:kern w:val="0"/>
          <w:sz w:val="24"/>
          <w:szCs w:val="24"/>
          <w:highlight w:val="none"/>
          <w:lang w:val="en-US" w:eastAsia="zh-CN"/>
        </w:rPr>
        <w:t>产污系数按1.02千克/吨-原料。</w:t>
      </w:r>
      <w:r>
        <w:rPr>
          <w:rFonts w:hint="default" w:ascii="Times New Roman" w:hAnsi="Times New Roman" w:eastAsia="宋体" w:cs="Times New Roman"/>
          <w:color w:val="FF0000"/>
          <w:kern w:val="0"/>
          <w:sz w:val="24"/>
          <w:szCs w:val="24"/>
          <w:highlight w:val="none"/>
        </w:rPr>
        <w:t>生物质成型燃料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color w:val="FF0000"/>
          <w:sz w:val="24"/>
          <w:szCs w:val="24"/>
          <w:highlight w:val="none"/>
        </w:rPr>
        <w:t>t/a</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b w:val="0"/>
          <w:bCs w:val="0"/>
          <w:color w:val="FF0000"/>
          <w:kern w:val="0"/>
          <w:sz w:val="24"/>
          <w:szCs w:val="24"/>
          <w:highlight w:val="none"/>
          <w:lang w:val="en-US" w:eastAsia="zh-CN"/>
        </w:rPr>
        <w:t>则1台3t/h生物质热风炉</w:t>
      </w:r>
      <w:r>
        <w:rPr>
          <w:rFonts w:hint="default" w:ascii="Times New Roman" w:hAnsi="Times New Roman" w:eastAsia="宋体" w:cs="Times New Roman"/>
          <w:b w:val="0"/>
          <w:bCs w:val="0"/>
          <w:color w:val="FF0000"/>
          <w:sz w:val="24"/>
          <w:szCs w:val="24"/>
          <w:highlight w:val="none"/>
        </w:rPr>
        <w:t>氮氧化物</w:t>
      </w:r>
      <w:r>
        <w:rPr>
          <w:rFonts w:hint="default" w:ascii="Times New Roman" w:hAnsi="Times New Roman" w:eastAsia="宋体" w:cs="Times New Roman"/>
          <w:b w:val="0"/>
          <w:bCs w:val="0"/>
          <w:color w:val="FF0000"/>
          <w:kern w:val="0"/>
          <w:sz w:val="24"/>
          <w:szCs w:val="24"/>
          <w:highlight w:val="none"/>
          <w:lang w:val="en-US" w:eastAsia="zh-CN"/>
        </w:rPr>
        <w:t>产生量为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b w:val="0"/>
          <w:bCs w:val="0"/>
          <w:color w:val="FF0000"/>
          <w:kern w:val="0"/>
          <w:sz w:val="24"/>
          <w:szCs w:val="24"/>
          <w:highlight w:val="none"/>
          <w:lang w:val="en-US" w:eastAsia="zh-CN"/>
        </w:rPr>
        <w:t>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kern w:val="0"/>
          <w:sz w:val="24"/>
          <w:szCs w:val="24"/>
          <w:highlight w:val="none"/>
          <w:lang w:val="en-US" w:eastAsia="zh-CN"/>
        </w:rPr>
        <w:t>1.02千克/吨-原料=1.322</w:t>
      </w:r>
      <w:r>
        <w:rPr>
          <w:rFonts w:hint="default" w:ascii="Times New Roman" w:hAnsi="Times New Roman" w:eastAsia="宋体" w:cs="Times New Roman"/>
          <w:b w:val="0"/>
          <w:bCs w:val="0"/>
          <w:color w:val="FF0000"/>
          <w:sz w:val="24"/>
          <w:szCs w:val="24"/>
          <w:highlight w:val="none"/>
          <w:lang w:val="en-US" w:eastAsia="zh-CN"/>
        </w:rPr>
        <w:t>t/a。</w:t>
      </w:r>
    </w:p>
    <w:p w14:paraId="1258276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lang w:eastAsia="zh-CN"/>
        </w:rPr>
        <w:t>进行处理，参考《排放源统计调查产排污核算方法和系数手册》（公告2021年第24号）-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highlight w:val="none"/>
          <w:lang w:val="en-US" w:eastAsia="zh-CN"/>
        </w:rPr>
        <w:t>，脱硝效率为0</w:t>
      </w:r>
      <w:r>
        <w:rPr>
          <w:rFonts w:hint="default" w:ascii="Times New Roman" w:hAnsi="Times New Roman" w:eastAsia="宋体" w:cs="Times New Roman"/>
          <w:color w:val="FF0000"/>
          <w:sz w:val="24"/>
          <w:szCs w:val="24"/>
          <w:highlight w:val="none"/>
          <w:lang w:val="en-US" w:eastAsia="zh-CN"/>
        </w:rPr>
        <w:t>。</w:t>
      </w:r>
    </w:p>
    <w:p w14:paraId="333B4FB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val="en-US" w:eastAsia="zh-CN"/>
        </w:rPr>
        <w:t>则1台3t/h生物质热风炉</w:t>
      </w:r>
      <w:r>
        <w:rPr>
          <w:rFonts w:hint="default" w:ascii="Times New Roman" w:hAnsi="Times New Roman" w:eastAsia="宋体" w:cs="Times New Roman"/>
          <w:bCs/>
          <w:color w:val="FF0000"/>
          <w:sz w:val="24"/>
          <w:szCs w:val="24"/>
          <w:highlight w:val="none"/>
        </w:rPr>
        <w:t>氮氧化物</w:t>
      </w:r>
      <w:r>
        <w:rPr>
          <w:rFonts w:hint="default" w:ascii="Times New Roman" w:hAnsi="Times New Roman" w:eastAsia="宋体" w:cs="Times New Roman"/>
          <w:color w:val="FF0000"/>
          <w:sz w:val="24"/>
          <w:szCs w:val="24"/>
          <w:highlight w:val="none"/>
        </w:rPr>
        <w:t>排放量为</w:t>
      </w:r>
      <w:r>
        <w:rPr>
          <w:rFonts w:hint="default" w:ascii="Times New Roman" w:hAnsi="Times New Roman" w:eastAsia="宋体" w:cs="Times New Roman"/>
          <w:b w:val="0"/>
          <w:bCs w:val="0"/>
          <w:color w:val="FF0000"/>
          <w:kern w:val="0"/>
          <w:sz w:val="24"/>
          <w:szCs w:val="24"/>
          <w:highlight w:val="none"/>
          <w:lang w:val="en-US" w:eastAsia="zh-CN"/>
        </w:rPr>
        <w:t>1.322</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FF0000"/>
          <w:sz w:val="24"/>
          <w:szCs w:val="24"/>
          <w:highlight w:val="none"/>
        </w:rPr>
        <w:t>。</w:t>
      </w:r>
    </w:p>
    <w:p w14:paraId="2D016DD6">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lang w:val="en-US" w:eastAsia="zh-CN"/>
        </w:rPr>
        <w:t>4</w:t>
      </w:r>
      <w:r>
        <w:rPr>
          <w:rFonts w:hint="default" w:ascii="Times New Roman" w:hAnsi="Times New Roman" w:eastAsia="宋体" w:cs="Times New Roman"/>
          <w:b/>
          <w:bCs/>
          <w:color w:val="FF0000"/>
          <w:sz w:val="24"/>
          <w:szCs w:val="24"/>
          <w:highlight w:val="none"/>
        </w:rPr>
        <w:t>）汞</w:t>
      </w:r>
    </w:p>
    <w:p w14:paraId="1A0A7E9D">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根据《污染源源强核算技术指南锅炉》</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HJ991-2018</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汞排放量采用物料衡算法计算，计算公式：</w:t>
      </w:r>
    </w:p>
    <w:p w14:paraId="14CC2FC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drawing>
          <wp:inline distT="0" distB="0" distL="114300" distR="114300">
            <wp:extent cx="5255895" cy="2051050"/>
            <wp:effectExtent l="0" t="0" r="1905" b="635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35"/>
                    <a:stretch>
                      <a:fillRect/>
                    </a:stretch>
                  </pic:blipFill>
                  <pic:spPr>
                    <a:xfrm>
                      <a:off x="0" y="0"/>
                      <a:ext cx="5255895" cy="2051050"/>
                    </a:xfrm>
                    <a:prstGeom prst="rect">
                      <a:avLst/>
                    </a:prstGeom>
                    <a:noFill/>
                    <a:ln>
                      <a:noFill/>
                    </a:ln>
                  </pic:spPr>
                </pic:pic>
              </a:graphicData>
            </a:graphic>
          </wp:inline>
        </w:drawing>
      </w:r>
    </w:p>
    <w:p w14:paraId="65429E8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查阅相关文献《中国农村地区生物质成型燃料燃烧的汞排放研究》，生物质成型燃料汞的平均含量为11.60ng/g。</w:t>
      </w:r>
    </w:p>
    <w:p w14:paraId="45BA256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rPr>
        <w:t>本项目生物质成型燃料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color w:val="FF0000"/>
          <w:sz w:val="24"/>
          <w:szCs w:val="24"/>
          <w:highlight w:val="none"/>
        </w:rPr>
        <w:t>t/a</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b w:val="0"/>
          <w:bCs w:val="0"/>
          <w:color w:val="FF0000"/>
          <w:kern w:val="0"/>
          <w:sz w:val="24"/>
          <w:szCs w:val="24"/>
          <w:highlight w:val="none"/>
          <w:lang w:val="en-US" w:eastAsia="zh-CN"/>
        </w:rPr>
        <w:t>则1台3t/h生物质热风炉</w:t>
      </w:r>
      <w:r>
        <w:rPr>
          <w:rFonts w:hint="default" w:ascii="Times New Roman" w:hAnsi="Times New Roman" w:eastAsia="宋体" w:cs="Times New Roman"/>
          <w:color w:val="FF0000"/>
          <w:sz w:val="24"/>
          <w:szCs w:val="24"/>
          <w:highlight w:val="none"/>
        </w:rPr>
        <w:t>汞产生量=</w:t>
      </w:r>
      <w:r>
        <w:rPr>
          <w:rFonts w:hint="default" w:ascii="Times New Roman" w:hAnsi="Times New Roman" w:eastAsia="宋体" w:cs="Times New Roman"/>
          <w:color w:val="FF0000"/>
          <w:sz w:val="24"/>
          <w:szCs w:val="24"/>
          <w:highlight w:val="none"/>
          <w:lang w:val="en-US" w:eastAsia="zh-CN"/>
        </w:rPr>
        <w:t>1296t/a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11.60ng</w:t>
      </w:r>
      <w:r>
        <w:rPr>
          <w:rFonts w:hint="default" w:ascii="Times New Roman" w:hAnsi="Times New Roman" w:eastAsia="宋体" w:cs="Times New Roman"/>
          <w:color w:val="FF0000"/>
          <w:sz w:val="24"/>
          <w:szCs w:val="24"/>
          <w:highlight w:val="none"/>
        </w:rPr>
        <w:t>/g×</w:t>
      </w:r>
      <w:r>
        <w:rPr>
          <w:rFonts w:hint="default" w:ascii="Times New Roman" w:hAnsi="Times New Roman" w:eastAsia="宋体" w:cs="Times New Roman"/>
          <w:color w:val="FF0000"/>
          <w:sz w:val="24"/>
          <w:szCs w:val="24"/>
          <w:highlight w:val="none"/>
          <w:lang w:val="en-US" w:eastAsia="zh-CN"/>
        </w:rPr>
        <w:t>10</w:t>
      </w:r>
      <w:r>
        <w:rPr>
          <w:rFonts w:hint="default" w:ascii="Times New Roman" w:hAnsi="Times New Roman" w:eastAsia="宋体" w:cs="Times New Roman"/>
          <w:color w:val="FF0000"/>
          <w:sz w:val="24"/>
          <w:szCs w:val="24"/>
          <w:highlight w:val="none"/>
          <w:vertAlign w:val="superscript"/>
          <w:lang w:val="en-US" w:eastAsia="zh-CN"/>
        </w:rPr>
        <w:t>-3</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10</w:t>
      </w:r>
      <w:r>
        <w:rPr>
          <w:rFonts w:hint="default" w:ascii="Times New Roman" w:hAnsi="Times New Roman" w:eastAsia="宋体" w:cs="Times New Roman"/>
          <w:color w:val="FF0000"/>
          <w:sz w:val="24"/>
          <w:szCs w:val="24"/>
          <w:highlight w:val="none"/>
          <w:vertAlign w:val="superscript"/>
          <w:lang w:val="en-US" w:eastAsia="zh-CN"/>
        </w:rPr>
        <w:t>-6</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sz w:val="24"/>
          <w:szCs w:val="24"/>
          <w:highlight w:val="none"/>
          <w:lang w:val="en-US" w:eastAsia="zh-CN"/>
        </w:rPr>
        <w:t>0.000015t/a</w:t>
      </w:r>
      <w:r>
        <w:rPr>
          <w:rFonts w:hint="default" w:ascii="Times New Roman" w:hAnsi="Times New Roman" w:eastAsia="宋体" w:cs="Times New Roman"/>
          <w:color w:val="FF0000"/>
          <w:sz w:val="24"/>
          <w:szCs w:val="24"/>
          <w:highlight w:val="none"/>
        </w:rPr>
        <w:t>。</w:t>
      </w:r>
    </w:p>
    <w:p w14:paraId="6B166D8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lang w:eastAsia="zh-CN"/>
        </w:rPr>
        <w:t>进行处理</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烟气除尘和湿法脱硫等污染防治对汞具有协同脱出效果，脱除效率约为70%，本项目取30%，</w:t>
      </w:r>
    </w:p>
    <w:p w14:paraId="6CEB26C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val="en-US" w:eastAsia="zh-CN"/>
        </w:rPr>
        <w:t>则1台3t/h生物质热风炉汞排放量为0.000011t/a。</w:t>
      </w:r>
    </w:p>
    <w:p w14:paraId="478902D7">
      <w:pPr>
        <w:keepNext w:val="0"/>
        <w:keepLines w:val="0"/>
        <w:pageBreakBefore w:val="0"/>
        <w:shd w:val="clear"/>
        <w:kinsoku/>
        <w:wordWrap/>
        <w:overflowPunct/>
        <w:autoSpaceDN/>
        <w:bidi w:val="0"/>
        <w:adjustRightInd/>
        <w:snapToGrid/>
        <w:spacing w:line="360" w:lineRule="auto"/>
        <w:ind w:left="0" w:left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项目生物质热风炉废气的</w:t>
      </w:r>
      <w:r>
        <w:rPr>
          <w:rFonts w:hint="default" w:ascii="Times New Roman" w:hAnsi="Times New Roman" w:eastAsia="宋体" w:cs="Times New Roman"/>
          <w:color w:val="auto"/>
          <w:highlight w:val="none"/>
        </w:rPr>
        <w:t>产排情况见表3.3-</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w:t>
      </w:r>
    </w:p>
    <w:p w14:paraId="61D180E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表3.3-</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燃料燃烧污染物产生情况</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684"/>
        <w:gridCol w:w="650"/>
        <w:gridCol w:w="747"/>
        <w:gridCol w:w="847"/>
        <w:gridCol w:w="747"/>
        <w:gridCol w:w="747"/>
        <w:gridCol w:w="747"/>
        <w:gridCol w:w="747"/>
        <w:gridCol w:w="847"/>
        <w:gridCol w:w="848"/>
      </w:tblGrid>
      <w:tr w14:paraId="43AF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noWrap w:val="0"/>
            <w:vAlign w:val="center"/>
          </w:tcPr>
          <w:p w14:paraId="157F035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燃料名称</w:t>
            </w:r>
          </w:p>
        </w:tc>
        <w:tc>
          <w:tcPr>
            <w:tcW w:w="627" w:type="dxa"/>
            <w:noWrap w:val="0"/>
            <w:vAlign w:val="center"/>
          </w:tcPr>
          <w:p w14:paraId="3F0C437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风机风量</w:t>
            </w:r>
          </w:p>
        </w:tc>
        <w:tc>
          <w:tcPr>
            <w:tcW w:w="596" w:type="dxa"/>
            <w:noWrap w:val="0"/>
            <w:vAlign w:val="center"/>
          </w:tcPr>
          <w:p w14:paraId="57EDB55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污染物</w:t>
            </w:r>
          </w:p>
        </w:tc>
        <w:tc>
          <w:tcPr>
            <w:tcW w:w="685" w:type="dxa"/>
            <w:noWrap w:val="0"/>
            <w:vAlign w:val="center"/>
          </w:tcPr>
          <w:p w14:paraId="78508BE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产生量t/a</w:t>
            </w:r>
          </w:p>
        </w:tc>
        <w:tc>
          <w:tcPr>
            <w:tcW w:w="777" w:type="dxa"/>
            <w:noWrap w:val="0"/>
            <w:vAlign w:val="center"/>
          </w:tcPr>
          <w:p w14:paraId="0030BBA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产生</w:t>
            </w:r>
            <w:r>
              <w:rPr>
                <w:rFonts w:hint="default" w:ascii="Times New Roman" w:hAnsi="Times New Roman" w:eastAsia="宋体" w:cs="Times New Roman"/>
                <w:color w:val="FF0000"/>
                <w:sz w:val="21"/>
                <w:szCs w:val="21"/>
                <w:highlight w:val="none"/>
                <w:lang w:eastAsia="zh-CN"/>
              </w:rPr>
              <w:t>速率</w:t>
            </w:r>
            <w:r>
              <w:rPr>
                <w:rFonts w:hint="default" w:ascii="Times New Roman" w:hAnsi="Times New Roman" w:eastAsia="宋体" w:cs="Times New Roman"/>
                <w:color w:val="FF0000"/>
                <w:sz w:val="21"/>
                <w:szCs w:val="21"/>
                <w:highlight w:val="none"/>
                <w:lang w:val="en-US" w:eastAsia="zh-CN"/>
              </w:rPr>
              <w:t>kg/h</w:t>
            </w:r>
          </w:p>
        </w:tc>
        <w:tc>
          <w:tcPr>
            <w:tcW w:w="685" w:type="dxa"/>
            <w:noWrap w:val="0"/>
            <w:vAlign w:val="center"/>
          </w:tcPr>
          <w:p w14:paraId="22D9E35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产生浓度mg/m</w:t>
            </w:r>
            <w:r>
              <w:rPr>
                <w:rFonts w:hint="default" w:ascii="Times New Roman" w:hAnsi="Times New Roman" w:eastAsia="宋体" w:cs="Times New Roman"/>
                <w:color w:val="FF0000"/>
                <w:sz w:val="21"/>
                <w:szCs w:val="21"/>
                <w:highlight w:val="none"/>
                <w:vertAlign w:val="superscript"/>
              </w:rPr>
              <w:t>3</w:t>
            </w:r>
          </w:p>
        </w:tc>
        <w:tc>
          <w:tcPr>
            <w:tcW w:w="685" w:type="dxa"/>
            <w:noWrap w:val="0"/>
            <w:vAlign w:val="center"/>
          </w:tcPr>
          <w:p w14:paraId="662C00E5">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环保措施</w:t>
            </w:r>
          </w:p>
        </w:tc>
        <w:tc>
          <w:tcPr>
            <w:tcW w:w="685" w:type="dxa"/>
            <w:noWrap w:val="0"/>
            <w:vAlign w:val="center"/>
          </w:tcPr>
          <w:p w14:paraId="63716A7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排放量</w:t>
            </w:r>
            <w:r>
              <w:rPr>
                <w:rFonts w:hint="default" w:ascii="Times New Roman" w:hAnsi="Times New Roman" w:eastAsia="宋体" w:cs="Times New Roman"/>
                <w:color w:val="FF0000"/>
                <w:sz w:val="21"/>
                <w:szCs w:val="21"/>
                <w:highlight w:val="none"/>
              </w:rPr>
              <w:t>t/a</w:t>
            </w:r>
          </w:p>
        </w:tc>
        <w:tc>
          <w:tcPr>
            <w:tcW w:w="685" w:type="dxa"/>
            <w:noWrap w:val="0"/>
            <w:vAlign w:val="center"/>
          </w:tcPr>
          <w:p w14:paraId="38420FF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eastAsia="zh-CN"/>
              </w:rPr>
              <w:t>排放速率</w:t>
            </w:r>
            <w:r>
              <w:rPr>
                <w:rFonts w:hint="default" w:ascii="Times New Roman" w:hAnsi="Times New Roman" w:eastAsia="宋体" w:cs="Times New Roman"/>
                <w:color w:val="FF0000"/>
                <w:sz w:val="21"/>
                <w:szCs w:val="21"/>
                <w:highlight w:val="none"/>
                <w:lang w:val="en-US" w:eastAsia="zh-CN"/>
              </w:rPr>
              <w:t>kg/h</w:t>
            </w:r>
          </w:p>
        </w:tc>
        <w:tc>
          <w:tcPr>
            <w:tcW w:w="777" w:type="dxa"/>
            <w:noWrap w:val="0"/>
            <w:vAlign w:val="center"/>
          </w:tcPr>
          <w:p w14:paraId="13C9AAF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排放</w:t>
            </w:r>
            <w:r>
              <w:rPr>
                <w:rFonts w:hint="default" w:ascii="Times New Roman" w:hAnsi="Times New Roman" w:eastAsia="宋体" w:cs="Times New Roman"/>
                <w:color w:val="FF0000"/>
                <w:sz w:val="21"/>
                <w:szCs w:val="21"/>
                <w:highlight w:val="none"/>
              </w:rPr>
              <w:t>浓度mg/m</w:t>
            </w:r>
            <w:r>
              <w:rPr>
                <w:rFonts w:hint="default" w:ascii="Times New Roman" w:hAnsi="Times New Roman" w:eastAsia="宋体" w:cs="Times New Roman"/>
                <w:color w:val="FF0000"/>
                <w:sz w:val="21"/>
                <w:szCs w:val="21"/>
                <w:highlight w:val="none"/>
                <w:vertAlign w:val="superscript"/>
              </w:rPr>
              <w:t>3</w:t>
            </w:r>
          </w:p>
        </w:tc>
        <w:tc>
          <w:tcPr>
            <w:tcW w:w="778" w:type="dxa"/>
            <w:noWrap w:val="0"/>
            <w:vAlign w:val="center"/>
          </w:tcPr>
          <w:p w14:paraId="474F3AB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排放限值</w:t>
            </w:r>
            <w:r>
              <w:rPr>
                <w:rFonts w:hint="default" w:ascii="Times New Roman" w:hAnsi="Times New Roman" w:eastAsia="宋体" w:cs="Times New Roman"/>
                <w:color w:val="FF0000"/>
                <w:sz w:val="21"/>
                <w:szCs w:val="21"/>
                <w:highlight w:val="none"/>
              </w:rPr>
              <w:t>mg/m</w:t>
            </w:r>
            <w:r>
              <w:rPr>
                <w:rFonts w:hint="default" w:ascii="Times New Roman" w:hAnsi="Times New Roman" w:eastAsia="宋体" w:cs="Times New Roman"/>
                <w:color w:val="FF0000"/>
                <w:sz w:val="21"/>
                <w:szCs w:val="21"/>
                <w:highlight w:val="none"/>
                <w:vertAlign w:val="superscript"/>
              </w:rPr>
              <w:t>3</w:t>
            </w:r>
          </w:p>
        </w:tc>
      </w:tr>
      <w:tr w14:paraId="7DAC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Merge w:val="restart"/>
            <w:noWrap w:val="0"/>
            <w:vAlign w:val="center"/>
          </w:tcPr>
          <w:p w14:paraId="37FFBF3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生物质燃料</w:t>
            </w:r>
          </w:p>
        </w:tc>
        <w:tc>
          <w:tcPr>
            <w:tcW w:w="627" w:type="dxa"/>
            <w:vMerge w:val="restart"/>
            <w:noWrap w:val="0"/>
            <w:vAlign w:val="center"/>
          </w:tcPr>
          <w:p w14:paraId="20516CE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3000m</w:t>
            </w:r>
            <w:r>
              <w:rPr>
                <w:rFonts w:hint="default" w:ascii="Times New Roman" w:hAnsi="Times New Roman" w:eastAsia="宋体" w:cs="Times New Roman"/>
                <w:color w:val="FF0000"/>
                <w:sz w:val="21"/>
                <w:szCs w:val="21"/>
                <w:highlight w:val="none"/>
                <w:vertAlign w:val="superscript"/>
                <w:lang w:val="en-US" w:eastAsia="zh-CN"/>
              </w:rPr>
              <w:t>3</w:t>
            </w:r>
            <w:r>
              <w:rPr>
                <w:rFonts w:hint="default" w:ascii="Times New Roman" w:hAnsi="Times New Roman" w:eastAsia="宋体" w:cs="Times New Roman"/>
                <w:color w:val="FF0000"/>
                <w:sz w:val="21"/>
                <w:szCs w:val="21"/>
                <w:highlight w:val="none"/>
                <w:lang w:val="en-US" w:eastAsia="zh-CN"/>
              </w:rPr>
              <w:t>/h</w:t>
            </w:r>
          </w:p>
        </w:tc>
        <w:tc>
          <w:tcPr>
            <w:tcW w:w="596" w:type="dxa"/>
            <w:noWrap w:val="0"/>
            <w:vAlign w:val="center"/>
          </w:tcPr>
          <w:p w14:paraId="4B423C7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颗粒物</w:t>
            </w:r>
          </w:p>
        </w:tc>
        <w:tc>
          <w:tcPr>
            <w:tcW w:w="685" w:type="dxa"/>
            <w:noWrap w:val="0"/>
            <w:vAlign w:val="center"/>
          </w:tcPr>
          <w:p w14:paraId="2FFB4BA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0.648</w:t>
            </w:r>
          </w:p>
        </w:tc>
        <w:tc>
          <w:tcPr>
            <w:tcW w:w="777" w:type="dxa"/>
            <w:noWrap w:val="0"/>
            <w:vAlign w:val="center"/>
          </w:tcPr>
          <w:p w14:paraId="6BC099D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0.300</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lang w:val="en-US" w:eastAsia="zh-CN"/>
              </w:rPr>
              <w:t xml:space="preserve"> </w:t>
            </w:r>
          </w:p>
        </w:tc>
        <w:tc>
          <w:tcPr>
            <w:tcW w:w="685" w:type="dxa"/>
            <w:noWrap w:val="0"/>
            <w:vAlign w:val="center"/>
          </w:tcPr>
          <w:p w14:paraId="24D92A7F">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100.0 </w:t>
            </w:r>
          </w:p>
        </w:tc>
        <w:tc>
          <w:tcPr>
            <w:tcW w:w="685" w:type="dxa"/>
            <w:vMerge w:val="restart"/>
            <w:noWrap w:val="0"/>
            <w:vAlign w:val="center"/>
          </w:tcPr>
          <w:p w14:paraId="5921473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布袋除尘器</w:t>
            </w:r>
          </w:p>
        </w:tc>
        <w:tc>
          <w:tcPr>
            <w:tcW w:w="685" w:type="dxa"/>
            <w:noWrap w:val="0"/>
            <w:vAlign w:val="center"/>
          </w:tcPr>
          <w:p w14:paraId="03BEC99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0.032</w:t>
            </w:r>
          </w:p>
        </w:tc>
        <w:tc>
          <w:tcPr>
            <w:tcW w:w="685" w:type="dxa"/>
            <w:noWrap w:val="0"/>
            <w:vAlign w:val="center"/>
          </w:tcPr>
          <w:p w14:paraId="2A16FC36">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0.0148</w:t>
            </w:r>
          </w:p>
        </w:tc>
        <w:tc>
          <w:tcPr>
            <w:tcW w:w="777" w:type="dxa"/>
            <w:noWrap w:val="0"/>
            <w:vAlign w:val="center"/>
          </w:tcPr>
          <w:p w14:paraId="07F757C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lang w:val="en-US" w:eastAsia="zh-CN"/>
              </w:rPr>
              <w:t>.0</w:t>
            </w:r>
          </w:p>
        </w:tc>
        <w:tc>
          <w:tcPr>
            <w:tcW w:w="778" w:type="dxa"/>
            <w:noWrap w:val="0"/>
            <w:vAlign w:val="center"/>
          </w:tcPr>
          <w:p w14:paraId="76334C7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200</w:t>
            </w:r>
          </w:p>
        </w:tc>
      </w:tr>
      <w:tr w14:paraId="652E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Merge w:val="continue"/>
            <w:noWrap w:val="0"/>
            <w:vAlign w:val="center"/>
          </w:tcPr>
          <w:p w14:paraId="4582EE5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627" w:type="dxa"/>
            <w:vMerge w:val="continue"/>
            <w:noWrap w:val="0"/>
            <w:vAlign w:val="center"/>
          </w:tcPr>
          <w:p w14:paraId="0B5F945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596" w:type="dxa"/>
            <w:noWrap w:val="0"/>
            <w:vAlign w:val="center"/>
          </w:tcPr>
          <w:p w14:paraId="1D9DD83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二氧化硫</w:t>
            </w:r>
          </w:p>
        </w:tc>
        <w:tc>
          <w:tcPr>
            <w:tcW w:w="685" w:type="dxa"/>
            <w:noWrap w:val="0"/>
            <w:vAlign w:val="center"/>
          </w:tcPr>
          <w:p w14:paraId="034E8D5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1.542</w:t>
            </w:r>
          </w:p>
        </w:tc>
        <w:tc>
          <w:tcPr>
            <w:tcW w:w="777" w:type="dxa"/>
            <w:noWrap w:val="0"/>
            <w:vAlign w:val="center"/>
          </w:tcPr>
          <w:p w14:paraId="6616B23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0.71</w:t>
            </w:r>
            <w:r>
              <w:rPr>
                <w:rFonts w:hint="default" w:ascii="Times New Roman" w:hAnsi="Times New Roman" w:eastAsia="宋体" w:cs="Times New Roman"/>
                <w:color w:val="FF0000"/>
                <w:sz w:val="21"/>
                <w:szCs w:val="21"/>
                <w:highlight w:val="none"/>
                <w:lang w:val="en-US" w:eastAsia="zh-CN"/>
              </w:rPr>
              <w:t>39</w:t>
            </w:r>
            <w:r>
              <w:rPr>
                <w:rFonts w:hint="default" w:ascii="Times New Roman" w:hAnsi="Times New Roman" w:eastAsia="宋体" w:cs="Times New Roman"/>
                <w:color w:val="FF0000"/>
                <w:sz w:val="21"/>
                <w:szCs w:val="21"/>
                <w:highlight w:val="none"/>
                <w:lang w:val="en-US" w:eastAsia="zh-CN"/>
              </w:rPr>
              <w:t xml:space="preserve"> </w:t>
            </w:r>
          </w:p>
        </w:tc>
        <w:tc>
          <w:tcPr>
            <w:tcW w:w="685" w:type="dxa"/>
            <w:noWrap w:val="0"/>
            <w:vAlign w:val="center"/>
          </w:tcPr>
          <w:p w14:paraId="7551979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238.0 </w:t>
            </w:r>
          </w:p>
        </w:tc>
        <w:tc>
          <w:tcPr>
            <w:tcW w:w="685" w:type="dxa"/>
            <w:vMerge w:val="continue"/>
            <w:noWrap w:val="0"/>
            <w:vAlign w:val="center"/>
          </w:tcPr>
          <w:p w14:paraId="723D892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685" w:type="dxa"/>
            <w:shd w:val="clear" w:color="auto" w:fill="auto"/>
            <w:noWrap w:val="0"/>
            <w:vAlign w:val="center"/>
          </w:tcPr>
          <w:p w14:paraId="685394A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1.542</w:t>
            </w:r>
          </w:p>
        </w:tc>
        <w:tc>
          <w:tcPr>
            <w:tcW w:w="685" w:type="dxa"/>
            <w:shd w:val="clear" w:color="auto" w:fill="auto"/>
            <w:noWrap w:val="0"/>
            <w:vAlign w:val="center"/>
          </w:tcPr>
          <w:p w14:paraId="636A804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0.71</w:t>
            </w:r>
            <w:r>
              <w:rPr>
                <w:rFonts w:hint="default" w:ascii="Times New Roman" w:hAnsi="Times New Roman" w:eastAsia="宋体" w:cs="Times New Roman"/>
                <w:color w:val="FF0000"/>
                <w:sz w:val="21"/>
                <w:szCs w:val="21"/>
                <w:highlight w:val="none"/>
                <w:lang w:val="en-US" w:eastAsia="zh-CN"/>
              </w:rPr>
              <w:t>39</w:t>
            </w:r>
            <w:r>
              <w:rPr>
                <w:rFonts w:hint="default" w:ascii="Times New Roman" w:hAnsi="Times New Roman" w:eastAsia="宋体" w:cs="Times New Roman"/>
                <w:color w:val="FF0000"/>
                <w:sz w:val="21"/>
                <w:szCs w:val="21"/>
                <w:highlight w:val="none"/>
                <w:lang w:val="en-US" w:eastAsia="zh-CN"/>
              </w:rPr>
              <w:t xml:space="preserve"> </w:t>
            </w:r>
          </w:p>
        </w:tc>
        <w:tc>
          <w:tcPr>
            <w:tcW w:w="777" w:type="dxa"/>
            <w:noWrap w:val="0"/>
            <w:vAlign w:val="center"/>
          </w:tcPr>
          <w:p w14:paraId="2446C37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238.0 </w:t>
            </w:r>
          </w:p>
        </w:tc>
        <w:tc>
          <w:tcPr>
            <w:tcW w:w="778" w:type="dxa"/>
            <w:noWrap w:val="0"/>
            <w:vAlign w:val="center"/>
          </w:tcPr>
          <w:p w14:paraId="73EC0AE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850</w:t>
            </w:r>
          </w:p>
        </w:tc>
      </w:tr>
      <w:tr w14:paraId="3413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Merge w:val="continue"/>
            <w:noWrap w:val="0"/>
            <w:vAlign w:val="center"/>
          </w:tcPr>
          <w:p w14:paraId="04FCD15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627" w:type="dxa"/>
            <w:vMerge w:val="continue"/>
            <w:noWrap w:val="0"/>
            <w:vAlign w:val="center"/>
          </w:tcPr>
          <w:p w14:paraId="215DE44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596" w:type="dxa"/>
            <w:noWrap w:val="0"/>
            <w:vAlign w:val="center"/>
          </w:tcPr>
          <w:p w14:paraId="53AEBA7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汞</w:t>
            </w:r>
          </w:p>
        </w:tc>
        <w:tc>
          <w:tcPr>
            <w:tcW w:w="685" w:type="dxa"/>
            <w:noWrap w:val="0"/>
            <w:vAlign w:val="center"/>
          </w:tcPr>
          <w:p w14:paraId="621E047F">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0.000015</w:t>
            </w:r>
          </w:p>
        </w:tc>
        <w:tc>
          <w:tcPr>
            <w:tcW w:w="777" w:type="dxa"/>
            <w:noWrap w:val="0"/>
            <w:vAlign w:val="center"/>
          </w:tcPr>
          <w:p w14:paraId="661D347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0.000007 </w:t>
            </w:r>
          </w:p>
        </w:tc>
        <w:tc>
          <w:tcPr>
            <w:tcW w:w="685" w:type="dxa"/>
            <w:noWrap w:val="0"/>
            <w:vAlign w:val="center"/>
          </w:tcPr>
          <w:p w14:paraId="694FBC3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0.0023</w:t>
            </w:r>
          </w:p>
        </w:tc>
        <w:tc>
          <w:tcPr>
            <w:tcW w:w="685" w:type="dxa"/>
            <w:vMerge w:val="continue"/>
            <w:noWrap w:val="0"/>
            <w:vAlign w:val="center"/>
          </w:tcPr>
          <w:p w14:paraId="67B576F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685" w:type="dxa"/>
            <w:noWrap w:val="0"/>
            <w:vAlign w:val="center"/>
          </w:tcPr>
          <w:p w14:paraId="3C9A2846">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0.000011</w:t>
            </w:r>
          </w:p>
        </w:tc>
        <w:tc>
          <w:tcPr>
            <w:tcW w:w="685" w:type="dxa"/>
            <w:noWrap w:val="0"/>
            <w:vAlign w:val="center"/>
          </w:tcPr>
          <w:p w14:paraId="701166F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0.000005 </w:t>
            </w:r>
          </w:p>
        </w:tc>
        <w:tc>
          <w:tcPr>
            <w:tcW w:w="777" w:type="dxa"/>
            <w:noWrap w:val="0"/>
            <w:vAlign w:val="center"/>
          </w:tcPr>
          <w:p w14:paraId="2E62772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0.0017 </w:t>
            </w:r>
          </w:p>
        </w:tc>
        <w:tc>
          <w:tcPr>
            <w:tcW w:w="778" w:type="dxa"/>
            <w:noWrap w:val="0"/>
            <w:vAlign w:val="center"/>
          </w:tcPr>
          <w:p w14:paraId="09CEE18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0.01</w:t>
            </w:r>
          </w:p>
        </w:tc>
      </w:tr>
      <w:tr w14:paraId="7B69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Merge w:val="continue"/>
            <w:noWrap w:val="0"/>
            <w:vAlign w:val="center"/>
          </w:tcPr>
          <w:p w14:paraId="491F2BE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627" w:type="dxa"/>
            <w:vMerge w:val="continue"/>
            <w:noWrap w:val="0"/>
            <w:vAlign w:val="center"/>
          </w:tcPr>
          <w:p w14:paraId="16281CDE">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p>
        </w:tc>
        <w:tc>
          <w:tcPr>
            <w:tcW w:w="596" w:type="dxa"/>
            <w:noWrap w:val="0"/>
            <w:vAlign w:val="center"/>
          </w:tcPr>
          <w:p w14:paraId="03CD068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氮氧化物</w:t>
            </w:r>
          </w:p>
        </w:tc>
        <w:tc>
          <w:tcPr>
            <w:tcW w:w="685" w:type="dxa"/>
            <w:noWrap w:val="0"/>
            <w:vAlign w:val="center"/>
          </w:tcPr>
          <w:p w14:paraId="2D68D5D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1.322</w:t>
            </w:r>
          </w:p>
        </w:tc>
        <w:tc>
          <w:tcPr>
            <w:tcW w:w="777" w:type="dxa"/>
            <w:noWrap w:val="0"/>
            <w:vAlign w:val="center"/>
          </w:tcPr>
          <w:p w14:paraId="2311520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0.612</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lang w:val="en-US" w:eastAsia="zh-CN"/>
              </w:rPr>
              <w:t xml:space="preserve"> </w:t>
            </w:r>
          </w:p>
        </w:tc>
        <w:tc>
          <w:tcPr>
            <w:tcW w:w="685" w:type="dxa"/>
            <w:noWrap w:val="0"/>
            <w:vAlign w:val="center"/>
          </w:tcPr>
          <w:p w14:paraId="343A0B6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 xml:space="preserve">204.0 </w:t>
            </w:r>
          </w:p>
        </w:tc>
        <w:tc>
          <w:tcPr>
            <w:tcW w:w="685" w:type="dxa"/>
            <w:vMerge w:val="continue"/>
            <w:noWrap w:val="0"/>
            <w:vAlign w:val="center"/>
          </w:tcPr>
          <w:p w14:paraId="0413290E">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685" w:type="dxa"/>
            <w:shd w:val="clear" w:color="auto" w:fill="auto"/>
            <w:noWrap w:val="0"/>
            <w:vAlign w:val="center"/>
          </w:tcPr>
          <w:p w14:paraId="7D6AAF0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1.322</w:t>
            </w:r>
          </w:p>
        </w:tc>
        <w:tc>
          <w:tcPr>
            <w:tcW w:w="685" w:type="dxa"/>
            <w:shd w:val="clear" w:color="auto" w:fill="auto"/>
            <w:noWrap w:val="0"/>
            <w:vAlign w:val="center"/>
          </w:tcPr>
          <w:p w14:paraId="4B88695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0.612</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lang w:val="en-US" w:eastAsia="zh-CN"/>
              </w:rPr>
              <w:t xml:space="preserve"> </w:t>
            </w:r>
          </w:p>
        </w:tc>
        <w:tc>
          <w:tcPr>
            <w:tcW w:w="777" w:type="dxa"/>
            <w:noWrap w:val="0"/>
            <w:vAlign w:val="center"/>
          </w:tcPr>
          <w:p w14:paraId="2D15D1D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204.0</w:t>
            </w:r>
          </w:p>
        </w:tc>
        <w:tc>
          <w:tcPr>
            <w:tcW w:w="778" w:type="dxa"/>
            <w:noWrap w:val="0"/>
            <w:vAlign w:val="center"/>
          </w:tcPr>
          <w:p w14:paraId="3E1F1BC6">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240</w:t>
            </w:r>
          </w:p>
        </w:tc>
      </w:tr>
    </w:tbl>
    <w:p w14:paraId="28FF1CD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项目大气污染源治理情况汇总表见表</w:t>
      </w:r>
      <w:r>
        <w:rPr>
          <w:rFonts w:hint="default" w:ascii="Times New Roman" w:hAnsi="Times New Roman" w:eastAsia="宋体" w:cs="Times New Roman"/>
          <w:color w:val="FF0000"/>
          <w:sz w:val="24"/>
          <w:szCs w:val="24"/>
          <w:highlight w:val="none"/>
          <w:lang w:val="en-US" w:eastAsia="zh-CN"/>
        </w:rPr>
        <w:t>3.3-</w:t>
      </w:r>
      <w:r>
        <w:rPr>
          <w:rFonts w:hint="default" w:ascii="Times New Roman" w:hAnsi="Times New Roman" w:eastAsia="宋体" w:cs="Times New Roman"/>
          <w:color w:val="FF0000"/>
          <w:sz w:val="24"/>
          <w:szCs w:val="24"/>
          <w:highlight w:val="none"/>
          <w:lang w:val="en-US" w:eastAsia="zh-CN"/>
        </w:rPr>
        <w:t>9</w:t>
      </w:r>
      <w:r>
        <w:rPr>
          <w:rFonts w:hint="default" w:ascii="Times New Roman" w:hAnsi="Times New Roman" w:eastAsia="宋体" w:cs="Times New Roman"/>
          <w:color w:val="FF0000"/>
          <w:sz w:val="24"/>
          <w:szCs w:val="24"/>
          <w:highlight w:val="none"/>
        </w:rPr>
        <w:t>。</w:t>
      </w:r>
    </w:p>
    <w:p w14:paraId="119E5F8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表3.3-</w:t>
      </w:r>
      <w:r>
        <w:rPr>
          <w:rFonts w:hint="default" w:ascii="Times New Roman" w:hAnsi="Times New Roman" w:eastAsia="宋体" w:cs="Times New Roman"/>
          <w:b/>
          <w:bCs/>
          <w:color w:val="FF0000"/>
          <w:sz w:val="24"/>
          <w:szCs w:val="24"/>
          <w:highlight w:val="none"/>
          <w:lang w:val="en-US" w:eastAsia="zh-CN"/>
        </w:rPr>
        <w:t>9</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rPr>
        <w:t>大气污染物产生、排放、治理情况汇总表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4"/>
        <w:gridCol w:w="734"/>
        <w:gridCol w:w="735"/>
        <w:gridCol w:w="735"/>
        <w:gridCol w:w="735"/>
        <w:gridCol w:w="1660"/>
        <w:gridCol w:w="736"/>
        <w:gridCol w:w="736"/>
        <w:gridCol w:w="736"/>
        <w:gridCol w:w="736"/>
      </w:tblGrid>
      <w:tr w14:paraId="0933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restart"/>
            <w:tcBorders>
              <w:top w:val="single" w:color="auto" w:sz="4" w:space="0"/>
              <w:bottom w:val="single" w:color="auto" w:sz="4" w:space="0"/>
              <w:right w:val="single" w:color="auto" w:sz="4" w:space="0"/>
            </w:tcBorders>
            <w:noWrap w:val="0"/>
            <w:tcMar>
              <w:left w:w="28" w:type="dxa"/>
              <w:right w:w="28" w:type="dxa"/>
            </w:tcMar>
            <w:vAlign w:val="center"/>
          </w:tcPr>
          <w:p w14:paraId="6416BD2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污染源</w:t>
            </w:r>
          </w:p>
        </w:tc>
        <w:tc>
          <w:tcPr>
            <w:tcW w:w="734" w:type="dxa"/>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A866341">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排放方式</w:t>
            </w:r>
          </w:p>
        </w:tc>
        <w:tc>
          <w:tcPr>
            <w:tcW w:w="735" w:type="dxa"/>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ECAC9F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污染因子</w:t>
            </w:r>
          </w:p>
        </w:tc>
        <w:tc>
          <w:tcPr>
            <w:tcW w:w="1470"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1E05FB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污染物产生情况</w:t>
            </w:r>
          </w:p>
        </w:tc>
        <w:tc>
          <w:tcPr>
            <w:tcW w:w="1660" w:type="dxa"/>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AFD581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治理措施</w:t>
            </w:r>
          </w:p>
        </w:tc>
        <w:tc>
          <w:tcPr>
            <w:tcW w:w="2208"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06D484F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污染物排放情况</w:t>
            </w:r>
          </w:p>
        </w:tc>
        <w:tc>
          <w:tcPr>
            <w:tcW w:w="736" w:type="dxa"/>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0C8E568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达标情况</w:t>
            </w:r>
          </w:p>
        </w:tc>
      </w:tr>
      <w:tr w14:paraId="4527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AAD8CDB">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p>
        </w:tc>
        <w:tc>
          <w:tcPr>
            <w:tcW w:w="734" w:type="dxa"/>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4103F9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p>
        </w:tc>
        <w:tc>
          <w:tcPr>
            <w:tcW w:w="735" w:type="dxa"/>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B98DC7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6551A4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mg/m</w:t>
            </w:r>
            <w:r>
              <w:rPr>
                <w:rFonts w:hint="default" w:ascii="Times New Roman" w:hAnsi="Times New Roman" w:eastAsia="宋体" w:cs="Times New Roman"/>
                <w:b/>
                <w:bCs/>
                <w:color w:val="FF0000"/>
                <w:sz w:val="21"/>
                <w:szCs w:val="21"/>
                <w:highlight w:val="none"/>
                <w:vertAlign w:val="superscript"/>
              </w:rPr>
              <w:t>3</w:t>
            </w:r>
          </w:p>
        </w:tc>
        <w:tc>
          <w:tcPr>
            <w:tcW w:w="735"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CA7405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t/a</w:t>
            </w:r>
          </w:p>
        </w:tc>
        <w:tc>
          <w:tcPr>
            <w:tcW w:w="1660" w:type="dxa"/>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2EAF8C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2A72EC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mg/m</w:t>
            </w:r>
            <w:r>
              <w:rPr>
                <w:rFonts w:hint="default" w:ascii="Times New Roman" w:hAnsi="Times New Roman" w:eastAsia="宋体" w:cs="Times New Roman"/>
                <w:b/>
                <w:bCs/>
                <w:color w:val="FF0000"/>
                <w:sz w:val="21"/>
                <w:szCs w:val="21"/>
                <w:highlight w:val="none"/>
                <w:vertAlign w:val="superscript"/>
              </w:rPr>
              <w:t>3</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727B3B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kg/h</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7AADAF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t/a</w:t>
            </w:r>
          </w:p>
        </w:tc>
        <w:tc>
          <w:tcPr>
            <w:tcW w:w="736" w:type="dxa"/>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FA3571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FF0000"/>
                <w:sz w:val="21"/>
                <w:szCs w:val="21"/>
                <w:highlight w:val="none"/>
              </w:rPr>
            </w:pPr>
          </w:p>
        </w:tc>
      </w:tr>
      <w:tr w14:paraId="5EC7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4E730B5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羊圈</w:t>
            </w:r>
          </w:p>
        </w:tc>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58E9BE3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1D8193F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rPr>
              <w:t>NH</w:t>
            </w:r>
            <w:r>
              <w:rPr>
                <w:rFonts w:hint="default" w:ascii="Times New Roman" w:hAnsi="Times New Roman" w:eastAsia="宋体" w:cs="Times New Roman"/>
                <w:color w:val="FF0000"/>
                <w:sz w:val="21"/>
                <w:szCs w:val="21"/>
                <w:highlight w:val="none"/>
                <w:vertAlign w:val="subscript"/>
              </w:rPr>
              <w:t>3</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CEFCE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05DC1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0.560</w:t>
            </w:r>
          </w:p>
        </w:tc>
        <w:tc>
          <w:tcPr>
            <w:tcW w:w="1660" w:type="dxa"/>
            <w:vMerge w:val="restart"/>
            <w:tcBorders>
              <w:left w:val="single" w:color="auto" w:sz="4" w:space="0"/>
              <w:right w:val="single" w:color="auto" w:sz="4" w:space="0"/>
            </w:tcBorders>
            <w:noWrap w:val="0"/>
            <w:tcMar>
              <w:left w:w="28" w:type="dxa"/>
              <w:right w:w="28" w:type="dxa"/>
            </w:tcMar>
            <w:vAlign w:val="center"/>
          </w:tcPr>
          <w:p w14:paraId="50F11EE7">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添加EM菌剂、合理搭配饲料</w:t>
            </w:r>
            <w:r>
              <w:rPr>
                <w:rFonts w:hint="default" w:ascii="Times New Roman" w:hAnsi="Times New Roman" w:eastAsia="宋体" w:cs="Times New Roman"/>
                <w:color w:val="FF0000"/>
                <w:kern w:val="0"/>
                <w:sz w:val="21"/>
                <w:szCs w:val="21"/>
                <w:highlight w:val="none"/>
                <w:lang w:val="en-US" w:eastAsia="zh-CN" w:bidi="ar"/>
              </w:rPr>
              <w:t>、</w:t>
            </w:r>
            <w:r>
              <w:rPr>
                <w:rFonts w:hint="default" w:ascii="Times New Roman" w:hAnsi="Times New Roman" w:eastAsia="宋体" w:cs="Times New Roman"/>
                <w:color w:val="FF0000"/>
                <w:kern w:val="0"/>
                <w:sz w:val="21"/>
                <w:szCs w:val="21"/>
                <w:highlight w:val="none"/>
                <w:lang w:val="en-US" w:eastAsia="zh-CN" w:bidi="ar"/>
              </w:rPr>
              <w:t>喷洒除臭剂、加强通风、羊圈之间设置绿化防护带</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2ADA3CD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F110A8B">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0.0128</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9B365E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0.112</w:t>
            </w:r>
          </w:p>
        </w:tc>
        <w:tc>
          <w:tcPr>
            <w:tcW w:w="736" w:type="dxa"/>
            <w:vMerge w:val="restart"/>
            <w:tcBorders>
              <w:left w:val="single" w:color="auto" w:sz="4" w:space="0"/>
              <w:right w:val="single" w:color="auto" w:sz="4" w:space="0"/>
            </w:tcBorders>
            <w:noWrap w:val="0"/>
            <w:tcMar>
              <w:left w:w="28" w:type="dxa"/>
              <w:right w:w="28" w:type="dxa"/>
            </w:tcMar>
            <w:vAlign w:val="center"/>
          </w:tcPr>
          <w:p w14:paraId="52C3D6F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《恶臭污染物排放标准》（GB14554-93）表1恶臭污染物厂界标准值</w:t>
            </w:r>
          </w:p>
        </w:tc>
      </w:tr>
      <w:tr w14:paraId="30F7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0F6FE1E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5190497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632AF2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vertAlign w:val="baseli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vertAlign w:val="baseline"/>
              </w:rPr>
              <w:t>S</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35B08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A04BA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0.047</w:t>
            </w:r>
          </w:p>
        </w:tc>
        <w:tc>
          <w:tcPr>
            <w:tcW w:w="1660"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63CB83E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40481C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3B793F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0.0010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FCEDEB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0.009</w:t>
            </w:r>
          </w:p>
        </w:tc>
        <w:tc>
          <w:tcPr>
            <w:tcW w:w="736" w:type="dxa"/>
            <w:vMerge w:val="continue"/>
            <w:tcBorders>
              <w:left w:val="single" w:color="auto" w:sz="4" w:space="0"/>
              <w:right w:val="single" w:color="auto" w:sz="4" w:space="0"/>
            </w:tcBorders>
            <w:noWrap w:val="0"/>
            <w:tcMar>
              <w:left w:w="28" w:type="dxa"/>
              <w:right w:w="28" w:type="dxa"/>
            </w:tcMar>
            <w:vAlign w:val="center"/>
          </w:tcPr>
          <w:p w14:paraId="7EC641F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31FB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3461FBC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堆肥场</w:t>
            </w:r>
          </w:p>
        </w:tc>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5059D84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7B814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rPr>
              <w:t>NH</w:t>
            </w:r>
            <w:r>
              <w:rPr>
                <w:rFonts w:hint="default" w:ascii="Times New Roman" w:hAnsi="Times New Roman" w:eastAsia="宋体" w:cs="Times New Roman"/>
                <w:color w:val="FF0000"/>
                <w:sz w:val="21"/>
                <w:szCs w:val="21"/>
                <w:highlight w:val="none"/>
                <w:vertAlign w:val="subscript"/>
              </w:rPr>
              <w:t>3</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3B1EF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106480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0.183</w:t>
            </w:r>
          </w:p>
        </w:tc>
        <w:tc>
          <w:tcPr>
            <w:tcW w:w="1660" w:type="dxa"/>
            <w:vMerge w:val="restart"/>
            <w:tcBorders>
              <w:left w:val="single" w:color="auto" w:sz="4" w:space="0"/>
              <w:right w:val="single" w:color="auto" w:sz="4" w:space="0"/>
            </w:tcBorders>
            <w:noWrap w:val="0"/>
            <w:tcMar>
              <w:left w:w="28" w:type="dxa"/>
              <w:right w:w="28" w:type="dxa"/>
            </w:tcMar>
            <w:vAlign w:val="center"/>
          </w:tcPr>
          <w:p w14:paraId="4CCEE1C1">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喷洒除臭剂、四周进行绿化</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8E161F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5B9F03D8">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0.0042</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E2050E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0.037</w:t>
            </w:r>
          </w:p>
        </w:tc>
        <w:tc>
          <w:tcPr>
            <w:tcW w:w="736" w:type="dxa"/>
            <w:vMerge w:val="continue"/>
            <w:tcBorders>
              <w:left w:val="single" w:color="auto" w:sz="4" w:space="0"/>
              <w:right w:val="single" w:color="auto" w:sz="4" w:space="0"/>
            </w:tcBorders>
            <w:noWrap w:val="0"/>
            <w:tcMar>
              <w:left w:w="28" w:type="dxa"/>
              <w:right w:w="28" w:type="dxa"/>
            </w:tcMar>
            <w:vAlign w:val="center"/>
          </w:tcPr>
          <w:p w14:paraId="16B7B34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68D1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0FBD89F1">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6F060B8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2DD74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rPr>
              <w:t>H</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vertAlign w:val="baseline"/>
              </w:rPr>
              <w:t>S</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29CFF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FAB3F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0.011</w:t>
            </w:r>
          </w:p>
        </w:tc>
        <w:tc>
          <w:tcPr>
            <w:tcW w:w="1660"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60C6CFA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31EF511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0F5A31A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0.0002</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1CBF6C6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0.002</w:t>
            </w:r>
          </w:p>
        </w:tc>
        <w:tc>
          <w:tcPr>
            <w:tcW w:w="736"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400163F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7CB9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56AD06B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日粮搅拌车间</w:t>
            </w:r>
          </w:p>
        </w:tc>
        <w:tc>
          <w:tcPr>
            <w:tcW w:w="734"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6D4ACD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D50E21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颗粒物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B7219B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21FE9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lang w:val="en-US" w:eastAsia="zh-CN"/>
              </w:rPr>
              <w:t>0.542</w:t>
            </w:r>
          </w:p>
        </w:tc>
        <w:tc>
          <w:tcPr>
            <w:tcW w:w="1660"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4E96B9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日粮搅拌车间</w:t>
            </w:r>
            <w:r>
              <w:rPr>
                <w:rFonts w:hint="default" w:ascii="Times New Roman" w:hAnsi="Times New Roman" w:eastAsia="宋体" w:cs="Times New Roman"/>
                <w:color w:val="FF0000"/>
                <w:sz w:val="21"/>
                <w:szCs w:val="21"/>
                <w:highlight w:val="none"/>
              </w:rPr>
              <w:t>密闭</w:t>
            </w:r>
            <w:r>
              <w:rPr>
                <w:rFonts w:hint="default" w:ascii="Times New Roman" w:hAnsi="Times New Roman" w:eastAsia="宋体" w:cs="Times New Roman"/>
                <w:color w:val="FF0000"/>
                <w:sz w:val="21"/>
                <w:szCs w:val="21"/>
                <w:highlight w:val="none"/>
                <w:lang w:eastAsia="zh-CN"/>
              </w:rPr>
              <w:t>设置</w:t>
            </w:r>
            <w:r>
              <w:rPr>
                <w:rFonts w:hint="default" w:ascii="Times New Roman" w:hAnsi="Times New Roman" w:eastAsia="宋体" w:cs="Times New Roman"/>
                <w:color w:val="FF0000"/>
                <w:sz w:val="21"/>
                <w:szCs w:val="21"/>
                <w:highlight w:val="none"/>
                <w:lang w:eastAsia="zh-CN"/>
              </w:rPr>
              <w:t>、洒水抑尘</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7D20A2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97BC28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0.0370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1D615F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w:t>
            </w:r>
            <w:r>
              <w:rPr>
                <w:rFonts w:hint="default" w:ascii="Times New Roman" w:hAnsi="Times New Roman" w:eastAsia="宋体" w:cs="Times New Roman"/>
                <w:b w:val="0"/>
                <w:bCs w:val="0"/>
                <w:color w:val="FF0000"/>
                <w:sz w:val="21"/>
                <w:szCs w:val="21"/>
                <w:highlight w:val="none"/>
                <w:lang w:val="en-US" w:eastAsia="zh-CN"/>
              </w:rPr>
              <w:t>54</w:t>
            </w:r>
          </w:p>
        </w:tc>
        <w:tc>
          <w:tcPr>
            <w:tcW w:w="736" w:type="dxa"/>
            <w:vMerge w:val="restart"/>
            <w:tcBorders>
              <w:left w:val="single" w:color="auto" w:sz="4" w:space="0"/>
              <w:right w:val="single" w:color="auto" w:sz="4" w:space="0"/>
            </w:tcBorders>
            <w:noWrap w:val="0"/>
            <w:tcMar>
              <w:left w:w="28" w:type="dxa"/>
              <w:right w:w="28" w:type="dxa"/>
            </w:tcMar>
            <w:vAlign w:val="center"/>
          </w:tcPr>
          <w:p w14:paraId="2E2B8B2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《大气污染物综合排放标准》（GB16297-1996）表2新污染源大气污染物排放限值</w:t>
            </w:r>
          </w:p>
        </w:tc>
      </w:tr>
      <w:tr w14:paraId="1F4E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4944573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造粒车间</w:t>
            </w:r>
          </w:p>
        </w:tc>
        <w:tc>
          <w:tcPr>
            <w:tcW w:w="734"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EC9B687">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5D6C19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颗粒物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915482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0C88E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0.867</w:t>
            </w:r>
          </w:p>
        </w:tc>
        <w:tc>
          <w:tcPr>
            <w:tcW w:w="1660"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EC63D6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全封闭设置、布袋除尘器</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42FC01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963565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0.0473</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7FA90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w:t>
            </w:r>
            <w:r>
              <w:rPr>
                <w:rFonts w:hint="default" w:ascii="Times New Roman" w:hAnsi="Times New Roman" w:eastAsia="宋体" w:cs="Times New Roman"/>
                <w:b w:val="0"/>
                <w:bCs w:val="0"/>
                <w:color w:val="FF0000"/>
                <w:sz w:val="21"/>
                <w:szCs w:val="21"/>
                <w:highlight w:val="none"/>
                <w:lang w:val="en-US" w:eastAsia="zh-CN"/>
              </w:rPr>
              <w:t>69</w:t>
            </w:r>
          </w:p>
        </w:tc>
        <w:tc>
          <w:tcPr>
            <w:tcW w:w="736" w:type="dxa"/>
            <w:vMerge w:val="continue"/>
            <w:tcBorders>
              <w:left w:val="single" w:color="auto" w:sz="4" w:space="0"/>
              <w:right w:val="single" w:color="auto" w:sz="4" w:space="0"/>
            </w:tcBorders>
            <w:noWrap w:val="0"/>
            <w:tcMar>
              <w:left w:w="28" w:type="dxa"/>
              <w:right w:w="28" w:type="dxa"/>
            </w:tcMar>
            <w:vAlign w:val="center"/>
          </w:tcPr>
          <w:p w14:paraId="38BEAA3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7709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1FBC99A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玉米粒筛分</w:t>
            </w:r>
          </w:p>
        </w:tc>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66BC583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9234F1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b w:val="0"/>
                <w:bCs w:val="0"/>
                <w:color w:val="FF0000"/>
                <w:sz w:val="21"/>
                <w:szCs w:val="21"/>
                <w:highlight w:val="none"/>
                <w:lang w:eastAsia="zh-CN"/>
              </w:rPr>
              <w:t>颗粒物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651F54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790E4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0.020</w:t>
            </w:r>
          </w:p>
        </w:tc>
        <w:tc>
          <w:tcPr>
            <w:tcW w:w="1660"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253B1F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封闭外罩</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A1BFA1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52FFDA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0.0037</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104E3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0.008</w:t>
            </w:r>
          </w:p>
        </w:tc>
        <w:tc>
          <w:tcPr>
            <w:tcW w:w="736" w:type="dxa"/>
            <w:vMerge w:val="continue"/>
            <w:tcBorders>
              <w:left w:val="single" w:color="auto" w:sz="4" w:space="0"/>
              <w:right w:val="single" w:color="auto" w:sz="4" w:space="0"/>
            </w:tcBorders>
            <w:noWrap w:val="0"/>
            <w:tcMar>
              <w:left w:w="28" w:type="dxa"/>
              <w:right w:w="28" w:type="dxa"/>
            </w:tcMar>
            <w:vAlign w:val="center"/>
          </w:tcPr>
          <w:p w14:paraId="548F274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45F9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42D495B1">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玉米粒烘干</w:t>
            </w:r>
          </w:p>
        </w:tc>
        <w:tc>
          <w:tcPr>
            <w:tcW w:w="734" w:type="dxa"/>
            <w:tcBorders>
              <w:left w:val="single" w:color="auto" w:sz="4" w:space="0"/>
              <w:bottom w:val="single" w:color="auto" w:sz="4" w:space="0"/>
              <w:right w:val="single" w:color="auto" w:sz="4" w:space="0"/>
            </w:tcBorders>
            <w:noWrap w:val="0"/>
            <w:tcMar>
              <w:left w:w="28" w:type="dxa"/>
              <w:right w:w="28" w:type="dxa"/>
            </w:tcMar>
            <w:vAlign w:val="center"/>
          </w:tcPr>
          <w:p w14:paraId="6C43995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无组织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CA80B3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b w:val="0"/>
                <w:bCs w:val="0"/>
                <w:color w:val="FF0000"/>
                <w:sz w:val="21"/>
                <w:szCs w:val="21"/>
                <w:highlight w:val="none"/>
                <w:lang w:eastAsia="zh-CN"/>
              </w:rPr>
              <w:t>颗粒物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48725F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29E9A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kern w:val="2"/>
                <w:sz w:val="21"/>
                <w:szCs w:val="21"/>
                <w:highlight w:val="none"/>
                <w:vertAlign w:val="baseline"/>
                <w:lang w:val="en-US" w:eastAsia="zh-CN" w:bidi="ar-SA"/>
              </w:rPr>
              <w:t>0.020</w:t>
            </w:r>
          </w:p>
        </w:tc>
        <w:tc>
          <w:tcPr>
            <w:tcW w:w="1660" w:type="dxa"/>
            <w:tcBorders>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F5B44E2">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封闭外罩</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DCFBBA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266BA4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0.0037</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CE179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0.008</w:t>
            </w:r>
          </w:p>
        </w:tc>
        <w:tc>
          <w:tcPr>
            <w:tcW w:w="736"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63E76132">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50D0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4049C4F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3</w:t>
            </w:r>
            <w:r>
              <w:rPr>
                <w:rFonts w:hint="default" w:ascii="Times New Roman" w:hAnsi="Times New Roman" w:eastAsia="宋体" w:cs="Times New Roman"/>
                <w:b w:val="0"/>
                <w:bCs w:val="0"/>
                <w:color w:val="FF0000"/>
                <w:sz w:val="21"/>
                <w:szCs w:val="21"/>
                <w:highlight w:val="none"/>
                <w:lang w:eastAsia="zh-CN"/>
              </w:rPr>
              <w:t>t/h生物质热风炉</w:t>
            </w:r>
          </w:p>
        </w:tc>
        <w:tc>
          <w:tcPr>
            <w:tcW w:w="734" w:type="dxa"/>
            <w:vMerge w:val="restart"/>
            <w:tcBorders>
              <w:left w:val="single" w:color="auto" w:sz="4" w:space="0"/>
              <w:right w:val="single" w:color="auto" w:sz="4" w:space="0"/>
            </w:tcBorders>
            <w:shd w:val="clear" w:color="auto" w:fill="auto"/>
            <w:noWrap w:val="0"/>
            <w:tcMar>
              <w:left w:w="28" w:type="dxa"/>
              <w:right w:w="28" w:type="dxa"/>
            </w:tcMar>
            <w:vAlign w:val="center"/>
          </w:tcPr>
          <w:p w14:paraId="41427C2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有组织</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34E0EA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颗粒物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99CF44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100.0 </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A3757DF">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0.648</w:t>
            </w:r>
          </w:p>
        </w:tc>
        <w:tc>
          <w:tcPr>
            <w:tcW w:w="1660" w:type="dxa"/>
            <w:vMerge w:val="restart"/>
            <w:tcBorders>
              <w:left w:val="single" w:color="auto" w:sz="4" w:space="0"/>
              <w:right w:val="single" w:color="auto" w:sz="4" w:space="0"/>
            </w:tcBorders>
            <w:noWrap w:val="0"/>
            <w:tcMar>
              <w:left w:w="28" w:type="dxa"/>
              <w:right w:w="28" w:type="dxa"/>
            </w:tcMar>
            <w:vAlign w:val="center"/>
          </w:tcPr>
          <w:p w14:paraId="0189A06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bidi="ar-SA"/>
              </w:rPr>
              <w:t>布袋除尘器</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02BB01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lang w:val="en-US" w:eastAsia="zh-CN"/>
              </w:rPr>
              <w:t>.0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5865D3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0.0148</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E0AD5D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0.032</w:t>
            </w:r>
          </w:p>
        </w:tc>
        <w:tc>
          <w:tcPr>
            <w:tcW w:w="736" w:type="dxa"/>
            <w:vMerge w:val="restart"/>
            <w:tcBorders>
              <w:left w:val="single" w:color="auto" w:sz="4" w:space="0"/>
              <w:right w:val="single" w:color="auto" w:sz="4" w:space="0"/>
            </w:tcBorders>
            <w:noWrap w:val="0"/>
            <w:tcMar>
              <w:left w:w="28" w:type="dxa"/>
              <w:right w:w="28" w:type="dxa"/>
            </w:tcMar>
            <w:vAlign w:val="center"/>
          </w:tcPr>
          <w:p w14:paraId="1C6F0F5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color w:val="FF0000"/>
                <w:sz w:val="21"/>
                <w:szCs w:val="21"/>
                <w:highlight w:val="none"/>
              </w:rPr>
              <w:t>《工业炉窑大气污染物排放标准》（GB9078-1996）</w:t>
            </w:r>
          </w:p>
        </w:tc>
      </w:tr>
      <w:tr w14:paraId="0DB3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left w:val="single" w:color="auto" w:sz="4" w:space="0"/>
              <w:right w:val="single" w:color="auto" w:sz="4" w:space="0"/>
            </w:tcBorders>
            <w:noWrap w:val="0"/>
            <w:tcMar>
              <w:left w:w="28" w:type="dxa"/>
              <w:right w:w="28" w:type="dxa"/>
            </w:tcMar>
            <w:vAlign w:val="center"/>
          </w:tcPr>
          <w:p w14:paraId="6B7E512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4" w:type="dxa"/>
            <w:vMerge w:val="continue"/>
            <w:tcBorders>
              <w:left w:val="single" w:color="auto" w:sz="4" w:space="0"/>
              <w:right w:val="single" w:color="auto" w:sz="4" w:space="0"/>
            </w:tcBorders>
            <w:noWrap w:val="0"/>
            <w:tcMar>
              <w:left w:w="28" w:type="dxa"/>
              <w:right w:w="28" w:type="dxa"/>
            </w:tcMar>
            <w:vAlign w:val="center"/>
          </w:tcPr>
          <w:p w14:paraId="2D4F018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34BE69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二氧化硫</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5A7253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238.0 </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CF7DAA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1.542</w:t>
            </w:r>
          </w:p>
        </w:tc>
        <w:tc>
          <w:tcPr>
            <w:tcW w:w="1660" w:type="dxa"/>
            <w:vMerge w:val="continue"/>
            <w:tcBorders>
              <w:left w:val="single" w:color="auto" w:sz="4" w:space="0"/>
              <w:right w:val="single" w:color="auto" w:sz="4" w:space="0"/>
            </w:tcBorders>
            <w:noWrap w:val="0"/>
            <w:tcMar>
              <w:left w:w="28" w:type="dxa"/>
              <w:right w:w="28" w:type="dxa"/>
            </w:tcMar>
            <w:vAlign w:val="center"/>
          </w:tcPr>
          <w:p w14:paraId="44FE1651">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6F98EB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238.0 </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3889F9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0.71</w:t>
            </w:r>
            <w:r>
              <w:rPr>
                <w:rFonts w:hint="default" w:ascii="Times New Roman" w:hAnsi="Times New Roman" w:eastAsia="宋体" w:cs="Times New Roman"/>
                <w:color w:val="FF0000"/>
                <w:sz w:val="21"/>
                <w:szCs w:val="21"/>
                <w:highlight w:val="none"/>
                <w:lang w:val="en-US" w:eastAsia="zh-CN"/>
              </w:rPr>
              <w:t>39</w:t>
            </w:r>
            <w:r>
              <w:rPr>
                <w:rFonts w:hint="default" w:ascii="Times New Roman" w:hAnsi="Times New Roman" w:eastAsia="宋体" w:cs="Times New Roman"/>
                <w:color w:val="FF0000"/>
                <w:sz w:val="21"/>
                <w:szCs w:val="21"/>
                <w:highlight w:val="none"/>
                <w:lang w:val="en-US" w:eastAsia="zh-CN"/>
              </w:rPr>
              <w:t xml:space="preserve"> </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BEEAB2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1.542</w:t>
            </w:r>
          </w:p>
        </w:tc>
        <w:tc>
          <w:tcPr>
            <w:tcW w:w="736" w:type="dxa"/>
            <w:vMerge w:val="continue"/>
            <w:tcBorders>
              <w:left w:val="single" w:color="auto" w:sz="4" w:space="0"/>
              <w:right w:val="single" w:color="auto" w:sz="4" w:space="0"/>
            </w:tcBorders>
            <w:noWrap w:val="0"/>
            <w:tcMar>
              <w:left w:w="28" w:type="dxa"/>
              <w:right w:w="28" w:type="dxa"/>
            </w:tcMar>
            <w:vAlign w:val="center"/>
          </w:tcPr>
          <w:p w14:paraId="4301E2D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4A2E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left w:val="single" w:color="auto" w:sz="4" w:space="0"/>
              <w:right w:val="single" w:color="auto" w:sz="4" w:space="0"/>
            </w:tcBorders>
            <w:noWrap w:val="0"/>
            <w:tcMar>
              <w:left w:w="28" w:type="dxa"/>
              <w:right w:w="28" w:type="dxa"/>
            </w:tcMar>
            <w:vAlign w:val="center"/>
          </w:tcPr>
          <w:p w14:paraId="33F5218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p>
        </w:tc>
        <w:tc>
          <w:tcPr>
            <w:tcW w:w="734" w:type="dxa"/>
            <w:vMerge w:val="continue"/>
            <w:tcBorders>
              <w:left w:val="single" w:color="auto" w:sz="4" w:space="0"/>
              <w:right w:val="single" w:color="auto" w:sz="4" w:space="0"/>
            </w:tcBorders>
            <w:noWrap w:val="0"/>
            <w:tcMar>
              <w:left w:w="28" w:type="dxa"/>
              <w:right w:w="28" w:type="dxa"/>
            </w:tcMar>
            <w:vAlign w:val="center"/>
          </w:tcPr>
          <w:p w14:paraId="64D86A03">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237300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汞</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2516F3F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0.0023</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7E6AC38">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0.000015</w:t>
            </w:r>
          </w:p>
        </w:tc>
        <w:tc>
          <w:tcPr>
            <w:tcW w:w="1660" w:type="dxa"/>
            <w:vMerge w:val="continue"/>
            <w:tcBorders>
              <w:left w:val="single" w:color="auto" w:sz="4" w:space="0"/>
              <w:right w:val="single" w:color="auto" w:sz="4" w:space="0"/>
            </w:tcBorders>
            <w:noWrap w:val="0"/>
            <w:tcMar>
              <w:left w:w="28" w:type="dxa"/>
              <w:right w:w="28" w:type="dxa"/>
            </w:tcMar>
            <w:vAlign w:val="center"/>
          </w:tcPr>
          <w:p w14:paraId="64AC33AD">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352B735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0.0017 </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849BA9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0.000005 </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72BAF39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0.000011</w:t>
            </w:r>
          </w:p>
        </w:tc>
        <w:tc>
          <w:tcPr>
            <w:tcW w:w="736"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7324A71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p>
        </w:tc>
      </w:tr>
      <w:tr w14:paraId="0793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6848461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4"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704AAAA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60690E89">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氮氧化物</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87723A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 xml:space="preserve">204.0 </w:t>
            </w:r>
          </w:p>
        </w:tc>
        <w:tc>
          <w:tcPr>
            <w:tcW w:w="735"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4DB016B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1.322</w:t>
            </w:r>
          </w:p>
        </w:tc>
        <w:tc>
          <w:tcPr>
            <w:tcW w:w="1660"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1FEBBCF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5EAD002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204.0</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7E24575">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0.612</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lang w:val="en-US" w:eastAsia="zh-CN"/>
              </w:rPr>
              <w:t xml:space="preserve"> </w:t>
            </w:r>
          </w:p>
        </w:tc>
        <w:tc>
          <w:tcPr>
            <w:tcW w:w="736" w:type="dxa"/>
            <w:tcBorders>
              <w:top w:val="single" w:color="auto" w:sz="4" w:space="0"/>
              <w:left w:val="single" w:color="auto" w:sz="4" w:space="0"/>
              <w:bottom w:val="single" w:color="auto" w:sz="4" w:space="0"/>
              <w:right w:val="single" w:color="auto" w:sz="4" w:space="0"/>
            </w:tcBorders>
            <w:shd w:val="clear" w:color="auto" w:fill="auto"/>
            <w:noWrap w:val="0"/>
            <w:tcMar>
              <w:left w:w="28" w:type="dxa"/>
              <w:right w:w="28" w:type="dxa"/>
            </w:tcMar>
            <w:vAlign w:val="center"/>
          </w:tcPr>
          <w:p w14:paraId="03B15B1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1.322</w:t>
            </w:r>
          </w:p>
        </w:tc>
        <w:tc>
          <w:tcPr>
            <w:tcW w:w="736"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1387C4BB">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rPr>
            </w:pPr>
            <w:r>
              <w:rPr>
                <w:rFonts w:hint="default" w:ascii="Times New Roman" w:hAnsi="Times New Roman" w:eastAsia="宋体" w:cs="Times New Roman"/>
                <w:b w:val="0"/>
                <w:bCs w:val="0"/>
                <w:color w:val="FF0000"/>
                <w:sz w:val="21"/>
                <w:szCs w:val="21"/>
                <w:highlight w:val="none"/>
              </w:rPr>
              <w:t>《大气污染物综合排放标准》（GB16297-1996）</w:t>
            </w:r>
          </w:p>
        </w:tc>
      </w:tr>
    </w:tbl>
    <w:p w14:paraId="557F28AC">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00" w:name="_Toc46421100"/>
      <w:bookmarkStart w:id="301" w:name="_Toc27455"/>
      <w:r>
        <w:rPr>
          <w:rFonts w:hint="default" w:ascii="Times New Roman" w:hAnsi="Times New Roman" w:eastAsia="宋体" w:cs="Times New Roman"/>
          <w:color w:val="auto"/>
          <w:highlight w:val="none"/>
        </w:rPr>
        <w:t>3.3.2水污染物</w:t>
      </w:r>
      <w:bookmarkEnd w:id="300"/>
      <w:bookmarkEnd w:id="301"/>
    </w:p>
    <w:p w14:paraId="0BBFB87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项目废水主要为羊尿液和职工生活污水。</w:t>
      </w:r>
    </w:p>
    <w:p w14:paraId="4750D46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（1）羊尿液</w:t>
      </w:r>
    </w:p>
    <w:p w14:paraId="389B752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饮用水部分用于自身生长及运动消耗，其余部分以尿液的形式排出。根据《畜禽养殖业污染治理工程技术规范》（HJ497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2009）附录A</w:t>
      </w:r>
      <w:r>
        <w:rPr>
          <w:rFonts w:hint="default" w:ascii="Times New Roman" w:hAnsi="Times New Roman" w:eastAsia="宋体" w:cs="Times New Roman"/>
          <w:color w:val="auto"/>
          <w:highlight w:val="none"/>
          <w:lang w:val="en-US" w:eastAsia="zh-CN"/>
        </w:rPr>
        <w:t>猪</w:t>
      </w:r>
      <w:r>
        <w:rPr>
          <w:rFonts w:hint="default" w:ascii="Times New Roman" w:hAnsi="Times New Roman" w:eastAsia="宋体" w:cs="Times New Roman"/>
          <w:color w:val="auto"/>
          <w:highlight w:val="none"/>
          <w:lang w:eastAsia="zh-CN"/>
        </w:rPr>
        <w:t>尿液</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3.3</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FF0000"/>
          <w:highlight w:val="none"/>
          <w:lang w:val="en-US" w:eastAsia="zh-CN"/>
        </w:rPr>
        <w:t>按</w:t>
      </w:r>
      <w:r>
        <w:rPr>
          <w:rFonts w:hint="default" w:ascii="Times New Roman" w:hAnsi="Times New Roman" w:eastAsia="宋体" w:cs="Times New Roman"/>
          <w:color w:val="FF0000"/>
          <w:highlight w:val="none"/>
        </w:rPr>
        <w:t>换算比例3只羊折算成1头猪</w:t>
      </w:r>
      <w:r>
        <w:rPr>
          <w:rFonts w:hint="default" w:ascii="Times New Roman" w:hAnsi="Times New Roman" w:eastAsia="宋体" w:cs="Times New Roman"/>
          <w:color w:val="FF0000"/>
          <w:highlight w:val="none"/>
          <w:lang w:val="en-US" w:eastAsia="zh-CN"/>
        </w:rPr>
        <w:t>计算，</w:t>
      </w:r>
      <w:r>
        <w:rPr>
          <w:rFonts w:hint="default" w:ascii="Times New Roman" w:hAnsi="Times New Roman" w:eastAsia="宋体" w:cs="Times New Roman"/>
          <w:color w:val="auto"/>
          <w:highlight w:val="none"/>
          <w:lang w:val="en-US" w:eastAsia="zh-CN"/>
        </w:rPr>
        <w:t>羊</w:t>
      </w:r>
      <w:r>
        <w:rPr>
          <w:rFonts w:hint="default" w:ascii="Times New Roman" w:hAnsi="Times New Roman" w:eastAsia="宋体" w:cs="Times New Roman"/>
          <w:color w:val="auto"/>
          <w:highlight w:val="none"/>
          <w:lang w:eastAsia="zh-CN"/>
        </w:rPr>
        <w:t>尿液</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1.1</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p>
    <w:p w14:paraId="598B4E5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8"/>
          <w:highlight w:val="none"/>
        </w:rPr>
        <w:t>本项目</w:t>
      </w:r>
      <w:r>
        <w:rPr>
          <w:rFonts w:hint="default" w:ascii="Times New Roman" w:hAnsi="Times New Roman" w:eastAsia="宋体" w:cs="Times New Roman"/>
          <w:color w:val="auto"/>
          <w:kern w:val="0"/>
          <w:sz w:val="24"/>
          <w:szCs w:val="24"/>
          <w:highlight w:val="none"/>
          <w:lang w:eastAsia="zh-CN"/>
        </w:rPr>
        <w:t>羊粪便含水率较低</w:t>
      </w:r>
      <w:r>
        <w:rPr>
          <w:rFonts w:hint="default" w:ascii="Times New Roman" w:hAnsi="Times New Roman" w:eastAsia="宋体" w:cs="Times New Roman"/>
          <w:color w:val="auto"/>
          <w:kern w:val="0"/>
          <w:sz w:val="24"/>
          <w:szCs w:val="24"/>
          <w:highlight w:val="none"/>
          <w:lang w:eastAsia="zh-CN"/>
        </w:rPr>
        <w:t>，在养殖区排放的尿液大部分由于当地气候干燥蒸发，剩余尿液与粪便完全黏结混合在一起，一起运往堆肥场</w:t>
      </w:r>
      <w:r>
        <w:rPr>
          <w:rFonts w:hint="default" w:ascii="Times New Roman" w:hAnsi="Times New Roman" w:eastAsia="宋体" w:cs="Times New Roman"/>
          <w:color w:val="auto"/>
          <w:kern w:val="0"/>
          <w:sz w:val="24"/>
          <w:szCs w:val="24"/>
          <w:highlight w:val="none"/>
        </w:rPr>
        <w:t>储存并堆肥</w:t>
      </w:r>
      <w:r>
        <w:rPr>
          <w:rFonts w:hint="default" w:ascii="Times New Roman" w:hAnsi="Times New Roman" w:eastAsia="宋体" w:cs="Times New Roman"/>
          <w:color w:val="auto"/>
          <w:kern w:val="0"/>
          <w:sz w:val="24"/>
          <w:szCs w:val="24"/>
          <w:highlight w:val="none"/>
          <w:lang w:eastAsia="zh-CN"/>
        </w:rPr>
        <w:t>，因此，没有尿液排放；养殖区场地不采取水冲洗方式清理，采用消毒水每周喷洒消毒2～3次，因此，养殖区</w:t>
      </w:r>
      <w:r>
        <w:rPr>
          <w:rFonts w:hint="default" w:ascii="Times New Roman" w:hAnsi="Times New Roman" w:eastAsia="宋体" w:cs="Times New Roman"/>
          <w:color w:val="auto"/>
          <w:kern w:val="0"/>
          <w:sz w:val="24"/>
          <w:szCs w:val="24"/>
          <w:highlight w:val="none"/>
        </w:rPr>
        <w:t>不产生冲洗废水</w:t>
      </w:r>
      <w:r>
        <w:rPr>
          <w:rFonts w:hint="default" w:ascii="Times New Roman" w:hAnsi="Times New Roman" w:eastAsia="宋体" w:cs="Times New Roman"/>
          <w:color w:val="auto"/>
          <w:kern w:val="0"/>
          <w:sz w:val="24"/>
          <w:szCs w:val="24"/>
          <w:highlight w:val="none"/>
          <w:lang w:eastAsia="zh-CN"/>
        </w:rPr>
        <w:t>。</w:t>
      </w:r>
    </w:p>
    <w:p w14:paraId="250FF98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）生活污水</w:t>
      </w:r>
    </w:p>
    <w:p w14:paraId="1245081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项目生活污水</w:t>
      </w:r>
      <w:r>
        <w:rPr>
          <w:rFonts w:hint="default" w:ascii="Times New Roman" w:hAnsi="Times New Roman" w:eastAsia="宋体" w:cs="Times New Roman"/>
          <w:color w:val="auto"/>
          <w:highlight w:val="none"/>
          <w:lang w:val="en-US" w:eastAsia="zh-CN"/>
        </w:rPr>
        <w:t>产生量为</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876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highlight w:val="none"/>
          <w:lang w:val="en-US" w:eastAsia="zh-CN"/>
        </w:rPr>
        <w:t>排入化粪池处理，</w:t>
      </w:r>
      <w:r>
        <w:rPr>
          <w:rFonts w:hint="default" w:ascii="Times New Roman" w:hAnsi="Times New Roman" w:eastAsia="宋体" w:cs="Times New Roman"/>
          <w:color w:val="auto"/>
          <w:highlight w:val="none"/>
          <w:lang w:eastAsia="zh-CN"/>
        </w:rPr>
        <w:t>定期由当地环卫部门清运处置</w:t>
      </w:r>
      <w:r>
        <w:rPr>
          <w:rFonts w:hint="default" w:ascii="Times New Roman" w:hAnsi="Times New Roman" w:eastAsia="宋体" w:cs="Times New Roman"/>
          <w:color w:val="auto"/>
          <w:highlight w:val="none"/>
        </w:rPr>
        <w:t>。</w:t>
      </w:r>
    </w:p>
    <w:p w14:paraId="1804AEDE">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02" w:name="_Toc21668"/>
      <w:bookmarkStart w:id="303" w:name="_Toc10923"/>
      <w:bookmarkStart w:id="304" w:name="_Toc46421101"/>
      <w:r>
        <w:rPr>
          <w:rFonts w:hint="default" w:ascii="Times New Roman" w:hAnsi="Times New Roman" w:eastAsia="宋体" w:cs="Times New Roman"/>
          <w:color w:val="auto"/>
          <w:highlight w:val="none"/>
        </w:rPr>
        <w:t>3.3.3噪声</w:t>
      </w:r>
      <w:bookmarkEnd w:id="302"/>
      <w:bookmarkEnd w:id="303"/>
      <w:bookmarkEnd w:id="304"/>
    </w:p>
    <w:p w14:paraId="524EE9E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本项目噪声源主要为</w:t>
      </w:r>
      <w:r>
        <w:rPr>
          <w:rFonts w:hint="default" w:ascii="Times New Roman" w:hAnsi="Times New Roman" w:eastAsia="宋体" w:cs="Times New Roman"/>
          <w:color w:val="auto"/>
          <w:highlight w:val="none"/>
          <w:lang w:eastAsia="zh-CN"/>
        </w:rPr>
        <w:t>日粮搅拌机</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铲车</w:t>
      </w:r>
      <w:r>
        <w:rPr>
          <w:rFonts w:hint="default" w:ascii="Times New Roman" w:hAnsi="Times New Roman" w:eastAsia="宋体" w:cs="Times New Roman"/>
          <w:color w:val="auto"/>
          <w:highlight w:val="none"/>
        </w:rPr>
        <w:t>、风机、水泵等。噪声声级在</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0~</w:t>
      </w:r>
      <w:r>
        <w:rPr>
          <w:rFonts w:hint="default" w:ascii="Times New Roman" w:hAnsi="Times New Roman" w:eastAsia="宋体" w:cs="Times New Roman"/>
          <w:color w:val="auto"/>
          <w:highlight w:val="none"/>
          <w:lang w:val="en-US" w:eastAsia="zh-CN"/>
        </w:rPr>
        <w:t>85</w:t>
      </w:r>
      <w:r>
        <w:rPr>
          <w:rFonts w:hint="default" w:ascii="Times New Roman" w:hAnsi="Times New Roman" w:eastAsia="宋体" w:cs="Times New Roman"/>
          <w:color w:val="auto"/>
          <w:highlight w:val="none"/>
        </w:rPr>
        <w:t>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。本项目的噪声产生源强情况见下表。</w:t>
      </w:r>
    </w:p>
    <w:p w14:paraId="6DD35054">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表3.3-</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噪声产生源强一览表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407"/>
        <w:gridCol w:w="1060"/>
        <w:gridCol w:w="1484"/>
        <w:gridCol w:w="743"/>
        <w:gridCol w:w="2226"/>
        <w:gridCol w:w="984"/>
        <w:gridCol w:w="1373"/>
      </w:tblGrid>
      <w:tr w14:paraId="4DCB5E6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72F6F9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770" w:type="dxa"/>
            <w:gridSpan w:val="2"/>
            <w:tcBorders>
              <w:top w:val="single" w:color="auto" w:sz="4" w:space="0"/>
              <w:left w:val="single" w:color="auto" w:sz="4" w:space="0"/>
              <w:bottom w:val="single" w:color="auto" w:sz="4" w:space="0"/>
              <w:right w:val="single" w:color="auto" w:sz="4" w:space="0"/>
            </w:tcBorders>
            <w:vAlign w:val="center"/>
          </w:tcPr>
          <w:p w14:paraId="270D76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噪声源</w:t>
            </w:r>
          </w:p>
        </w:tc>
        <w:tc>
          <w:tcPr>
            <w:tcW w:w="809" w:type="dxa"/>
            <w:tcBorders>
              <w:top w:val="single" w:color="auto" w:sz="4" w:space="0"/>
              <w:left w:val="single" w:color="auto" w:sz="4" w:space="0"/>
              <w:bottom w:val="single" w:color="auto" w:sz="4" w:space="0"/>
              <w:right w:val="single" w:color="auto" w:sz="4" w:space="0"/>
            </w:tcBorders>
            <w:vAlign w:val="center"/>
          </w:tcPr>
          <w:p w14:paraId="035603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2426" w:type="dxa"/>
            <w:tcBorders>
              <w:top w:val="single" w:color="auto" w:sz="4" w:space="0"/>
              <w:left w:val="single" w:color="auto" w:sz="4" w:space="0"/>
              <w:bottom w:val="single" w:color="auto" w:sz="4" w:space="0"/>
              <w:right w:val="single" w:color="auto" w:sz="4" w:space="0"/>
            </w:tcBorders>
            <w:vAlign w:val="center"/>
          </w:tcPr>
          <w:p w14:paraId="403AE5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治理措施</w:t>
            </w:r>
          </w:p>
        </w:tc>
        <w:tc>
          <w:tcPr>
            <w:tcW w:w="1071" w:type="dxa"/>
            <w:tcBorders>
              <w:top w:val="single" w:color="auto" w:sz="4" w:space="0"/>
              <w:left w:val="single" w:color="auto" w:sz="4" w:space="0"/>
              <w:bottom w:val="single" w:color="auto" w:sz="4" w:space="0"/>
              <w:right w:val="single" w:color="auto" w:sz="4" w:space="0"/>
            </w:tcBorders>
            <w:vAlign w:val="center"/>
          </w:tcPr>
          <w:p w14:paraId="79E52B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源强dB</w:t>
            </w:r>
            <w:r>
              <w:rPr>
                <w:rFonts w:hint="default" w:ascii="Times New Roman" w:hAnsi="Times New Roman" w:eastAsia="宋体" w:cs="Times New Roman"/>
                <w:color w:val="auto"/>
                <w:sz w:val="21"/>
                <w:szCs w:val="21"/>
                <w:highlight w:val="none"/>
                <w:lang w:eastAsia="zh-CN"/>
              </w:rPr>
              <w:t>（A）</w:t>
            </w:r>
          </w:p>
        </w:tc>
        <w:tc>
          <w:tcPr>
            <w:tcW w:w="1496" w:type="dxa"/>
            <w:tcBorders>
              <w:top w:val="single" w:color="auto" w:sz="4" w:space="0"/>
              <w:left w:val="single" w:color="auto" w:sz="4" w:space="0"/>
              <w:bottom w:val="single" w:color="auto" w:sz="4" w:space="0"/>
              <w:right w:val="single" w:color="auto" w:sz="4" w:space="0"/>
            </w:tcBorders>
            <w:vAlign w:val="center"/>
          </w:tcPr>
          <w:p w14:paraId="1015D5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排放强度dB</w:t>
            </w:r>
            <w:r>
              <w:rPr>
                <w:rFonts w:hint="default" w:ascii="Times New Roman" w:hAnsi="Times New Roman" w:eastAsia="宋体" w:cs="Times New Roman"/>
                <w:color w:val="auto"/>
                <w:sz w:val="21"/>
                <w:szCs w:val="21"/>
                <w:highlight w:val="none"/>
                <w:lang w:eastAsia="zh-CN"/>
              </w:rPr>
              <w:t>（A）</w:t>
            </w:r>
          </w:p>
        </w:tc>
      </w:tr>
      <w:tr w14:paraId="28989A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7EB7EE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p>
        </w:tc>
        <w:tc>
          <w:tcPr>
            <w:tcW w:w="1154" w:type="dxa"/>
            <w:tcBorders>
              <w:top w:val="single" w:color="auto" w:sz="4" w:space="0"/>
              <w:left w:val="single" w:color="auto" w:sz="4" w:space="0"/>
              <w:bottom w:val="single" w:color="auto" w:sz="4" w:space="0"/>
              <w:right w:val="single" w:color="auto" w:sz="4" w:space="0"/>
            </w:tcBorders>
            <w:vAlign w:val="center"/>
          </w:tcPr>
          <w:p w14:paraId="33F6B4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羊圈</w:t>
            </w:r>
          </w:p>
        </w:tc>
        <w:tc>
          <w:tcPr>
            <w:tcW w:w="1616" w:type="dxa"/>
            <w:tcBorders>
              <w:top w:val="single" w:color="auto" w:sz="4" w:space="0"/>
              <w:left w:val="single" w:color="auto" w:sz="4" w:space="0"/>
              <w:bottom w:val="single" w:color="auto" w:sz="4" w:space="0"/>
              <w:right w:val="single" w:color="auto" w:sz="4" w:space="0"/>
            </w:tcBorders>
            <w:vAlign w:val="center"/>
          </w:tcPr>
          <w:p w14:paraId="52C611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降温风扇</w:t>
            </w:r>
          </w:p>
        </w:tc>
        <w:tc>
          <w:tcPr>
            <w:tcW w:w="809" w:type="dxa"/>
            <w:tcBorders>
              <w:top w:val="single" w:color="auto" w:sz="4" w:space="0"/>
              <w:left w:val="single" w:color="auto" w:sz="4" w:space="0"/>
              <w:bottom w:val="single" w:color="auto" w:sz="4" w:space="0"/>
              <w:right w:val="single" w:color="auto" w:sz="4" w:space="0"/>
            </w:tcBorders>
            <w:vAlign w:val="center"/>
          </w:tcPr>
          <w:p w14:paraId="4E7381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2426" w:type="dxa"/>
            <w:tcBorders>
              <w:top w:val="single" w:color="auto" w:sz="4" w:space="0"/>
              <w:left w:val="single" w:color="auto" w:sz="4" w:space="0"/>
              <w:bottom w:val="single" w:color="auto" w:sz="4" w:space="0"/>
              <w:right w:val="single" w:color="auto" w:sz="4" w:space="0"/>
            </w:tcBorders>
            <w:vAlign w:val="center"/>
          </w:tcPr>
          <w:p w14:paraId="770268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置于室内</w:t>
            </w:r>
          </w:p>
        </w:tc>
        <w:tc>
          <w:tcPr>
            <w:tcW w:w="1071" w:type="dxa"/>
            <w:tcBorders>
              <w:top w:val="single" w:color="auto" w:sz="4" w:space="0"/>
              <w:left w:val="single" w:color="auto" w:sz="4" w:space="0"/>
              <w:bottom w:val="single" w:color="auto" w:sz="4" w:space="0"/>
              <w:right w:val="single" w:color="auto" w:sz="4" w:space="0"/>
            </w:tcBorders>
            <w:vAlign w:val="center"/>
          </w:tcPr>
          <w:p w14:paraId="63B222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1496" w:type="dxa"/>
            <w:tcBorders>
              <w:top w:val="single" w:color="auto" w:sz="4" w:space="0"/>
              <w:left w:val="single" w:color="auto" w:sz="4" w:space="0"/>
              <w:bottom w:val="single" w:color="auto" w:sz="4" w:space="0"/>
              <w:right w:val="single" w:color="auto" w:sz="4" w:space="0"/>
            </w:tcBorders>
            <w:vAlign w:val="center"/>
          </w:tcPr>
          <w:p w14:paraId="529EBC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r>
      <w:tr w14:paraId="7A7D08D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251D78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154" w:type="dxa"/>
            <w:vMerge w:val="restart"/>
            <w:tcBorders>
              <w:top w:val="single" w:color="auto" w:sz="4" w:space="0"/>
              <w:left w:val="single" w:color="auto" w:sz="4" w:space="0"/>
              <w:bottom w:val="single" w:color="auto" w:sz="4" w:space="0"/>
              <w:right w:val="single" w:color="auto" w:sz="4" w:space="0"/>
            </w:tcBorders>
            <w:vAlign w:val="center"/>
          </w:tcPr>
          <w:p w14:paraId="66C595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饲料配料</w:t>
            </w:r>
          </w:p>
        </w:tc>
        <w:tc>
          <w:tcPr>
            <w:tcW w:w="1616" w:type="dxa"/>
            <w:tcBorders>
              <w:top w:val="single" w:color="auto" w:sz="4" w:space="0"/>
              <w:left w:val="single" w:color="auto" w:sz="4" w:space="0"/>
              <w:bottom w:val="single" w:color="auto" w:sz="4" w:space="0"/>
              <w:right w:val="single" w:color="auto" w:sz="4" w:space="0"/>
            </w:tcBorders>
            <w:vAlign w:val="center"/>
          </w:tcPr>
          <w:p w14:paraId="77F8EA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日粮搅拌机</w:t>
            </w:r>
          </w:p>
        </w:tc>
        <w:tc>
          <w:tcPr>
            <w:tcW w:w="809" w:type="dxa"/>
            <w:tcBorders>
              <w:top w:val="single" w:color="auto" w:sz="4" w:space="0"/>
              <w:left w:val="single" w:color="auto" w:sz="4" w:space="0"/>
              <w:bottom w:val="single" w:color="auto" w:sz="4" w:space="0"/>
              <w:right w:val="single" w:color="auto" w:sz="4" w:space="0"/>
            </w:tcBorders>
            <w:vAlign w:val="center"/>
          </w:tcPr>
          <w:p w14:paraId="738A63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2426" w:type="dxa"/>
            <w:tcBorders>
              <w:top w:val="single" w:color="auto" w:sz="4" w:space="0"/>
              <w:left w:val="single" w:color="auto" w:sz="4" w:space="0"/>
              <w:bottom w:val="single" w:color="auto" w:sz="4" w:space="0"/>
              <w:right w:val="single" w:color="auto" w:sz="4" w:space="0"/>
            </w:tcBorders>
            <w:vAlign w:val="center"/>
          </w:tcPr>
          <w:p w14:paraId="727B18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358F09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017414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60</w:t>
            </w:r>
          </w:p>
        </w:tc>
      </w:tr>
      <w:tr w14:paraId="0E72D05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63A0C2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154" w:type="dxa"/>
            <w:vMerge w:val="continue"/>
            <w:tcBorders>
              <w:top w:val="single" w:color="auto" w:sz="4" w:space="0"/>
              <w:left w:val="single" w:color="auto" w:sz="4" w:space="0"/>
              <w:bottom w:val="single" w:color="auto" w:sz="4" w:space="0"/>
              <w:right w:val="single" w:color="auto" w:sz="4" w:space="0"/>
            </w:tcBorders>
            <w:vAlign w:val="center"/>
          </w:tcPr>
          <w:p w14:paraId="46B3F9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616" w:type="dxa"/>
            <w:tcBorders>
              <w:top w:val="single" w:color="auto" w:sz="4" w:space="0"/>
              <w:left w:val="single" w:color="auto" w:sz="4" w:space="0"/>
              <w:bottom w:val="single" w:color="auto" w:sz="4" w:space="0"/>
              <w:right w:val="single" w:color="auto" w:sz="4" w:space="0"/>
            </w:tcBorders>
            <w:vAlign w:val="center"/>
          </w:tcPr>
          <w:p w14:paraId="795C71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饲料粉碎机</w:t>
            </w:r>
          </w:p>
        </w:tc>
        <w:tc>
          <w:tcPr>
            <w:tcW w:w="809" w:type="dxa"/>
            <w:tcBorders>
              <w:top w:val="single" w:color="auto" w:sz="4" w:space="0"/>
              <w:left w:val="single" w:color="auto" w:sz="4" w:space="0"/>
              <w:bottom w:val="single" w:color="auto" w:sz="4" w:space="0"/>
              <w:right w:val="single" w:color="auto" w:sz="4" w:space="0"/>
            </w:tcBorders>
            <w:vAlign w:val="center"/>
          </w:tcPr>
          <w:p w14:paraId="66B56B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2426" w:type="dxa"/>
            <w:tcBorders>
              <w:top w:val="single" w:color="auto" w:sz="4" w:space="0"/>
              <w:left w:val="single" w:color="auto" w:sz="4" w:space="0"/>
              <w:bottom w:val="single" w:color="auto" w:sz="4" w:space="0"/>
              <w:right w:val="single" w:color="auto" w:sz="4" w:space="0"/>
            </w:tcBorders>
            <w:vAlign w:val="center"/>
          </w:tcPr>
          <w:p w14:paraId="30C7F4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650E4C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54C97F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32A1BD5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2BBB69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1154" w:type="dxa"/>
            <w:vMerge w:val="continue"/>
            <w:tcBorders>
              <w:top w:val="single" w:color="auto" w:sz="4" w:space="0"/>
              <w:left w:val="single" w:color="auto" w:sz="4" w:space="0"/>
              <w:bottom w:val="single" w:color="auto" w:sz="4" w:space="0"/>
              <w:right w:val="single" w:color="auto" w:sz="4" w:space="0"/>
            </w:tcBorders>
            <w:vAlign w:val="center"/>
          </w:tcPr>
          <w:p w14:paraId="318047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616" w:type="dxa"/>
            <w:tcBorders>
              <w:top w:val="single" w:color="auto" w:sz="4" w:space="0"/>
              <w:left w:val="single" w:color="auto" w:sz="4" w:space="0"/>
              <w:bottom w:val="single" w:color="auto" w:sz="4" w:space="0"/>
              <w:right w:val="single" w:color="auto" w:sz="4" w:space="0"/>
            </w:tcBorders>
            <w:vAlign w:val="center"/>
          </w:tcPr>
          <w:p w14:paraId="6B54B0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精饲料配料机</w:t>
            </w:r>
          </w:p>
        </w:tc>
        <w:tc>
          <w:tcPr>
            <w:tcW w:w="809" w:type="dxa"/>
            <w:tcBorders>
              <w:top w:val="single" w:color="auto" w:sz="4" w:space="0"/>
              <w:left w:val="single" w:color="auto" w:sz="4" w:space="0"/>
              <w:bottom w:val="single" w:color="auto" w:sz="4" w:space="0"/>
              <w:right w:val="single" w:color="auto" w:sz="4" w:space="0"/>
            </w:tcBorders>
            <w:vAlign w:val="center"/>
          </w:tcPr>
          <w:p w14:paraId="3A4AA4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2426" w:type="dxa"/>
            <w:tcBorders>
              <w:top w:val="single" w:color="auto" w:sz="4" w:space="0"/>
              <w:left w:val="single" w:color="auto" w:sz="4" w:space="0"/>
              <w:bottom w:val="single" w:color="auto" w:sz="4" w:space="0"/>
              <w:right w:val="single" w:color="auto" w:sz="4" w:space="0"/>
            </w:tcBorders>
            <w:vAlign w:val="center"/>
          </w:tcPr>
          <w:p w14:paraId="41512C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7091E1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791AB2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65A6BBD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49C67E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154" w:type="dxa"/>
            <w:vMerge w:val="continue"/>
            <w:tcBorders>
              <w:top w:val="single" w:color="auto" w:sz="4" w:space="0"/>
              <w:left w:val="single" w:color="auto" w:sz="4" w:space="0"/>
              <w:bottom w:val="single" w:color="auto" w:sz="4" w:space="0"/>
              <w:right w:val="single" w:color="auto" w:sz="4" w:space="0"/>
            </w:tcBorders>
            <w:vAlign w:val="center"/>
          </w:tcPr>
          <w:p w14:paraId="4E3C72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616" w:type="dxa"/>
            <w:tcBorders>
              <w:top w:val="single" w:color="auto" w:sz="4" w:space="0"/>
              <w:left w:val="single" w:color="auto" w:sz="4" w:space="0"/>
              <w:bottom w:val="single" w:color="auto" w:sz="4" w:space="0"/>
              <w:right w:val="single" w:color="auto" w:sz="4" w:space="0"/>
            </w:tcBorders>
            <w:vAlign w:val="center"/>
          </w:tcPr>
          <w:p w14:paraId="1EC1E3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饲料分选设备</w:t>
            </w:r>
          </w:p>
        </w:tc>
        <w:tc>
          <w:tcPr>
            <w:tcW w:w="809" w:type="dxa"/>
            <w:tcBorders>
              <w:top w:val="single" w:color="auto" w:sz="4" w:space="0"/>
              <w:left w:val="single" w:color="auto" w:sz="4" w:space="0"/>
              <w:bottom w:val="single" w:color="auto" w:sz="4" w:space="0"/>
              <w:right w:val="single" w:color="auto" w:sz="4" w:space="0"/>
            </w:tcBorders>
            <w:vAlign w:val="center"/>
          </w:tcPr>
          <w:p w14:paraId="2234BC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2426" w:type="dxa"/>
            <w:tcBorders>
              <w:top w:val="single" w:color="auto" w:sz="4" w:space="0"/>
              <w:left w:val="single" w:color="auto" w:sz="4" w:space="0"/>
              <w:bottom w:val="single" w:color="auto" w:sz="4" w:space="0"/>
              <w:right w:val="single" w:color="auto" w:sz="4" w:space="0"/>
            </w:tcBorders>
            <w:vAlign w:val="center"/>
          </w:tcPr>
          <w:p w14:paraId="6DE1F3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5C50A5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5111E4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3E1C907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0CA28D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154" w:type="dxa"/>
            <w:tcBorders>
              <w:top w:val="single" w:color="auto" w:sz="4" w:space="0"/>
              <w:left w:val="single" w:color="auto" w:sz="4" w:space="0"/>
              <w:bottom w:val="single" w:color="auto" w:sz="4" w:space="0"/>
              <w:right w:val="single" w:color="auto" w:sz="4" w:space="0"/>
            </w:tcBorders>
            <w:vAlign w:val="center"/>
          </w:tcPr>
          <w:p w14:paraId="686257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供暖</w:t>
            </w:r>
          </w:p>
        </w:tc>
        <w:tc>
          <w:tcPr>
            <w:tcW w:w="1616" w:type="dxa"/>
            <w:tcBorders>
              <w:top w:val="single" w:color="auto" w:sz="4" w:space="0"/>
              <w:left w:val="single" w:color="auto" w:sz="4" w:space="0"/>
              <w:bottom w:val="single" w:color="auto" w:sz="4" w:space="0"/>
              <w:right w:val="single" w:color="auto" w:sz="4" w:space="0"/>
            </w:tcBorders>
            <w:vAlign w:val="center"/>
          </w:tcPr>
          <w:p w14:paraId="41A319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eastAsia="zh-CN"/>
              </w:rPr>
              <w:t>电空气能采暖设备</w:t>
            </w:r>
          </w:p>
        </w:tc>
        <w:tc>
          <w:tcPr>
            <w:tcW w:w="809" w:type="dxa"/>
            <w:tcBorders>
              <w:top w:val="single" w:color="auto" w:sz="4" w:space="0"/>
              <w:left w:val="single" w:color="auto" w:sz="4" w:space="0"/>
              <w:bottom w:val="single" w:color="auto" w:sz="4" w:space="0"/>
              <w:right w:val="single" w:color="auto" w:sz="4" w:space="0"/>
            </w:tcBorders>
            <w:vAlign w:val="center"/>
          </w:tcPr>
          <w:p w14:paraId="5901F1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2</w:t>
            </w:r>
          </w:p>
        </w:tc>
        <w:tc>
          <w:tcPr>
            <w:tcW w:w="2426" w:type="dxa"/>
            <w:tcBorders>
              <w:top w:val="single" w:color="auto" w:sz="4" w:space="0"/>
              <w:left w:val="single" w:color="auto" w:sz="4" w:space="0"/>
              <w:bottom w:val="single" w:color="auto" w:sz="4" w:space="0"/>
              <w:right w:val="single" w:color="auto" w:sz="4" w:space="0"/>
            </w:tcBorders>
            <w:vAlign w:val="center"/>
          </w:tcPr>
          <w:p w14:paraId="1090F9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132060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r>
              <w:rPr>
                <w:rFonts w:hint="default" w:ascii="Times New Roman" w:hAnsi="Times New Roman" w:eastAsia="宋体" w:cs="Times New Roman"/>
                <w:color w:val="auto"/>
                <w:sz w:val="21"/>
                <w:szCs w:val="21"/>
                <w:highlight w:val="none"/>
                <w:lang w:val="en-US" w:eastAsia="zh-CN"/>
              </w:rPr>
              <w:t>0</w:t>
            </w:r>
          </w:p>
        </w:tc>
        <w:tc>
          <w:tcPr>
            <w:tcW w:w="1496" w:type="dxa"/>
            <w:tcBorders>
              <w:top w:val="single" w:color="auto" w:sz="4" w:space="0"/>
              <w:left w:val="single" w:color="auto" w:sz="4" w:space="0"/>
              <w:bottom w:val="single" w:color="auto" w:sz="4" w:space="0"/>
              <w:right w:val="single" w:color="auto" w:sz="4" w:space="0"/>
            </w:tcBorders>
            <w:vAlign w:val="center"/>
          </w:tcPr>
          <w:p w14:paraId="74C870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w:t>
            </w:r>
          </w:p>
        </w:tc>
      </w:tr>
      <w:tr w14:paraId="2B2A3E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24F84C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p>
        </w:tc>
        <w:tc>
          <w:tcPr>
            <w:tcW w:w="1154" w:type="dxa"/>
            <w:tcBorders>
              <w:top w:val="single" w:color="auto" w:sz="4" w:space="0"/>
              <w:left w:val="single" w:color="auto" w:sz="4" w:space="0"/>
              <w:bottom w:val="single" w:color="auto" w:sz="4" w:space="0"/>
              <w:right w:val="single" w:color="auto" w:sz="4" w:space="0"/>
            </w:tcBorders>
            <w:vAlign w:val="center"/>
          </w:tcPr>
          <w:p w14:paraId="2E984B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移动声源</w:t>
            </w:r>
          </w:p>
        </w:tc>
        <w:tc>
          <w:tcPr>
            <w:tcW w:w="1616" w:type="dxa"/>
            <w:tcBorders>
              <w:top w:val="single" w:color="auto" w:sz="4" w:space="0"/>
              <w:left w:val="single" w:color="auto" w:sz="4" w:space="0"/>
              <w:bottom w:val="single" w:color="auto" w:sz="4" w:space="0"/>
              <w:right w:val="single" w:color="auto" w:sz="4" w:space="0"/>
            </w:tcBorders>
            <w:vAlign w:val="center"/>
          </w:tcPr>
          <w:p w14:paraId="147017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装载机</w:t>
            </w:r>
          </w:p>
        </w:tc>
        <w:tc>
          <w:tcPr>
            <w:tcW w:w="809" w:type="dxa"/>
            <w:tcBorders>
              <w:top w:val="single" w:color="auto" w:sz="4" w:space="0"/>
              <w:left w:val="single" w:color="auto" w:sz="4" w:space="0"/>
              <w:bottom w:val="single" w:color="auto" w:sz="4" w:space="0"/>
              <w:right w:val="single" w:color="auto" w:sz="4" w:space="0"/>
            </w:tcBorders>
            <w:vAlign w:val="center"/>
          </w:tcPr>
          <w:p w14:paraId="04B572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w:t>
            </w:r>
          </w:p>
        </w:tc>
        <w:tc>
          <w:tcPr>
            <w:tcW w:w="2426" w:type="dxa"/>
            <w:tcBorders>
              <w:top w:val="single" w:color="auto" w:sz="4" w:space="0"/>
              <w:left w:val="single" w:color="auto" w:sz="4" w:space="0"/>
              <w:bottom w:val="single" w:color="auto" w:sz="4" w:space="0"/>
              <w:right w:val="single" w:color="auto" w:sz="4" w:space="0"/>
            </w:tcBorders>
            <w:vAlign w:val="center"/>
          </w:tcPr>
          <w:p w14:paraId="220411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选用低噪声设备，定期维护保养</w:t>
            </w:r>
          </w:p>
        </w:tc>
        <w:tc>
          <w:tcPr>
            <w:tcW w:w="1071" w:type="dxa"/>
            <w:tcBorders>
              <w:top w:val="single" w:color="auto" w:sz="4" w:space="0"/>
              <w:left w:val="single" w:color="auto" w:sz="4" w:space="0"/>
              <w:bottom w:val="single" w:color="auto" w:sz="4" w:space="0"/>
              <w:right w:val="single" w:color="auto" w:sz="4" w:space="0"/>
            </w:tcBorders>
            <w:vAlign w:val="center"/>
          </w:tcPr>
          <w:p w14:paraId="2D50EE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37FDE0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75</w:t>
            </w:r>
          </w:p>
        </w:tc>
      </w:tr>
      <w:tr w14:paraId="19DD7AD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42" w:type="dxa"/>
            <w:tcBorders>
              <w:top w:val="single" w:color="auto" w:sz="4" w:space="0"/>
              <w:left w:val="single" w:color="auto" w:sz="4" w:space="0"/>
              <w:bottom w:val="single" w:color="auto" w:sz="4" w:space="0"/>
              <w:right w:val="single" w:color="auto" w:sz="4" w:space="0"/>
            </w:tcBorders>
            <w:vAlign w:val="center"/>
          </w:tcPr>
          <w:p w14:paraId="1BCCAA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1154" w:type="dxa"/>
            <w:tcBorders>
              <w:top w:val="single" w:color="auto" w:sz="4" w:space="0"/>
              <w:left w:val="single" w:color="auto" w:sz="4" w:space="0"/>
              <w:bottom w:val="single" w:color="auto" w:sz="4" w:space="0"/>
              <w:right w:val="single" w:color="auto" w:sz="4" w:space="0"/>
            </w:tcBorders>
            <w:vAlign w:val="center"/>
          </w:tcPr>
          <w:p w14:paraId="103F6C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水泵室</w:t>
            </w:r>
          </w:p>
        </w:tc>
        <w:tc>
          <w:tcPr>
            <w:tcW w:w="1616" w:type="dxa"/>
            <w:tcBorders>
              <w:top w:val="single" w:color="auto" w:sz="4" w:space="0"/>
              <w:left w:val="single" w:color="auto" w:sz="4" w:space="0"/>
              <w:bottom w:val="single" w:color="auto" w:sz="4" w:space="0"/>
              <w:right w:val="single" w:color="auto" w:sz="4" w:space="0"/>
            </w:tcBorders>
            <w:vAlign w:val="center"/>
          </w:tcPr>
          <w:p w14:paraId="363CD6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水泵</w:t>
            </w:r>
          </w:p>
        </w:tc>
        <w:tc>
          <w:tcPr>
            <w:tcW w:w="809" w:type="dxa"/>
            <w:tcBorders>
              <w:top w:val="single" w:color="auto" w:sz="4" w:space="0"/>
              <w:left w:val="single" w:color="auto" w:sz="4" w:space="0"/>
              <w:bottom w:val="single" w:color="auto" w:sz="4" w:space="0"/>
              <w:right w:val="single" w:color="auto" w:sz="4" w:space="0"/>
            </w:tcBorders>
            <w:vAlign w:val="center"/>
          </w:tcPr>
          <w:p w14:paraId="13EB12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2426" w:type="dxa"/>
            <w:tcBorders>
              <w:top w:val="single" w:color="auto" w:sz="4" w:space="0"/>
              <w:left w:val="single" w:color="auto" w:sz="4" w:space="0"/>
              <w:bottom w:val="single" w:color="auto" w:sz="4" w:space="0"/>
              <w:right w:val="single" w:color="auto" w:sz="4" w:space="0"/>
            </w:tcBorders>
            <w:vAlign w:val="center"/>
          </w:tcPr>
          <w:p w14:paraId="16AE3E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基础减振、建筑隔声</w:t>
            </w:r>
          </w:p>
        </w:tc>
        <w:tc>
          <w:tcPr>
            <w:tcW w:w="1071" w:type="dxa"/>
            <w:tcBorders>
              <w:top w:val="single" w:color="auto" w:sz="4" w:space="0"/>
              <w:left w:val="single" w:color="auto" w:sz="4" w:space="0"/>
              <w:bottom w:val="single" w:color="auto" w:sz="4" w:space="0"/>
              <w:right w:val="single" w:color="auto" w:sz="4" w:space="0"/>
            </w:tcBorders>
            <w:vAlign w:val="center"/>
          </w:tcPr>
          <w:p w14:paraId="08580F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496" w:type="dxa"/>
            <w:tcBorders>
              <w:top w:val="single" w:color="auto" w:sz="4" w:space="0"/>
              <w:left w:val="single" w:color="auto" w:sz="4" w:space="0"/>
              <w:bottom w:val="single" w:color="auto" w:sz="4" w:space="0"/>
              <w:right w:val="single" w:color="auto" w:sz="4" w:space="0"/>
            </w:tcBorders>
            <w:vAlign w:val="center"/>
          </w:tcPr>
          <w:p w14:paraId="6BBABC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65</w:t>
            </w:r>
          </w:p>
        </w:tc>
      </w:tr>
    </w:tbl>
    <w:p w14:paraId="5C5B15B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本项目在选用低噪声新型设备基础上，将生产设备安置在厂房内，并对设备进行基础减振、封闭门窗等，可使噪声排放减少20~25dB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w:t>
      </w:r>
    </w:p>
    <w:p w14:paraId="67E00BF2">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05" w:name="_Toc2993"/>
      <w:bookmarkStart w:id="306" w:name="_Toc46421102"/>
      <w:r>
        <w:rPr>
          <w:rFonts w:hint="default" w:ascii="Times New Roman" w:hAnsi="Times New Roman" w:eastAsia="宋体" w:cs="Times New Roman"/>
          <w:color w:val="auto"/>
          <w:highlight w:val="none"/>
        </w:rPr>
        <w:t>3.3.4固体废弃物</w:t>
      </w:r>
      <w:bookmarkEnd w:id="305"/>
      <w:bookmarkEnd w:id="306"/>
    </w:p>
    <w:p w14:paraId="1E6165E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）羊粪便</w:t>
      </w:r>
    </w:p>
    <w:p w14:paraId="3E63C3C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肉羊养殖过程中会产生羊粪便</w:t>
      </w:r>
      <w:r>
        <w:rPr>
          <w:rFonts w:hint="default" w:ascii="Times New Roman" w:hAnsi="Times New Roman" w:eastAsia="宋体" w:cs="Times New Roman"/>
          <w:color w:val="auto"/>
          <w:highlight w:val="none"/>
        </w:rPr>
        <w:t>。根据《畜禽养殖业污染治理工程技术规范》（HJ497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2009）附录A</w:t>
      </w:r>
      <w:r>
        <w:rPr>
          <w:rFonts w:hint="default" w:ascii="Times New Roman" w:hAnsi="Times New Roman" w:eastAsia="宋体" w:cs="Times New Roman"/>
          <w:color w:val="auto"/>
          <w:highlight w:val="none"/>
          <w:lang w:val="en-US" w:eastAsia="zh-CN"/>
        </w:rPr>
        <w:t>猪</w:t>
      </w:r>
      <w:r>
        <w:rPr>
          <w:rFonts w:hint="default" w:ascii="Times New Roman" w:hAnsi="Times New Roman" w:eastAsia="宋体" w:cs="Times New Roman"/>
          <w:color w:val="auto"/>
          <w:highlight w:val="none"/>
          <w:lang w:val="en-US" w:eastAsia="zh-CN"/>
        </w:rPr>
        <w:t>粪便产生量为2.0</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FF0000"/>
          <w:highlight w:val="none"/>
          <w:lang w:val="en-US" w:eastAsia="zh-CN"/>
        </w:rPr>
        <w:t>按</w:t>
      </w:r>
      <w:r>
        <w:rPr>
          <w:rFonts w:hint="default" w:ascii="Times New Roman" w:hAnsi="Times New Roman" w:eastAsia="宋体" w:cs="Times New Roman"/>
          <w:color w:val="FF0000"/>
          <w:highlight w:val="none"/>
        </w:rPr>
        <w:t>换算比例3只羊折算成1头猪</w:t>
      </w:r>
      <w:r>
        <w:rPr>
          <w:rFonts w:hint="default" w:ascii="Times New Roman" w:hAnsi="Times New Roman" w:eastAsia="宋体" w:cs="Times New Roman"/>
          <w:color w:val="FF0000"/>
          <w:highlight w:val="none"/>
          <w:lang w:val="en-US" w:eastAsia="zh-CN"/>
        </w:rPr>
        <w:t>计算，</w:t>
      </w:r>
      <w:r>
        <w:rPr>
          <w:rFonts w:hint="default" w:ascii="Times New Roman" w:hAnsi="Times New Roman" w:eastAsia="宋体" w:cs="Times New Roman"/>
          <w:color w:val="auto"/>
          <w:highlight w:val="none"/>
          <w:lang w:val="en-US" w:eastAsia="zh-CN"/>
        </w:rPr>
        <w:t>羊</w:t>
      </w:r>
      <w:r>
        <w:rPr>
          <w:rFonts w:hint="default" w:ascii="Times New Roman" w:hAnsi="Times New Roman" w:eastAsia="宋体" w:cs="Times New Roman"/>
          <w:color w:val="auto"/>
          <w:highlight w:val="none"/>
          <w:lang w:val="en-US" w:eastAsia="zh-CN"/>
        </w:rPr>
        <w:t>粪便</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0.67</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p>
    <w:p w14:paraId="7D32AE10">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eastAsia="zh-CN"/>
        </w:rPr>
        <w:t>本项目</w:t>
      </w:r>
      <w:r>
        <w:rPr>
          <w:rFonts w:hint="default" w:ascii="Times New Roman" w:hAnsi="Times New Roman" w:eastAsia="宋体" w:cs="Times New Roman"/>
          <w:color w:val="FF0000"/>
          <w:highlight w:val="none"/>
          <w:lang w:val="en-US" w:eastAsia="zh-CN"/>
        </w:rPr>
        <w:t>存栏23000只</w:t>
      </w:r>
      <w:r>
        <w:rPr>
          <w:rFonts w:hint="default" w:ascii="Times New Roman" w:hAnsi="Times New Roman" w:eastAsia="宋体" w:cs="Times New Roman"/>
          <w:color w:val="FF0000"/>
          <w:highlight w:val="none"/>
          <w:lang w:val="en-US" w:eastAsia="zh-CN"/>
        </w:rPr>
        <w:t>肉羊</w:t>
      </w:r>
      <w:r>
        <w:rPr>
          <w:rFonts w:hint="default" w:ascii="Times New Roman" w:hAnsi="Times New Roman" w:eastAsia="宋体" w:cs="Times New Roman"/>
          <w:color w:val="FF0000"/>
          <w:highlight w:val="none"/>
          <w:lang w:val="en-US" w:eastAsia="zh-CN"/>
        </w:rPr>
        <w:t>，则羊粪便产生量为</w:t>
      </w:r>
      <w:r>
        <w:rPr>
          <w:rFonts w:hint="default" w:ascii="Times New Roman" w:hAnsi="Times New Roman" w:eastAsia="宋体" w:cs="Times New Roman"/>
          <w:color w:val="FF0000"/>
          <w:highlight w:val="none"/>
          <w:lang w:val="en-US" w:eastAsia="zh-CN"/>
        </w:rPr>
        <w:t>15.41</w:t>
      </w:r>
      <w:r>
        <w:rPr>
          <w:rFonts w:hint="default" w:ascii="Times New Roman" w:hAnsi="Times New Roman" w:eastAsia="宋体" w:cs="Times New Roman"/>
          <w:color w:val="FF0000"/>
          <w:highlight w:val="none"/>
          <w:lang w:val="en-US" w:eastAsia="zh-CN"/>
        </w:rPr>
        <w:t>t/d，全年运营365天，则</w:t>
      </w:r>
      <w:r>
        <w:rPr>
          <w:rFonts w:hint="default" w:ascii="Times New Roman" w:hAnsi="Times New Roman" w:eastAsia="宋体" w:cs="Times New Roman"/>
          <w:color w:val="FF0000"/>
          <w:highlight w:val="none"/>
          <w:lang w:val="en-US" w:eastAsia="zh-CN"/>
        </w:rPr>
        <w:t>羊粪便产生量为</w:t>
      </w:r>
      <w:r>
        <w:rPr>
          <w:rFonts w:hint="default" w:ascii="Times New Roman" w:hAnsi="Times New Roman" w:eastAsia="宋体" w:cs="Times New Roman"/>
          <w:color w:val="FF0000"/>
          <w:highlight w:val="none"/>
          <w:lang w:val="en-US" w:eastAsia="zh-CN"/>
        </w:rPr>
        <w:t>5624.65</w:t>
      </w:r>
      <w:r>
        <w:rPr>
          <w:rFonts w:hint="default" w:ascii="Times New Roman" w:hAnsi="Times New Roman" w:eastAsia="宋体" w:cs="Times New Roman"/>
          <w:color w:val="FF0000"/>
          <w:highlight w:val="none"/>
          <w:lang w:val="en-US" w:eastAsia="zh-CN"/>
        </w:rPr>
        <w:t>t/a，属于一般工业固体废物。</w:t>
      </w:r>
    </w:p>
    <w:p w14:paraId="114252FB">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rPr>
        <w:t>本项目清粪方式采用干清粪工艺</w:t>
      </w:r>
      <w:r>
        <w:rPr>
          <w:rFonts w:hint="default" w:ascii="Times New Roman" w:hAnsi="Times New Roman" w:eastAsia="宋体" w:cs="Times New Roman"/>
          <w:color w:val="FF0000"/>
          <w:highlight w:val="none"/>
          <w:lang w:eastAsia="zh-CN"/>
        </w:rPr>
        <w:t>，采取机械方式将羊粪便及时、单独清出，同时，将羊粪便运至堆肥场进行无害化堆肥处理，作为有机肥外售还田综合利用。</w:t>
      </w:r>
    </w:p>
    <w:p w14:paraId="09498FD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highlight w:val="none"/>
          <w:lang w:eastAsia="zh-CN"/>
        </w:rPr>
        <w:t>病死羊</w:t>
      </w:r>
    </w:p>
    <w:p w14:paraId="68E70F3A">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肉羊养殖过程</w:t>
      </w:r>
      <w:r>
        <w:rPr>
          <w:rFonts w:hint="default" w:ascii="Times New Roman" w:hAnsi="Times New Roman" w:eastAsia="宋体" w:cs="Times New Roman"/>
          <w:color w:val="auto"/>
          <w:highlight w:val="none"/>
        </w:rPr>
        <w:t>中</w:t>
      </w:r>
      <w:r>
        <w:rPr>
          <w:rFonts w:hint="default" w:ascii="Times New Roman" w:hAnsi="Times New Roman" w:eastAsia="宋体" w:cs="Times New Roman"/>
          <w:color w:val="auto"/>
          <w:highlight w:val="none"/>
          <w:lang w:eastAsia="zh-CN"/>
        </w:rPr>
        <w:t>不可避免地产生</w:t>
      </w:r>
      <w:r>
        <w:rPr>
          <w:rFonts w:hint="default" w:ascii="Times New Roman" w:hAnsi="Times New Roman" w:eastAsia="宋体" w:cs="Times New Roman"/>
          <w:color w:val="auto"/>
          <w:highlight w:val="none"/>
          <w:lang w:val="en-US" w:eastAsia="zh-CN"/>
        </w:rPr>
        <w:t>少量</w:t>
      </w:r>
      <w:r>
        <w:rPr>
          <w:rFonts w:hint="default" w:ascii="Times New Roman" w:hAnsi="Times New Roman" w:eastAsia="宋体" w:cs="Times New Roman"/>
          <w:color w:val="auto"/>
          <w:highlight w:val="none"/>
        </w:rPr>
        <w:t>病死畜，查阅相关资料及根据同类项目对比，</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的病死率按照总存栏量的2‰，则本项目全</w:t>
      </w:r>
      <w:r>
        <w:rPr>
          <w:rFonts w:hint="default" w:ascii="Times New Roman" w:hAnsi="Times New Roman" w:eastAsia="宋体" w:cs="Times New Roman"/>
          <w:color w:val="auto"/>
          <w:highlight w:val="none"/>
          <w:lang w:eastAsia="zh-CN"/>
        </w:rPr>
        <w:t>场病死羊</w:t>
      </w:r>
      <w:r>
        <w:rPr>
          <w:rFonts w:hint="default" w:ascii="Times New Roman" w:hAnsi="Times New Roman" w:eastAsia="宋体" w:cs="Times New Roman"/>
          <w:color w:val="auto"/>
          <w:highlight w:val="none"/>
        </w:rPr>
        <w:t>产生量约为</w:t>
      </w:r>
      <w:r>
        <w:rPr>
          <w:rFonts w:hint="default" w:ascii="Times New Roman" w:hAnsi="Times New Roman" w:eastAsia="宋体" w:cs="Times New Roman"/>
          <w:color w:val="auto"/>
          <w:highlight w:val="none"/>
          <w:lang w:val="en-US" w:eastAsia="zh-CN"/>
        </w:rPr>
        <w:t>138</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lang w:eastAsia="zh-CN"/>
        </w:rPr>
        <w:t>。每</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按照</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rPr>
        <w:t>kg计算，</w:t>
      </w:r>
      <w:r>
        <w:rPr>
          <w:rFonts w:hint="default" w:ascii="Times New Roman" w:hAnsi="Times New Roman" w:eastAsia="宋体" w:cs="Times New Roman"/>
          <w:color w:val="auto"/>
          <w:highlight w:val="none"/>
          <w:lang w:eastAsia="zh-CN"/>
        </w:rPr>
        <w:t>则</w:t>
      </w:r>
      <w:r>
        <w:rPr>
          <w:rFonts w:hint="default" w:ascii="Times New Roman" w:hAnsi="Times New Roman" w:eastAsia="宋体" w:cs="Times New Roman"/>
          <w:color w:val="auto"/>
          <w:highlight w:val="none"/>
        </w:rPr>
        <w:t>年产生量为</w:t>
      </w:r>
      <w:r>
        <w:rPr>
          <w:rFonts w:hint="default" w:ascii="Times New Roman" w:hAnsi="Times New Roman" w:eastAsia="宋体" w:cs="Times New Roman"/>
          <w:color w:val="auto"/>
          <w:highlight w:val="none"/>
          <w:lang w:val="en-US" w:eastAsia="zh-CN"/>
        </w:rPr>
        <w:t>2.76t</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p>
    <w:p w14:paraId="2B7DA3BD">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根据《畜禽养殖业污染防治技术政策》（环发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151号）中有关内容，畜禽尸体应按照有关卫生防疫规定单独进行妥善处置。</w:t>
      </w:r>
    </w:p>
    <w:p w14:paraId="079461AF">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根据《畜禽规模养殖污染防治条例》（中华人民共和国国务院令第643号）的有关内容，染疫畜禽以及染疫畜禽排泄物、染疫畜禽产品、病死或者死因不明的畜禽尸体等病害畜禽养殖废弃物，应当按照有关</w:t>
      </w:r>
      <w:r>
        <w:rPr>
          <w:rFonts w:hint="default" w:ascii="Times New Roman" w:hAnsi="Times New Roman" w:eastAsia="宋体" w:cs="Times New Roman"/>
          <w:color w:val="auto"/>
          <w:highlight w:val="none"/>
          <w:lang w:eastAsia="zh-CN"/>
        </w:rPr>
        <w:t>法律法规</w:t>
      </w:r>
      <w:r>
        <w:rPr>
          <w:rFonts w:hint="default" w:ascii="Times New Roman" w:hAnsi="Times New Roman" w:eastAsia="宋体" w:cs="Times New Roman"/>
          <w:color w:val="auto"/>
          <w:highlight w:val="none"/>
        </w:rPr>
        <w:t>和国务院农牧主管部门的规定，进行深埋、化制、焚烧等无害化处理，不得随意处置；国家鼓励和支持对染疫畜禽、病死或者死因不明畜禽尸体进行集中无害化处理，并按照国家有关规定对处理费用、养殖损失给予适当补助。</w:t>
      </w:r>
    </w:p>
    <w:p w14:paraId="341F580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病死羊暂存于冷藏间，交由巴彦淖尔市绿之源生物技术发展有限公司进行无害化处理</w:t>
      </w:r>
      <w:r>
        <w:rPr>
          <w:rFonts w:hint="default" w:ascii="Times New Roman" w:hAnsi="Times New Roman" w:eastAsia="宋体" w:cs="Times New Roman"/>
          <w:color w:val="auto"/>
          <w:highlight w:val="none"/>
        </w:rPr>
        <w:t>。遇重大疫情立刻隔离病死畜</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，并将疫情上报</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农牧业局动物疫病预防控制中心。根据</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农牧业局动物疫病预防控制中心指定方式指定地点，指定方式处置病死畜</w:t>
      </w:r>
      <w:r>
        <w:rPr>
          <w:rFonts w:hint="default" w:ascii="Times New Roman" w:hAnsi="Times New Roman" w:eastAsia="宋体" w:cs="Times New Roman"/>
          <w:color w:val="auto"/>
          <w:highlight w:val="none"/>
          <w:lang w:eastAsia="zh-CN"/>
        </w:rPr>
        <w:t>。</w:t>
      </w:r>
    </w:p>
    <w:p w14:paraId="3806EA23">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0000FF"/>
          <w:sz w:val="24"/>
          <w:szCs w:val="24"/>
          <w:highlight w:val="none"/>
          <w:lang w:val="en-US" w:eastAsia="zh-CN"/>
        </w:rPr>
      </w:pPr>
      <w:bookmarkStart w:id="307" w:name="_Toc11635"/>
      <w:bookmarkStart w:id="308" w:name="_Toc2899"/>
      <w:r>
        <w:rPr>
          <w:rFonts w:hint="default" w:ascii="Times New Roman" w:hAnsi="Times New Roman" w:eastAsia="宋体" w:cs="Times New Roman"/>
          <w:b w:val="0"/>
          <w:bCs w:val="0"/>
          <w:color w:val="0000FF"/>
          <w:sz w:val="24"/>
          <w:szCs w:val="24"/>
          <w:highlight w:val="none"/>
          <w:lang w:val="en-US" w:eastAsia="zh-CN"/>
        </w:rPr>
        <w:t>（3）造粒车间布袋除尘器收集的除尘灰</w:t>
      </w:r>
      <w:bookmarkEnd w:id="307"/>
    </w:p>
    <w:p w14:paraId="4CE30B21">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0000FF"/>
          <w:sz w:val="24"/>
          <w:szCs w:val="24"/>
          <w:highlight w:val="none"/>
          <w:lang w:val="en-US" w:eastAsia="zh-CN"/>
        </w:rPr>
      </w:pPr>
      <w:bookmarkStart w:id="309" w:name="_Toc20893"/>
      <w:r>
        <w:rPr>
          <w:rFonts w:hint="default" w:ascii="Times New Roman" w:hAnsi="Times New Roman" w:eastAsia="宋体" w:cs="Times New Roman"/>
          <w:b w:val="0"/>
          <w:bCs w:val="0"/>
          <w:color w:val="0000FF"/>
          <w:sz w:val="24"/>
          <w:szCs w:val="24"/>
          <w:highlight w:val="none"/>
          <w:lang w:val="en-US" w:eastAsia="zh-CN"/>
        </w:rPr>
        <w:t>造粒车间布袋除尘器收集的除尘灰，收集量为</w:t>
      </w:r>
      <w:r>
        <w:rPr>
          <w:rFonts w:hint="default" w:ascii="Times New Roman" w:hAnsi="Times New Roman" w:eastAsia="宋体" w:cs="Times New Roman"/>
          <w:b w:val="0"/>
          <w:bCs w:val="0"/>
          <w:color w:val="0000FF"/>
          <w:sz w:val="24"/>
          <w:szCs w:val="24"/>
          <w:highlight w:val="none"/>
          <w:lang w:val="en-US" w:eastAsia="zh-CN"/>
        </w:rPr>
        <w:t>0.488</w:t>
      </w:r>
      <w:r>
        <w:rPr>
          <w:rFonts w:hint="default" w:ascii="Times New Roman" w:hAnsi="Times New Roman" w:eastAsia="宋体" w:cs="Times New Roman"/>
          <w:b w:val="0"/>
          <w:bCs w:val="0"/>
          <w:color w:val="0000FF"/>
          <w:sz w:val="24"/>
          <w:szCs w:val="24"/>
          <w:highlight w:val="none"/>
          <w:lang w:val="en-US" w:eastAsia="zh-CN"/>
        </w:rPr>
        <w:t>t/a，属于一般工业固体废物，采用袋装后暂存于一般固废暂存间，收集后作为原料回用于生产。</w:t>
      </w:r>
      <w:bookmarkEnd w:id="309"/>
    </w:p>
    <w:p w14:paraId="400250F2">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auto"/>
          <w:sz w:val="24"/>
          <w:szCs w:val="24"/>
          <w:highlight w:val="none"/>
          <w:lang w:val="en-US" w:eastAsia="zh-CN"/>
        </w:rPr>
      </w:pPr>
      <w:bookmarkStart w:id="310" w:name="_Toc254"/>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）碎玉米、皮屑等杂质</w:t>
      </w:r>
      <w:bookmarkEnd w:id="308"/>
      <w:bookmarkEnd w:id="310"/>
    </w:p>
    <w:p w14:paraId="1EC0A1ED">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auto"/>
          <w:sz w:val="24"/>
          <w:szCs w:val="24"/>
          <w:highlight w:val="none"/>
          <w:lang w:val="en-US" w:eastAsia="zh-CN"/>
        </w:rPr>
      </w:pPr>
      <w:bookmarkStart w:id="311" w:name="_Toc13996"/>
      <w:bookmarkStart w:id="312" w:name="_Toc14723"/>
      <w:r>
        <w:rPr>
          <w:rFonts w:hint="default" w:ascii="Times New Roman" w:hAnsi="Times New Roman" w:eastAsia="宋体" w:cs="Times New Roman"/>
          <w:b w:val="0"/>
          <w:bCs w:val="0"/>
          <w:color w:val="auto"/>
          <w:sz w:val="24"/>
          <w:highlight w:val="none"/>
          <w:lang w:eastAsia="zh-CN"/>
        </w:rPr>
        <w:t>玉米粒烘干线</w:t>
      </w:r>
      <w:r>
        <w:rPr>
          <w:rFonts w:hint="default" w:ascii="Times New Roman" w:hAnsi="Times New Roman" w:eastAsia="宋体" w:cs="Times New Roman"/>
          <w:b w:val="0"/>
          <w:bCs w:val="0"/>
          <w:color w:val="auto"/>
          <w:sz w:val="24"/>
          <w:szCs w:val="24"/>
          <w:highlight w:val="none"/>
          <w:lang w:val="en-US" w:eastAsia="zh-CN"/>
        </w:rPr>
        <w:t>消耗</w:t>
      </w:r>
      <w:r>
        <w:rPr>
          <w:rFonts w:hint="default" w:ascii="Times New Roman" w:hAnsi="Times New Roman" w:eastAsia="宋体" w:cs="Times New Roman"/>
          <w:b w:val="0"/>
          <w:bCs w:val="0"/>
          <w:color w:val="auto"/>
          <w:sz w:val="24"/>
          <w:szCs w:val="24"/>
          <w:highlight w:val="none"/>
          <w:lang w:eastAsia="zh-CN"/>
        </w:rPr>
        <w:t>原料</w:t>
      </w:r>
      <w:r>
        <w:rPr>
          <w:rFonts w:hint="default" w:ascii="Times New Roman" w:hAnsi="Times New Roman" w:eastAsia="宋体" w:cs="Times New Roman"/>
          <w:b w:val="0"/>
          <w:bCs w:val="0"/>
          <w:color w:val="auto"/>
          <w:sz w:val="24"/>
          <w:szCs w:val="24"/>
          <w:highlight w:val="none"/>
          <w:lang w:val="en-US" w:eastAsia="zh-CN"/>
        </w:rPr>
        <w:t>玉米粒量为</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000t/a，含有的玉米粒皮屑量按1‰计算，则玉米粒皮屑</w:t>
      </w:r>
      <w:r>
        <w:rPr>
          <w:rFonts w:hint="default" w:ascii="Times New Roman" w:hAnsi="Times New Roman" w:eastAsia="宋体" w:cs="Times New Roman"/>
          <w:color w:val="auto"/>
          <w:sz w:val="24"/>
          <w:szCs w:val="24"/>
          <w:highlight w:val="none"/>
          <w:lang w:val="en-US" w:eastAsia="zh-CN"/>
        </w:rPr>
        <w:t>量为</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t/a，皮屑排放量为</w:t>
      </w:r>
      <w:r>
        <w:rPr>
          <w:rFonts w:hint="default" w:ascii="Times New Roman" w:hAnsi="Times New Roman" w:eastAsia="宋体" w:cs="Times New Roman"/>
          <w:color w:val="auto"/>
          <w:sz w:val="24"/>
          <w:szCs w:val="24"/>
          <w:highlight w:val="none"/>
          <w:lang w:val="en-US" w:eastAsia="zh-CN"/>
        </w:rPr>
        <w:t>0.008</w:t>
      </w:r>
      <w:r>
        <w:rPr>
          <w:rFonts w:hint="default" w:ascii="Times New Roman" w:hAnsi="Times New Roman" w:eastAsia="宋体" w:cs="Times New Roman"/>
          <w:color w:val="auto"/>
          <w:sz w:val="24"/>
          <w:szCs w:val="24"/>
          <w:highlight w:val="none"/>
          <w:lang w:val="en-US" w:eastAsia="zh-CN"/>
        </w:rPr>
        <w:t>t/a，则</w:t>
      </w:r>
      <w:r>
        <w:rPr>
          <w:rFonts w:hint="default" w:ascii="Times New Roman" w:hAnsi="Times New Roman" w:eastAsia="宋体" w:cs="Times New Roman"/>
          <w:b w:val="0"/>
          <w:bCs w:val="0"/>
          <w:color w:val="auto"/>
          <w:sz w:val="24"/>
          <w:szCs w:val="24"/>
          <w:highlight w:val="none"/>
          <w:lang w:val="en-US" w:eastAsia="zh-CN"/>
        </w:rPr>
        <w:t>筛分过程收集的</w:t>
      </w:r>
      <w:r>
        <w:rPr>
          <w:rFonts w:hint="default" w:ascii="Times New Roman" w:hAnsi="Times New Roman" w:eastAsia="宋体" w:cs="Times New Roman"/>
          <w:b w:val="0"/>
          <w:bCs w:val="0"/>
          <w:color w:val="auto"/>
          <w:sz w:val="24"/>
          <w:szCs w:val="24"/>
          <w:highlight w:val="none"/>
          <w:lang w:val="en-US" w:eastAsia="zh-CN"/>
        </w:rPr>
        <w:t>碎玉米、皮屑等杂质量为</w:t>
      </w:r>
      <w:r>
        <w:rPr>
          <w:rFonts w:hint="default" w:ascii="Times New Roman" w:hAnsi="Times New Roman" w:eastAsia="宋体" w:cs="Times New Roman"/>
          <w:b w:val="0"/>
          <w:bCs w:val="0"/>
          <w:color w:val="auto"/>
          <w:sz w:val="24"/>
          <w:szCs w:val="24"/>
          <w:highlight w:val="none"/>
          <w:lang w:val="en-US" w:eastAsia="zh-CN"/>
        </w:rPr>
        <w:t>7.992</w:t>
      </w:r>
      <w:r>
        <w:rPr>
          <w:rFonts w:hint="default" w:ascii="Times New Roman" w:hAnsi="Times New Roman" w:eastAsia="宋体" w:cs="Times New Roman"/>
          <w:b w:val="0"/>
          <w:bCs w:val="0"/>
          <w:color w:val="auto"/>
          <w:sz w:val="24"/>
          <w:szCs w:val="24"/>
          <w:highlight w:val="none"/>
          <w:lang w:val="en-US" w:eastAsia="zh-CN"/>
        </w:rPr>
        <w:t>t/a，</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采用编织袋收集后暂存于</w:t>
      </w:r>
      <w:r>
        <w:rPr>
          <w:rFonts w:hint="default" w:ascii="Times New Roman" w:hAnsi="Times New Roman" w:eastAsia="宋体" w:cs="Times New Roman"/>
          <w:b w:val="0"/>
          <w:bCs w:val="0"/>
          <w:color w:val="auto"/>
          <w:sz w:val="24"/>
          <w:szCs w:val="24"/>
          <w:highlight w:val="none"/>
          <w:lang w:val="en-US" w:eastAsia="zh-CN"/>
        </w:rPr>
        <w:t>一般固废暂存间</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作为饲料回用</w:t>
      </w:r>
      <w:r>
        <w:rPr>
          <w:rFonts w:hint="default" w:ascii="Times New Roman" w:hAnsi="Times New Roman" w:eastAsia="宋体" w:cs="Times New Roman"/>
          <w:b w:val="0"/>
          <w:bCs w:val="0"/>
          <w:color w:val="auto"/>
          <w:sz w:val="24"/>
          <w:szCs w:val="24"/>
          <w:highlight w:val="none"/>
          <w:lang w:val="en-US" w:eastAsia="zh-CN"/>
        </w:rPr>
        <w:t>。</w:t>
      </w:r>
      <w:bookmarkEnd w:id="311"/>
      <w:bookmarkEnd w:id="312"/>
    </w:p>
    <w:p w14:paraId="6D1A7C22">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炉渣</w:t>
      </w:r>
    </w:p>
    <w:p w14:paraId="6A424865">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4"/>
          <w:highlight w:val="none"/>
        </w:rPr>
        <w:t>《污染</w:t>
      </w:r>
      <w:r>
        <w:rPr>
          <w:rFonts w:hint="default" w:ascii="Times New Roman" w:hAnsi="Times New Roman" w:eastAsia="宋体" w:cs="Times New Roman"/>
          <w:color w:val="auto"/>
          <w:sz w:val="24"/>
          <w:szCs w:val="24"/>
          <w:highlight w:val="none"/>
        </w:rPr>
        <w:t>源强核算技术指南锅炉》（HJ991-2018），本项目炉渣产生量根据下式计算：</w:t>
      </w:r>
    </w:p>
    <w:p w14:paraId="3ABC3FB7">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255895" cy="1851025"/>
            <wp:effectExtent l="0" t="0" r="1905" b="15875"/>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36"/>
                    <a:stretch>
                      <a:fillRect/>
                    </a:stretch>
                  </pic:blipFill>
                  <pic:spPr>
                    <a:xfrm>
                      <a:off x="0" y="0"/>
                      <a:ext cx="5255895" cy="1851025"/>
                    </a:xfrm>
                    <a:prstGeom prst="rect">
                      <a:avLst/>
                    </a:prstGeom>
                    <a:noFill/>
                    <a:ln>
                      <a:noFill/>
                    </a:ln>
                  </pic:spPr>
                </pic:pic>
              </a:graphicData>
            </a:graphic>
          </wp:inline>
        </w:drawing>
      </w:r>
    </w:p>
    <w:p w14:paraId="04E353E4">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FF0000"/>
          <w:highlight w:val="none"/>
          <w:lang w:val="en-US" w:eastAsia="zh-CN"/>
        </w:rPr>
        <w:t>生物质燃料</w:t>
      </w:r>
      <w:r>
        <w:rPr>
          <w:rFonts w:hint="default" w:ascii="Times New Roman" w:hAnsi="Times New Roman" w:eastAsia="宋体" w:cs="Times New Roman"/>
          <w:color w:val="auto"/>
          <w:sz w:val="24"/>
          <w:szCs w:val="24"/>
          <w:highlight w:val="none"/>
        </w:rPr>
        <w:t>消耗总量为</w:t>
      </w:r>
      <w:r>
        <w:rPr>
          <w:rFonts w:hint="default" w:ascii="Times New Roman" w:hAnsi="Times New Roman" w:eastAsia="宋体" w:cs="Times New Roman"/>
          <w:color w:val="auto"/>
          <w:sz w:val="24"/>
          <w:szCs w:val="24"/>
          <w:highlight w:val="none"/>
          <w:lang w:val="en-US" w:eastAsia="zh-CN"/>
        </w:rPr>
        <w:t>1296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灰分的质量分数为11.48%</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根据《污染源强核算技术指南锅炉》（HJ991-2018）附录B，本项目</w:t>
      </w:r>
      <w:r>
        <w:rPr>
          <w:rFonts w:hint="default" w:ascii="Times New Roman" w:hAnsi="Times New Roman" w:eastAsia="宋体" w:cs="Times New Roman"/>
          <w:color w:val="auto"/>
          <w:sz w:val="24"/>
          <w:szCs w:val="24"/>
          <w:highlight w:val="none"/>
          <w:lang w:val="en-US" w:eastAsia="zh-CN"/>
        </w:rPr>
        <w:t>热风炉</w:t>
      </w:r>
      <w:r>
        <w:rPr>
          <w:rFonts w:hint="default" w:ascii="Times New Roman" w:hAnsi="Times New Roman" w:eastAsia="宋体" w:cs="Times New Roman"/>
          <w:color w:val="auto"/>
          <w:sz w:val="24"/>
          <w:szCs w:val="24"/>
          <w:highlight w:val="none"/>
        </w:rPr>
        <w:t>机械不完全燃烧热损失按10%计；</w:t>
      </w:r>
      <w:r>
        <w:rPr>
          <w:rFonts w:hint="default" w:ascii="Times New Roman" w:hAnsi="Times New Roman" w:eastAsia="宋体" w:cs="Times New Roman"/>
          <w:color w:val="auto"/>
          <w:sz w:val="24"/>
          <w:szCs w:val="24"/>
          <w:highlight w:val="none"/>
          <w:lang w:eastAsia="zh-CN"/>
        </w:rPr>
        <w:t>收到基低位发热量</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19.921</w:t>
      </w:r>
      <w:r>
        <w:rPr>
          <w:rFonts w:hint="default" w:ascii="Times New Roman" w:hAnsi="Times New Roman" w:eastAsia="宋体" w:cs="Times New Roman"/>
          <w:color w:val="auto"/>
          <w:sz w:val="24"/>
          <w:szCs w:val="24"/>
          <w:highlight w:val="none"/>
        </w:rPr>
        <w:t>MJ/kg</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炉</w:t>
      </w:r>
      <w:r>
        <w:rPr>
          <w:rFonts w:hint="default" w:ascii="Times New Roman" w:hAnsi="Times New Roman" w:eastAsia="宋体" w:cs="Times New Roman"/>
          <w:color w:val="auto"/>
          <w:sz w:val="24"/>
          <w:szCs w:val="24"/>
          <w:highlight w:val="none"/>
        </w:rPr>
        <w:t>渣产生量为</w:t>
      </w:r>
      <w:r>
        <w:rPr>
          <w:rFonts w:hint="default" w:ascii="Times New Roman" w:hAnsi="Times New Roman" w:eastAsia="宋体" w:cs="Times New Roman"/>
          <w:color w:val="auto"/>
          <w:sz w:val="24"/>
          <w:szCs w:val="24"/>
          <w:highlight w:val="none"/>
          <w:lang w:val="en-US" w:eastAsia="zh-CN"/>
        </w:rPr>
        <w:t>225.006</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rPr>
        <w:t>堆存于</w:t>
      </w:r>
      <w:r>
        <w:rPr>
          <w:rFonts w:hint="default" w:ascii="Times New Roman" w:hAnsi="Times New Roman" w:eastAsia="宋体" w:cs="Times New Roman"/>
          <w:color w:val="auto"/>
          <w:sz w:val="24"/>
          <w:szCs w:val="24"/>
          <w:highlight w:val="none"/>
          <w:lang w:eastAsia="zh-CN"/>
        </w:rPr>
        <w:t>全封闭灰渣库</w:t>
      </w:r>
      <w:r>
        <w:rPr>
          <w:rFonts w:hint="default" w:ascii="Times New Roman" w:hAnsi="Times New Roman" w:eastAsia="宋体" w:cs="Times New Roman"/>
          <w:color w:val="auto"/>
          <w:sz w:val="24"/>
          <w:szCs w:val="24"/>
          <w:highlight w:val="none"/>
        </w:rPr>
        <w:t>内，定期外售综合利用</w:t>
      </w:r>
      <w:r>
        <w:rPr>
          <w:rFonts w:hint="default" w:ascii="Times New Roman" w:hAnsi="Times New Roman" w:eastAsia="宋体" w:cs="Times New Roman"/>
          <w:color w:val="auto"/>
          <w:sz w:val="24"/>
          <w:szCs w:val="24"/>
          <w:highlight w:val="none"/>
          <w:lang w:val="en-US" w:eastAsia="zh-CN"/>
        </w:rPr>
        <w:t>。</w:t>
      </w:r>
    </w:p>
    <w:p w14:paraId="225203E2">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灰渣库</w:t>
      </w:r>
      <w:r>
        <w:rPr>
          <w:rFonts w:hint="default" w:ascii="Times New Roman" w:hAnsi="Times New Roman" w:eastAsia="宋体" w:cs="Times New Roman"/>
          <w:b w:val="0"/>
          <w:bCs w:val="0"/>
          <w:color w:val="auto"/>
          <w:sz w:val="24"/>
          <w:szCs w:val="24"/>
          <w:highlight w:val="none"/>
        </w:rPr>
        <w:t>按照《一般工业固体废物贮存和填埋污染控制标准》（GB18599-2020）中Ⅱ类场技术要求建设</w:t>
      </w:r>
      <w:r>
        <w:rPr>
          <w:rFonts w:hint="default" w:ascii="Times New Roman" w:hAnsi="Times New Roman" w:eastAsia="宋体" w:cs="Times New Roman"/>
          <w:color w:val="auto"/>
          <w:sz w:val="24"/>
          <w:szCs w:val="24"/>
          <w:highlight w:val="none"/>
        </w:rPr>
        <w:t>，地面采用防渗混凝土+环氧地坪漆铺设，渗透系数≤</w:t>
      </w:r>
      <w:r>
        <w:rPr>
          <w:rFonts w:hint="default" w:ascii="Times New Roman" w:hAnsi="Times New Roman" w:eastAsia="宋体" w:cs="Times New Roman"/>
          <w:b w:val="0"/>
          <w:bCs w:val="0"/>
          <w:color w:val="auto"/>
          <w:sz w:val="24"/>
          <w:szCs w:val="24"/>
          <w:highlight w:val="none"/>
        </w:rPr>
        <w:t>10</w:t>
      </w:r>
      <w:r>
        <w:rPr>
          <w:rFonts w:hint="default" w:ascii="Times New Roman" w:hAnsi="Times New Roman" w:eastAsia="宋体" w:cs="Times New Roman"/>
          <w:b w:val="0"/>
          <w:bCs w:val="0"/>
          <w:color w:val="auto"/>
          <w:sz w:val="24"/>
          <w:szCs w:val="24"/>
          <w:highlight w:val="none"/>
          <w:vertAlign w:val="superscript"/>
        </w:rPr>
        <w:t>-7</w:t>
      </w:r>
      <w:r>
        <w:rPr>
          <w:rFonts w:hint="default" w:ascii="Times New Roman" w:hAnsi="Times New Roman" w:eastAsia="宋体" w:cs="Times New Roman"/>
          <w:b w:val="0"/>
          <w:bCs w:val="0"/>
          <w:color w:val="auto"/>
          <w:sz w:val="24"/>
          <w:szCs w:val="24"/>
          <w:highlight w:val="none"/>
        </w:rPr>
        <w:t>cm/s。</w:t>
      </w:r>
    </w:p>
    <w:p w14:paraId="05E8C22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32"/>
          <w:highlight w:val="none"/>
        </w:rPr>
      </w:pPr>
      <w:r>
        <w:rPr>
          <w:rFonts w:hint="default" w:ascii="Times New Roman" w:hAnsi="Times New Roman" w:eastAsia="宋体" w:cs="Times New Roman"/>
          <w:b w:val="0"/>
          <w:bCs w:val="0"/>
          <w:color w:val="auto"/>
          <w:sz w:val="24"/>
          <w:szCs w:val="32"/>
          <w:highlight w:val="none"/>
        </w:rPr>
        <w:t>（</w:t>
      </w:r>
      <w:r>
        <w:rPr>
          <w:rFonts w:hint="default" w:ascii="Times New Roman" w:hAnsi="Times New Roman" w:eastAsia="宋体" w:cs="Times New Roman"/>
          <w:b w:val="0"/>
          <w:bCs w:val="0"/>
          <w:color w:val="auto"/>
          <w:sz w:val="24"/>
          <w:szCs w:val="32"/>
          <w:highlight w:val="none"/>
          <w:lang w:val="en-US" w:eastAsia="zh-CN"/>
        </w:rPr>
        <w:t>6</w:t>
      </w:r>
      <w:r>
        <w:rPr>
          <w:rFonts w:hint="default" w:ascii="Times New Roman" w:hAnsi="Times New Roman" w:eastAsia="宋体" w:cs="Times New Roman"/>
          <w:b w:val="0"/>
          <w:bCs w:val="0"/>
          <w:color w:val="auto"/>
          <w:sz w:val="24"/>
          <w:szCs w:val="32"/>
          <w:highlight w:val="none"/>
        </w:rPr>
        <w:t>）</w:t>
      </w:r>
      <w:r>
        <w:rPr>
          <w:rFonts w:hint="default" w:ascii="Times New Roman" w:hAnsi="Times New Roman" w:eastAsia="宋体" w:cs="Times New Roman"/>
          <w:b w:val="0"/>
          <w:bCs w:val="0"/>
          <w:color w:val="0000FF"/>
          <w:sz w:val="24"/>
          <w:szCs w:val="24"/>
          <w:highlight w:val="none"/>
          <w:lang w:val="en-US" w:eastAsia="zh-CN"/>
        </w:rPr>
        <w:t>生物质热风炉</w:t>
      </w:r>
      <w:r>
        <w:rPr>
          <w:rFonts w:hint="default" w:ascii="Times New Roman" w:hAnsi="Times New Roman" w:eastAsia="宋体" w:cs="Times New Roman"/>
          <w:b w:val="0"/>
          <w:bCs w:val="0"/>
          <w:color w:val="0000FF"/>
          <w:sz w:val="24"/>
          <w:szCs w:val="24"/>
          <w:highlight w:val="none"/>
          <w:lang w:val="en-US" w:eastAsia="zh-CN"/>
        </w:rPr>
        <w:t>布袋除尘器收集的</w:t>
      </w:r>
      <w:r>
        <w:rPr>
          <w:rFonts w:hint="default" w:ascii="Times New Roman" w:hAnsi="Times New Roman" w:eastAsia="宋体" w:cs="Times New Roman"/>
          <w:b w:val="0"/>
          <w:bCs w:val="0"/>
          <w:color w:val="auto"/>
          <w:sz w:val="24"/>
          <w:szCs w:val="32"/>
          <w:highlight w:val="none"/>
        </w:rPr>
        <w:t>除尘灰</w:t>
      </w:r>
    </w:p>
    <w:p w14:paraId="2164C3E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rPr>
        <w:t>本项目</w:t>
      </w:r>
      <w:r>
        <w:rPr>
          <w:rFonts w:hint="default" w:ascii="Times New Roman" w:hAnsi="Times New Roman" w:eastAsia="宋体" w:cs="Times New Roman"/>
          <w:b w:val="0"/>
          <w:bCs w:val="0"/>
          <w:color w:val="auto"/>
          <w:sz w:val="24"/>
          <w:szCs w:val="24"/>
          <w:highlight w:val="none"/>
          <w:lang w:val="en-US" w:eastAsia="zh-CN"/>
        </w:rPr>
        <w:t>1台3t/h生物质热风炉颗粒物产生量为</w:t>
      </w:r>
      <w:r>
        <w:rPr>
          <w:rFonts w:hint="default" w:ascii="Times New Roman" w:hAnsi="Times New Roman" w:eastAsia="宋体" w:cs="Times New Roman"/>
          <w:b w:val="0"/>
          <w:bCs w:val="0"/>
          <w:color w:val="auto"/>
          <w:sz w:val="24"/>
          <w:szCs w:val="24"/>
          <w:highlight w:val="none"/>
          <w:lang w:val="en-US" w:eastAsia="zh-CN"/>
        </w:rPr>
        <w:t>0.648</w:t>
      </w:r>
      <w:r>
        <w:rPr>
          <w:rFonts w:hint="default" w:ascii="Times New Roman" w:hAnsi="Times New Roman" w:eastAsia="宋体" w:cs="Times New Roman"/>
          <w:b w:val="0"/>
          <w:bCs w:val="0"/>
          <w:color w:val="auto"/>
          <w:sz w:val="24"/>
          <w:szCs w:val="24"/>
          <w:highlight w:val="none"/>
          <w:lang w:val="en-US" w:eastAsia="zh-CN"/>
        </w:rPr>
        <w:t>t/a，经</w:t>
      </w:r>
      <w:r>
        <w:rPr>
          <w:rFonts w:hint="default" w:ascii="Times New Roman" w:hAnsi="Times New Roman" w:eastAsia="宋体" w:cs="Times New Roman"/>
          <w:b w:val="0"/>
          <w:bCs w:val="0"/>
          <w:color w:val="auto"/>
          <w:sz w:val="24"/>
          <w:szCs w:val="24"/>
          <w:highlight w:val="none"/>
          <w:lang w:val="en-US" w:eastAsia="zh-CN"/>
        </w:rPr>
        <w:t>布袋除尘器</w:t>
      </w:r>
      <w:r>
        <w:rPr>
          <w:rFonts w:hint="default" w:ascii="Times New Roman" w:hAnsi="Times New Roman" w:eastAsia="宋体" w:cs="Times New Roman"/>
          <w:b w:val="0"/>
          <w:bCs w:val="0"/>
          <w:color w:val="auto"/>
          <w:sz w:val="24"/>
          <w:szCs w:val="24"/>
          <w:highlight w:val="none"/>
          <w:lang w:val="en-US" w:eastAsia="zh-CN"/>
        </w:rPr>
        <w:t>处理颗粒物排放量</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0.032</w:t>
      </w:r>
      <w:r>
        <w:rPr>
          <w:rFonts w:hint="default" w:ascii="Times New Roman" w:hAnsi="Times New Roman" w:eastAsia="宋体" w:cs="Times New Roman"/>
          <w:color w:val="auto"/>
          <w:sz w:val="24"/>
          <w:szCs w:val="24"/>
          <w:highlight w:val="none"/>
          <w:lang w:val="en-US" w:eastAsia="zh-CN"/>
        </w:rPr>
        <w:t>t/a，则</w:t>
      </w:r>
      <w:r>
        <w:rPr>
          <w:rFonts w:hint="default" w:ascii="Times New Roman" w:hAnsi="Times New Roman" w:eastAsia="宋体" w:cs="Times New Roman"/>
          <w:color w:val="auto"/>
          <w:sz w:val="24"/>
          <w:szCs w:val="24"/>
          <w:highlight w:val="none"/>
          <w:lang w:eastAsia="zh-CN"/>
        </w:rPr>
        <w:t>布袋除尘器</w:t>
      </w:r>
      <w:r>
        <w:rPr>
          <w:rFonts w:hint="default" w:ascii="Times New Roman" w:hAnsi="Times New Roman" w:eastAsia="宋体" w:cs="Times New Roman"/>
          <w:color w:val="auto"/>
          <w:sz w:val="24"/>
          <w:szCs w:val="24"/>
          <w:highlight w:val="none"/>
        </w:rPr>
        <w:t>收集的烟尘量为</w:t>
      </w:r>
      <w:r>
        <w:rPr>
          <w:rFonts w:hint="default" w:ascii="Times New Roman" w:hAnsi="Times New Roman" w:eastAsia="宋体" w:cs="Times New Roman"/>
          <w:color w:val="auto"/>
          <w:sz w:val="24"/>
          <w:szCs w:val="24"/>
          <w:highlight w:val="none"/>
          <w:lang w:val="en-US" w:eastAsia="zh-CN"/>
        </w:rPr>
        <w:t>0.616</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color w:val="auto"/>
          <w:sz w:val="24"/>
          <w:szCs w:val="24"/>
          <w:highlight w:val="none"/>
        </w:rPr>
        <w:t>，堆存于</w:t>
      </w:r>
      <w:r>
        <w:rPr>
          <w:rFonts w:hint="default" w:ascii="Times New Roman" w:hAnsi="Times New Roman" w:eastAsia="宋体" w:cs="Times New Roman"/>
          <w:color w:val="auto"/>
          <w:sz w:val="24"/>
          <w:szCs w:val="24"/>
          <w:highlight w:val="none"/>
          <w:lang w:eastAsia="zh-CN"/>
        </w:rPr>
        <w:t>全封闭灰渣库</w:t>
      </w:r>
      <w:r>
        <w:rPr>
          <w:rFonts w:hint="default" w:ascii="Times New Roman" w:hAnsi="Times New Roman" w:eastAsia="宋体" w:cs="Times New Roman"/>
          <w:color w:val="auto"/>
          <w:sz w:val="24"/>
          <w:szCs w:val="24"/>
          <w:highlight w:val="none"/>
        </w:rPr>
        <w:t>内，定期外售综合利用。</w:t>
      </w:r>
    </w:p>
    <w:p w14:paraId="129C553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32"/>
          <w:highlight w:val="none"/>
          <w:lang w:eastAsia="zh-CN"/>
        </w:rPr>
      </w:pPr>
      <w:r>
        <w:rPr>
          <w:rFonts w:hint="default" w:ascii="Times New Roman" w:hAnsi="Times New Roman" w:eastAsia="宋体" w:cs="Times New Roman"/>
          <w:b w:val="0"/>
          <w:bCs w:val="0"/>
          <w:color w:val="auto"/>
          <w:sz w:val="24"/>
          <w:szCs w:val="32"/>
          <w:highlight w:val="none"/>
          <w:lang w:eastAsia="zh-CN"/>
        </w:rPr>
        <w:t>灰渣储存区</w:t>
      </w:r>
      <w:r>
        <w:rPr>
          <w:rFonts w:hint="default" w:ascii="Times New Roman" w:hAnsi="Times New Roman" w:eastAsia="宋体" w:cs="Times New Roman"/>
          <w:b w:val="0"/>
          <w:bCs w:val="0"/>
          <w:color w:val="auto"/>
          <w:sz w:val="24"/>
          <w:szCs w:val="32"/>
          <w:highlight w:val="none"/>
        </w:rPr>
        <w:t>按照《一般工业固体废物贮存和填埋污染控制标准》（GB18599-2020）中Ⅱ类场技术要求建设</w:t>
      </w:r>
      <w:r>
        <w:rPr>
          <w:rFonts w:hint="default" w:ascii="Times New Roman" w:hAnsi="Times New Roman" w:eastAsia="宋体" w:cs="Times New Roman"/>
          <w:color w:val="auto"/>
          <w:sz w:val="24"/>
          <w:szCs w:val="24"/>
          <w:highlight w:val="none"/>
        </w:rPr>
        <w:t>，地面采用防渗混凝土+环氧地坪漆铺设，渗透系数≤10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w:t>
      </w:r>
      <w:r>
        <w:rPr>
          <w:rFonts w:hint="default" w:ascii="Times New Roman" w:hAnsi="Times New Roman" w:eastAsia="宋体" w:cs="Times New Roman"/>
          <w:b w:val="0"/>
          <w:bCs w:val="0"/>
          <w:color w:val="auto"/>
          <w:sz w:val="24"/>
          <w:szCs w:val="32"/>
          <w:highlight w:val="none"/>
          <w:lang w:eastAsia="zh-CN"/>
        </w:rPr>
        <w:t>。</w:t>
      </w:r>
    </w:p>
    <w:p w14:paraId="064639B2">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医疗垃圾</w:t>
      </w:r>
    </w:p>
    <w:p w14:paraId="73B343D7">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医疗垃圾主要产生于防疫、检查过程中所产生的消毒和医用品废弃物</w:t>
      </w:r>
      <w:r>
        <w:rPr>
          <w:rFonts w:hint="default" w:ascii="Times New Roman" w:hAnsi="Times New Roman" w:eastAsia="宋体" w:cs="Times New Roman"/>
          <w:color w:val="auto"/>
          <w:highlight w:val="none"/>
          <w:lang w:val="en-US" w:eastAsia="zh-CN"/>
        </w:rPr>
        <w:t>等</w:t>
      </w:r>
      <w:r>
        <w:rPr>
          <w:rFonts w:hint="default" w:ascii="Times New Roman" w:hAnsi="Times New Roman" w:eastAsia="宋体" w:cs="Times New Roman"/>
          <w:color w:val="auto"/>
          <w:highlight w:val="none"/>
        </w:rPr>
        <w:t>，查阅相关资料及根据同类项目对比</w:t>
      </w:r>
      <w:r>
        <w:rPr>
          <w:rFonts w:hint="default" w:ascii="Times New Roman" w:hAnsi="Times New Roman" w:eastAsia="宋体" w:cs="Times New Roman"/>
          <w:color w:val="auto"/>
          <w:sz w:val="24"/>
          <w:highlight w:val="none"/>
        </w:rPr>
        <w:t>，医疗垃圾产生量为0.</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1kg/</w:t>
      </w:r>
      <w:r>
        <w:rPr>
          <w:rFonts w:hint="default" w:ascii="Times New Roman" w:hAnsi="Times New Roman" w:eastAsia="宋体" w:cs="Times New Roman"/>
          <w:color w:val="auto"/>
          <w:sz w:val="24"/>
          <w:highlight w:val="none"/>
          <w:lang w:val="en-US" w:eastAsia="zh-CN"/>
        </w:rPr>
        <w:t>只·</w:t>
      </w: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highlight w:val="none"/>
        </w:rPr>
        <w:t>，产生量约</w:t>
      </w:r>
      <w:r>
        <w:rPr>
          <w:rFonts w:hint="default" w:ascii="Times New Roman" w:hAnsi="Times New Roman" w:eastAsia="宋体" w:cs="Times New Roman"/>
          <w:color w:val="auto"/>
          <w:highlight w:val="none"/>
          <w:lang w:val="en-US" w:eastAsia="zh-CN"/>
        </w:rPr>
        <w:t>0.69</w:t>
      </w:r>
      <w:r>
        <w:rPr>
          <w:rFonts w:hint="default" w:ascii="Times New Roman" w:hAnsi="Times New Roman" w:eastAsia="宋体" w:cs="Times New Roman"/>
          <w:color w:val="auto"/>
          <w:highlight w:val="none"/>
        </w:rPr>
        <w:t>t/a。根据《国家危险废物名录》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2021年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的规定，</w:t>
      </w:r>
      <w:r>
        <w:rPr>
          <w:rFonts w:hint="default" w:ascii="Times New Roman" w:hAnsi="Times New Roman" w:eastAsia="宋体" w:cs="Times New Roman"/>
          <w:color w:val="auto"/>
          <w:highlight w:val="none"/>
          <w:lang w:val="en-US" w:eastAsia="zh-CN"/>
        </w:rPr>
        <w:t>废物类别为</w:t>
      </w:r>
      <w:r>
        <w:rPr>
          <w:rFonts w:hint="default" w:ascii="Times New Roman" w:hAnsi="Times New Roman" w:eastAsia="宋体" w:cs="Times New Roman"/>
          <w:color w:val="auto"/>
          <w:highlight w:val="none"/>
        </w:rPr>
        <w:t>HW01医疗废物，</w:t>
      </w:r>
      <w:r>
        <w:rPr>
          <w:rFonts w:hint="default" w:ascii="Times New Roman" w:hAnsi="Times New Roman" w:eastAsia="宋体" w:cs="Times New Roman"/>
          <w:color w:val="auto"/>
          <w:highlight w:val="none"/>
          <w:lang w:eastAsia="zh-CN"/>
        </w:rPr>
        <w:t>废物代码</w:t>
      </w:r>
      <w:r>
        <w:rPr>
          <w:rFonts w:hint="default" w:ascii="Times New Roman" w:hAnsi="Times New Roman" w:eastAsia="宋体" w:cs="Times New Roman"/>
          <w:color w:val="auto"/>
          <w:highlight w:val="none"/>
        </w:rPr>
        <w:t>为</w:t>
      </w:r>
      <w:r>
        <w:rPr>
          <w:rFonts w:hint="default" w:ascii="Times New Roman" w:hAnsi="Times New Roman" w:eastAsia="宋体" w:cs="Times New Roman"/>
          <w:color w:val="auto"/>
          <w:highlight w:val="none"/>
          <w:lang w:eastAsia="zh-CN"/>
        </w:rPr>
        <w:t>841-00</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-01、841-00</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-01、841-005-01。</w:t>
      </w:r>
      <w:r>
        <w:rPr>
          <w:rFonts w:hint="default" w:ascii="Times New Roman" w:hAnsi="Times New Roman" w:eastAsia="宋体" w:cs="Times New Roman"/>
          <w:color w:val="auto"/>
          <w:highlight w:val="none"/>
        </w:rPr>
        <w:t>根据《医疗废物管理条例》中的要求，本项目设置</w:t>
      </w:r>
      <w:r>
        <w:rPr>
          <w:rFonts w:hint="default" w:ascii="Times New Roman" w:hAnsi="Times New Roman" w:eastAsia="宋体" w:cs="Times New Roman"/>
          <w:color w:val="auto"/>
          <w:highlight w:val="none"/>
          <w:lang w:eastAsia="zh-CN"/>
        </w:rPr>
        <w:t>危废暂存间内</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定期</w:t>
      </w:r>
      <w:r>
        <w:rPr>
          <w:rFonts w:hint="default" w:ascii="Times New Roman" w:hAnsi="Times New Roman" w:eastAsia="宋体" w:cs="Times New Roman"/>
          <w:color w:val="auto"/>
          <w:highlight w:val="none"/>
        </w:rPr>
        <w:t>交由有医疗废物处理资质的单位进行集中清运、处理。</w:t>
      </w:r>
    </w:p>
    <w:p w14:paraId="190926C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面积设置为10m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，建设按照《危险废物贮存污染控制标准》（</w:t>
      </w:r>
      <w:r>
        <w:rPr>
          <w:rFonts w:hint="default" w:ascii="Times New Roman" w:hAnsi="Times New Roman" w:eastAsia="宋体" w:cs="Times New Roman"/>
          <w:color w:val="auto"/>
          <w:highlight w:val="none"/>
          <w:lang w:eastAsia="zh-CN"/>
        </w:rPr>
        <w:t>GB18597-2023</w:t>
      </w:r>
      <w:r>
        <w:rPr>
          <w:rFonts w:hint="default" w:ascii="Times New Roman" w:hAnsi="Times New Roman" w:eastAsia="宋体" w:cs="Times New Roman"/>
          <w:color w:val="auto"/>
          <w:highlight w:val="none"/>
        </w:rPr>
        <w:t>）、《医疗卫生机构医疗废物管理办法》和《危险废物污染防治技术政策》的要求设置。暂存间地面铺HDPE膜防渗，渗透系数</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highlight w:val="none"/>
        </w:rPr>
        <w:t>1.0×10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cm/s。暂存间的地面与裙脚要用坚固、防渗的材料建造，建筑材料必须与危险废物相容。危险废物垃圾集中收集暂存、转移委外处理过程中，建设单位须按照相关规定填报转移联单，做好台账。</w:t>
      </w:r>
    </w:p>
    <w:p w14:paraId="3EFECAD6">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生活垃圾</w:t>
      </w:r>
    </w:p>
    <w:p w14:paraId="5F0BB0F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生活垃圾按0.5kg/人</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d计，项目劳动定员</w:t>
      </w:r>
      <w:r>
        <w:rPr>
          <w:rFonts w:hint="default" w:ascii="Times New Roman" w:hAnsi="Times New Roman" w:eastAsia="宋体" w:cs="Times New Roman"/>
          <w:color w:val="auto"/>
          <w:highlight w:val="none"/>
          <w:lang w:val="en-US" w:eastAsia="zh-CN"/>
        </w:rPr>
        <w:t>50人</w:t>
      </w:r>
      <w:r>
        <w:rPr>
          <w:rFonts w:hint="default" w:ascii="Times New Roman" w:hAnsi="Times New Roman" w:eastAsia="宋体" w:cs="Times New Roman"/>
          <w:color w:val="auto"/>
          <w:highlight w:val="none"/>
        </w:rPr>
        <w:t>，产生量</w:t>
      </w:r>
      <w:r>
        <w:rPr>
          <w:rFonts w:hint="default" w:ascii="Times New Roman" w:hAnsi="Times New Roman" w:eastAsia="宋体" w:cs="Times New Roman"/>
          <w:color w:val="auto"/>
          <w:highlight w:val="none"/>
          <w:lang w:val="en-US" w:eastAsia="zh-CN"/>
        </w:rPr>
        <w:t>25kg</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d</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9.125t/a</w:t>
      </w:r>
      <w:r>
        <w:rPr>
          <w:rFonts w:hint="default" w:ascii="Times New Roman" w:hAnsi="Times New Roman" w:eastAsia="宋体" w:cs="Times New Roman"/>
          <w:color w:val="auto"/>
          <w:highlight w:val="none"/>
        </w:rPr>
        <w:t>）。生活垃圾</w:t>
      </w:r>
      <w:r>
        <w:rPr>
          <w:rFonts w:hint="default" w:ascii="Times New Roman" w:hAnsi="Times New Roman" w:eastAsia="宋体" w:cs="Times New Roman"/>
          <w:color w:val="auto"/>
          <w:highlight w:val="none"/>
          <w:lang w:bidi="zh-CN"/>
        </w:rPr>
        <w:t>清运到环卫部门指定的地点集中处理</w:t>
      </w:r>
      <w:r>
        <w:rPr>
          <w:rFonts w:hint="default" w:ascii="Times New Roman" w:hAnsi="Times New Roman" w:eastAsia="宋体" w:cs="Times New Roman"/>
          <w:color w:val="auto"/>
          <w:highlight w:val="none"/>
        </w:rPr>
        <w:t>。</w:t>
      </w:r>
    </w:p>
    <w:p w14:paraId="5D755C25">
      <w:pPr>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outlineLvl w:val="4"/>
        <w:rPr>
          <w:rFonts w:hint="default" w:ascii="Times New Roman" w:hAnsi="Times New Roman" w:eastAsia="宋体" w:cs="Times New Roman"/>
          <w:b/>
          <w:bCs/>
          <w:color w:val="auto"/>
          <w:szCs w:val="28"/>
          <w:highlight w:val="none"/>
        </w:rPr>
      </w:pPr>
      <w:r>
        <w:rPr>
          <w:rFonts w:hint="default" w:ascii="Times New Roman" w:hAnsi="Times New Roman" w:eastAsia="宋体" w:cs="Times New Roman"/>
          <w:b/>
          <w:bCs/>
          <w:snapToGrid w:val="0"/>
          <w:color w:val="auto"/>
          <w:szCs w:val="28"/>
          <w:highlight w:val="none"/>
        </w:rPr>
        <w:t>表3.3-</w:t>
      </w:r>
      <w:r>
        <w:rPr>
          <w:rFonts w:hint="default" w:ascii="Times New Roman" w:hAnsi="Times New Roman" w:eastAsia="宋体" w:cs="Times New Roman"/>
          <w:b/>
          <w:bCs/>
          <w:snapToGrid w:val="0"/>
          <w:color w:val="auto"/>
          <w:szCs w:val="28"/>
          <w:highlight w:val="none"/>
          <w:lang w:val="en-US" w:eastAsia="zh-CN"/>
        </w:rPr>
        <w:t>11</w:t>
      </w:r>
      <w:r>
        <w:rPr>
          <w:rFonts w:hint="default" w:ascii="Times New Roman" w:hAnsi="Times New Roman" w:eastAsia="宋体" w:cs="Times New Roman"/>
          <w:b/>
          <w:bCs/>
          <w:snapToGrid w:val="0"/>
          <w:color w:val="auto"/>
          <w:szCs w:val="28"/>
          <w:highlight w:val="none"/>
          <w:lang w:val="en-US" w:eastAsia="zh-CN"/>
        </w:rPr>
        <w:t xml:space="preserve">  </w:t>
      </w:r>
      <w:r>
        <w:rPr>
          <w:rFonts w:hint="default" w:ascii="Times New Roman" w:hAnsi="Times New Roman" w:eastAsia="宋体" w:cs="Times New Roman"/>
          <w:b/>
          <w:bCs/>
          <w:snapToGrid w:val="0"/>
          <w:color w:val="auto"/>
          <w:szCs w:val="28"/>
          <w:highlight w:val="none"/>
        </w:rPr>
        <w:t>固体废物产生及处置情况一览表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30"/>
        <w:gridCol w:w="978"/>
        <w:gridCol w:w="1037"/>
        <w:gridCol w:w="1037"/>
        <w:gridCol w:w="1050"/>
        <w:gridCol w:w="1167"/>
        <w:gridCol w:w="1035"/>
        <w:gridCol w:w="1543"/>
      </w:tblGrid>
      <w:tr w14:paraId="7103EB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2B3957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序号</w:t>
            </w:r>
          </w:p>
        </w:tc>
        <w:tc>
          <w:tcPr>
            <w:tcW w:w="978" w:type="dxa"/>
            <w:tcBorders>
              <w:top w:val="single" w:color="auto" w:sz="4" w:space="0"/>
              <w:left w:val="single" w:color="auto" w:sz="4" w:space="0"/>
              <w:bottom w:val="single" w:color="auto" w:sz="4" w:space="0"/>
              <w:right w:val="single" w:color="auto" w:sz="4" w:space="0"/>
            </w:tcBorders>
            <w:vAlign w:val="center"/>
          </w:tcPr>
          <w:p w14:paraId="6152B6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名称</w:t>
            </w:r>
          </w:p>
        </w:tc>
        <w:tc>
          <w:tcPr>
            <w:tcW w:w="1037" w:type="dxa"/>
            <w:tcBorders>
              <w:top w:val="single" w:color="auto" w:sz="4" w:space="0"/>
              <w:left w:val="single" w:color="auto" w:sz="4" w:space="0"/>
              <w:bottom w:val="single" w:color="auto" w:sz="4" w:space="0"/>
              <w:right w:val="single" w:color="auto" w:sz="4" w:space="0"/>
            </w:tcBorders>
            <w:vAlign w:val="center"/>
          </w:tcPr>
          <w:p w14:paraId="2B1DC1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废物类别</w:t>
            </w:r>
          </w:p>
        </w:tc>
        <w:tc>
          <w:tcPr>
            <w:tcW w:w="1037" w:type="dxa"/>
            <w:tcBorders>
              <w:top w:val="single" w:color="auto" w:sz="4" w:space="0"/>
              <w:left w:val="single" w:color="auto" w:sz="4" w:space="0"/>
              <w:bottom w:val="single" w:color="auto" w:sz="4" w:space="0"/>
              <w:right w:val="single" w:color="auto" w:sz="4" w:space="0"/>
            </w:tcBorders>
            <w:vAlign w:val="center"/>
          </w:tcPr>
          <w:p w14:paraId="393B40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废物代码</w:t>
            </w:r>
          </w:p>
        </w:tc>
        <w:tc>
          <w:tcPr>
            <w:tcW w:w="1050" w:type="dxa"/>
            <w:tcBorders>
              <w:top w:val="single" w:color="auto" w:sz="4" w:space="0"/>
              <w:left w:val="single" w:color="auto" w:sz="4" w:space="0"/>
              <w:bottom w:val="single" w:color="auto" w:sz="4" w:space="0"/>
              <w:right w:val="single" w:color="auto" w:sz="4" w:space="0"/>
            </w:tcBorders>
            <w:vAlign w:val="center"/>
          </w:tcPr>
          <w:p w14:paraId="028950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产生量</w:t>
            </w:r>
          </w:p>
          <w:p w14:paraId="794CA8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（t/a）</w:t>
            </w:r>
          </w:p>
        </w:tc>
        <w:tc>
          <w:tcPr>
            <w:tcW w:w="1167" w:type="dxa"/>
            <w:tcBorders>
              <w:top w:val="single" w:color="auto" w:sz="4" w:space="0"/>
              <w:left w:val="single" w:color="auto" w:sz="4" w:space="0"/>
              <w:bottom w:val="single" w:color="auto" w:sz="4" w:space="0"/>
              <w:right w:val="single" w:color="auto" w:sz="4" w:space="0"/>
            </w:tcBorders>
            <w:vAlign w:val="center"/>
          </w:tcPr>
          <w:p w14:paraId="16BAD4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产生工序及装置</w:t>
            </w:r>
          </w:p>
        </w:tc>
        <w:tc>
          <w:tcPr>
            <w:tcW w:w="1035" w:type="dxa"/>
            <w:tcBorders>
              <w:top w:val="single" w:color="auto" w:sz="4" w:space="0"/>
              <w:left w:val="single" w:color="auto" w:sz="4" w:space="0"/>
              <w:bottom w:val="single" w:color="auto" w:sz="4" w:space="0"/>
              <w:right w:val="single" w:color="auto" w:sz="4" w:space="0"/>
            </w:tcBorders>
            <w:vAlign w:val="center"/>
          </w:tcPr>
          <w:p w14:paraId="64DABC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暂存场所</w:t>
            </w:r>
          </w:p>
        </w:tc>
        <w:tc>
          <w:tcPr>
            <w:tcW w:w="1543" w:type="dxa"/>
            <w:tcBorders>
              <w:top w:val="single" w:color="auto" w:sz="4" w:space="0"/>
              <w:left w:val="single" w:color="auto" w:sz="4" w:space="0"/>
              <w:bottom w:val="single" w:color="auto" w:sz="4" w:space="0"/>
              <w:right w:val="single" w:color="auto" w:sz="4" w:space="0"/>
            </w:tcBorders>
            <w:vAlign w:val="center"/>
          </w:tcPr>
          <w:p w14:paraId="44AB4E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处置措施</w:t>
            </w:r>
          </w:p>
        </w:tc>
      </w:tr>
      <w:tr w14:paraId="1911E5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1A86EF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1</w:t>
            </w:r>
          </w:p>
        </w:tc>
        <w:tc>
          <w:tcPr>
            <w:tcW w:w="978" w:type="dxa"/>
            <w:tcBorders>
              <w:top w:val="single" w:color="auto" w:sz="4" w:space="0"/>
              <w:left w:val="single" w:color="auto" w:sz="4" w:space="0"/>
              <w:bottom w:val="single" w:color="auto" w:sz="4" w:space="0"/>
              <w:right w:val="single" w:color="auto" w:sz="4" w:space="0"/>
            </w:tcBorders>
            <w:vAlign w:val="center"/>
          </w:tcPr>
          <w:p w14:paraId="625BBE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羊粪便</w:t>
            </w:r>
          </w:p>
        </w:tc>
        <w:tc>
          <w:tcPr>
            <w:tcW w:w="1037" w:type="dxa"/>
            <w:tcBorders>
              <w:top w:val="single" w:color="auto" w:sz="4" w:space="0"/>
              <w:left w:val="single" w:color="auto" w:sz="4" w:space="0"/>
              <w:bottom w:val="single" w:color="auto" w:sz="4" w:space="0"/>
              <w:right w:val="single" w:color="auto" w:sz="4" w:space="0"/>
            </w:tcBorders>
            <w:vAlign w:val="center"/>
          </w:tcPr>
          <w:p w14:paraId="2169C4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vAlign w:val="center"/>
          </w:tcPr>
          <w:p w14:paraId="025EC5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vAlign w:val="center"/>
          </w:tcPr>
          <w:p w14:paraId="130CF8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5624.65</w:t>
            </w:r>
          </w:p>
        </w:tc>
        <w:tc>
          <w:tcPr>
            <w:tcW w:w="1167" w:type="dxa"/>
            <w:tcBorders>
              <w:top w:val="single" w:color="auto" w:sz="4" w:space="0"/>
              <w:left w:val="single" w:color="auto" w:sz="4" w:space="0"/>
              <w:bottom w:val="single" w:color="auto" w:sz="4" w:space="0"/>
              <w:right w:val="single" w:color="auto" w:sz="4" w:space="0"/>
            </w:tcBorders>
            <w:vAlign w:val="center"/>
          </w:tcPr>
          <w:p w14:paraId="081866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羊群</w:t>
            </w:r>
            <w:r>
              <w:rPr>
                <w:rFonts w:hint="default" w:ascii="Times New Roman" w:hAnsi="Times New Roman" w:eastAsia="宋体" w:cs="Times New Roman"/>
                <w:color w:val="0000FF"/>
                <w:sz w:val="21"/>
                <w:szCs w:val="21"/>
                <w:highlight w:val="none"/>
              </w:rPr>
              <w:t>饲养</w:t>
            </w:r>
          </w:p>
        </w:tc>
        <w:tc>
          <w:tcPr>
            <w:tcW w:w="1035" w:type="dxa"/>
            <w:tcBorders>
              <w:top w:val="single" w:color="auto" w:sz="4" w:space="0"/>
              <w:left w:val="single" w:color="auto" w:sz="4" w:space="0"/>
              <w:bottom w:val="single" w:color="auto" w:sz="4" w:space="0"/>
              <w:right w:val="single" w:color="auto" w:sz="4" w:space="0"/>
            </w:tcBorders>
            <w:vAlign w:val="center"/>
          </w:tcPr>
          <w:p w14:paraId="325494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堆肥场</w:t>
            </w:r>
          </w:p>
        </w:tc>
        <w:tc>
          <w:tcPr>
            <w:tcW w:w="1543" w:type="dxa"/>
            <w:tcBorders>
              <w:top w:val="single" w:color="auto" w:sz="4" w:space="0"/>
              <w:left w:val="single" w:color="auto" w:sz="4" w:space="0"/>
              <w:bottom w:val="single" w:color="auto" w:sz="4" w:space="0"/>
              <w:right w:val="single" w:color="auto" w:sz="4" w:space="0"/>
            </w:tcBorders>
            <w:vAlign w:val="center"/>
          </w:tcPr>
          <w:p w14:paraId="145426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无害化堆肥处理，作为有机肥外售还田综合利用</w:t>
            </w:r>
          </w:p>
        </w:tc>
      </w:tr>
      <w:tr w14:paraId="270A9C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2790A7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2</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3F7A32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eastAsia="zh-CN"/>
              </w:rPr>
              <w:t>病死羊</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010DDE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2C26C6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2A6E1A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2.76</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54C207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eastAsia="zh-CN"/>
              </w:rPr>
              <w:t>羊群</w:t>
            </w:r>
            <w:r>
              <w:rPr>
                <w:rFonts w:hint="default" w:ascii="Times New Roman" w:hAnsi="Times New Roman" w:eastAsia="宋体" w:cs="Times New Roman"/>
                <w:b w:val="0"/>
                <w:bCs w:val="0"/>
                <w:color w:val="0000FF"/>
                <w:sz w:val="21"/>
                <w:szCs w:val="21"/>
                <w:highlight w:val="none"/>
              </w:rPr>
              <w:t>饲养</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7EA64D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冷藏间</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3E5878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交由巴彦淖尔市绿之源生物技术发展有限公司进行无害化处理</w:t>
            </w:r>
          </w:p>
        </w:tc>
      </w:tr>
      <w:tr w14:paraId="341CF7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0D3153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3</w:t>
            </w:r>
          </w:p>
        </w:tc>
        <w:tc>
          <w:tcPr>
            <w:tcW w:w="978" w:type="dxa"/>
            <w:tcBorders>
              <w:top w:val="single" w:color="auto" w:sz="4" w:space="0"/>
              <w:left w:val="single" w:color="auto" w:sz="4" w:space="0"/>
              <w:bottom w:val="single" w:color="auto" w:sz="4" w:space="0"/>
              <w:right w:val="single" w:color="auto" w:sz="4" w:space="0"/>
            </w:tcBorders>
            <w:vAlign w:val="center"/>
          </w:tcPr>
          <w:p w14:paraId="244BAD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除尘灰</w:t>
            </w:r>
          </w:p>
        </w:tc>
        <w:tc>
          <w:tcPr>
            <w:tcW w:w="1037" w:type="dxa"/>
            <w:tcBorders>
              <w:top w:val="single" w:color="auto" w:sz="4" w:space="0"/>
              <w:left w:val="single" w:color="auto" w:sz="4" w:space="0"/>
              <w:bottom w:val="single" w:color="auto" w:sz="4" w:space="0"/>
              <w:right w:val="single" w:color="auto" w:sz="4" w:space="0"/>
            </w:tcBorders>
            <w:vAlign w:val="center"/>
          </w:tcPr>
          <w:p w14:paraId="1B82F0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b w:val="0"/>
                <w:bCs w:val="0"/>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vAlign w:val="center"/>
          </w:tcPr>
          <w:p w14:paraId="51C859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b w:val="0"/>
                <w:bCs w:val="0"/>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vAlign w:val="center"/>
          </w:tcPr>
          <w:p w14:paraId="536F2D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0.488</w:t>
            </w:r>
          </w:p>
        </w:tc>
        <w:tc>
          <w:tcPr>
            <w:tcW w:w="1167" w:type="dxa"/>
            <w:tcBorders>
              <w:top w:val="single" w:color="auto" w:sz="4" w:space="0"/>
              <w:left w:val="single" w:color="auto" w:sz="4" w:space="0"/>
              <w:bottom w:val="single" w:color="auto" w:sz="4" w:space="0"/>
              <w:right w:val="single" w:color="auto" w:sz="4" w:space="0"/>
            </w:tcBorders>
            <w:vAlign w:val="center"/>
          </w:tcPr>
          <w:p w14:paraId="1AA799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造粒车间布袋除尘器</w:t>
            </w:r>
          </w:p>
        </w:tc>
        <w:tc>
          <w:tcPr>
            <w:tcW w:w="1035" w:type="dxa"/>
            <w:tcBorders>
              <w:top w:val="single" w:color="auto" w:sz="4" w:space="0"/>
              <w:left w:val="single" w:color="auto" w:sz="4" w:space="0"/>
              <w:bottom w:val="single" w:color="auto" w:sz="4" w:space="0"/>
              <w:right w:val="single" w:color="auto" w:sz="4" w:space="0"/>
            </w:tcBorders>
            <w:vAlign w:val="center"/>
          </w:tcPr>
          <w:p w14:paraId="4134C0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一般固废暂存间</w:t>
            </w:r>
          </w:p>
        </w:tc>
        <w:tc>
          <w:tcPr>
            <w:tcW w:w="1543" w:type="dxa"/>
            <w:tcBorders>
              <w:top w:val="single" w:color="auto" w:sz="4" w:space="0"/>
              <w:left w:val="single" w:color="auto" w:sz="4" w:space="0"/>
              <w:bottom w:val="single" w:color="auto" w:sz="4" w:space="0"/>
              <w:right w:val="single" w:color="auto" w:sz="4" w:space="0"/>
            </w:tcBorders>
            <w:vAlign w:val="center"/>
          </w:tcPr>
          <w:p w14:paraId="462B5C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b w:val="0"/>
                <w:bCs w:val="0"/>
                <w:color w:val="0000FF"/>
                <w:sz w:val="21"/>
                <w:szCs w:val="21"/>
                <w:highlight w:val="none"/>
                <w:lang w:val="en-US" w:eastAsia="zh-CN"/>
              </w:rPr>
              <w:t>收集后作为原料回用于生产</w:t>
            </w:r>
          </w:p>
        </w:tc>
      </w:tr>
      <w:tr w14:paraId="3B1945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5D10C1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kern w:val="2"/>
                <w:sz w:val="21"/>
                <w:szCs w:val="21"/>
                <w:highlight w:val="none"/>
                <w:lang w:val="en-US" w:eastAsia="zh-CN" w:bidi="ar-SA"/>
              </w:rPr>
              <w:t>4</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4A3352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碎玉米、皮屑等杂质</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721FA6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7F0C5B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420" w:firstLineChars="20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1E1DF2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kern w:val="2"/>
                <w:sz w:val="21"/>
                <w:szCs w:val="21"/>
                <w:highlight w:val="none"/>
                <w:lang w:val="en-US" w:eastAsia="zh-CN" w:bidi="ar-SA"/>
              </w:rPr>
              <w:t>7.992</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409DDA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eastAsia="zh-CN"/>
              </w:rPr>
              <w:t>玉米粒烘干线</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44D9E0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一般固废暂存间</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131D96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作为饲料回用</w:t>
            </w:r>
          </w:p>
        </w:tc>
      </w:tr>
      <w:tr w14:paraId="121BC9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50FEB9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5</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69E3DC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炉渣</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3534C4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3248A2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4EE7A4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225.006</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31D65B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热风炉</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0A50DD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eastAsia="zh-CN"/>
              </w:rPr>
              <w:t>灰渣库</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0A4A23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定期外售综合利用</w:t>
            </w:r>
          </w:p>
        </w:tc>
      </w:tr>
      <w:tr w14:paraId="380D77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3E5277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6</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39ACB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除尘灰</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633DDD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02A822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55B7C2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0.616</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510C1B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布袋除尘器</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694D0A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eastAsia="zh-CN"/>
              </w:rPr>
              <w:t>灰渣库</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3261C2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rPr>
              <w:t>定期外售综合利用</w:t>
            </w:r>
          </w:p>
        </w:tc>
      </w:tr>
      <w:tr w14:paraId="329B30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61E1CA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kern w:val="2"/>
                <w:sz w:val="21"/>
                <w:szCs w:val="21"/>
                <w:highlight w:val="none"/>
                <w:lang w:val="en-US" w:eastAsia="zh-CN" w:bidi="ar-SA"/>
              </w:rPr>
              <w:t>7</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6259A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医疗垃圾</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6EB5B3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HW01医疗废物</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00D789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841-001-01、841-002-01、841-005-01</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7F9565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0.69</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1785BD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卫生防疫</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22F029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eastAsia="zh-CN"/>
              </w:rPr>
              <w:t>危废暂存间</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2133C3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定期由有资质单位处置</w:t>
            </w:r>
          </w:p>
        </w:tc>
      </w:tr>
      <w:tr w14:paraId="007A9A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0" w:type="dxa"/>
            <w:tcBorders>
              <w:top w:val="single" w:color="auto" w:sz="4" w:space="0"/>
              <w:left w:val="single" w:color="auto" w:sz="4" w:space="0"/>
              <w:bottom w:val="single" w:color="auto" w:sz="4" w:space="0"/>
              <w:right w:val="single" w:color="auto" w:sz="4" w:space="0"/>
            </w:tcBorders>
            <w:vAlign w:val="center"/>
          </w:tcPr>
          <w:p w14:paraId="376FCE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kern w:val="2"/>
                <w:sz w:val="21"/>
                <w:szCs w:val="21"/>
                <w:highlight w:val="none"/>
                <w:lang w:val="en-US" w:eastAsia="zh-CN" w:bidi="ar-SA"/>
              </w:rPr>
              <w:t>8</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AE26D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生活垃圾</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5032FD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312A10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02FCFE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9.125</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1BDEB6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人员办公</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14:paraId="040ADF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垃圾桶</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14:paraId="6D4B73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bidi="zh-CN"/>
              </w:rPr>
              <w:t>清运到环卫部门指定的地点集中处理</w:t>
            </w:r>
          </w:p>
        </w:tc>
      </w:tr>
    </w:tbl>
    <w:p w14:paraId="5BF09D07">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13" w:name="_Toc17371"/>
      <w:bookmarkStart w:id="314" w:name="_Toc46421103"/>
      <w:r>
        <w:rPr>
          <w:rFonts w:hint="default" w:ascii="Times New Roman" w:hAnsi="Times New Roman" w:eastAsia="宋体" w:cs="Times New Roman"/>
          <w:color w:val="auto"/>
          <w:highlight w:val="none"/>
        </w:rPr>
        <w:t>3.4粪污资源化利用综述</w:t>
      </w:r>
      <w:bookmarkEnd w:id="313"/>
      <w:bookmarkEnd w:id="314"/>
    </w:p>
    <w:p w14:paraId="408B538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通过工程分析，</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sz w:val="24"/>
          <w:szCs w:val="24"/>
          <w:highlight w:val="none"/>
        </w:rPr>
        <w:t>产生的</w:t>
      </w:r>
      <w:r>
        <w:rPr>
          <w:rFonts w:hint="default" w:ascii="Times New Roman" w:hAnsi="Times New Roman" w:eastAsia="宋体" w:cs="Times New Roman"/>
          <w:color w:val="auto"/>
          <w:sz w:val="24"/>
          <w:szCs w:val="24"/>
          <w:highlight w:val="none"/>
          <w:lang w:eastAsia="zh-CN"/>
        </w:rPr>
        <w:t>羊粪便量为</w:t>
      </w:r>
      <w:r>
        <w:rPr>
          <w:rFonts w:hint="default" w:ascii="Times New Roman" w:hAnsi="Times New Roman" w:eastAsia="宋体" w:cs="Times New Roman"/>
          <w:color w:val="auto"/>
          <w:sz w:val="24"/>
          <w:szCs w:val="24"/>
          <w:highlight w:val="none"/>
          <w:lang w:val="en-US" w:eastAsia="zh-CN"/>
        </w:rPr>
        <w:t>5624.65</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highlight w:val="none"/>
        </w:rPr>
        <w:t>本项目清粪方式采用干清粪工艺集中收集到</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进行堆肥处理后，</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经完全发酵后</w:t>
      </w:r>
      <w:r>
        <w:rPr>
          <w:rFonts w:hint="default" w:ascii="Times New Roman" w:hAnsi="Times New Roman" w:eastAsia="宋体" w:cs="Times New Roman"/>
          <w:color w:val="auto"/>
          <w:highlight w:val="none"/>
          <w:lang w:eastAsia="zh-CN"/>
        </w:rPr>
        <w:t>，形成</w:t>
      </w:r>
      <w:r>
        <w:rPr>
          <w:rFonts w:hint="default" w:ascii="Times New Roman" w:hAnsi="Times New Roman" w:eastAsia="宋体" w:cs="Times New Roman"/>
          <w:color w:val="auto"/>
          <w:highlight w:val="none"/>
        </w:rPr>
        <w:t>有机肥。</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rPr>
        <w:t>《粪便无害化卫生标准》</w:t>
      </w:r>
      <w:r>
        <w:rPr>
          <w:rFonts w:hint="default" w:ascii="Times New Roman" w:hAnsi="Times New Roman" w:eastAsia="宋体" w:cs="Times New Roman"/>
          <w:color w:val="auto"/>
          <w:sz w:val="24"/>
          <w:szCs w:val="24"/>
          <w:highlight w:val="none"/>
          <w:lang w:val="en-US" w:eastAsia="zh-CN"/>
        </w:rPr>
        <w:t>的要求</w:t>
      </w:r>
      <w:r>
        <w:rPr>
          <w:rFonts w:hint="default" w:ascii="Times New Roman" w:hAnsi="Times New Roman" w:eastAsia="宋体" w:cs="Times New Roman"/>
          <w:color w:val="auto"/>
          <w:sz w:val="24"/>
          <w:szCs w:val="24"/>
          <w:highlight w:val="none"/>
          <w:lang w:eastAsia="zh-CN"/>
        </w:rPr>
        <w:t>作为有机肥外售还田综合利用。</w:t>
      </w:r>
    </w:p>
    <w:p w14:paraId="560E00E9">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szCs w:val="20"/>
          <w:highlight w:val="none"/>
          <w:lang w:eastAsia="zh-CN"/>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201E7D81">
      <w:pPr>
        <w:pStyle w:val="3"/>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315" w:name="_Toc28857"/>
      <w:r>
        <w:rPr>
          <w:rFonts w:hint="default" w:ascii="Times New Roman" w:hAnsi="Times New Roman" w:eastAsia="宋体" w:cs="Times New Roman"/>
          <w:color w:val="auto"/>
          <w:highlight w:val="none"/>
        </w:rPr>
        <w:t>4环境现状调查及评价</w:t>
      </w:r>
      <w:bookmarkEnd w:id="315"/>
    </w:p>
    <w:p w14:paraId="68DF271E">
      <w:pPr>
        <w:pStyle w:val="4"/>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16" w:name="_Toc27580"/>
      <w:r>
        <w:rPr>
          <w:rFonts w:hint="default" w:ascii="Times New Roman" w:hAnsi="Times New Roman" w:eastAsia="宋体" w:cs="Times New Roman"/>
          <w:color w:val="auto"/>
          <w:highlight w:val="none"/>
        </w:rPr>
        <w:t>4.1自然环境现状调查与评价</w:t>
      </w:r>
      <w:bookmarkEnd w:id="316"/>
    </w:p>
    <w:p w14:paraId="7B78C89C">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17" w:name="_Toc7468"/>
      <w:r>
        <w:rPr>
          <w:rFonts w:hint="default" w:ascii="Times New Roman" w:hAnsi="Times New Roman" w:eastAsia="宋体" w:cs="Times New Roman"/>
          <w:color w:val="auto"/>
          <w:highlight w:val="none"/>
        </w:rPr>
        <w:t>4.1.1地理位置</w:t>
      </w:r>
      <w:bookmarkEnd w:id="317"/>
    </w:p>
    <w:p w14:paraId="719D8648">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巴彦淖尔市位于内蒙古自治区西部，在北纬40°13′</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42°28、东经105°12′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109°53′之间，北依阴山山脉与蒙古国接壤，国界线长368.9km，南临黄河与鄂尔多斯市隔河相望，东连草原钢城包头市，西邻阿拉善盟及塞外煤都乌海市，处于华北与西北的连接带上。</w:t>
      </w:r>
    </w:p>
    <w:p w14:paraId="0398DF57">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五原县位于内蒙古巴彦淖尔市河套平原腹地。县域南临黄河（属黄河最北端），与鄂尔多斯市隔河（黄河最北端）相望；北有阴山横亘，和乌拉特中旗相连；东临鹿城包头和乌拉特前旗，西与临河区接壤，是一颗有着两千多年文明历史的塞上明珠。地理坐标为东经107°35′70″～108°37′50″，北纬40°46"30′～41°16″45′。县境东西最长82公里，均长62.3公里，南北最宽55.5公里，均宽40公里。总面积2492.8平方公里。五原县城隆兴昌镇西距巴彦淖尔约90公里，东至包头市约150公里。境内有孟王栓海子与孟王栓西海。G110国道联通便捷，县城向南约20公里可到达G6京藏高速公路、包兰铁路，形成了四通八达的公路网。</w:t>
      </w:r>
    </w:p>
    <w:p w14:paraId="32196055">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18" w:name="_Toc24424"/>
      <w:r>
        <w:rPr>
          <w:rFonts w:hint="default" w:ascii="Times New Roman" w:hAnsi="Times New Roman" w:eastAsia="宋体" w:cs="Times New Roman"/>
          <w:color w:val="auto"/>
          <w:highlight w:val="none"/>
        </w:rPr>
        <w:t>4.1.2</w:t>
      </w:r>
      <w:r>
        <w:rPr>
          <w:rFonts w:hint="default" w:ascii="Times New Roman" w:hAnsi="Times New Roman" w:eastAsia="宋体" w:cs="Times New Roman"/>
          <w:color w:val="auto"/>
          <w:szCs w:val="22"/>
          <w:highlight w:val="none"/>
        </w:rPr>
        <w:t>地形地貌</w:t>
      </w:r>
      <w:bookmarkEnd w:id="318"/>
    </w:p>
    <w:p w14:paraId="1D09DD0C">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粗细交互成层，厚度10</w:t>
      </w:r>
      <w:r>
        <w:rPr>
          <w:rFonts w:hint="default" w:ascii="Times New Roman" w:hAnsi="Times New Roman" w:eastAsia="宋体" w:cs="Times New Roman"/>
          <w:color w:val="auto"/>
          <w:kern w:val="0"/>
          <w:highlight w:val="none"/>
          <w:lang w:eastAsia="zh-CN"/>
        </w:rPr>
        <w:t>～</w:t>
      </w:r>
      <w:r>
        <w:rPr>
          <w:rFonts w:hint="default" w:ascii="Times New Roman" w:hAnsi="Times New Roman" w:eastAsia="宋体" w:cs="Times New Roman"/>
          <w:color w:val="auto"/>
          <w:kern w:val="0"/>
          <w:highlight w:val="none"/>
        </w:rPr>
        <w:t>70m。中部为河湖交替层，主要岩性为淤泥质、粉砂与粘土互层。下部为巨厚的新老第四纪湖相沉积层，主要岩性为淤泥质砂粘土。五原县在地质构造上属鄂尔多斯台拗，河套断陷，</w:t>
      </w:r>
      <w:r>
        <w:rPr>
          <w:rFonts w:hint="default" w:ascii="Times New Roman" w:hAnsi="Times New Roman" w:eastAsia="宋体" w:cs="Times New Roman"/>
          <w:color w:val="auto"/>
          <w:kern w:val="0"/>
          <w:highlight w:val="none"/>
          <w:lang w:eastAsia="zh-CN"/>
        </w:rPr>
        <w:t>基底</w:t>
      </w:r>
      <w:r>
        <w:rPr>
          <w:rFonts w:hint="default" w:ascii="Times New Roman" w:hAnsi="Times New Roman" w:eastAsia="宋体" w:cs="Times New Roman"/>
          <w:color w:val="auto"/>
          <w:kern w:val="0"/>
          <w:highlight w:val="none"/>
        </w:rPr>
        <w:t>为太古代变质岩系。县境为黄河冲积平原，由黄河冲积和山前洪积共同作用而形成河套平原。黄河在南部沿县界自西向东流经县境；全县地形西南高，东北低，自然坡降东西向1/5000</w:t>
      </w:r>
      <w:r>
        <w:rPr>
          <w:rFonts w:hint="default" w:ascii="Times New Roman" w:hAnsi="Times New Roman" w:eastAsia="宋体" w:cs="Times New Roman"/>
          <w:color w:val="auto"/>
          <w:kern w:val="0"/>
          <w:highlight w:val="none"/>
          <w:lang w:val="en-US" w:eastAsia="zh-CN"/>
        </w:rPr>
        <w:t>~</w:t>
      </w:r>
      <w:r>
        <w:rPr>
          <w:rFonts w:hint="default" w:ascii="Times New Roman" w:hAnsi="Times New Roman" w:eastAsia="宋体" w:cs="Times New Roman"/>
          <w:color w:val="auto"/>
          <w:kern w:val="0"/>
          <w:highlight w:val="none"/>
        </w:rPr>
        <w:t>1/</w:t>
      </w:r>
      <w:r>
        <w:rPr>
          <w:rFonts w:hint="default" w:ascii="Times New Roman" w:hAnsi="Times New Roman" w:eastAsia="宋体" w:cs="Times New Roman"/>
          <w:color w:val="auto"/>
          <w:kern w:val="0"/>
          <w:highlight w:val="none"/>
          <w:lang w:eastAsia="zh-CN"/>
        </w:rPr>
        <w:t>450</w:t>
      </w:r>
      <w:r>
        <w:rPr>
          <w:rFonts w:hint="default" w:ascii="Times New Roman" w:hAnsi="Times New Roman" w:eastAsia="宋体" w:cs="Times New Roman"/>
          <w:color w:val="auto"/>
          <w:kern w:val="0"/>
          <w:highlight w:val="none"/>
        </w:rPr>
        <w:t>，南北向1/8000</w:t>
      </w:r>
      <w:r>
        <w:rPr>
          <w:rFonts w:hint="default" w:ascii="Times New Roman" w:hAnsi="Times New Roman" w:eastAsia="宋体" w:cs="Times New Roman"/>
          <w:color w:val="auto"/>
          <w:kern w:val="0"/>
          <w:highlight w:val="none"/>
          <w:lang w:val="en-US" w:eastAsia="zh-CN"/>
        </w:rPr>
        <w:t>~</w:t>
      </w:r>
      <w:r>
        <w:rPr>
          <w:rFonts w:hint="default" w:ascii="Times New Roman" w:hAnsi="Times New Roman" w:eastAsia="宋体" w:cs="Times New Roman"/>
          <w:color w:val="auto"/>
          <w:kern w:val="0"/>
          <w:highlight w:val="none"/>
        </w:rPr>
        <w:t>1/10000，海拔在1019</w:t>
      </w:r>
      <w:r>
        <w:rPr>
          <w:rFonts w:hint="default" w:ascii="Times New Roman" w:hAnsi="Times New Roman" w:eastAsia="宋体" w:cs="Times New Roman"/>
          <w:color w:val="auto"/>
          <w:kern w:val="0"/>
          <w:highlight w:val="none"/>
          <w:lang w:eastAsia="zh-CN"/>
        </w:rPr>
        <w:t>～</w:t>
      </w:r>
      <w:r>
        <w:rPr>
          <w:rFonts w:hint="default" w:ascii="Times New Roman" w:hAnsi="Times New Roman" w:eastAsia="宋体" w:cs="Times New Roman"/>
          <w:color w:val="auto"/>
          <w:kern w:val="0"/>
          <w:highlight w:val="none"/>
        </w:rPr>
        <w:t>1042m之间。五原县具有三大基本地貌景观：由于黄河长期冲击淤澄形成了平原，即现在的壤质缓坡地；黄河变迁形成河鳗滩，经过风蚀作用形成了高圪梁，即现在的沙质岗地；古道和</w:t>
      </w:r>
      <w:r>
        <w:rPr>
          <w:rFonts w:hint="default" w:ascii="Times New Roman" w:hAnsi="Times New Roman" w:eastAsia="宋体" w:cs="Times New Roman"/>
          <w:color w:val="auto"/>
          <w:kern w:val="0"/>
          <w:highlight w:val="none"/>
          <w:lang w:eastAsia="zh-CN"/>
        </w:rPr>
        <w:t>残基</w:t>
      </w:r>
      <w:r>
        <w:rPr>
          <w:rFonts w:hint="default" w:ascii="Times New Roman" w:hAnsi="Times New Roman" w:eastAsia="宋体" w:cs="Times New Roman"/>
          <w:color w:val="auto"/>
          <w:kern w:val="0"/>
          <w:highlight w:val="none"/>
        </w:rPr>
        <w:t>和风蚀形成的洼地，即现在的红泥洼地。</w:t>
      </w:r>
    </w:p>
    <w:p w14:paraId="2806CC7C">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szCs w:val="22"/>
          <w:highlight w:val="none"/>
        </w:rPr>
      </w:pPr>
      <w:bookmarkStart w:id="319" w:name="_Toc6975"/>
      <w:r>
        <w:rPr>
          <w:rFonts w:hint="default" w:ascii="Times New Roman" w:hAnsi="Times New Roman" w:eastAsia="宋体" w:cs="Times New Roman"/>
          <w:color w:val="auto"/>
          <w:highlight w:val="none"/>
        </w:rPr>
        <w:t>4.1.3</w:t>
      </w:r>
      <w:r>
        <w:rPr>
          <w:rFonts w:hint="default" w:ascii="Times New Roman" w:hAnsi="Times New Roman" w:eastAsia="宋体" w:cs="Times New Roman"/>
          <w:color w:val="auto"/>
          <w:szCs w:val="22"/>
          <w:highlight w:val="none"/>
        </w:rPr>
        <w:t>气候特征</w:t>
      </w:r>
      <w:bookmarkEnd w:id="319"/>
    </w:p>
    <w:p w14:paraId="14ADA5C4">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320" w:name="_Toc27598546"/>
      <w:r>
        <w:rPr>
          <w:rFonts w:hint="default" w:ascii="Times New Roman" w:hAnsi="Times New Roman" w:eastAsia="宋体" w:cs="Times New Roman"/>
          <w:color w:val="auto"/>
          <w:highlight w:val="none"/>
        </w:rPr>
        <w:t>五原县属中温带大陆性气候，干旱少雨，蒸发量大，其明显特征表现为“冬季漫长而寒冷，夏季短促而炎热”。该地区多年平均气温7.2℃。7月份最热、平均气温22.8℃，一月份最冷、平均为-12.9℃，无霜期平均为117～136天，日照充足，全年日照总时数平均为3104.7小时，冻深为1.2m左右。多年平均降水量170mm，且年内分配极不均匀，主要集中在7～9月，占全国降水量的70%，雨热同季，对农作物生长十分有利。</w:t>
      </w:r>
    </w:p>
    <w:bookmarkEnd w:id="320"/>
    <w:p w14:paraId="7866F1B0">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lang w:eastAsia="zh-CN"/>
        </w:rPr>
      </w:pPr>
      <w:bookmarkStart w:id="321" w:name="_Toc528328470"/>
      <w:bookmarkStart w:id="322" w:name="_Toc12566"/>
      <w:bookmarkStart w:id="323" w:name="_Toc7386"/>
      <w:bookmarkStart w:id="324" w:name="_Toc10451"/>
      <w:bookmarkStart w:id="325" w:name="_Toc11014"/>
      <w:bookmarkStart w:id="326" w:name="_Toc22427"/>
      <w:bookmarkStart w:id="327" w:name="_Toc3461"/>
      <w:r>
        <w:rPr>
          <w:rFonts w:hint="default" w:ascii="Times New Roman" w:hAnsi="Times New Roman" w:eastAsia="宋体" w:cs="Times New Roman"/>
          <w:color w:val="auto"/>
          <w:highlight w:val="none"/>
        </w:rPr>
        <w:t>4.1.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水文</w:t>
      </w:r>
      <w:bookmarkEnd w:id="321"/>
      <w:bookmarkEnd w:id="322"/>
      <w:bookmarkEnd w:id="323"/>
      <w:bookmarkEnd w:id="324"/>
      <w:bookmarkEnd w:id="325"/>
      <w:bookmarkEnd w:id="326"/>
      <w:r>
        <w:rPr>
          <w:rFonts w:hint="default" w:ascii="Times New Roman" w:hAnsi="Times New Roman" w:eastAsia="宋体" w:cs="Times New Roman"/>
          <w:color w:val="auto"/>
          <w:highlight w:val="none"/>
          <w:lang w:eastAsia="zh-CN"/>
        </w:rPr>
        <w:t>地质</w:t>
      </w:r>
      <w:bookmarkEnd w:id="327"/>
    </w:p>
    <w:p w14:paraId="06A174FC">
      <w:pPr>
        <w:pageBreakBefore w:val="0"/>
        <w:widowControl w:val="0"/>
        <w:shd w:val="clear"/>
        <w:kinsoku/>
        <w:wordWrap/>
        <w:overflowPunct/>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highlight w:val="none"/>
          <w:lang w:val="zh-CN"/>
        </w:rPr>
      </w:pPr>
      <w:r>
        <w:rPr>
          <w:rFonts w:hint="default" w:ascii="Times New Roman" w:hAnsi="Times New Roman" w:eastAsia="宋体" w:cs="Times New Roman"/>
          <w:color w:val="auto"/>
          <w:kern w:val="0"/>
          <w:sz w:val="24"/>
          <w:highlight w:val="none"/>
          <w:lang w:val="zh-CN"/>
        </w:rPr>
        <w:t>境内河流主要为黄河，由县境南端流过，境内流长59.5km，平均流量约822m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/s，最大流量3000</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zh-CN"/>
        </w:rPr>
        <w:t>4500m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/s，最小流量300</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zh-CN"/>
        </w:rPr>
        <w:t>400m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/s，一般流量为450-600m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/s，是本县重要的农业灌溉水源和主要的地下水（潜水）补给水源。主要河流还有总干渠又名二黄河，该渠五原境内长43.5km，正常流量280m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/s。境内各干渠均由总干渠引水灌溉。境内有丰济、皂火、沙河、义和、通济五条干渠，干渠下有分干渠10条，渠92条，斗渠631条，农渠、毛渠等若干，形成纵横交织遍布全县的渠系网络，年引水总量8亿</w:t>
      </w:r>
      <w:r>
        <w:rPr>
          <w:rFonts w:hint="default" w:ascii="Times New Roman" w:hAnsi="Times New Roman" w:eastAsia="宋体" w:cs="Times New Roman"/>
          <w:color w:val="auto"/>
          <w:kern w:val="0"/>
          <w:sz w:val="24"/>
          <w:highlight w:val="none"/>
          <w:lang w:val="zh-CN"/>
        </w:rPr>
        <w:t>～</w:t>
      </w:r>
      <w:r>
        <w:rPr>
          <w:rFonts w:hint="default" w:ascii="Times New Roman" w:hAnsi="Times New Roman" w:eastAsia="宋体" w:cs="Times New Roman"/>
          <w:color w:val="auto"/>
          <w:kern w:val="0"/>
          <w:sz w:val="24"/>
          <w:highlight w:val="none"/>
          <w:lang w:val="zh-CN"/>
        </w:rPr>
        <w:t>11.6亿m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，最高引水量12.3亿m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zh-CN"/>
        </w:rPr>
        <w:t>，灌溉总面积221万亩。通过干渠引黄河水源，为五原县的农业生产提供了稳定的保障，使五原能够成为自治区和国家重要的粮食生产基地。</w:t>
      </w:r>
    </w:p>
    <w:p w14:paraId="7AE6D8EF">
      <w:pPr>
        <w:pageBreakBefore w:val="0"/>
        <w:widowControl w:val="0"/>
        <w:shd w:val="clear"/>
        <w:kinsoku/>
        <w:wordWrap/>
        <w:overflowPunct/>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highlight w:val="none"/>
          <w:lang w:val="zh-CN"/>
        </w:rPr>
      </w:pPr>
      <w:r>
        <w:rPr>
          <w:rFonts w:hint="default" w:ascii="Times New Roman" w:hAnsi="Times New Roman" w:eastAsia="宋体" w:cs="Times New Roman"/>
          <w:color w:val="auto"/>
          <w:kern w:val="0"/>
          <w:sz w:val="24"/>
          <w:highlight w:val="none"/>
          <w:lang w:val="zh-CN"/>
        </w:rPr>
        <w:t>县境内分布有由风蚀洼地和黄河改道时冲刷壕沟积水而形成的海子（湖泊），面积3亩以上的有171个，总面积5.45万亩，其中千亩以上的海子5个，面积1.06万亩，百亩以上的海子37个，面积1.30万亩，有70%以上的水面已被利用，但由于强烈蒸发及灌溉退水，水质较差，绝大部分pH值在9以上，总碱度超过5毫克当量/升。这些海子大多分布在县境西部的塔尔湖镇、银定图乡以及县境南部的套海镇、东部的胜丰镇等。</w:t>
      </w:r>
    </w:p>
    <w:p w14:paraId="68EF4A94">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highlight w:val="none"/>
          <w:lang w:val="zh-CN"/>
        </w:rPr>
        <w:t>县境内地下水分布普遍，蕴藏丰富，潜水层厚度大，平均60m，最厚120m，埋深浅，一般距地表2～3m，年际变幅为1～2.7m。水质复杂，矿化度较高，淡水分布面积小，由于地下水排泄主要为蒸发，造成水质矿化度不断提高，土壤盐碱化日益严重</w:t>
      </w:r>
      <w:r>
        <w:rPr>
          <w:rFonts w:hint="default" w:ascii="Times New Roman" w:hAnsi="Times New Roman" w:eastAsia="宋体" w:cs="Times New Roman"/>
          <w:color w:val="auto"/>
          <w:highlight w:val="none"/>
        </w:rPr>
        <w:t>。</w:t>
      </w:r>
    </w:p>
    <w:p w14:paraId="126FB293">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lang w:eastAsia="zh-CN"/>
        </w:rPr>
      </w:pPr>
      <w:bookmarkStart w:id="328" w:name="_Toc4241"/>
      <w:bookmarkStart w:id="329" w:name="_Toc18365"/>
      <w:bookmarkStart w:id="330" w:name="_Toc276105879"/>
      <w:bookmarkStart w:id="331" w:name="_Toc276333587"/>
      <w:bookmarkStart w:id="332" w:name="_Toc4343"/>
      <w:bookmarkStart w:id="333" w:name="_Toc28193"/>
      <w:bookmarkStart w:id="334" w:name="_Toc3373"/>
      <w:bookmarkStart w:id="335" w:name="_Toc528328471"/>
      <w:bookmarkStart w:id="336" w:name="_Toc32004"/>
      <w:r>
        <w:rPr>
          <w:rFonts w:hint="default" w:ascii="Times New Roman" w:hAnsi="Times New Roman" w:eastAsia="宋体" w:cs="Times New Roman"/>
          <w:color w:val="auto"/>
          <w:highlight w:val="none"/>
        </w:rPr>
        <w:t>4.1.</w:t>
      </w:r>
      <w:r>
        <w:rPr>
          <w:rFonts w:hint="default" w:ascii="Times New Roman" w:hAnsi="Times New Roman" w:eastAsia="宋体" w:cs="Times New Roman"/>
          <w:color w:val="auto"/>
          <w:highlight w:val="none"/>
          <w:lang w:val="en-US" w:eastAsia="zh-CN"/>
        </w:rPr>
        <w:t>5动植物及</w:t>
      </w:r>
      <w:r>
        <w:rPr>
          <w:rFonts w:hint="default" w:ascii="Times New Roman" w:hAnsi="Times New Roman" w:eastAsia="宋体" w:cs="Times New Roman"/>
          <w:color w:val="auto"/>
          <w:highlight w:val="none"/>
        </w:rPr>
        <w:t>土壤</w:t>
      </w:r>
      <w:bookmarkEnd w:id="328"/>
      <w:bookmarkEnd w:id="329"/>
      <w:bookmarkEnd w:id="330"/>
      <w:bookmarkEnd w:id="331"/>
      <w:bookmarkEnd w:id="332"/>
      <w:bookmarkEnd w:id="333"/>
      <w:bookmarkEnd w:id="334"/>
      <w:bookmarkEnd w:id="335"/>
      <w:bookmarkEnd w:id="336"/>
    </w:p>
    <w:p w14:paraId="61614D1D">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337" w:name="_Toc148690295"/>
      <w:r>
        <w:rPr>
          <w:rFonts w:hint="default" w:ascii="Times New Roman" w:hAnsi="Times New Roman" w:eastAsia="宋体" w:cs="Times New Roman"/>
          <w:color w:val="auto"/>
          <w:highlight w:val="none"/>
        </w:rPr>
        <w:t>乌五原县是著名的“葵花之乡”，黄河边有万亩葵花连片种植的独特景观，此外盛产小麦、甜菜、籽瓜、优质牧草，已经形成了规模化的生产基地。畜牧业方面大力发展牛、羊产业。河神湖景区岸边和湖心遍布芦苇，春夏一片碧绿、秋冬芦花飞扬。栖息在此的有野鸭、鹭鸶、沙鹅、鹰、鹳等二十多种鸟类，湖里盛产鲤鱼。沙地长有沙棘、红柳、沙枣等当地植被，并有沙地蜥蜴等动物。</w:t>
      </w:r>
    </w:p>
    <w:p w14:paraId="43C91C08">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五原县土壤类型可划分为灌淤土、盐土、碱土、风沙土、草甸土5个土类、8个亚类、26个土属、268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w:t>
      </w:r>
      <w:r>
        <w:rPr>
          <w:rFonts w:hint="default" w:ascii="Times New Roman" w:hAnsi="Times New Roman" w:eastAsia="宋体" w:cs="Times New Roman"/>
          <w:color w:val="auto"/>
          <w:highlight w:val="none"/>
          <w:lang w:eastAsia="zh-CN"/>
        </w:rPr>
        <w:t>生产</w:t>
      </w:r>
      <w:r>
        <w:rPr>
          <w:rFonts w:hint="default" w:ascii="Times New Roman" w:hAnsi="Times New Roman" w:eastAsia="宋体" w:cs="Times New Roman"/>
          <w:color w:val="auto"/>
          <w:highlight w:val="none"/>
        </w:rPr>
        <w:t>基地和天然牧草场。</w:t>
      </w:r>
    </w:p>
    <w:bookmarkEnd w:id="337"/>
    <w:p w14:paraId="12FF93D0">
      <w:pPr>
        <w:pStyle w:val="4"/>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38" w:name="_Toc29826"/>
      <w:r>
        <w:rPr>
          <w:rFonts w:hint="default" w:ascii="Times New Roman" w:hAnsi="Times New Roman" w:eastAsia="宋体" w:cs="Times New Roman"/>
          <w:color w:val="auto"/>
          <w:highlight w:val="none"/>
        </w:rPr>
        <w:t>4.2环境质量现状调查与评价</w:t>
      </w:r>
      <w:bookmarkEnd w:id="338"/>
    </w:p>
    <w:p w14:paraId="03CD21EE">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39" w:name="_Toc12614"/>
      <w:r>
        <w:rPr>
          <w:rFonts w:hint="default" w:ascii="Times New Roman" w:hAnsi="Times New Roman" w:eastAsia="宋体" w:cs="Times New Roman"/>
          <w:color w:val="auto"/>
          <w:highlight w:val="none"/>
        </w:rPr>
        <w:t>4.2.1环境空气质量现状</w:t>
      </w:r>
      <w:bookmarkEnd w:id="339"/>
    </w:p>
    <w:p w14:paraId="720FCC14">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4.2.1.1区域空气环境达标区判定</w:t>
      </w:r>
    </w:p>
    <w:p w14:paraId="1E9F8E11">
      <w:pPr>
        <w:keepNext w:val="0"/>
        <w:keepLines w:val="0"/>
        <w:pageBreakBefore w:val="0"/>
        <w:widowControl w:val="0"/>
        <w:suppressLineNumbers w:val="0"/>
        <w:shd w:val="clear"/>
        <w:kinsoku/>
        <w:wordWrap/>
        <w:overflowPunct/>
        <w:topLinePunct w:val="0"/>
        <w:autoSpaceDE/>
        <w:autoSpaceDN/>
        <w:bidi w:val="0"/>
        <w:adjustRightInd/>
        <w:snapToGrid w:val="0"/>
        <w:spacing w:beforeAutospacing="0" w:afterAutospacing="0"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bookmarkStart w:id="340" w:name="_Toc326843504"/>
      <w:bookmarkStart w:id="341" w:name="_Toc300647740"/>
      <w:bookmarkStart w:id="342" w:name="_Toc346715577"/>
      <w:bookmarkStart w:id="343" w:name="_Toc312653499"/>
      <w:bookmarkStart w:id="344" w:name="_Toc304627265"/>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eastAsia="zh-CN"/>
        </w:rPr>
        <w:t>环境影响评价技术导则</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大气环境》（HJ2.2-2018）中6.4.1.1中的内容“城市环境空气质量达标评价指标为SO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，六项污染物全部达标即为城市环境空气质量达标”。</w:t>
      </w:r>
    </w:p>
    <w:p w14:paraId="48F49271">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rPr>
        <w:t>本项目环境质量现状数据来源于</w:t>
      </w:r>
      <w:r>
        <w:rPr>
          <w:rFonts w:hint="default" w:ascii="Times New Roman" w:hAnsi="Times New Roman" w:eastAsia="宋体" w:cs="Times New Roman"/>
          <w:color w:val="auto"/>
          <w:kern w:val="0"/>
          <w:sz w:val="24"/>
          <w:szCs w:val="24"/>
          <w:highlight w:val="none"/>
          <w:lang w:eastAsia="zh-CN"/>
        </w:rPr>
        <w:t>《巴彦淖尔市环境质量状况公报（202</w:t>
      </w: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eastAsia="zh-CN"/>
        </w:rPr>
        <w:t>年）》</w:t>
      </w:r>
      <w:r>
        <w:rPr>
          <w:rFonts w:hint="default" w:ascii="Times New Roman" w:hAnsi="Times New Roman" w:eastAsia="宋体" w:cs="Times New Roman"/>
          <w:color w:val="auto"/>
          <w:kern w:val="0"/>
          <w:sz w:val="24"/>
          <w:szCs w:val="24"/>
          <w:highlight w:val="none"/>
        </w:rPr>
        <w:t>中的内容，内蒙古巴彦淖尔市</w:t>
      </w:r>
      <w:r>
        <w:rPr>
          <w:rFonts w:hint="default" w:ascii="Times New Roman" w:hAnsi="Times New Roman" w:eastAsia="宋体" w:cs="Times New Roman"/>
          <w:color w:val="auto"/>
          <w:kern w:val="0"/>
          <w:sz w:val="24"/>
          <w:szCs w:val="24"/>
          <w:highlight w:val="none"/>
          <w:lang w:val="en-US" w:eastAsia="zh-CN"/>
        </w:rPr>
        <w:t>五原县</w:t>
      </w:r>
      <w:r>
        <w:rPr>
          <w:rFonts w:hint="default" w:ascii="Times New Roman" w:hAnsi="Times New Roman" w:eastAsia="宋体"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lang w:val="en-US" w:eastAsia="zh-CN"/>
        </w:rPr>
        <w:t>23</w:t>
      </w:r>
      <w:r>
        <w:rPr>
          <w:rFonts w:hint="default" w:ascii="Times New Roman" w:hAnsi="Times New Roman" w:eastAsia="宋体" w:cs="Times New Roman"/>
          <w:color w:val="auto"/>
          <w:kern w:val="0"/>
          <w:sz w:val="24"/>
          <w:szCs w:val="24"/>
          <w:highlight w:val="none"/>
        </w:rPr>
        <w:t>年六项污染物</w:t>
      </w:r>
      <w:r>
        <w:rPr>
          <w:rFonts w:hint="default" w:ascii="Times New Roman" w:hAnsi="Times New Roman" w:eastAsia="宋体" w:cs="Times New Roman"/>
          <w:color w:val="auto"/>
          <w:kern w:val="0"/>
          <w:sz w:val="24"/>
          <w:szCs w:val="24"/>
          <w:highlight w:val="none"/>
          <w:lang w:eastAsia="zh-CN"/>
        </w:rPr>
        <w:t>环境质量数据见下表</w:t>
      </w:r>
      <w:r>
        <w:rPr>
          <w:rFonts w:hint="default" w:ascii="Times New Roman" w:hAnsi="Times New Roman" w:eastAsia="宋体" w:cs="Times New Roman"/>
          <w:color w:val="auto"/>
          <w:highlight w:val="none"/>
        </w:rPr>
        <w:t>。</w:t>
      </w:r>
    </w:p>
    <w:p w14:paraId="7A9955F2">
      <w:pPr>
        <w:pageBreakBefore w:val="0"/>
        <w:widowControl w:val="0"/>
        <w:shd w:val="clear"/>
        <w:kinsoku/>
        <w:wordWrap/>
        <w:overflowPunct/>
        <w:autoSpaceDN/>
        <w:bidi w:val="0"/>
        <w:adjustRightInd/>
        <w:snapToGrid w:val="0"/>
        <w:spacing w:line="360" w:lineRule="auto"/>
        <w:ind w:left="0" w:leftChars="0" w:right="0" w:rightChars="0" w:firstLine="482"/>
        <w:jc w:val="center"/>
        <w:textAlignment w:val="auto"/>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表4.2-1</w:t>
      </w:r>
      <w:r>
        <w:rPr>
          <w:rFonts w:hint="default" w:ascii="Times New Roman" w:hAnsi="Times New Roman" w:eastAsia="宋体" w:cs="Times New Roman"/>
          <w:b/>
          <w:color w:val="auto"/>
          <w:highlight w:val="none"/>
          <w:lang w:val="en-US" w:eastAsia="zh-CN"/>
        </w:rPr>
        <w:t xml:space="preserve">  </w:t>
      </w:r>
      <w:r>
        <w:rPr>
          <w:rFonts w:hint="default" w:ascii="Times New Roman" w:hAnsi="Times New Roman" w:eastAsia="宋体" w:cs="Times New Roman"/>
          <w:b/>
          <w:color w:val="auto"/>
          <w:highlight w:val="none"/>
        </w:rPr>
        <w:t>区域空气质量现状评价表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795"/>
        <w:gridCol w:w="2447"/>
        <w:gridCol w:w="1287"/>
        <w:gridCol w:w="1334"/>
        <w:gridCol w:w="1332"/>
        <w:gridCol w:w="1082"/>
      </w:tblGrid>
      <w:tr w14:paraId="1793F2E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311479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2447" w:type="dxa"/>
            <w:tcBorders>
              <w:top w:val="single" w:color="auto" w:sz="4" w:space="0"/>
              <w:left w:val="single" w:color="auto" w:sz="4" w:space="0"/>
              <w:bottom w:val="single" w:color="auto" w:sz="4" w:space="0"/>
              <w:right w:val="single" w:color="auto" w:sz="4" w:space="0"/>
            </w:tcBorders>
            <w:vAlign w:val="center"/>
          </w:tcPr>
          <w:p w14:paraId="46C16C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年评价指标</w:t>
            </w:r>
          </w:p>
        </w:tc>
        <w:tc>
          <w:tcPr>
            <w:tcW w:w="1287" w:type="dxa"/>
            <w:tcBorders>
              <w:top w:val="single" w:color="auto" w:sz="4" w:space="0"/>
              <w:left w:val="single" w:color="auto" w:sz="4" w:space="0"/>
              <w:bottom w:val="single" w:color="auto" w:sz="4" w:space="0"/>
              <w:right w:val="single" w:color="auto" w:sz="4" w:space="0"/>
            </w:tcBorders>
            <w:vAlign w:val="center"/>
          </w:tcPr>
          <w:p w14:paraId="2EDBBF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现状浓度</w:t>
            </w:r>
          </w:p>
          <w:p w14:paraId="022821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1334" w:type="dxa"/>
            <w:tcBorders>
              <w:top w:val="single" w:color="auto" w:sz="4" w:space="0"/>
              <w:left w:val="single" w:color="auto" w:sz="4" w:space="0"/>
              <w:bottom w:val="single" w:color="auto" w:sz="4" w:space="0"/>
              <w:right w:val="single" w:color="auto" w:sz="4" w:space="0"/>
            </w:tcBorders>
            <w:vAlign w:val="center"/>
          </w:tcPr>
          <w:p w14:paraId="5A7101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标准值</w:t>
            </w:r>
          </w:p>
          <w:p w14:paraId="114670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1332" w:type="dxa"/>
            <w:tcBorders>
              <w:top w:val="single" w:color="auto" w:sz="4" w:space="0"/>
              <w:left w:val="single" w:color="auto" w:sz="4" w:space="0"/>
              <w:bottom w:val="single" w:color="auto" w:sz="4" w:space="0"/>
              <w:right w:val="single" w:color="auto" w:sz="4" w:space="0"/>
            </w:tcBorders>
            <w:vAlign w:val="center"/>
          </w:tcPr>
          <w:p w14:paraId="2785B2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占标率（%）</w:t>
            </w:r>
          </w:p>
        </w:tc>
        <w:tc>
          <w:tcPr>
            <w:tcW w:w="1082" w:type="dxa"/>
            <w:tcBorders>
              <w:top w:val="single" w:color="auto" w:sz="4" w:space="0"/>
              <w:left w:val="single" w:color="auto" w:sz="4" w:space="0"/>
              <w:bottom w:val="single" w:color="auto" w:sz="4" w:space="0"/>
              <w:right w:val="single" w:color="auto" w:sz="4" w:space="0"/>
            </w:tcBorders>
            <w:vAlign w:val="center"/>
          </w:tcPr>
          <w:p w14:paraId="5E4DBD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达标情况</w:t>
            </w:r>
          </w:p>
        </w:tc>
      </w:tr>
      <w:tr w14:paraId="2A01637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125F8F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2447" w:type="dxa"/>
            <w:tcBorders>
              <w:top w:val="single" w:color="auto" w:sz="4" w:space="0"/>
              <w:left w:val="single" w:color="auto" w:sz="4" w:space="0"/>
              <w:bottom w:val="single" w:color="auto" w:sz="4" w:space="0"/>
              <w:right w:val="single" w:color="auto" w:sz="4" w:space="0"/>
            </w:tcBorders>
            <w:vAlign w:val="center"/>
          </w:tcPr>
          <w:p w14:paraId="7B6E30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287" w:type="dxa"/>
            <w:tcBorders>
              <w:top w:val="single" w:color="auto" w:sz="4" w:space="0"/>
              <w:left w:val="single" w:color="auto" w:sz="4" w:space="0"/>
              <w:bottom w:val="single" w:color="auto" w:sz="4" w:space="0"/>
              <w:right w:val="single" w:color="auto" w:sz="4" w:space="0"/>
            </w:tcBorders>
            <w:vAlign w:val="center"/>
          </w:tcPr>
          <w:p w14:paraId="60A507F7">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w:t>
            </w:r>
          </w:p>
        </w:tc>
        <w:tc>
          <w:tcPr>
            <w:tcW w:w="1334" w:type="dxa"/>
            <w:tcBorders>
              <w:top w:val="single" w:color="auto" w:sz="4" w:space="0"/>
              <w:left w:val="single" w:color="auto" w:sz="4" w:space="0"/>
              <w:bottom w:val="single" w:color="auto" w:sz="4" w:space="0"/>
              <w:right w:val="single" w:color="auto" w:sz="4" w:space="0"/>
            </w:tcBorders>
            <w:vAlign w:val="center"/>
          </w:tcPr>
          <w:p w14:paraId="5EEDC80D">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60</w:t>
            </w:r>
          </w:p>
        </w:tc>
        <w:tc>
          <w:tcPr>
            <w:tcW w:w="1332" w:type="dxa"/>
            <w:tcBorders>
              <w:top w:val="single" w:color="auto" w:sz="4" w:space="0"/>
              <w:left w:val="single" w:color="auto" w:sz="4" w:space="0"/>
              <w:bottom w:val="single" w:color="auto" w:sz="4" w:space="0"/>
              <w:right w:val="single" w:color="auto" w:sz="4" w:space="0"/>
            </w:tcBorders>
            <w:vAlign w:val="center"/>
          </w:tcPr>
          <w:p w14:paraId="11490CB7">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18.3</w:t>
            </w:r>
          </w:p>
        </w:tc>
        <w:tc>
          <w:tcPr>
            <w:tcW w:w="1082" w:type="dxa"/>
            <w:tcBorders>
              <w:top w:val="single" w:color="auto" w:sz="4" w:space="0"/>
              <w:left w:val="single" w:color="auto" w:sz="4" w:space="0"/>
              <w:bottom w:val="single" w:color="auto" w:sz="4" w:space="0"/>
              <w:right w:val="single" w:color="auto" w:sz="4" w:space="0"/>
            </w:tcBorders>
            <w:vAlign w:val="center"/>
          </w:tcPr>
          <w:p w14:paraId="7B7930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58736D0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36D760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2447" w:type="dxa"/>
            <w:tcBorders>
              <w:top w:val="single" w:color="auto" w:sz="4" w:space="0"/>
              <w:left w:val="single" w:color="auto" w:sz="4" w:space="0"/>
              <w:bottom w:val="single" w:color="auto" w:sz="4" w:space="0"/>
              <w:right w:val="single" w:color="auto" w:sz="4" w:space="0"/>
            </w:tcBorders>
            <w:vAlign w:val="center"/>
          </w:tcPr>
          <w:p w14:paraId="57A85A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287" w:type="dxa"/>
            <w:tcBorders>
              <w:top w:val="single" w:color="auto" w:sz="4" w:space="0"/>
              <w:left w:val="single" w:color="auto" w:sz="4" w:space="0"/>
              <w:bottom w:val="single" w:color="auto" w:sz="4" w:space="0"/>
              <w:right w:val="single" w:color="auto" w:sz="4" w:space="0"/>
            </w:tcBorders>
            <w:vAlign w:val="center"/>
          </w:tcPr>
          <w:p w14:paraId="50FA9031">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23</w:t>
            </w:r>
          </w:p>
        </w:tc>
        <w:tc>
          <w:tcPr>
            <w:tcW w:w="1334" w:type="dxa"/>
            <w:tcBorders>
              <w:top w:val="single" w:color="auto" w:sz="4" w:space="0"/>
              <w:left w:val="single" w:color="auto" w:sz="4" w:space="0"/>
              <w:bottom w:val="single" w:color="auto" w:sz="4" w:space="0"/>
              <w:right w:val="single" w:color="auto" w:sz="4" w:space="0"/>
            </w:tcBorders>
            <w:vAlign w:val="center"/>
          </w:tcPr>
          <w:p w14:paraId="351E1190">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40</w:t>
            </w:r>
          </w:p>
        </w:tc>
        <w:tc>
          <w:tcPr>
            <w:tcW w:w="1332" w:type="dxa"/>
            <w:tcBorders>
              <w:top w:val="single" w:color="auto" w:sz="4" w:space="0"/>
              <w:left w:val="single" w:color="auto" w:sz="4" w:space="0"/>
              <w:bottom w:val="single" w:color="auto" w:sz="4" w:space="0"/>
              <w:right w:val="single" w:color="auto" w:sz="4" w:space="0"/>
            </w:tcBorders>
            <w:vAlign w:val="center"/>
          </w:tcPr>
          <w:p w14:paraId="7F159FAC">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57.5</w:t>
            </w:r>
          </w:p>
        </w:tc>
        <w:tc>
          <w:tcPr>
            <w:tcW w:w="1082" w:type="dxa"/>
            <w:tcBorders>
              <w:top w:val="single" w:color="auto" w:sz="4" w:space="0"/>
              <w:left w:val="single" w:color="auto" w:sz="4" w:space="0"/>
              <w:bottom w:val="single" w:color="auto" w:sz="4" w:space="0"/>
              <w:right w:val="single" w:color="auto" w:sz="4" w:space="0"/>
            </w:tcBorders>
            <w:vAlign w:val="center"/>
          </w:tcPr>
          <w:p w14:paraId="501016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4EB9919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613A67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2447" w:type="dxa"/>
            <w:tcBorders>
              <w:top w:val="single" w:color="auto" w:sz="4" w:space="0"/>
              <w:left w:val="single" w:color="auto" w:sz="4" w:space="0"/>
              <w:bottom w:val="single" w:color="auto" w:sz="4" w:space="0"/>
              <w:right w:val="single" w:color="auto" w:sz="4" w:space="0"/>
            </w:tcBorders>
            <w:vAlign w:val="center"/>
          </w:tcPr>
          <w:p w14:paraId="18C5F5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287" w:type="dxa"/>
            <w:tcBorders>
              <w:top w:val="single" w:color="auto" w:sz="4" w:space="0"/>
              <w:left w:val="single" w:color="auto" w:sz="4" w:space="0"/>
              <w:bottom w:val="single" w:color="auto" w:sz="4" w:space="0"/>
              <w:right w:val="single" w:color="auto" w:sz="4" w:space="0"/>
            </w:tcBorders>
            <w:vAlign w:val="center"/>
          </w:tcPr>
          <w:p w14:paraId="5DFB9A37">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c>
          <w:tcPr>
            <w:tcW w:w="1334" w:type="dxa"/>
            <w:tcBorders>
              <w:top w:val="single" w:color="auto" w:sz="4" w:space="0"/>
              <w:left w:val="single" w:color="auto" w:sz="4" w:space="0"/>
              <w:bottom w:val="single" w:color="auto" w:sz="4" w:space="0"/>
              <w:right w:val="single" w:color="auto" w:sz="4" w:space="0"/>
            </w:tcBorders>
            <w:vAlign w:val="center"/>
          </w:tcPr>
          <w:p w14:paraId="2352C71A">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70</w:t>
            </w:r>
          </w:p>
        </w:tc>
        <w:tc>
          <w:tcPr>
            <w:tcW w:w="1332" w:type="dxa"/>
            <w:tcBorders>
              <w:top w:val="single" w:color="auto" w:sz="4" w:space="0"/>
              <w:left w:val="single" w:color="auto" w:sz="4" w:space="0"/>
              <w:bottom w:val="single" w:color="auto" w:sz="4" w:space="0"/>
              <w:right w:val="single" w:color="auto" w:sz="4" w:space="0"/>
            </w:tcBorders>
            <w:vAlign w:val="center"/>
          </w:tcPr>
          <w:p w14:paraId="705BA8A6">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85.7</w:t>
            </w:r>
          </w:p>
        </w:tc>
        <w:tc>
          <w:tcPr>
            <w:tcW w:w="1082" w:type="dxa"/>
            <w:tcBorders>
              <w:top w:val="single" w:color="auto" w:sz="4" w:space="0"/>
              <w:left w:val="single" w:color="auto" w:sz="4" w:space="0"/>
              <w:bottom w:val="single" w:color="auto" w:sz="4" w:space="0"/>
              <w:right w:val="single" w:color="auto" w:sz="4" w:space="0"/>
            </w:tcBorders>
            <w:vAlign w:val="center"/>
          </w:tcPr>
          <w:p w14:paraId="417E76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C579F5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1FC413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2447" w:type="dxa"/>
            <w:tcBorders>
              <w:top w:val="single" w:color="auto" w:sz="4" w:space="0"/>
              <w:left w:val="single" w:color="auto" w:sz="4" w:space="0"/>
              <w:bottom w:val="single" w:color="auto" w:sz="4" w:space="0"/>
              <w:right w:val="single" w:color="auto" w:sz="4" w:space="0"/>
            </w:tcBorders>
            <w:vAlign w:val="center"/>
          </w:tcPr>
          <w:p w14:paraId="7E50FD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287" w:type="dxa"/>
            <w:tcBorders>
              <w:top w:val="single" w:color="auto" w:sz="4" w:space="0"/>
              <w:left w:val="single" w:color="auto" w:sz="4" w:space="0"/>
              <w:bottom w:val="single" w:color="auto" w:sz="4" w:space="0"/>
              <w:right w:val="single" w:color="auto" w:sz="4" w:space="0"/>
            </w:tcBorders>
            <w:vAlign w:val="center"/>
          </w:tcPr>
          <w:p w14:paraId="76D60674">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1334" w:type="dxa"/>
            <w:tcBorders>
              <w:top w:val="single" w:color="auto" w:sz="4" w:space="0"/>
              <w:left w:val="single" w:color="auto" w:sz="4" w:space="0"/>
              <w:bottom w:val="single" w:color="auto" w:sz="4" w:space="0"/>
              <w:right w:val="single" w:color="auto" w:sz="4" w:space="0"/>
            </w:tcBorders>
            <w:vAlign w:val="center"/>
          </w:tcPr>
          <w:p w14:paraId="3DEF435D">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35</w:t>
            </w:r>
          </w:p>
        </w:tc>
        <w:tc>
          <w:tcPr>
            <w:tcW w:w="1332" w:type="dxa"/>
            <w:tcBorders>
              <w:top w:val="single" w:color="auto" w:sz="4" w:space="0"/>
              <w:left w:val="single" w:color="auto" w:sz="4" w:space="0"/>
              <w:bottom w:val="single" w:color="auto" w:sz="4" w:space="0"/>
              <w:right w:val="single" w:color="auto" w:sz="4" w:space="0"/>
            </w:tcBorders>
            <w:vAlign w:val="center"/>
          </w:tcPr>
          <w:p w14:paraId="5C3C215E">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71.4</w:t>
            </w:r>
          </w:p>
        </w:tc>
        <w:tc>
          <w:tcPr>
            <w:tcW w:w="1082" w:type="dxa"/>
            <w:tcBorders>
              <w:top w:val="single" w:color="auto" w:sz="4" w:space="0"/>
              <w:left w:val="single" w:color="auto" w:sz="4" w:space="0"/>
              <w:bottom w:val="single" w:color="auto" w:sz="4" w:space="0"/>
              <w:right w:val="single" w:color="auto" w:sz="4" w:space="0"/>
            </w:tcBorders>
            <w:vAlign w:val="center"/>
          </w:tcPr>
          <w:p w14:paraId="5A4243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FF399A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105ACE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2447" w:type="dxa"/>
            <w:tcBorders>
              <w:top w:val="single" w:color="auto" w:sz="4" w:space="0"/>
              <w:left w:val="single" w:color="auto" w:sz="4" w:space="0"/>
              <w:bottom w:val="single" w:color="auto" w:sz="4" w:space="0"/>
              <w:right w:val="single" w:color="auto" w:sz="4" w:space="0"/>
            </w:tcBorders>
            <w:vAlign w:val="center"/>
          </w:tcPr>
          <w:p w14:paraId="2B10DF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第90百分位数8小时平均</w:t>
            </w:r>
          </w:p>
        </w:tc>
        <w:tc>
          <w:tcPr>
            <w:tcW w:w="1287" w:type="dxa"/>
            <w:tcBorders>
              <w:top w:val="single" w:color="auto" w:sz="4" w:space="0"/>
              <w:left w:val="single" w:color="auto" w:sz="4" w:space="0"/>
              <w:bottom w:val="single" w:color="auto" w:sz="4" w:space="0"/>
              <w:right w:val="single" w:color="auto" w:sz="4" w:space="0"/>
            </w:tcBorders>
            <w:vAlign w:val="center"/>
          </w:tcPr>
          <w:p w14:paraId="2895ED63">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145</w:t>
            </w:r>
          </w:p>
        </w:tc>
        <w:tc>
          <w:tcPr>
            <w:tcW w:w="1334" w:type="dxa"/>
            <w:tcBorders>
              <w:top w:val="single" w:color="auto" w:sz="4" w:space="0"/>
              <w:left w:val="single" w:color="auto" w:sz="4" w:space="0"/>
              <w:bottom w:val="single" w:color="auto" w:sz="4" w:space="0"/>
              <w:right w:val="single" w:color="auto" w:sz="4" w:space="0"/>
            </w:tcBorders>
            <w:vAlign w:val="center"/>
          </w:tcPr>
          <w:p w14:paraId="62573350">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160</w:t>
            </w:r>
          </w:p>
        </w:tc>
        <w:tc>
          <w:tcPr>
            <w:tcW w:w="1332" w:type="dxa"/>
            <w:tcBorders>
              <w:top w:val="single" w:color="auto" w:sz="4" w:space="0"/>
              <w:left w:val="single" w:color="auto" w:sz="4" w:space="0"/>
              <w:bottom w:val="single" w:color="auto" w:sz="4" w:space="0"/>
              <w:right w:val="single" w:color="auto" w:sz="4" w:space="0"/>
            </w:tcBorders>
            <w:vAlign w:val="center"/>
          </w:tcPr>
          <w:p w14:paraId="3FC3E374">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90.6</w:t>
            </w:r>
          </w:p>
        </w:tc>
        <w:tc>
          <w:tcPr>
            <w:tcW w:w="1082" w:type="dxa"/>
            <w:tcBorders>
              <w:top w:val="single" w:color="auto" w:sz="4" w:space="0"/>
              <w:left w:val="single" w:color="auto" w:sz="4" w:space="0"/>
              <w:bottom w:val="single" w:color="auto" w:sz="4" w:space="0"/>
              <w:right w:val="single" w:color="auto" w:sz="4" w:space="0"/>
            </w:tcBorders>
            <w:vAlign w:val="center"/>
          </w:tcPr>
          <w:p w14:paraId="43CCBD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58DC93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vAlign w:val="center"/>
          </w:tcPr>
          <w:p w14:paraId="1B78D8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2447" w:type="dxa"/>
            <w:tcBorders>
              <w:top w:val="single" w:color="auto" w:sz="4" w:space="0"/>
              <w:left w:val="single" w:color="auto" w:sz="4" w:space="0"/>
              <w:bottom w:val="single" w:color="auto" w:sz="4" w:space="0"/>
              <w:right w:val="single" w:color="auto" w:sz="4" w:space="0"/>
            </w:tcBorders>
            <w:vAlign w:val="center"/>
          </w:tcPr>
          <w:p w14:paraId="7C5689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第95百分位数日平均</w:t>
            </w:r>
          </w:p>
        </w:tc>
        <w:tc>
          <w:tcPr>
            <w:tcW w:w="1287" w:type="dxa"/>
            <w:tcBorders>
              <w:top w:val="single" w:color="auto" w:sz="4" w:space="0"/>
              <w:left w:val="single" w:color="auto" w:sz="4" w:space="0"/>
              <w:bottom w:val="single" w:color="auto" w:sz="4" w:space="0"/>
              <w:right w:val="single" w:color="auto" w:sz="4" w:space="0"/>
            </w:tcBorders>
            <w:vAlign w:val="center"/>
          </w:tcPr>
          <w:p w14:paraId="5E5303E7">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1500</w:t>
            </w:r>
          </w:p>
        </w:tc>
        <w:tc>
          <w:tcPr>
            <w:tcW w:w="1334" w:type="dxa"/>
            <w:tcBorders>
              <w:top w:val="single" w:color="auto" w:sz="4" w:space="0"/>
              <w:left w:val="single" w:color="auto" w:sz="4" w:space="0"/>
              <w:bottom w:val="single" w:color="auto" w:sz="4" w:space="0"/>
              <w:right w:val="single" w:color="auto" w:sz="4" w:space="0"/>
            </w:tcBorders>
            <w:vAlign w:val="center"/>
          </w:tcPr>
          <w:p w14:paraId="350DAA13">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4000</w:t>
            </w:r>
          </w:p>
        </w:tc>
        <w:tc>
          <w:tcPr>
            <w:tcW w:w="1332" w:type="dxa"/>
            <w:tcBorders>
              <w:top w:val="single" w:color="auto" w:sz="4" w:space="0"/>
              <w:left w:val="single" w:color="auto" w:sz="4" w:space="0"/>
              <w:bottom w:val="single" w:color="auto" w:sz="4" w:space="0"/>
              <w:right w:val="single" w:color="auto" w:sz="4" w:space="0"/>
            </w:tcBorders>
            <w:vAlign w:val="center"/>
          </w:tcPr>
          <w:p w14:paraId="4B6BE11E">
            <w:pPr>
              <w:keepNext w:val="0"/>
              <w:keepLines w:val="0"/>
              <w:pageBreakBefore w:val="0"/>
              <w:widowControl w:val="0"/>
              <w:shd w:val="clear"/>
              <w:kinsoku/>
              <w:wordWrap/>
              <w:overflowPunct/>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37.5</w:t>
            </w:r>
          </w:p>
        </w:tc>
        <w:tc>
          <w:tcPr>
            <w:tcW w:w="1082" w:type="dxa"/>
            <w:tcBorders>
              <w:top w:val="single" w:color="auto" w:sz="4" w:space="0"/>
              <w:left w:val="single" w:color="auto" w:sz="4" w:space="0"/>
              <w:bottom w:val="single" w:color="auto" w:sz="4" w:space="0"/>
              <w:right w:val="single" w:color="auto" w:sz="4" w:space="0"/>
            </w:tcBorders>
            <w:vAlign w:val="center"/>
          </w:tcPr>
          <w:p w14:paraId="7FD660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bookmarkEnd w:id="340"/>
      <w:bookmarkEnd w:id="341"/>
      <w:bookmarkEnd w:id="342"/>
      <w:bookmarkEnd w:id="343"/>
      <w:bookmarkEnd w:id="344"/>
    </w:tbl>
    <w:p w14:paraId="5E9638C4">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从上表可以看出，</w:t>
      </w:r>
      <w:r>
        <w:rPr>
          <w:rFonts w:hint="default" w:ascii="Times New Roman" w:hAnsi="Times New Roman" w:eastAsia="宋体" w:cs="Times New Roman"/>
          <w:color w:val="auto"/>
          <w:kern w:val="0"/>
          <w:sz w:val="24"/>
          <w:szCs w:val="24"/>
          <w:highlight w:val="none"/>
          <w:lang w:eastAsia="zh-CN"/>
        </w:rPr>
        <w:t>巴彦淖尔市五原县</w:t>
      </w:r>
      <w:r>
        <w:rPr>
          <w:rFonts w:hint="default" w:ascii="Times New Roman" w:hAnsi="Times New Roman" w:eastAsia="宋体" w:cs="Times New Roman"/>
          <w:color w:val="auto"/>
          <w:kern w:val="0"/>
          <w:sz w:val="24"/>
          <w:szCs w:val="24"/>
          <w:highlight w:val="none"/>
          <w:lang w:val="en-US" w:eastAsia="zh-CN"/>
        </w:rPr>
        <w:t>2023年大气环境中6项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由此可判断本项目所在地为达标区</w:t>
      </w:r>
      <w:r>
        <w:rPr>
          <w:rFonts w:hint="default" w:ascii="Times New Roman" w:hAnsi="Times New Roman" w:eastAsia="宋体" w:cs="Times New Roman"/>
          <w:color w:val="auto"/>
          <w:highlight w:val="none"/>
        </w:rPr>
        <w:t>。</w:t>
      </w:r>
    </w:p>
    <w:p w14:paraId="3C21FA96">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4.2.1.2其他污染物补充监测</w:t>
      </w:r>
    </w:p>
    <w:p w14:paraId="614EA8D1">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大气环境》（HJ2.2-2018）6.3条要求，本次评价对其他污染物HN</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S、TSP进行补充监测。</w:t>
      </w:r>
    </w:p>
    <w:p w14:paraId="7B9F8C9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1、监测点位</w:t>
      </w:r>
    </w:p>
    <w:p w14:paraId="32ACED4C">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根据建设项目所在</w:t>
      </w:r>
      <w:r>
        <w:rPr>
          <w:rFonts w:hint="default"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具体位置、当地气象、地形和环境功能等因素，按《</w:t>
      </w:r>
      <w:r>
        <w:rPr>
          <w:rFonts w:hint="default" w:ascii="Times New Roman" w:hAnsi="Times New Roman" w:eastAsia="宋体" w:cs="Times New Roman"/>
          <w:color w:val="auto"/>
          <w:highlight w:val="none"/>
          <w:lang w:eastAsia="zh-CN"/>
        </w:rPr>
        <w:t>环境影响评价技术导则 大气环境</w:t>
      </w:r>
      <w:r>
        <w:rPr>
          <w:rFonts w:hint="default" w:ascii="Times New Roman" w:hAnsi="Times New Roman" w:eastAsia="宋体" w:cs="Times New Roman"/>
          <w:color w:val="auto"/>
          <w:highlight w:val="none"/>
        </w:rPr>
        <w:t>》（HJ2.2-2018）的要求，主要考虑建设项目厂址对周围敏感区域大气环境质量的影响，</w:t>
      </w:r>
      <w:r>
        <w:rPr>
          <w:rFonts w:hint="default" w:ascii="Times New Roman" w:hAnsi="Times New Roman" w:eastAsia="宋体" w:cs="Times New Roman"/>
          <w:color w:val="auto"/>
          <w:highlight w:val="none"/>
          <w:lang w:eastAsia="zh-CN"/>
        </w:rPr>
        <w:t>在拟建厂区内</w:t>
      </w:r>
      <w:r>
        <w:rPr>
          <w:rFonts w:hint="default" w:ascii="Times New Roman" w:hAnsi="Times New Roman" w:eastAsia="宋体" w:cs="Times New Roman"/>
          <w:color w:val="auto"/>
          <w:highlight w:val="none"/>
        </w:rPr>
        <w:t>设置1个监测点，详见表4.2-2，如图4.2-1所示。</w:t>
      </w:r>
    </w:p>
    <w:p w14:paraId="38C6512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z w:val="24"/>
          <w:szCs w:val="24"/>
          <w:highlight w:val="none"/>
        </w:rPr>
        <w:t>表4.2-2</w:t>
      </w:r>
      <w:r>
        <w:rPr>
          <w:rFonts w:hint="default" w:ascii="Times New Roman" w:hAnsi="Times New Roman" w:eastAsia="宋体" w:cs="Times New Roman"/>
          <w:snapToGrid w:val="0"/>
          <w:color w:val="auto"/>
          <w:sz w:val="24"/>
          <w:szCs w:val="24"/>
          <w:highlight w:val="none"/>
          <w:lang w:val="en-US" w:eastAsia="zh-CN"/>
        </w:rPr>
        <w:t xml:space="preserve">  </w:t>
      </w:r>
      <w:r>
        <w:rPr>
          <w:rFonts w:hint="default" w:ascii="Times New Roman" w:hAnsi="Times New Roman" w:eastAsia="宋体" w:cs="Times New Roman"/>
          <w:snapToGrid w:val="0"/>
          <w:color w:val="auto"/>
          <w:sz w:val="24"/>
          <w:szCs w:val="24"/>
          <w:highlight w:val="none"/>
        </w:rPr>
        <w:t>环境空气质量现状补充监测布点表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54"/>
        <w:gridCol w:w="1655"/>
        <w:gridCol w:w="1656"/>
        <w:gridCol w:w="1656"/>
        <w:gridCol w:w="1656"/>
      </w:tblGrid>
      <w:tr w14:paraId="1407DA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00" w:type="dxa"/>
            <w:vMerge w:val="restart"/>
            <w:tcBorders>
              <w:top w:val="single" w:color="auto" w:sz="4" w:space="0"/>
              <w:left w:val="single" w:color="auto" w:sz="4" w:space="0"/>
              <w:bottom w:val="single" w:color="auto" w:sz="4" w:space="0"/>
              <w:right w:val="single" w:color="auto" w:sz="4" w:space="0"/>
            </w:tcBorders>
            <w:vAlign w:val="center"/>
          </w:tcPr>
          <w:p w14:paraId="33593B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监测点位名称</w:t>
            </w:r>
          </w:p>
        </w:tc>
        <w:tc>
          <w:tcPr>
            <w:tcW w:w="1800" w:type="dxa"/>
            <w:vMerge w:val="restart"/>
            <w:tcBorders>
              <w:top w:val="single" w:color="auto" w:sz="4" w:space="0"/>
              <w:left w:val="single" w:color="auto" w:sz="4" w:space="0"/>
              <w:bottom w:val="single" w:color="auto" w:sz="4" w:space="0"/>
              <w:right w:val="single" w:color="auto" w:sz="4" w:space="0"/>
            </w:tcBorders>
            <w:vAlign w:val="center"/>
          </w:tcPr>
          <w:p w14:paraId="61636E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监测因子</w:t>
            </w:r>
          </w:p>
        </w:tc>
        <w:tc>
          <w:tcPr>
            <w:tcW w:w="1801" w:type="dxa"/>
            <w:vMerge w:val="restart"/>
            <w:tcBorders>
              <w:top w:val="single" w:color="auto" w:sz="4" w:space="0"/>
              <w:left w:val="single" w:color="auto" w:sz="4" w:space="0"/>
              <w:bottom w:val="single" w:color="auto" w:sz="4" w:space="0"/>
              <w:right w:val="single" w:color="auto" w:sz="4" w:space="0"/>
            </w:tcBorders>
            <w:vAlign w:val="center"/>
          </w:tcPr>
          <w:p w14:paraId="6B9AE5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位置坐标</w:t>
            </w:r>
          </w:p>
        </w:tc>
        <w:tc>
          <w:tcPr>
            <w:tcW w:w="3602" w:type="dxa"/>
            <w:gridSpan w:val="2"/>
            <w:tcBorders>
              <w:top w:val="single" w:color="auto" w:sz="4" w:space="0"/>
              <w:left w:val="single" w:color="auto" w:sz="4" w:space="0"/>
              <w:bottom w:val="single" w:color="auto" w:sz="4" w:space="0"/>
              <w:right w:val="single" w:color="auto" w:sz="4" w:space="0"/>
            </w:tcBorders>
            <w:vAlign w:val="center"/>
          </w:tcPr>
          <w:p w14:paraId="32DA01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相对于厂址</w:t>
            </w:r>
          </w:p>
        </w:tc>
      </w:tr>
      <w:tr w14:paraId="0F6130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00" w:type="dxa"/>
            <w:vMerge w:val="continue"/>
            <w:tcBorders>
              <w:top w:val="single" w:color="auto" w:sz="4" w:space="0"/>
              <w:left w:val="single" w:color="auto" w:sz="4" w:space="0"/>
              <w:bottom w:val="single" w:color="auto" w:sz="4" w:space="0"/>
              <w:right w:val="single" w:color="auto" w:sz="4" w:space="0"/>
            </w:tcBorders>
            <w:vAlign w:val="center"/>
          </w:tcPr>
          <w:p w14:paraId="5E8B90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0818E0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7CBDE3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801" w:type="dxa"/>
            <w:tcBorders>
              <w:top w:val="single" w:color="auto" w:sz="4" w:space="0"/>
              <w:left w:val="single" w:color="auto" w:sz="4" w:space="0"/>
              <w:bottom w:val="single" w:color="auto" w:sz="4" w:space="0"/>
              <w:right w:val="single" w:color="auto" w:sz="4" w:space="0"/>
            </w:tcBorders>
            <w:vAlign w:val="center"/>
          </w:tcPr>
          <w:p w14:paraId="157A17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方位</w:t>
            </w:r>
          </w:p>
        </w:tc>
        <w:tc>
          <w:tcPr>
            <w:tcW w:w="1801" w:type="dxa"/>
            <w:tcBorders>
              <w:top w:val="single" w:color="auto" w:sz="4" w:space="0"/>
              <w:left w:val="single" w:color="auto" w:sz="4" w:space="0"/>
              <w:bottom w:val="single" w:color="auto" w:sz="4" w:space="0"/>
              <w:right w:val="single" w:color="auto" w:sz="4" w:space="0"/>
            </w:tcBorders>
            <w:vAlign w:val="center"/>
          </w:tcPr>
          <w:p w14:paraId="7B23DB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距离（km）</w:t>
            </w:r>
          </w:p>
        </w:tc>
      </w:tr>
      <w:tr w14:paraId="198513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00" w:type="dxa"/>
            <w:tcBorders>
              <w:top w:val="single" w:color="auto" w:sz="4" w:space="0"/>
              <w:left w:val="single" w:color="auto" w:sz="4" w:space="0"/>
              <w:bottom w:val="single" w:color="auto" w:sz="4" w:space="0"/>
              <w:right w:val="single" w:color="auto" w:sz="4" w:space="0"/>
            </w:tcBorders>
            <w:vAlign w:val="center"/>
          </w:tcPr>
          <w:p w14:paraId="08AFE2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新丰村三社</w:t>
            </w:r>
          </w:p>
        </w:tc>
        <w:tc>
          <w:tcPr>
            <w:tcW w:w="1800" w:type="dxa"/>
            <w:tcBorders>
              <w:top w:val="single" w:color="auto" w:sz="4" w:space="0"/>
              <w:left w:val="single" w:color="auto" w:sz="4" w:space="0"/>
              <w:bottom w:val="single" w:color="auto" w:sz="4" w:space="0"/>
              <w:right w:val="single" w:color="auto" w:sz="4" w:space="0"/>
            </w:tcBorders>
            <w:vAlign w:val="center"/>
          </w:tcPr>
          <w:p w14:paraId="420BE3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HN</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S、TSP</w:t>
            </w:r>
          </w:p>
        </w:tc>
        <w:tc>
          <w:tcPr>
            <w:tcW w:w="1801" w:type="dxa"/>
            <w:tcBorders>
              <w:top w:val="single" w:color="auto" w:sz="4" w:space="0"/>
              <w:left w:val="single" w:color="auto" w:sz="4" w:space="0"/>
              <w:bottom w:val="single" w:color="auto" w:sz="4" w:space="0"/>
              <w:right w:val="single" w:color="auto" w:sz="4" w:space="0"/>
            </w:tcBorders>
            <w:vAlign w:val="center"/>
          </w:tcPr>
          <w:p w14:paraId="767E99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N:41°3′55"</w:t>
            </w:r>
          </w:p>
          <w:p w14:paraId="279611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E:108°22′47"</w:t>
            </w:r>
          </w:p>
        </w:tc>
        <w:tc>
          <w:tcPr>
            <w:tcW w:w="1801" w:type="dxa"/>
            <w:tcBorders>
              <w:top w:val="single" w:color="auto" w:sz="4" w:space="0"/>
              <w:left w:val="single" w:color="auto" w:sz="4" w:space="0"/>
              <w:bottom w:val="single" w:color="auto" w:sz="4" w:space="0"/>
              <w:right w:val="single" w:color="auto" w:sz="4" w:space="0"/>
            </w:tcBorders>
            <w:vAlign w:val="center"/>
          </w:tcPr>
          <w:p w14:paraId="480072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西侧</w:t>
            </w:r>
          </w:p>
        </w:tc>
        <w:tc>
          <w:tcPr>
            <w:tcW w:w="1801" w:type="dxa"/>
            <w:tcBorders>
              <w:top w:val="single" w:color="auto" w:sz="4" w:space="0"/>
              <w:left w:val="single" w:color="auto" w:sz="4" w:space="0"/>
              <w:bottom w:val="single" w:color="auto" w:sz="4" w:space="0"/>
              <w:right w:val="single" w:color="auto" w:sz="4" w:space="0"/>
            </w:tcBorders>
            <w:vAlign w:val="center"/>
          </w:tcPr>
          <w:p w14:paraId="477071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w:t>
            </w:r>
          </w:p>
        </w:tc>
      </w:tr>
    </w:tbl>
    <w:p w14:paraId="4B02EE3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2、监测项目</w:t>
      </w:r>
    </w:p>
    <w:p w14:paraId="1232D4C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其他污染物：HN</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S、TSP</w:t>
      </w:r>
    </w:p>
    <w:p w14:paraId="2E13F12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同步观测风速、风向、气温、气压等常规气象参数。</w:t>
      </w:r>
    </w:p>
    <w:p w14:paraId="392E883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3、监测时间和监测频率</w:t>
      </w:r>
    </w:p>
    <w:p w14:paraId="1F2686A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H</w:t>
      </w:r>
      <w:r>
        <w:rPr>
          <w:rFonts w:hint="default" w:ascii="Times New Roman" w:hAnsi="Times New Roman" w:eastAsia="宋体" w:cs="Times New Roman"/>
          <w:color w:val="auto"/>
          <w:szCs w:val="24"/>
          <w:highlight w:val="none"/>
          <w:vertAlign w:val="subscript"/>
        </w:rPr>
        <w:t>2</w:t>
      </w:r>
      <w:r>
        <w:rPr>
          <w:rFonts w:hint="default" w:ascii="Times New Roman" w:hAnsi="Times New Roman" w:eastAsia="宋体" w:cs="Times New Roman"/>
          <w:color w:val="auto"/>
          <w:szCs w:val="24"/>
          <w:highlight w:val="none"/>
        </w:rPr>
        <w:t>S、NH</w:t>
      </w:r>
      <w:r>
        <w:rPr>
          <w:rFonts w:hint="default" w:ascii="Times New Roman" w:hAnsi="Times New Roman" w:eastAsia="宋体" w:cs="Times New Roman"/>
          <w:color w:val="auto"/>
          <w:szCs w:val="24"/>
          <w:highlight w:val="none"/>
          <w:vertAlign w:val="subscript"/>
        </w:rPr>
        <w:t>3</w:t>
      </w:r>
      <w:r>
        <w:rPr>
          <w:rFonts w:hint="default" w:ascii="Times New Roman" w:hAnsi="Times New Roman" w:eastAsia="宋体" w:cs="Times New Roman"/>
          <w:color w:val="auto"/>
          <w:szCs w:val="24"/>
          <w:highlight w:val="none"/>
        </w:rPr>
        <w:t>测小时均值，每天监测4次，每小时至少有45min的采样时间。</w:t>
      </w:r>
    </w:p>
    <w:p w14:paraId="24CC178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TSP</w:t>
      </w:r>
      <w:r>
        <w:rPr>
          <w:rFonts w:hint="default" w:ascii="Times New Roman" w:hAnsi="Times New Roman" w:eastAsia="宋体" w:cs="Times New Roman"/>
          <w:color w:val="auto"/>
          <w:szCs w:val="24"/>
          <w:highlight w:val="none"/>
        </w:rPr>
        <w:t>测</w:t>
      </w:r>
      <w:r>
        <w:rPr>
          <w:rFonts w:hint="default" w:ascii="Times New Roman" w:hAnsi="Times New Roman" w:eastAsia="宋体" w:cs="Times New Roman"/>
          <w:color w:val="auto"/>
          <w:szCs w:val="24"/>
          <w:highlight w:val="none"/>
          <w:lang w:val="en-US" w:eastAsia="zh-CN"/>
        </w:rPr>
        <w:t>24</w:t>
      </w:r>
      <w:r>
        <w:rPr>
          <w:rFonts w:hint="default" w:ascii="Times New Roman" w:hAnsi="Times New Roman" w:eastAsia="宋体" w:cs="Times New Roman"/>
          <w:color w:val="auto"/>
          <w:szCs w:val="24"/>
          <w:highlight w:val="none"/>
        </w:rPr>
        <w:t>小时均值，每天监测</w:t>
      </w:r>
      <w:r>
        <w:rPr>
          <w:rFonts w:hint="default" w:ascii="Times New Roman" w:hAnsi="Times New Roman" w:eastAsia="宋体" w:cs="Times New Roman"/>
          <w:color w:val="auto"/>
          <w:szCs w:val="24"/>
          <w:highlight w:val="none"/>
          <w:lang w:val="en-US" w:eastAsia="zh-CN"/>
        </w:rPr>
        <w:t>1</w:t>
      </w:r>
      <w:r>
        <w:rPr>
          <w:rFonts w:hint="default" w:ascii="Times New Roman" w:hAnsi="Times New Roman" w:eastAsia="宋体" w:cs="Times New Roman"/>
          <w:color w:val="auto"/>
          <w:szCs w:val="24"/>
          <w:highlight w:val="none"/>
        </w:rPr>
        <w:t>次，每</w:t>
      </w:r>
      <w:r>
        <w:rPr>
          <w:rFonts w:hint="default" w:ascii="Times New Roman" w:hAnsi="Times New Roman" w:eastAsia="宋体" w:cs="Times New Roman"/>
          <w:color w:val="auto"/>
          <w:szCs w:val="24"/>
          <w:highlight w:val="none"/>
          <w:lang w:eastAsia="zh-CN"/>
        </w:rPr>
        <w:t>天</w:t>
      </w:r>
      <w:r>
        <w:rPr>
          <w:rFonts w:hint="default" w:ascii="Times New Roman" w:hAnsi="Times New Roman" w:eastAsia="宋体" w:cs="Times New Roman"/>
          <w:color w:val="auto"/>
          <w:szCs w:val="24"/>
          <w:highlight w:val="none"/>
        </w:rPr>
        <w:t>至少有</w:t>
      </w:r>
      <w:r>
        <w:rPr>
          <w:rFonts w:hint="default" w:ascii="Times New Roman" w:hAnsi="Times New Roman" w:eastAsia="宋体" w:cs="Times New Roman"/>
          <w:color w:val="auto"/>
          <w:szCs w:val="24"/>
          <w:highlight w:val="none"/>
          <w:lang w:val="en-US" w:eastAsia="zh-CN"/>
        </w:rPr>
        <w:t>20h</w:t>
      </w:r>
      <w:r>
        <w:rPr>
          <w:rFonts w:hint="default" w:ascii="Times New Roman" w:hAnsi="Times New Roman" w:eastAsia="宋体" w:cs="Times New Roman"/>
          <w:color w:val="auto"/>
          <w:szCs w:val="24"/>
          <w:highlight w:val="none"/>
        </w:rPr>
        <w:t>的采样时间</w:t>
      </w:r>
      <w:r>
        <w:rPr>
          <w:rFonts w:hint="default" w:ascii="Times New Roman" w:hAnsi="Times New Roman" w:eastAsia="宋体" w:cs="Times New Roman"/>
          <w:color w:val="auto"/>
          <w:szCs w:val="24"/>
          <w:highlight w:val="none"/>
          <w:lang w:eastAsia="zh-CN"/>
        </w:rPr>
        <w:t>。</w:t>
      </w:r>
    </w:p>
    <w:p w14:paraId="6A6CF91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202</w:t>
      </w:r>
      <w:r>
        <w:rPr>
          <w:rFonts w:hint="default" w:ascii="Times New Roman" w:hAnsi="Times New Roman" w:eastAsia="宋体" w:cs="Times New Roman"/>
          <w:color w:val="auto"/>
          <w:szCs w:val="24"/>
          <w:highlight w:val="none"/>
          <w:lang w:val="en-US" w:eastAsia="zh-CN"/>
        </w:rPr>
        <w:t>4</w:t>
      </w:r>
      <w:r>
        <w:rPr>
          <w:rFonts w:hint="default" w:ascii="Times New Roman" w:hAnsi="Times New Roman" w:eastAsia="宋体" w:cs="Times New Roman"/>
          <w:color w:val="auto"/>
          <w:szCs w:val="24"/>
          <w:highlight w:val="none"/>
        </w:rPr>
        <w:t>年</w:t>
      </w:r>
      <w:r>
        <w:rPr>
          <w:rFonts w:hint="default" w:ascii="Times New Roman" w:hAnsi="Times New Roman" w:eastAsia="宋体" w:cs="Times New Roman"/>
          <w:color w:val="auto"/>
          <w:szCs w:val="24"/>
          <w:highlight w:val="none"/>
          <w:lang w:val="en-US" w:eastAsia="zh-CN"/>
        </w:rPr>
        <w:t>8</w:t>
      </w:r>
      <w:r>
        <w:rPr>
          <w:rFonts w:hint="default" w:ascii="Times New Roman" w:hAnsi="Times New Roman" w:eastAsia="宋体" w:cs="Times New Roman"/>
          <w:color w:val="auto"/>
          <w:szCs w:val="24"/>
          <w:highlight w:val="none"/>
        </w:rPr>
        <w:t>月</w:t>
      </w:r>
      <w:r>
        <w:rPr>
          <w:rFonts w:hint="default" w:ascii="Times New Roman" w:hAnsi="Times New Roman" w:eastAsia="宋体" w:cs="Times New Roman"/>
          <w:color w:val="auto"/>
          <w:szCs w:val="24"/>
          <w:highlight w:val="none"/>
          <w:lang w:val="en-US" w:eastAsia="zh-CN"/>
        </w:rPr>
        <w:t>5</w:t>
      </w:r>
      <w:r>
        <w:rPr>
          <w:rFonts w:hint="default" w:ascii="Times New Roman" w:hAnsi="Times New Roman" w:eastAsia="宋体" w:cs="Times New Roman"/>
          <w:color w:val="auto"/>
          <w:szCs w:val="24"/>
          <w:highlight w:val="none"/>
        </w:rPr>
        <w:t>日至</w:t>
      </w:r>
      <w:r>
        <w:rPr>
          <w:rFonts w:hint="default" w:ascii="Times New Roman" w:hAnsi="Times New Roman" w:eastAsia="宋体" w:cs="Times New Roman"/>
          <w:color w:val="auto"/>
          <w:szCs w:val="24"/>
          <w:highlight w:val="none"/>
          <w:lang w:val="en-US" w:eastAsia="zh-CN"/>
        </w:rPr>
        <w:t>8</w:t>
      </w:r>
      <w:r>
        <w:rPr>
          <w:rFonts w:hint="default" w:ascii="Times New Roman" w:hAnsi="Times New Roman" w:eastAsia="宋体" w:cs="Times New Roman"/>
          <w:color w:val="auto"/>
          <w:szCs w:val="24"/>
          <w:highlight w:val="none"/>
        </w:rPr>
        <w:t>月</w:t>
      </w:r>
      <w:r>
        <w:rPr>
          <w:rFonts w:hint="default" w:ascii="Times New Roman" w:hAnsi="Times New Roman" w:eastAsia="宋体" w:cs="Times New Roman"/>
          <w:color w:val="auto"/>
          <w:szCs w:val="24"/>
          <w:highlight w:val="none"/>
          <w:lang w:val="en-US" w:eastAsia="zh-CN"/>
        </w:rPr>
        <w:t>12</w:t>
      </w:r>
      <w:r>
        <w:rPr>
          <w:rFonts w:hint="default" w:ascii="Times New Roman" w:hAnsi="Times New Roman" w:eastAsia="宋体" w:cs="Times New Roman"/>
          <w:color w:val="auto"/>
          <w:szCs w:val="24"/>
          <w:highlight w:val="none"/>
        </w:rPr>
        <w:t>日连续监测7天，监测单位为</w:t>
      </w:r>
      <w:r>
        <w:rPr>
          <w:rFonts w:hint="default" w:ascii="Times New Roman" w:hAnsi="Times New Roman" w:eastAsia="宋体" w:cs="Times New Roman"/>
          <w:color w:val="auto"/>
          <w:szCs w:val="24"/>
          <w:highlight w:val="none"/>
          <w:lang w:eastAsia="zh-CN"/>
        </w:rPr>
        <w:t>内蒙古双旭环境检测有限公司</w:t>
      </w:r>
      <w:r>
        <w:rPr>
          <w:rFonts w:hint="default" w:ascii="Times New Roman" w:hAnsi="Times New Roman" w:eastAsia="宋体" w:cs="Times New Roman"/>
          <w:color w:val="auto"/>
          <w:szCs w:val="24"/>
          <w:highlight w:val="none"/>
        </w:rPr>
        <w:t>。</w:t>
      </w:r>
    </w:p>
    <w:p w14:paraId="6DA9C07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4、分析方法</w:t>
      </w:r>
    </w:p>
    <w:p w14:paraId="375F580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bookmarkStart w:id="345" w:name="_Toc346715579"/>
      <w:r>
        <w:rPr>
          <w:rFonts w:hint="default" w:ascii="Times New Roman" w:hAnsi="Times New Roman" w:eastAsia="宋体" w:cs="Times New Roman"/>
          <w:color w:val="auto"/>
          <w:szCs w:val="24"/>
          <w:highlight w:val="none"/>
        </w:rPr>
        <w:t>分析方法按照国家环境保护总局颁布的《环境空气质量标准》（GB3095-2012）及《空气和废气监测分析方法》进行，具体分析方法及最低检出限见下表。</w:t>
      </w:r>
    </w:p>
    <w:p w14:paraId="6509E5D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环境空气质量监测分析方法</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379"/>
        <w:gridCol w:w="1380"/>
        <w:gridCol w:w="2759"/>
        <w:gridCol w:w="1380"/>
      </w:tblGrid>
      <w:tr w14:paraId="695A8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4" w:type="dxa"/>
            <w:tcBorders>
              <w:top w:val="single" w:color="auto" w:sz="4" w:space="0"/>
              <w:left w:val="single" w:color="auto" w:sz="4" w:space="0"/>
            </w:tcBorders>
            <w:vAlign w:val="center"/>
          </w:tcPr>
          <w:p w14:paraId="5E3883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检测项目</w:t>
            </w:r>
          </w:p>
        </w:tc>
        <w:tc>
          <w:tcPr>
            <w:tcW w:w="1134" w:type="dxa"/>
            <w:tcBorders>
              <w:top w:val="single" w:color="auto" w:sz="4" w:space="0"/>
            </w:tcBorders>
            <w:vAlign w:val="center"/>
          </w:tcPr>
          <w:p w14:paraId="64AD98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sz w:val="21"/>
                <w:szCs w:val="21"/>
                <w:highlight w:val="none"/>
              </w:rPr>
              <w:t>分析方法及来源</w:t>
            </w:r>
          </w:p>
        </w:tc>
        <w:tc>
          <w:tcPr>
            <w:tcW w:w="1134" w:type="dxa"/>
            <w:tcBorders>
              <w:top w:val="single" w:color="auto" w:sz="4" w:space="0"/>
            </w:tcBorders>
            <w:vAlign w:val="center"/>
          </w:tcPr>
          <w:p w14:paraId="01C6BE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检出限</w:t>
            </w:r>
          </w:p>
        </w:tc>
        <w:tc>
          <w:tcPr>
            <w:tcW w:w="2268" w:type="dxa"/>
            <w:tcBorders>
              <w:top w:val="single" w:color="auto" w:sz="4" w:space="0"/>
            </w:tcBorders>
            <w:vAlign w:val="center"/>
          </w:tcPr>
          <w:p w14:paraId="0136B0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仪器设备名称/型号</w:t>
            </w:r>
          </w:p>
        </w:tc>
        <w:tc>
          <w:tcPr>
            <w:tcW w:w="1134" w:type="dxa"/>
            <w:tcBorders>
              <w:top w:val="single" w:color="auto" w:sz="4" w:space="0"/>
              <w:right w:val="single" w:color="auto" w:sz="4" w:space="0"/>
            </w:tcBorders>
            <w:vAlign w:val="center"/>
          </w:tcPr>
          <w:p w14:paraId="20BC6B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仪器管理编号</w:t>
            </w:r>
          </w:p>
        </w:tc>
      </w:tr>
      <w:tr w14:paraId="5C26C7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4" w:type="dxa"/>
            <w:vMerge w:val="restart"/>
            <w:tcBorders>
              <w:left w:val="single" w:color="auto" w:sz="4" w:space="0"/>
            </w:tcBorders>
            <w:vAlign w:val="center"/>
          </w:tcPr>
          <w:p w14:paraId="41906D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总悬浮颗粒物</w:t>
            </w:r>
          </w:p>
        </w:tc>
        <w:tc>
          <w:tcPr>
            <w:tcW w:w="1134" w:type="dxa"/>
            <w:vMerge w:val="restart"/>
            <w:vAlign w:val="center"/>
          </w:tcPr>
          <w:p w14:paraId="2A2C77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《环境空气总悬浮颗粒物的测定重量法》HJ1263-2022</w:t>
            </w:r>
          </w:p>
        </w:tc>
        <w:tc>
          <w:tcPr>
            <w:tcW w:w="1134" w:type="dxa"/>
            <w:vMerge w:val="restart"/>
            <w:vAlign w:val="center"/>
          </w:tcPr>
          <w:p w14:paraId="630860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7μ</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2268" w:type="dxa"/>
            <w:vAlign w:val="center"/>
          </w:tcPr>
          <w:p w14:paraId="588422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KB-6120-AD型综合大气采样器</w:t>
            </w:r>
          </w:p>
        </w:tc>
        <w:tc>
          <w:tcPr>
            <w:tcW w:w="1134" w:type="dxa"/>
            <w:tcBorders>
              <w:right w:val="single" w:color="auto" w:sz="4" w:space="0"/>
            </w:tcBorders>
            <w:vAlign w:val="center"/>
          </w:tcPr>
          <w:p w14:paraId="68562D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SXF-01-01</w:t>
            </w:r>
          </w:p>
        </w:tc>
      </w:tr>
      <w:tr w14:paraId="0A9FE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4" w:type="dxa"/>
            <w:vMerge w:val="continue"/>
            <w:tcBorders>
              <w:left w:val="single" w:color="auto" w:sz="4" w:space="0"/>
            </w:tcBorders>
            <w:vAlign w:val="center"/>
          </w:tcPr>
          <w:p w14:paraId="4A5197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continue"/>
            <w:vAlign w:val="center"/>
          </w:tcPr>
          <w:p w14:paraId="4C344A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34" w:type="dxa"/>
            <w:vMerge w:val="continue"/>
            <w:vAlign w:val="center"/>
          </w:tcPr>
          <w:p w14:paraId="70C99F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268" w:type="dxa"/>
            <w:vAlign w:val="center"/>
          </w:tcPr>
          <w:p w14:paraId="1E59B3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ZR-3924型环境空气颗粒物综合采样器</w:t>
            </w:r>
          </w:p>
        </w:tc>
        <w:tc>
          <w:tcPr>
            <w:tcW w:w="1134" w:type="dxa"/>
            <w:tcBorders>
              <w:right w:val="single" w:color="auto" w:sz="4" w:space="0"/>
            </w:tcBorders>
            <w:vAlign w:val="center"/>
          </w:tcPr>
          <w:p w14:paraId="4AFFC8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SXF-01-07</w:t>
            </w:r>
          </w:p>
        </w:tc>
      </w:tr>
      <w:tr w14:paraId="21ADD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4" w:type="dxa"/>
            <w:vMerge w:val="continue"/>
            <w:tcBorders>
              <w:left w:val="single" w:color="auto" w:sz="4" w:space="0"/>
              <w:bottom w:val="single" w:color="auto" w:sz="4" w:space="0"/>
            </w:tcBorders>
            <w:vAlign w:val="center"/>
          </w:tcPr>
          <w:p w14:paraId="2BA4F4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continue"/>
            <w:tcBorders>
              <w:bottom w:val="single" w:color="auto" w:sz="4" w:space="0"/>
            </w:tcBorders>
            <w:vAlign w:val="center"/>
          </w:tcPr>
          <w:p w14:paraId="5104C2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34" w:type="dxa"/>
            <w:vMerge w:val="continue"/>
            <w:tcBorders>
              <w:bottom w:val="single" w:color="auto" w:sz="4" w:space="0"/>
            </w:tcBorders>
            <w:vAlign w:val="center"/>
          </w:tcPr>
          <w:p w14:paraId="049C51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2268" w:type="dxa"/>
            <w:tcBorders>
              <w:bottom w:val="single" w:color="auto" w:sz="4" w:space="0"/>
            </w:tcBorders>
            <w:vAlign w:val="center"/>
          </w:tcPr>
          <w:p w14:paraId="325083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AUW120DASSY（CHN）十万分之一天平</w:t>
            </w:r>
          </w:p>
        </w:tc>
        <w:tc>
          <w:tcPr>
            <w:tcW w:w="1134" w:type="dxa"/>
            <w:tcBorders>
              <w:bottom w:val="single" w:color="auto" w:sz="4" w:space="0"/>
              <w:right w:val="single" w:color="auto" w:sz="4" w:space="0"/>
            </w:tcBorders>
            <w:vAlign w:val="center"/>
          </w:tcPr>
          <w:p w14:paraId="6FC72E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SXE-01-02</w:t>
            </w:r>
          </w:p>
        </w:tc>
      </w:tr>
      <w:bookmarkEnd w:id="345"/>
    </w:tbl>
    <w:p w14:paraId="3187F45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5、环境空气质量现状评价</w:t>
      </w:r>
    </w:p>
    <w:p w14:paraId="4CFC0F9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（1）评价标准</w:t>
      </w:r>
    </w:p>
    <w:p w14:paraId="1B66CD9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TSP执行《环境空气质量标准》（GB3095-2012）中的二级标准，HN</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S执行《</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大气环境》（HJ2.2-2018）附录D。</w:t>
      </w:r>
    </w:p>
    <w:p w14:paraId="1B0B7FB4">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（2）评价方法</w:t>
      </w:r>
    </w:p>
    <w:p w14:paraId="5C820F3A">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大气环境现状评价采用单因子指数法。单因子指数法公式如下：</w:t>
      </w:r>
    </w:p>
    <w:p w14:paraId="37E94858">
      <w:pPr>
        <w:pageBreakBefore w:val="0"/>
        <w:shd w:val="clear"/>
        <w:kinsoku/>
        <w:wordWrap/>
        <w:bidi w:val="0"/>
        <w:snapToGrid w:val="0"/>
        <w:spacing w:line="360" w:lineRule="auto"/>
        <w:ind w:left="0" w:leftChars="0" w:right="0" w:rightChars="0"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Pi=C</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0i</w:t>
      </w:r>
    </w:p>
    <w:p w14:paraId="05057511">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61F2BEB4">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—i污染物的单因子指数；</w:t>
      </w:r>
    </w:p>
    <w:p w14:paraId="67780554">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—i污染物的浓度，mg/m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337EA2AF">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0i</w:t>
      </w:r>
      <w:r>
        <w:rPr>
          <w:rFonts w:hint="default" w:ascii="Times New Roman" w:hAnsi="Times New Roman" w:eastAsia="宋体" w:cs="Times New Roman"/>
          <w:color w:val="auto"/>
          <w:highlight w:val="none"/>
        </w:rPr>
        <w:t>—i污染物的评价标准，mg/m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0ABF5C73">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6、监测结果及评价结果</w:t>
      </w:r>
    </w:p>
    <w:p w14:paraId="4215A96A">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（1）气象条件</w:t>
      </w:r>
    </w:p>
    <w:p w14:paraId="79F9ACBB">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监测期间气象条件见下表。</w:t>
      </w:r>
    </w:p>
    <w:p w14:paraId="3FE88916">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z w:val="24"/>
          <w:szCs w:val="24"/>
          <w:highlight w:val="none"/>
        </w:rPr>
        <w:t>表4.2-4</w:t>
      </w:r>
      <w:r>
        <w:rPr>
          <w:rFonts w:hint="default" w:ascii="Times New Roman" w:hAnsi="Times New Roman" w:eastAsia="宋体" w:cs="Times New Roman"/>
          <w:snapToGrid w:val="0"/>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监测期间气象参数一览表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379"/>
        <w:gridCol w:w="1379"/>
        <w:gridCol w:w="1380"/>
        <w:gridCol w:w="1380"/>
        <w:gridCol w:w="1380"/>
      </w:tblGrid>
      <w:tr w14:paraId="4059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Align w:val="center"/>
          </w:tcPr>
          <w:p w14:paraId="0FCDA30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检测日期</w:t>
            </w:r>
          </w:p>
        </w:tc>
        <w:tc>
          <w:tcPr>
            <w:tcW w:w="500" w:type="pct"/>
            <w:vAlign w:val="center"/>
          </w:tcPr>
          <w:p w14:paraId="668E901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时次</w:t>
            </w:r>
          </w:p>
        </w:tc>
        <w:tc>
          <w:tcPr>
            <w:tcW w:w="500" w:type="pct"/>
            <w:vAlign w:val="center"/>
          </w:tcPr>
          <w:p w14:paraId="2EA7A5D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风向</w:t>
            </w:r>
          </w:p>
        </w:tc>
        <w:tc>
          <w:tcPr>
            <w:tcW w:w="500" w:type="pct"/>
            <w:vAlign w:val="center"/>
          </w:tcPr>
          <w:p w14:paraId="2B96167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风速（m/s）</w:t>
            </w:r>
          </w:p>
        </w:tc>
        <w:tc>
          <w:tcPr>
            <w:tcW w:w="500" w:type="pct"/>
            <w:vAlign w:val="center"/>
          </w:tcPr>
          <w:p w14:paraId="6D07B6E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气温（℃）</w:t>
            </w:r>
          </w:p>
        </w:tc>
        <w:tc>
          <w:tcPr>
            <w:tcW w:w="500" w:type="pct"/>
            <w:vAlign w:val="center"/>
          </w:tcPr>
          <w:p w14:paraId="4EFFD33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气压（hPa）</w:t>
            </w:r>
          </w:p>
        </w:tc>
      </w:tr>
      <w:tr w14:paraId="498A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05C69C8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2024.8.5-8.6</w:t>
            </w:r>
          </w:p>
        </w:tc>
        <w:tc>
          <w:tcPr>
            <w:tcW w:w="500" w:type="pct"/>
            <w:vAlign w:val="center"/>
          </w:tcPr>
          <w:p w14:paraId="32A848E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11:35</w:t>
            </w:r>
          </w:p>
        </w:tc>
        <w:tc>
          <w:tcPr>
            <w:tcW w:w="500" w:type="pct"/>
            <w:vAlign w:val="center"/>
          </w:tcPr>
          <w:p w14:paraId="1D5D50E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bookmarkStart w:id="346" w:name="OLE_LINK3"/>
            <w:r>
              <w:rPr>
                <w:rFonts w:hint="default" w:ascii="Times New Roman" w:hAnsi="Times New Roman" w:eastAsia="宋体" w:cs="Times New Roman"/>
                <w:color w:val="auto"/>
                <w:sz w:val="21"/>
                <w:szCs w:val="21"/>
                <w:highlight w:val="none"/>
                <w:lang w:val="en-US" w:eastAsia="zh-CN"/>
              </w:rPr>
              <w:t>N</w:t>
            </w:r>
            <w:bookmarkEnd w:id="346"/>
          </w:p>
        </w:tc>
        <w:tc>
          <w:tcPr>
            <w:tcW w:w="500" w:type="pct"/>
            <w:vAlign w:val="center"/>
          </w:tcPr>
          <w:p w14:paraId="0B7C6D6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3FAE412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w:t>
            </w:r>
          </w:p>
        </w:tc>
        <w:tc>
          <w:tcPr>
            <w:tcW w:w="500" w:type="pct"/>
            <w:vAlign w:val="center"/>
          </w:tcPr>
          <w:p w14:paraId="18D4F20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889</w:t>
            </w:r>
          </w:p>
        </w:tc>
      </w:tr>
      <w:tr w14:paraId="1234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3F12065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296D4A4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13:35</w:t>
            </w:r>
          </w:p>
        </w:tc>
        <w:tc>
          <w:tcPr>
            <w:tcW w:w="500" w:type="pct"/>
            <w:vAlign w:val="center"/>
          </w:tcPr>
          <w:p w14:paraId="2AF64B9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793BAF8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11E8718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500" w:type="pct"/>
            <w:vAlign w:val="center"/>
          </w:tcPr>
          <w:p w14:paraId="2DD5E61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888</w:t>
            </w:r>
          </w:p>
        </w:tc>
      </w:tr>
      <w:tr w14:paraId="35E4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3BCD8FB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2139866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15:35</w:t>
            </w:r>
          </w:p>
        </w:tc>
        <w:tc>
          <w:tcPr>
            <w:tcW w:w="500" w:type="pct"/>
            <w:vAlign w:val="center"/>
          </w:tcPr>
          <w:p w14:paraId="63D70E9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12D570C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1CE0717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00" w:type="pct"/>
            <w:vAlign w:val="center"/>
          </w:tcPr>
          <w:p w14:paraId="083FC74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890</w:t>
            </w:r>
          </w:p>
        </w:tc>
      </w:tr>
      <w:tr w14:paraId="2C22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533AE36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2DD2AF0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17:35</w:t>
            </w:r>
          </w:p>
        </w:tc>
        <w:tc>
          <w:tcPr>
            <w:tcW w:w="500" w:type="pct"/>
            <w:vAlign w:val="center"/>
          </w:tcPr>
          <w:p w14:paraId="2FBE364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17937E4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4FF718F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500" w:type="pct"/>
            <w:vAlign w:val="center"/>
          </w:tcPr>
          <w:p w14:paraId="57C9C34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891</w:t>
            </w:r>
          </w:p>
        </w:tc>
      </w:tr>
      <w:tr w14:paraId="5E5B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4C9C744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2024.8.6-8.7</w:t>
            </w:r>
          </w:p>
        </w:tc>
        <w:tc>
          <w:tcPr>
            <w:tcW w:w="500" w:type="pct"/>
            <w:vAlign w:val="center"/>
          </w:tcPr>
          <w:p w14:paraId="37974E4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11:44</w:t>
            </w:r>
          </w:p>
        </w:tc>
        <w:tc>
          <w:tcPr>
            <w:tcW w:w="500" w:type="pct"/>
            <w:vAlign w:val="center"/>
          </w:tcPr>
          <w:p w14:paraId="32D0BEA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bookmarkStart w:id="347" w:name="OLE_LINK4"/>
            <w:r>
              <w:rPr>
                <w:rFonts w:hint="default" w:ascii="Times New Roman" w:hAnsi="Times New Roman" w:eastAsia="宋体" w:cs="Times New Roman"/>
                <w:color w:val="auto"/>
                <w:sz w:val="21"/>
                <w:szCs w:val="21"/>
                <w:highlight w:val="none"/>
                <w:lang w:val="en-US" w:eastAsia="zh-CN"/>
              </w:rPr>
              <w:t>NE</w:t>
            </w:r>
            <w:bookmarkEnd w:id="347"/>
          </w:p>
        </w:tc>
        <w:tc>
          <w:tcPr>
            <w:tcW w:w="500" w:type="pct"/>
            <w:vAlign w:val="center"/>
          </w:tcPr>
          <w:p w14:paraId="1B6354A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2C064BD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500" w:type="pct"/>
            <w:vAlign w:val="center"/>
          </w:tcPr>
          <w:p w14:paraId="4EB2D85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893</w:t>
            </w:r>
          </w:p>
        </w:tc>
      </w:tr>
      <w:tr w14:paraId="2F64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649AEBD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3CC25AD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12:44</w:t>
            </w:r>
          </w:p>
        </w:tc>
        <w:tc>
          <w:tcPr>
            <w:tcW w:w="500" w:type="pct"/>
            <w:vAlign w:val="center"/>
          </w:tcPr>
          <w:p w14:paraId="2CC4DB2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NE</w:t>
            </w:r>
          </w:p>
        </w:tc>
        <w:tc>
          <w:tcPr>
            <w:tcW w:w="500" w:type="pct"/>
            <w:vAlign w:val="center"/>
          </w:tcPr>
          <w:p w14:paraId="224FDDA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38CFB26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00" w:type="pct"/>
            <w:vAlign w:val="center"/>
          </w:tcPr>
          <w:p w14:paraId="3994E0A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891</w:t>
            </w:r>
          </w:p>
        </w:tc>
      </w:tr>
      <w:tr w14:paraId="5920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4000649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364B6A6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15:44</w:t>
            </w:r>
          </w:p>
        </w:tc>
        <w:tc>
          <w:tcPr>
            <w:tcW w:w="500" w:type="pct"/>
            <w:vAlign w:val="center"/>
          </w:tcPr>
          <w:p w14:paraId="0FDDFEC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NE</w:t>
            </w:r>
          </w:p>
        </w:tc>
        <w:tc>
          <w:tcPr>
            <w:tcW w:w="500" w:type="pct"/>
            <w:vAlign w:val="center"/>
          </w:tcPr>
          <w:p w14:paraId="7F99B2F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4D30E35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00" w:type="pct"/>
            <w:vAlign w:val="center"/>
          </w:tcPr>
          <w:p w14:paraId="060E089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890</w:t>
            </w:r>
          </w:p>
        </w:tc>
      </w:tr>
      <w:tr w14:paraId="6C53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3BD7FFB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783BB69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17:44</w:t>
            </w:r>
          </w:p>
        </w:tc>
        <w:tc>
          <w:tcPr>
            <w:tcW w:w="500" w:type="pct"/>
            <w:vAlign w:val="center"/>
          </w:tcPr>
          <w:p w14:paraId="4F34D6C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NE</w:t>
            </w:r>
          </w:p>
        </w:tc>
        <w:tc>
          <w:tcPr>
            <w:tcW w:w="500" w:type="pct"/>
            <w:vAlign w:val="center"/>
          </w:tcPr>
          <w:p w14:paraId="0162920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3D71A80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500" w:type="pct"/>
            <w:vAlign w:val="center"/>
          </w:tcPr>
          <w:p w14:paraId="7B4F73A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899</w:t>
            </w:r>
          </w:p>
        </w:tc>
      </w:tr>
      <w:tr w14:paraId="5FA0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401C391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2024.8.7-8.8</w:t>
            </w:r>
          </w:p>
        </w:tc>
        <w:tc>
          <w:tcPr>
            <w:tcW w:w="500" w:type="pct"/>
            <w:vAlign w:val="center"/>
          </w:tcPr>
          <w:p w14:paraId="41F5DB3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12:14</w:t>
            </w:r>
          </w:p>
        </w:tc>
        <w:tc>
          <w:tcPr>
            <w:tcW w:w="500" w:type="pct"/>
            <w:vAlign w:val="center"/>
          </w:tcPr>
          <w:p w14:paraId="00263C0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bookmarkStart w:id="348" w:name="OLE_LINK5"/>
            <w:r>
              <w:rPr>
                <w:rFonts w:hint="default" w:ascii="Times New Roman" w:hAnsi="Times New Roman" w:eastAsia="宋体" w:cs="Times New Roman"/>
                <w:color w:val="auto"/>
                <w:sz w:val="21"/>
                <w:szCs w:val="21"/>
                <w:highlight w:val="none"/>
                <w:lang w:val="en-US" w:eastAsia="zh-CN"/>
              </w:rPr>
              <w:t>N</w:t>
            </w:r>
            <w:bookmarkEnd w:id="348"/>
          </w:p>
        </w:tc>
        <w:tc>
          <w:tcPr>
            <w:tcW w:w="500" w:type="pct"/>
            <w:vAlign w:val="center"/>
          </w:tcPr>
          <w:p w14:paraId="5828384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6BC9631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00" w:type="pct"/>
            <w:vAlign w:val="center"/>
          </w:tcPr>
          <w:p w14:paraId="2B89C15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891</w:t>
            </w:r>
          </w:p>
        </w:tc>
      </w:tr>
      <w:tr w14:paraId="7767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3C5644A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5B65C3E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14:14</w:t>
            </w:r>
          </w:p>
        </w:tc>
        <w:tc>
          <w:tcPr>
            <w:tcW w:w="500" w:type="pct"/>
            <w:vAlign w:val="center"/>
          </w:tcPr>
          <w:p w14:paraId="1423793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18BF5B8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74E83E7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500" w:type="pct"/>
            <w:vAlign w:val="center"/>
          </w:tcPr>
          <w:p w14:paraId="0BCF507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889</w:t>
            </w:r>
          </w:p>
        </w:tc>
      </w:tr>
      <w:tr w14:paraId="02F1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F3EF16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490CD8A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16:14</w:t>
            </w:r>
          </w:p>
        </w:tc>
        <w:tc>
          <w:tcPr>
            <w:tcW w:w="500" w:type="pct"/>
            <w:vAlign w:val="center"/>
          </w:tcPr>
          <w:p w14:paraId="6E43148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1F1E183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362E917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500" w:type="pct"/>
            <w:vAlign w:val="center"/>
          </w:tcPr>
          <w:p w14:paraId="407D24A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889</w:t>
            </w:r>
          </w:p>
        </w:tc>
      </w:tr>
      <w:tr w14:paraId="2247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18496C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5D45AB6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18:14</w:t>
            </w:r>
          </w:p>
        </w:tc>
        <w:tc>
          <w:tcPr>
            <w:tcW w:w="500" w:type="pct"/>
            <w:vAlign w:val="center"/>
          </w:tcPr>
          <w:p w14:paraId="1A90CCE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45B7DAE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4489F1F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500" w:type="pct"/>
            <w:vAlign w:val="center"/>
          </w:tcPr>
          <w:p w14:paraId="3CB887E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892</w:t>
            </w:r>
          </w:p>
        </w:tc>
      </w:tr>
      <w:tr w14:paraId="17F8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1ABC298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2024.8.8-8.9</w:t>
            </w:r>
          </w:p>
        </w:tc>
        <w:tc>
          <w:tcPr>
            <w:tcW w:w="500" w:type="pct"/>
            <w:vAlign w:val="center"/>
          </w:tcPr>
          <w:p w14:paraId="5E548BA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12:28</w:t>
            </w:r>
          </w:p>
        </w:tc>
        <w:tc>
          <w:tcPr>
            <w:tcW w:w="500" w:type="pct"/>
            <w:vAlign w:val="center"/>
          </w:tcPr>
          <w:p w14:paraId="03B3A37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bookmarkStart w:id="349" w:name="OLE_LINK6"/>
            <w:r>
              <w:rPr>
                <w:rFonts w:hint="default" w:ascii="Times New Roman" w:hAnsi="Times New Roman" w:eastAsia="宋体" w:cs="Times New Roman"/>
                <w:color w:val="auto"/>
                <w:sz w:val="21"/>
                <w:szCs w:val="21"/>
                <w:highlight w:val="none"/>
                <w:lang w:val="en-US" w:eastAsia="zh-CN"/>
              </w:rPr>
              <w:t>E</w:t>
            </w:r>
            <w:bookmarkEnd w:id="349"/>
          </w:p>
        </w:tc>
        <w:tc>
          <w:tcPr>
            <w:tcW w:w="500" w:type="pct"/>
            <w:vAlign w:val="center"/>
          </w:tcPr>
          <w:p w14:paraId="637C137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500" w:type="pct"/>
            <w:vAlign w:val="center"/>
          </w:tcPr>
          <w:p w14:paraId="62419F0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00" w:type="pct"/>
            <w:vAlign w:val="center"/>
          </w:tcPr>
          <w:p w14:paraId="7B287DF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891</w:t>
            </w:r>
          </w:p>
        </w:tc>
      </w:tr>
      <w:tr w14:paraId="6F4B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111FF5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71CCDCC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14:28</w:t>
            </w:r>
          </w:p>
        </w:tc>
        <w:tc>
          <w:tcPr>
            <w:tcW w:w="500" w:type="pct"/>
            <w:vAlign w:val="center"/>
          </w:tcPr>
          <w:p w14:paraId="4421426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w:t>
            </w:r>
          </w:p>
        </w:tc>
        <w:tc>
          <w:tcPr>
            <w:tcW w:w="500" w:type="pct"/>
            <w:vAlign w:val="center"/>
          </w:tcPr>
          <w:p w14:paraId="48B1E76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58144CC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w:t>
            </w:r>
          </w:p>
        </w:tc>
        <w:tc>
          <w:tcPr>
            <w:tcW w:w="500" w:type="pct"/>
            <w:vAlign w:val="center"/>
          </w:tcPr>
          <w:p w14:paraId="26FE854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890</w:t>
            </w:r>
          </w:p>
        </w:tc>
      </w:tr>
      <w:tr w14:paraId="38D8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2CCDD27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6AE7257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16:28</w:t>
            </w:r>
          </w:p>
        </w:tc>
        <w:tc>
          <w:tcPr>
            <w:tcW w:w="500" w:type="pct"/>
            <w:vAlign w:val="center"/>
          </w:tcPr>
          <w:p w14:paraId="7159EA8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w:t>
            </w:r>
          </w:p>
        </w:tc>
        <w:tc>
          <w:tcPr>
            <w:tcW w:w="500" w:type="pct"/>
            <w:vAlign w:val="center"/>
          </w:tcPr>
          <w:p w14:paraId="161C3EC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0EBFA13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w:t>
            </w:r>
          </w:p>
        </w:tc>
        <w:tc>
          <w:tcPr>
            <w:tcW w:w="500" w:type="pct"/>
            <w:vAlign w:val="center"/>
          </w:tcPr>
          <w:p w14:paraId="5B8CAB3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890</w:t>
            </w:r>
          </w:p>
        </w:tc>
      </w:tr>
      <w:tr w14:paraId="14F3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0163EB8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653CFED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18:28</w:t>
            </w:r>
          </w:p>
        </w:tc>
        <w:tc>
          <w:tcPr>
            <w:tcW w:w="500" w:type="pct"/>
            <w:vAlign w:val="center"/>
          </w:tcPr>
          <w:p w14:paraId="18F8CA0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w:t>
            </w:r>
          </w:p>
        </w:tc>
        <w:tc>
          <w:tcPr>
            <w:tcW w:w="500" w:type="pct"/>
            <w:vAlign w:val="center"/>
          </w:tcPr>
          <w:p w14:paraId="3FA8840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500" w:type="pct"/>
            <w:vAlign w:val="center"/>
          </w:tcPr>
          <w:p w14:paraId="5FCE9C3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500" w:type="pct"/>
            <w:vAlign w:val="center"/>
          </w:tcPr>
          <w:p w14:paraId="04A07CB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892</w:t>
            </w:r>
          </w:p>
        </w:tc>
      </w:tr>
      <w:tr w14:paraId="795C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3496043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2024.8.9-8.10</w:t>
            </w:r>
          </w:p>
        </w:tc>
        <w:tc>
          <w:tcPr>
            <w:tcW w:w="500" w:type="pct"/>
            <w:vAlign w:val="center"/>
          </w:tcPr>
          <w:p w14:paraId="1715860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12:46</w:t>
            </w:r>
          </w:p>
        </w:tc>
        <w:tc>
          <w:tcPr>
            <w:tcW w:w="500" w:type="pct"/>
            <w:vAlign w:val="center"/>
          </w:tcPr>
          <w:p w14:paraId="5DB2B11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w:t>
            </w:r>
          </w:p>
        </w:tc>
        <w:tc>
          <w:tcPr>
            <w:tcW w:w="500" w:type="pct"/>
            <w:vAlign w:val="center"/>
          </w:tcPr>
          <w:p w14:paraId="53B0F40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500" w:type="pct"/>
            <w:vAlign w:val="center"/>
          </w:tcPr>
          <w:p w14:paraId="1398BC9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500" w:type="pct"/>
            <w:vAlign w:val="center"/>
          </w:tcPr>
          <w:p w14:paraId="44D0FBE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892</w:t>
            </w:r>
          </w:p>
        </w:tc>
      </w:tr>
      <w:tr w14:paraId="4224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0744D5E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50FE80A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14:46</w:t>
            </w:r>
          </w:p>
        </w:tc>
        <w:tc>
          <w:tcPr>
            <w:tcW w:w="500" w:type="pct"/>
            <w:vAlign w:val="center"/>
          </w:tcPr>
          <w:p w14:paraId="1DE057B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w:t>
            </w:r>
          </w:p>
        </w:tc>
        <w:tc>
          <w:tcPr>
            <w:tcW w:w="500" w:type="pct"/>
            <w:vAlign w:val="center"/>
          </w:tcPr>
          <w:p w14:paraId="6C956C1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500" w:type="pct"/>
            <w:vAlign w:val="center"/>
          </w:tcPr>
          <w:p w14:paraId="1A64C7D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500" w:type="pct"/>
            <w:vAlign w:val="center"/>
          </w:tcPr>
          <w:p w14:paraId="729863F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891</w:t>
            </w:r>
          </w:p>
        </w:tc>
      </w:tr>
      <w:tr w14:paraId="04EB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8ABB8C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1D2CCF7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16:46</w:t>
            </w:r>
          </w:p>
        </w:tc>
        <w:tc>
          <w:tcPr>
            <w:tcW w:w="500" w:type="pct"/>
            <w:vAlign w:val="center"/>
          </w:tcPr>
          <w:p w14:paraId="44A06FD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w:t>
            </w:r>
          </w:p>
        </w:tc>
        <w:tc>
          <w:tcPr>
            <w:tcW w:w="500" w:type="pct"/>
            <w:vAlign w:val="center"/>
          </w:tcPr>
          <w:p w14:paraId="5BFAFEC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500" w:type="pct"/>
            <w:vAlign w:val="center"/>
          </w:tcPr>
          <w:p w14:paraId="4DCAFB6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500" w:type="pct"/>
            <w:vAlign w:val="center"/>
          </w:tcPr>
          <w:p w14:paraId="575ED33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892</w:t>
            </w:r>
          </w:p>
        </w:tc>
      </w:tr>
      <w:tr w14:paraId="480E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FB0875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69DD3EB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18:46</w:t>
            </w:r>
          </w:p>
        </w:tc>
        <w:tc>
          <w:tcPr>
            <w:tcW w:w="500" w:type="pct"/>
            <w:vAlign w:val="center"/>
          </w:tcPr>
          <w:p w14:paraId="66B4BBA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w:t>
            </w:r>
          </w:p>
        </w:tc>
        <w:tc>
          <w:tcPr>
            <w:tcW w:w="500" w:type="pct"/>
            <w:vAlign w:val="center"/>
          </w:tcPr>
          <w:p w14:paraId="27FC90B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5D48AF3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500" w:type="pct"/>
            <w:vAlign w:val="center"/>
          </w:tcPr>
          <w:p w14:paraId="2D73289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895</w:t>
            </w:r>
          </w:p>
        </w:tc>
      </w:tr>
      <w:tr w14:paraId="6290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577C496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2024.8.10-8.11</w:t>
            </w:r>
          </w:p>
        </w:tc>
        <w:tc>
          <w:tcPr>
            <w:tcW w:w="500" w:type="pct"/>
            <w:vAlign w:val="center"/>
          </w:tcPr>
          <w:p w14:paraId="410BA8A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12:46</w:t>
            </w:r>
          </w:p>
        </w:tc>
        <w:tc>
          <w:tcPr>
            <w:tcW w:w="500" w:type="pct"/>
            <w:vAlign w:val="center"/>
          </w:tcPr>
          <w:p w14:paraId="6B795F4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SE</w:t>
            </w:r>
          </w:p>
        </w:tc>
        <w:tc>
          <w:tcPr>
            <w:tcW w:w="500" w:type="pct"/>
            <w:vAlign w:val="center"/>
          </w:tcPr>
          <w:p w14:paraId="57A95A5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48EF934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w:t>
            </w:r>
          </w:p>
        </w:tc>
        <w:tc>
          <w:tcPr>
            <w:tcW w:w="500" w:type="pct"/>
            <w:vAlign w:val="center"/>
          </w:tcPr>
          <w:p w14:paraId="5B6AA0C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898</w:t>
            </w:r>
          </w:p>
        </w:tc>
      </w:tr>
      <w:tr w14:paraId="6808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5446BFB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4ED4AFA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14:46</w:t>
            </w:r>
          </w:p>
        </w:tc>
        <w:tc>
          <w:tcPr>
            <w:tcW w:w="500" w:type="pct"/>
            <w:vAlign w:val="center"/>
          </w:tcPr>
          <w:p w14:paraId="2AF78B6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SE</w:t>
            </w:r>
          </w:p>
        </w:tc>
        <w:tc>
          <w:tcPr>
            <w:tcW w:w="500" w:type="pct"/>
            <w:vAlign w:val="center"/>
          </w:tcPr>
          <w:p w14:paraId="57ABD42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50D0F2F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500" w:type="pct"/>
            <w:vAlign w:val="center"/>
          </w:tcPr>
          <w:p w14:paraId="0C53134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898</w:t>
            </w:r>
          </w:p>
        </w:tc>
      </w:tr>
      <w:tr w14:paraId="7AE7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5EF676B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5B095D9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16:46</w:t>
            </w:r>
          </w:p>
        </w:tc>
        <w:tc>
          <w:tcPr>
            <w:tcW w:w="500" w:type="pct"/>
            <w:vAlign w:val="center"/>
          </w:tcPr>
          <w:p w14:paraId="3FFF2DF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SE</w:t>
            </w:r>
          </w:p>
        </w:tc>
        <w:tc>
          <w:tcPr>
            <w:tcW w:w="500" w:type="pct"/>
            <w:vAlign w:val="center"/>
          </w:tcPr>
          <w:p w14:paraId="0ED3631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71EA4EC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w:t>
            </w:r>
          </w:p>
        </w:tc>
        <w:tc>
          <w:tcPr>
            <w:tcW w:w="500" w:type="pct"/>
            <w:vAlign w:val="center"/>
          </w:tcPr>
          <w:p w14:paraId="3C5F0D4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899</w:t>
            </w:r>
          </w:p>
        </w:tc>
      </w:tr>
      <w:tr w14:paraId="5460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696F3AF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66D07F0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18:46</w:t>
            </w:r>
          </w:p>
        </w:tc>
        <w:tc>
          <w:tcPr>
            <w:tcW w:w="500" w:type="pct"/>
            <w:vAlign w:val="center"/>
          </w:tcPr>
          <w:p w14:paraId="1B5A69E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SE</w:t>
            </w:r>
          </w:p>
        </w:tc>
        <w:tc>
          <w:tcPr>
            <w:tcW w:w="500" w:type="pct"/>
            <w:vAlign w:val="center"/>
          </w:tcPr>
          <w:p w14:paraId="72068F4B">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5837683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500" w:type="pct"/>
            <w:vAlign w:val="center"/>
          </w:tcPr>
          <w:p w14:paraId="6A223F5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899</w:t>
            </w:r>
          </w:p>
        </w:tc>
      </w:tr>
      <w:tr w14:paraId="439C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restart"/>
            <w:vAlign w:val="center"/>
          </w:tcPr>
          <w:p w14:paraId="24FEC81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2024.8.11-8.12</w:t>
            </w:r>
          </w:p>
        </w:tc>
        <w:tc>
          <w:tcPr>
            <w:tcW w:w="500" w:type="pct"/>
            <w:vAlign w:val="center"/>
          </w:tcPr>
          <w:p w14:paraId="32AD0B1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16:18</w:t>
            </w:r>
          </w:p>
        </w:tc>
        <w:tc>
          <w:tcPr>
            <w:tcW w:w="500" w:type="pct"/>
            <w:vAlign w:val="center"/>
          </w:tcPr>
          <w:p w14:paraId="1590E09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bookmarkStart w:id="350" w:name="OLE_LINK9"/>
            <w:r>
              <w:rPr>
                <w:rFonts w:hint="default" w:ascii="Times New Roman" w:hAnsi="Times New Roman" w:eastAsia="宋体" w:cs="Times New Roman"/>
                <w:color w:val="auto"/>
                <w:sz w:val="21"/>
                <w:szCs w:val="21"/>
                <w:highlight w:val="none"/>
                <w:lang w:val="en-US" w:eastAsia="zh-CN"/>
              </w:rPr>
              <w:t>N</w:t>
            </w:r>
            <w:bookmarkEnd w:id="350"/>
          </w:p>
        </w:tc>
        <w:tc>
          <w:tcPr>
            <w:tcW w:w="500" w:type="pct"/>
            <w:vAlign w:val="center"/>
          </w:tcPr>
          <w:p w14:paraId="27288DB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500" w:type="pct"/>
            <w:vAlign w:val="center"/>
          </w:tcPr>
          <w:p w14:paraId="2C8BE03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500" w:type="pct"/>
            <w:vAlign w:val="center"/>
          </w:tcPr>
          <w:p w14:paraId="21D11BC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895</w:t>
            </w:r>
          </w:p>
        </w:tc>
      </w:tr>
      <w:tr w14:paraId="7646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2A97E1E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373CC81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18:18</w:t>
            </w:r>
          </w:p>
        </w:tc>
        <w:tc>
          <w:tcPr>
            <w:tcW w:w="500" w:type="pct"/>
            <w:vAlign w:val="center"/>
          </w:tcPr>
          <w:p w14:paraId="661D0ECD">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11040EB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120A8CA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500" w:type="pct"/>
            <w:vAlign w:val="center"/>
          </w:tcPr>
          <w:p w14:paraId="4CDE1AE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895</w:t>
            </w:r>
          </w:p>
        </w:tc>
      </w:tr>
      <w:tr w14:paraId="76F9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2B69209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71DC609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20:18</w:t>
            </w:r>
          </w:p>
        </w:tc>
        <w:tc>
          <w:tcPr>
            <w:tcW w:w="500" w:type="pct"/>
            <w:vAlign w:val="center"/>
          </w:tcPr>
          <w:p w14:paraId="3A1ED91F">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68720DD2">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32B4EF47">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500" w:type="pct"/>
            <w:vAlign w:val="center"/>
          </w:tcPr>
          <w:p w14:paraId="350024D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895</w:t>
            </w:r>
          </w:p>
        </w:tc>
      </w:tr>
      <w:tr w14:paraId="3856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Merge w:val="continue"/>
            <w:vAlign w:val="center"/>
          </w:tcPr>
          <w:p w14:paraId="1DDF4DE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00" w:type="pct"/>
            <w:vAlign w:val="center"/>
          </w:tcPr>
          <w:p w14:paraId="1BF6E3AE">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22:18</w:t>
            </w:r>
          </w:p>
        </w:tc>
        <w:tc>
          <w:tcPr>
            <w:tcW w:w="500" w:type="pct"/>
            <w:vAlign w:val="center"/>
          </w:tcPr>
          <w:p w14:paraId="13FD1DB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500" w:type="pct"/>
            <w:vAlign w:val="center"/>
          </w:tcPr>
          <w:p w14:paraId="23933B4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500" w:type="pct"/>
            <w:vAlign w:val="center"/>
          </w:tcPr>
          <w:p w14:paraId="12EA577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500" w:type="pct"/>
            <w:vAlign w:val="center"/>
          </w:tcPr>
          <w:p w14:paraId="059BEF3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892</w:t>
            </w:r>
          </w:p>
        </w:tc>
      </w:tr>
    </w:tbl>
    <w:p w14:paraId="44B93198">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（2）环境空气质量现状</w:t>
      </w:r>
    </w:p>
    <w:p w14:paraId="2FD06E54">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项目其他污染物环境质量现状，见下表。</w:t>
      </w:r>
    </w:p>
    <w:p w14:paraId="29856EF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rPr>
        <w:t>表4.2-5</w:t>
      </w:r>
      <w:r>
        <w:rPr>
          <w:rFonts w:hint="default" w:ascii="Times New Roman" w:hAnsi="Times New Roman" w:eastAsia="宋体" w:cs="Times New Roman"/>
          <w:snapToGrid w:val="0"/>
          <w:color w:val="auto"/>
          <w:sz w:val="24"/>
          <w:szCs w:val="24"/>
          <w:highlight w:val="none"/>
          <w:lang w:val="en-US" w:eastAsia="zh-CN"/>
        </w:rPr>
        <w:t xml:space="preserve">  </w:t>
      </w:r>
      <w:r>
        <w:rPr>
          <w:rFonts w:hint="default" w:ascii="Times New Roman" w:hAnsi="Times New Roman" w:eastAsia="宋体" w:cs="Times New Roman"/>
          <w:snapToGrid w:val="0"/>
          <w:color w:val="auto"/>
          <w:sz w:val="24"/>
          <w:szCs w:val="24"/>
          <w:highlight w:val="none"/>
        </w:rPr>
        <w:t>项目其他污染物环境质量现状表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1075"/>
        <w:gridCol w:w="1075"/>
        <w:gridCol w:w="753"/>
        <w:gridCol w:w="1075"/>
        <w:gridCol w:w="1075"/>
        <w:gridCol w:w="1075"/>
        <w:gridCol w:w="1075"/>
      </w:tblGrid>
      <w:tr w14:paraId="454964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14:paraId="19951C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567" w:type="dxa"/>
            <w:tcBorders>
              <w:top w:val="single" w:color="auto" w:sz="4" w:space="0"/>
              <w:left w:val="single" w:color="auto" w:sz="4" w:space="0"/>
              <w:bottom w:val="single" w:color="auto" w:sz="4" w:space="0"/>
              <w:right w:val="single" w:color="auto" w:sz="4" w:space="0"/>
            </w:tcBorders>
            <w:vAlign w:val="center"/>
          </w:tcPr>
          <w:p w14:paraId="571724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有效天数</w:t>
            </w:r>
          </w:p>
        </w:tc>
        <w:tc>
          <w:tcPr>
            <w:tcW w:w="567" w:type="dxa"/>
            <w:tcBorders>
              <w:top w:val="single" w:color="auto" w:sz="4" w:space="0"/>
              <w:left w:val="single" w:color="auto" w:sz="4" w:space="0"/>
              <w:bottom w:val="single" w:color="auto" w:sz="4" w:space="0"/>
              <w:right w:val="single" w:color="auto" w:sz="4" w:space="0"/>
            </w:tcBorders>
            <w:vAlign w:val="center"/>
          </w:tcPr>
          <w:p w14:paraId="75BD1C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浓度范围</w:t>
            </w:r>
          </w:p>
        </w:tc>
        <w:tc>
          <w:tcPr>
            <w:tcW w:w="397" w:type="dxa"/>
            <w:gridSpan w:val="2"/>
            <w:tcBorders>
              <w:top w:val="single" w:color="auto" w:sz="4" w:space="0"/>
              <w:left w:val="single" w:color="auto" w:sz="4" w:space="0"/>
              <w:bottom w:val="single" w:color="auto" w:sz="4" w:space="0"/>
              <w:right w:val="single" w:color="auto" w:sz="4" w:space="0"/>
            </w:tcBorders>
            <w:vAlign w:val="center"/>
          </w:tcPr>
          <w:p w14:paraId="23C316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w:t>
            </w:r>
          </w:p>
        </w:tc>
        <w:tc>
          <w:tcPr>
            <w:tcW w:w="567" w:type="dxa"/>
            <w:tcBorders>
              <w:top w:val="single" w:color="auto" w:sz="4" w:space="0"/>
              <w:left w:val="single" w:color="auto" w:sz="4" w:space="0"/>
              <w:bottom w:val="single" w:color="auto" w:sz="4" w:space="0"/>
              <w:right w:val="single" w:color="auto" w:sz="4" w:space="0"/>
            </w:tcBorders>
            <w:vAlign w:val="center"/>
          </w:tcPr>
          <w:p w14:paraId="2102C6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占标率</w:t>
            </w:r>
          </w:p>
        </w:tc>
        <w:tc>
          <w:tcPr>
            <w:tcW w:w="567" w:type="dxa"/>
            <w:tcBorders>
              <w:top w:val="single" w:color="auto" w:sz="4" w:space="0"/>
              <w:left w:val="single" w:color="auto" w:sz="4" w:space="0"/>
              <w:bottom w:val="single" w:color="auto" w:sz="4" w:space="0"/>
              <w:right w:val="single" w:color="auto" w:sz="4" w:space="0"/>
            </w:tcBorders>
            <w:vAlign w:val="center"/>
          </w:tcPr>
          <w:p w14:paraId="4D1788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超标率</w:t>
            </w:r>
          </w:p>
        </w:tc>
        <w:tc>
          <w:tcPr>
            <w:tcW w:w="567" w:type="dxa"/>
            <w:tcBorders>
              <w:top w:val="single" w:color="auto" w:sz="4" w:space="0"/>
              <w:left w:val="single" w:color="auto" w:sz="4" w:space="0"/>
              <w:bottom w:val="single" w:color="auto" w:sz="4" w:space="0"/>
              <w:right w:val="single" w:color="auto" w:sz="4" w:space="0"/>
            </w:tcBorders>
            <w:vAlign w:val="center"/>
          </w:tcPr>
          <w:p w14:paraId="097551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最大超标倍数</w:t>
            </w:r>
          </w:p>
        </w:tc>
      </w:tr>
      <w:tr w14:paraId="067A54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14:paraId="6F7954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567" w:type="dxa"/>
            <w:tcBorders>
              <w:top w:val="single" w:color="auto" w:sz="4" w:space="0"/>
              <w:left w:val="single" w:color="auto" w:sz="4" w:space="0"/>
              <w:bottom w:val="single" w:color="auto" w:sz="4" w:space="0"/>
              <w:right w:val="single" w:color="auto" w:sz="4" w:space="0"/>
            </w:tcBorders>
            <w:vAlign w:val="center"/>
          </w:tcPr>
          <w:p w14:paraId="412516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567" w:type="dxa"/>
            <w:tcBorders>
              <w:top w:val="single" w:color="auto" w:sz="4" w:space="0"/>
              <w:left w:val="single" w:color="auto" w:sz="4" w:space="0"/>
              <w:bottom w:val="single" w:color="auto" w:sz="4" w:space="0"/>
              <w:right w:val="single" w:color="auto" w:sz="4" w:space="0"/>
            </w:tcBorders>
            <w:vAlign w:val="center"/>
          </w:tcPr>
          <w:p w14:paraId="24D931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70</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0ug/m</w:t>
            </w:r>
            <w:r>
              <w:rPr>
                <w:rFonts w:hint="default" w:ascii="Times New Roman" w:hAnsi="Times New Roman" w:eastAsia="宋体" w:cs="Times New Roman"/>
                <w:color w:val="auto"/>
                <w:sz w:val="21"/>
                <w:szCs w:val="21"/>
                <w:highlight w:val="none"/>
                <w:vertAlign w:val="superscript"/>
              </w:rPr>
              <w:t>3</w:t>
            </w:r>
          </w:p>
        </w:tc>
        <w:tc>
          <w:tcPr>
            <w:tcW w:w="397" w:type="dxa"/>
            <w:tcBorders>
              <w:top w:val="single" w:color="auto" w:sz="4" w:space="0"/>
              <w:left w:val="single" w:color="auto" w:sz="4" w:space="0"/>
              <w:bottom w:val="single" w:color="auto" w:sz="4" w:space="0"/>
              <w:right w:val="single" w:color="auto" w:sz="4" w:space="0"/>
            </w:tcBorders>
            <w:vAlign w:val="center"/>
          </w:tcPr>
          <w:p w14:paraId="1C743A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一次</w:t>
            </w:r>
          </w:p>
        </w:tc>
        <w:tc>
          <w:tcPr>
            <w:tcW w:w="567" w:type="dxa"/>
            <w:tcBorders>
              <w:top w:val="single" w:color="auto" w:sz="4" w:space="0"/>
              <w:left w:val="single" w:color="auto" w:sz="4" w:space="0"/>
              <w:bottom w:val="single" w:color="auto" w:sz="4" w:space="0"/>
              <w:right w:val="single" w:color="auto" w:sz="4" w:space="0"/>
            </w:tcBorders>
            <w:vAlign w:val="center"/>
          </w:tcPr>
          <w:p w14:paraId="36AA7E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200µg/m</w:t>
            </w:r>
            <w:r>
              <w:rPr>
                <w:rFonts w:hint="default" w:ascii="Times New Roman" w:hAnsi="Times New Roman" w:eastAsia="宋体" w:cs="Times New Roman"/>
                <w:color w:val="auto"/>
                <w:sz w:val="21"/>
                <w:szCs w:val="21"/>
                <w:highlight w:val="none"/>
                <w:vertAlign w:val="superscript"/>
              </w:rPr>
              <w:t>3</w:t>
            </w:r>
          </w:p>
        </w:tc>
        <w:tc>
          <w:tcPr>
            <w:tcW w:w="567" w:type="dxa"/>
            <w:tcBorders>
              <w:top w:val="single" w:color="auto" w:sz="4" w:space="0"/>
              <w:left w:val="single" w:color="auto" w:sz="4" w:space="0"/>
              <w:bottom w:val="single" w:color="auto" w:sz="4" w:space="0"/>
              <w:right w:val="single" w:color="auto" w:sz="4" w:space="0"/>
            </w:tcBorders>
            <w:vAlign w:val="center"/>
          </w:tcPr>
          <w:p w14:paraId="78337D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w:t>
            </w:r>
            <w:r>
              <w:rPr>
                <w:rFonts w:hint="default" w:ascii="Times New Roman" w:hAnsi="Times New Roman" w:eastAsia="宋体" w:cs="Times New Roman"/>
                <w:color w:val="FF0000"/>
                <w:sz w:val="21"/>
                <w:szCs w:val="21"/>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3C9343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567" w:type="dxa"/>
            <w:tcBorders>
              <w:top w:val="single" w:color="auto" w:sz="4" w:space="0"/>
              <w:left w:val="single" w:color="auto" w:sz="4" w:space="0"/>
              <w:bottom w:val="single" w:color="auto" w:sz="4" w:space="0"/>
              <w:right w:val="single" w:color="auto" w:sz="4" w:space="0"/>
            </w:tcBorders>
            <w:vAlign w:val="center"/>
          </w:tcPr>
          <w:p w14:paraId="7D90EC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r>
      <w:tr w14:paraId="013B5A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14:paraId="6E6884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567" w:type="dxa"/>
            <w:tcBorders>
              <w:top w:val="single" w:color="auto" w:sz="4" w:space="0"/>
              <w:left w:val="single" w:color="auto" w:sz="4" w:space="0"/>
              <w:bottom w:val="single" w:color="auto" w:sz="4" w:space="0"/>
              <w:right w:val="single" w:color="auto" w:sz="4" w:space="0"/>
            </w:tcBorders>
            <w:vAlign w:val="center"/>
          </w:tcPr>
          <w:p w14:paraId="5D0BBC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567" w:type="dxa"/>
            <w:tcBorders>
              <w:top w:val="single" w:color="auto" w:sz="4" w:space="0"/>
              <w:left w:val="single" w:color="auto" w:sz="4" w:space="0"/>
              <w:bottom w:val="single" w:color="auto" w:sz="4" w:space="0"/>
              <w:right w:val="single" w:color="auto" w:sz="4" w:space="0"/>
            </w:tcBorders>
            <w:vAlign w:val="center"/>
          </w:tcPr>
          <w:p w14:paraId="4F84DB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µg/m</w:t>
            </w:r>
            <w:r>
              <w:rPr>
                <w:rFonts w:hint="default" w:ascii="Times New Roman" w:hAnsi="Times New Roman" w:eastAsia="宋体" w:cs="Times New Roman"/>
                <w:color w:val="auto"/>
                <w:sz w:val="21"/>
                <w:szCs w:val="21"/>
                <w:highlight w:val="none"/>
                <w:vertAlign w:val="superscript"/>
              </w:rPr>
              <w:t>3</w:t>
            </w:r>
          </w:p>
        </w:tc>
        <w:tc>
          <w:tcPr>
            <w:tcW w:w="397" w:type="dxa"/>
            <w:tcBorders>
              <w:top w:val="single" w:color="auto" w:sz="4" w:space="0"/>
              <w:left w:val="single" w:color="auto" w:sz="4" w:space="0"/>
              <w:bottom w:val="single" w:color="auto" w:sz="4" w:space="0"/>
              <w:right w:val="single" w:color="auto" w:sz="4" w:space="0"/>
            </w:tcBorders>
            <w:vAlign w:val="center"/>
          </w:tcPr>
          <w:p w14:paraId="08278E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一次</w:t>
            </w:r>
          </w:p>
        </w:tc>
        <w:tc>
          <w:tcPr>
            <w:tcW w:w="567" w:type="dxa"/>
            <w:tcBorders>
              <w:top w:val="single" w:color="auto" w:sz="4" w:space="0"/>
              <w:left w:val="single" w:color="auto" w:sz="4" w:space="0"/>
              <w:bottom w:val="single" w:color="auto" w:sz="4" w:space="0"/>
              <w:right w:val="single" w:color="auto" w:sz="4" w:space="0"/>
            </w:tcBorders>
            <w:vAlign w:val="center"/>
          </w:tcPr>
          <w:p w14:paraId="48917F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10µg/m</w:t>
            </w:r>
            <w:r>
              <w:rPr>
                <w:rFonts w:hint="default" w:ascii="Times New Roman" w:hAnsi="Times New Roman" w:eastAsia="宋体" w:cs="Times New Roman"/>
                <w:color w:val="auto"/>
                <w:sz w:val="21"/>
                <w:szCs w:val="21"/>
                <w:highlight w:val="none"/>
                <w:vertAlign w:val="superscript"/>
              </w:rPr>
              <w:t>3</w:t>
            </w:r>
          </w:p>
        </w:tc>
        <w:tc>
          <w:tcPr>
            <w:tcW w:w="567" w:type="dxa"/>
            <w:tcBorders>
              <w:top w:val="single" w:color="auto" w:sz="4" w:space="0"/>
              <w:left w:val="single" w:color="auto" w:sz="4" w:space="0"/>
              <w:bottom w:val="single" w:color="auto" w:sz="4" w:space="0"/>
              <w:right w:val="single" w:color="auto" w:sz="4" w:space="0"/>
            </w:tcBorders>
            <w:vAlign w:val="center"/>
          </w:tcPr>
          <w:p w14:paraId="5492A3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rPr>
              <w:t>0%</w:t>
            </w:r>
          </w:p>
        </w:tc>
        <w:tc>
          <w:tcPr>
            <w:tcW w:w="567" w:type="dxa"/>
            <w:tcBorders>
              <w:top w:val="single" w:color="auto" w:sz="4" w:space="0"/>
              <w:left w:val="single" w:color="auto" w:sz="4" w:space="0"/>
              <w:bottom w:val="single" w:color="auto" w:sz="4" w:space="0"/>
              <w:right w:val="single" w:color="auto" w:sz="4" w:space="0"/>
            </w:tcBorders>
            <w:vAlign w:val="center"/>
          </w:tcPr>
          <w:p w14:paraId="2CC8D3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567" w:type="dxa"/>
            <w:tcBorders>
              <w:top w:val="single" w:color="auto" w:sz="4" w:space="0"/>
              <w:left w:val="single" w:color="auto" w:sz="4" w:space="0"/>
              <w:bottom w:val="single" w:color="auto" w:sz="4" w:space="0"/>
              <w:right w:val="single" w:color="auto" w:sz="4" w:space="0"/>
            </w:tcBorders>
            <w:vAlign w:val="center"/>
          </w:tcPr>
          <w:p w14:paraId="4D0057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r>
      <w:tr w14:paraId="1A2A30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14:paraId="20C8E1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567" w:type="dxa"/>
            <w:tcBorders>
              <w:top w:val="single" w:color="auto" w:sz="4" w:space="0"/>
              <w:left w:val="single" w:color="auto" w:sz="4" w:space="0"/>
              <w:bottom w:val="single" w:color="auto" w:sz="4" w:space="0"/>
              <w:right w:val="single" w:color="auto" w:sz="4" w:space="0"/>
            </w:tcBorders>
            <w:vAlign w:val="center"/>
          </w:tcPr>
          <w:p w14:paraId="6A67EC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567" w:type="dxa"/>
            <w:tcBorders>
              <w:top w:val="single" w:color="auto" w:sz="4" w:space="0"/>
              <w:left w:val="single" w:color="auto" w:sz="4" w:space="0"/>
              <w:bottom w:val="single" w:color="auto" w:sz="4" w:space="0"/>
              <w:right w:val="single" w:color="auto" w:sz="4" w:space="0"/>
            </w:tcBorders>
            <w:vAlign w:val="center"/>
          </w:tcPr>
          <w:p w14:paraId="7E05AA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111～185</w:t>
            </w:r>
            <w:r>
              <w:rPr>
                <w:rFonts w:hint="default" w:ascii="Times New Roman" w:hAnsi="Times New Roman" w:eastAsia="宋体" w:cs="Times New Roman"/>
                <w:color w:val="auto"/>
                <w:sz w:val="21"/>
                <w:szCs w:val="21"/>
                <w:highlight w:val="none"/>
              </w:rPr>
              <w:t>µg/m</w:t>
            </w:r>
            <w:r>
              <w:rPr>
                <w:rFonts w:hint="default" w:ascii="Times New Roman" w:hAnsi="Times New Roman" w:eastAsia="宋体" w:cs="Times New Roman"/>
                <w:color w:val="auto"/>
                <w:sz w:val="21"/>
                <w:szCs w:val="21"/>
                <w:highlight w:val="none"/>
                <w:vertAlign w:val="superscript"/>
              </w:rPr>
              <w:t>3</w:t>
            </w:r>
          </w:p>
        </w:tc>
        <w:tc>
          <w:tcPr>
            <w:tcW w:w="397" w:type="dxa"/>
            <w:tcBorders>
              <w:top w:val="single" w:color="auto" w:sz="4" w:space="0"/>
              <w:left w:val="single" w:color="auto" w:sz="4" w:space="0"/>
              <w:bottom w:val="single" w:color="auto" w:sz="4" w:space="0"/>
              <w:right w:val="single" w:color="auto" w:sz="4" w:space="0"/>
            </w:tcBorders>
            <w:vAlign w:val="center"/>
          </w:tcPr>
          <w:p w14:paraId="31748B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日均</w:t>
            </w:r>
          </w:p>
        </w:tc>
        <w:tc>
          <w:tcPr>
            <w:tcW w:w="567" w:type="dxa"/>
            <w:tcBorders>
              <w:top w:val="single" w:color="auto" w:sz="4" w:space="0"/>
              <w:left w:val="single" w:color="auto" w:sz="4" w:space="0"/>
              <w:bottom w:val="single" w:color="auto" w:sz="4" w:space="0"/>
              <w:right w:val="single" w:color="auto" w:sz="4" w:space="0"/>
            </w:tcBorders>
            <w:vAlign w:val="center"/>
          </w:tcPr>
          <w:p w14:paraId="1C923D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300µg/m</w:t>
            </w:r>
            <w:r>
              <w:rPr>
                <w:rFonts w:hint="default" w:ascii="Times New Roman" w:hAnsi="Times New Roman" w:eastAsia="宋体" w:cs="Times New Roman"/>
                <w:color w:val="auto"/>
                <w:sz w:val="21"/>
                <w:szCs w:val="21"/>
                <w:highlight w:val="none"/>
                <w:vertAlign w:val="superscript"/>
              </w:rPr>
              <w:t>3</w:t>
            </w:r>
          </w:p>
        </w:tc>
        <w:tc>
          <w:tcPr>
            <w:tcW w:w="567" w:type="dxa"/>
            <w:tcBorders>
              <w:top w:val="single" w:color="auto" w:sz="4" w:space="0"/>
              <w:left w:val="single" w:color="auto" w:sz="4" w:space="0"/>
              <w:bottom w:val="single" w:color="auto" w:sz="4" w:space="0"/>
              <w:right w:val="single" w:color="auto" w:sz="4" w:space="0"/>
            </w:tcBorders>
            <w:vAlign w:val="center"/>
          </w:tcPr>
          <w:p w14:paraId="160BFD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74</w:t>
            </w:r>
            <w:r>
              <w:rPr>
                <w:rFonts w:hint="default" w:ascii="Times New Roman" w:hAnsi="Times New Roman" w:eastAsia="宋体" w:cs="Times New Roman"/>
                <w:color w:val="auto"/>
                <w:sz w:val="21"/>
                <w:szCs w:val="21"/>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61F5B6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567" w:type="dxa"/>
            <w:tcBorders>
              <w:top w:val="single" w:color="auto" w:sz="4" w:space="0"/>
              <w:left w:val="single" w:color="auto" w:sz="4" w:space="0"/>
              <w:bottom w:val="single" w:color="auto" w:sz="4" w:space="0"/>
              <w:right w:val="single" w:color="auto" w:sz="4" w:space="0"/>
            </w:tcBorders>
            <w:vAlign w:val="center"/>
          </w:tcPr>
          <w:p w14:paraId="15668E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r>
    </w:tbl>
    <w:p w14:paraId="31D9912F">
      <w:pPr>
        <w:pageBreakBefore w:val="0"/>
        <w:widowControl w:val="0"/>
        <w:shd w:val="clear"/>
        <w:kinsoku/>
        <w:wordWrap/>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由结果可知，当地的H</w:t>
      </w:r>
      <w:r>
        <w:rPr>
          <w:rFonts w:hint="default" w:ascii="Times New Roman" w:hAnsi="Times New Roman" w:eastAsia="宋体" w:cs="Times New Roman"/>
          <w:color w:val="auto"/>
          <w:szCs w:val="24"/>
          <w:highlight w:val="none"/>
          <w:vertAlign w:val="subscript"/>
        </w:rPr>
        <w:t>2</w:t>
      </w:r>
      <w:r>
        <w:rPr>
          <w:rFonts w:hint="default" w:ascii="Times New Roman" w:hAnsi="Times New Roman" w:eastAsia="宋体" w:cs="Times New Roman"/>
          <w:color w:val="auto"/>
          <w:szCs w:val="24"/>
          <w:highlight w:val="none"/>
        </w:rPr>
        <w:t>S、NH</w:t>
      </w:r>
      <w:r>
        <w:rPr>
          <w:rFonts w:hint="default" w:ascii="Times New Roman" w:hAnsi="Times New Roman" w:eastAsia="宋体" w:cs="Times New Roman"/>
          <w:color w:val="auto"/>
          <w:szCs w:val="24"/>
          <w:highlight w:val="none"/>
          <w:vertAlign w:val="subscript"/>
        </w:rPr>
        <w:t>3</w:t>
      </w:r>
      <w:r>
        <w:rPr>
          <w:rFonts w:hint="default" w:ascii="Times New Roman" w:hAnsi="Times New Roman" w:eastAsia="宋体" w:cs="Times New Roman"/>
          <w:color w:val="auto"/>
          <w:szCs w:val="24"/>
          <w:highlight w:val="none"/>
        </w:rPr>
        <w:t>浓度符合《</w:t>
      </w:r>
      <w:r>
        <w:rPr>
          <w:rFonts w:hint="default" w:ascii="Times New Roman" w:hAnsi="Times New Roman" w:eastAsia="宋体" w:cs="Times New Roman"/>
          <w:color w:val="auto"/>
          <w:szCs w:val="24"/>
          <w:highlight w:val="none"/>
          <w:lang w:eastAsia="zh-CN"/>
        </w:rPr>
        <w:t>环境影响评价技术导则</w:t>
      </w:r>
      <w:r>
        <w:rPr>
          <w:rFonts w:hint="default" w:ascii="Times New Roman" w:hAnsi="Times New Roman" w:eastAsia="宋体" w:cs="Times New Roman"/>
          <w:color w:val="auto"/>
          <w:szCs w:val="24"/>
          <w:highlight w:val="none"/>
          <w:lang w:val="en-US" w:eastAsia="zh-CN"/>
        </w:rPr>
        <w:t xml:space="preserve"> </w:t>
      </w:r>
      <w:r>
        <w:rPr>
          <w:rFonts w:hint="default" w:ascii="Times New Roman" w:hAnsi="Times New Roman" w:eastAsia="宋体" w:cs="Times New Roman"/>
          <w:color w:val="auto"/>
          <w:szCs w:val="24"/>
          <w:highlight w:val="none"/>
        </w:rPr>
        <w:t>大气环境》（HJ2.2</w:t>
      </w:r>
      <w:r>
        <w:rPr>
          <w:rFonts w:hint="default" w:ascii="Times New Roman" w:hAnsi="Times New Roman" w:eastAsia="宋体" w:cs="Times New Roman"/>
          <w:color w:val="auto"/>
          <w:szCs w:val="24"/>
          <w:highlight w:val="none"/>
          <w:lang w:eastAsia="zh-CN"/>
        </w:rPr>
        <w:t>-</w:t>
      </w:r>
      <w:r>
        <w:rPr>
          <w:rFonts w:hint="default" w:ascii="Times New Roman" w:hAnsi="Times New Roman" w:eastAsia="宋体" w:cs="Times New Roman"/>
          <w:color w:val="auto"/>
          <w:szCs w:val="24"/>
          <w:highlight w:val="none"/>
        </w:rPr>
        <w:t>2018）附录D其他污染物空气质量浓度参考限值；TSP满足《环境空气质量标准》（GB3095-2012）中的二级标准。</w:t>
      </w:r>
    </w:p>
    <w:p w14:paraId="7BD5BF4B">
      <w:pPr>
        <w:pStyle w:val="6"/>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51" w:name="_Toc29105"/>
      <w:r>
        <w:rPr>
          <w:rFonts w:hint="default" w:ascii="Times New Roman" w:hAnsi="Times New Roman" w:eastAsia="宋体" w:cs="Times New Roman"/>
          <w:color w:val="auto"/>
          <w:highlight w:val="none"/>
        </w:rPr>
        <w:t>4.2.2</w:t>
      </w:r>
      <w:bookmarkStart w:id="352" w:name="_Toc521342155"/>
      <w:bookmarkStart w:id="353" w:name="_Toc494206317"/>
      <w:r>
        <w:rPr>
          <w:rFonts w:hint="default" w:ascii="Times New Roman" w:hAnsi="Times New Roman" w:eastAsia="宋体" w:cs="Times New Roman"/>
          <w:color w:val="auto"/>
          <w:highlight w:val="none"/>
        </w:rPr>
        <w:t>地下水质量现状调查与评价</w:t>
      </w:r>
      <w:bookmarkEnd w:id="351"/>
      <w:bookmarkEnd w:id="352"/>
      <w:bookmarkEnd w:id="353"/>
    </w:p>
    <w:p w14:paraId="0E89CF75">
      <w:pPr>
        <w:pStyle w:val="7"/>
        <w:pageBreakBefore w:val="0"/>
        <w:widowControl w:val="0"/>
        <w:shd w:val="clear"/>
        <w:kinsoku/>
        <w:wordWrap/>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4.2.2.1水位现状监测</w:t>
      </w:r>
    </w:p>
    <w:p w14:paraId="15AB8AC5">
      <w:pPr>
        <w:pageBreakBefore w:val="0"/>
        <w:widowControl w:val="0"/>
        <w:shd w:val="clear"/>
        <w:kinsoku/>
        <w:wordWrap/>
        <w:overflowPunct w:val="0"/>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354" w:name="_Hlk46689585"/>
      <w:r>
        <w:rPr>
          <w:rFonts w:hint="default" w:ascii="Times New Roman" w:hAnsi="Times New Roman" w:eastAsia="宋体" w:cs="Times New Roman"/>
          <w:color w:val="auto"/>
          <w:highlight w:val="none"/>
        </w:rPr>
        <w:t>本次评价共布设水位监测点6个，布设3个地下水水质监测点，</w:t>
      </w:r>
      <w:r>
        <w:rPr>
          <w:rFonts w:hint="default" w:ascii="Times New Roman" w:hAnsi="Times New Roman" w:eastAsia="宋体" w:cs="Times New Roman"/>
          <w:color w:val="auto"/>
          <w:highlight w:val="none"/>
          <w:lang w:val="en-US" w:eastAsia="zh-CN"/>
        </w:rPr>
        <w:t>采样</w:t>
      </w:r>
      <w:r>
        <w:rPr>
          <w:rFonts w:hint="default" w:ascii="Times New Roman" w:hAnsi="Times New Roman" w:eastAsia="宋体" w:cs="Times New Roman"/>
          <w:color w:val="auto"/>
          <w:highlight w:val="none"/>
        </w:rPr>
        <w:t>时间为202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日，监测单位为</w:t>
      </w:r>
      <w:r>
        <w:rPr>
          <w:rFonts w:hint="default" w:ascii="Times New Roman" w:hAnsi="Times New Roman" w:eastAsia="宋体" w:cs="Times New Roman"/>
          <w:color w:val="auto"/>
          <w:szCs w:val="24"/>
          <w:highlight w:val="none"/>
          <w:lang w:eastAsia="zh-CN"/>
        </w:rPr>
        <w:t>内蒙古双旭环境检测有限公司</w:t>
      </w:r>
      <w:r>
        <w:rPr>
          <w:rFonts w:hint="default" w:ascii="Times New Roman" w:hAnsi="Times New Roman" w:eastAsia="宋体" w:cs="Times New Roman"/>
          <w:color w:val="auto"/>
          <w:highlight w:val="none"/>
        </w:rPr>
        <w:t>，水质水位位置布点见下表，如图4.2-1所示。</w:t>
      </w:r>
      <w:bookmarkEnd w:id="354"/>
    </w:p>
    <w:p w14:paraId="2A8A0CAA">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表4.2-6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地下水水位监测布点</w:t>
      </w:r>
      <w:r>
        <w:rPr>
          <w:rFonts w:hint="default" w:ascii="Times New Roman" w:hAnsi="Times New Roman" w:eastAsia="宋体" w:cs="Times New Roman"/>
          <w:color w:val="auto"/>
          <w:sz w:val="24"/>
          <w:szCs w:val="24"/>
          <w:highlight w:val="none"/>
          <w:lang w:eastAsia="zh-CN"/>
        </w:rPr>
        <w:t>情况表</w:t>
      </w:r>
    </w:p>
    <w:tbl>
      <w:tblPr>
        <w:tblStyle w:val="42"/>
        <w:tblW w:w="85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13"/>
        <w:gridCol w:w="1213"/>
        <w:gridCol w:w="1215"/>
        <w:gridCol w:w="1215"/>
        <w:gridCol w:w="1215"/>
        <w:gridCol w:w="1216"/>
        <w:gridCol w:w="1217"/>
      </w:tblGrid>
      <w:tr w14:paraId="71FE9F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2E0CC526">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点位</w:t>
            </w:r>
          </w:p>
        </w:tc>
        <w:tc>
          <w:tcPr>
            <w:tcW w:w="1378" w:type="dxa"/>
            <w:tcBorders>
              <w:top w:val="single" w:color="auto" w:sz="4" w:space="0"/>
              <w:left w:val="single" w:color="auto" w:sz="4" w:space="0"/>
              <w:bottom w:val="single" w:color="auto" w:sz="4" w:space="0"/>
              <w:right w:val="single" w:color="auto" w:sz="4" w:space="0"/>
            </w:tcBorders>
            <w:vAlign w:val="center"/>
          </w:tcPr>
          <w:p w14:paraId="09D031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方位</w:t>
            </w:r>
          </w:p>
        </w:tc>
        <w:tc>
          <w:tcPr>
            <w:tcW w:w="1380" w:type="dxa"/>
            <w:tcBorders>
              <w:top w:val="single" w:color="auto" w:sz="4" w:space="0"/>
              <w:left w:val="single" w:color="auto" w:sz="4" w:space="0"/>
              <w:bottom w:val="single" w:color="auto" w:sz="4" w:space="0"/>
              <w:right w:val="single" w:color="auto" w:sz="4" w:space="0"/>
            </w:tcBorders>
            <w:vAlign w:val="center"/>
          </w:tcPr>
          <w:p w14:paraId="0D5F9C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距离</w:t>
            </w:r>
          </w:p>
        </w:tc>
        <w:tc>
          <w:tcPr>
            <w:tcW w:w="1380" w:type="dxa"/>
            <w:tcBorders>
              <w:top w:val="single" w:color="auto" w:sz="4" w:space="0"/>
              <w:left w:val="single" w:color="auto" w:sz="4" w:space="0"/>
              <w:bottom w:val="single" w:color="auto" w:sz="4" w:space="0"/>
              <w:right w:val="single" w:color="auto" w:sz="4" w:space="0"/>
            </w:tcBorders>
            <w:vAlign w:val="center"/>
          </w:tcPr>
          <w:p w14:paraId="302519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地下水方向</w:t>
            </w:r>
          </w:p>
        </w:tc>
        <w:tc>
          <w:tcPr>
            <w:tcW w:w="1380" w:type="dxa"/>
            <w:tcBorders>
              <w:top w:val="single" w:color="auto" w:sz="4" w:space="0"/>
              <w:left w:val="single" w:color="auto" w:sz="4" w:space="0"/>
              <w:bottom w:val="single" w:color="auto" w:sz="4" w:space="0"/>
              <w:right w:val="single" w:color="auto" w:sz="4" w:space="0"/>
            </w:tcBorders>
            <w:vAlign w:val="center"/>
          </w:tcPr>
          <w:p w14:paraId="4B6038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水井功能</w:t>
            </w:r>
          </w:p>
        </w:tc>
        <w:tc>
          <w:tcPr>
            <w:tcW w:w="1381" w:type="dxa"/>
            <w:tcBorders>
              <w:top w:val="single" w:color="auto" w:sz="4" w:space="0"/>
              <w:left w:val="single" w:color="auto" w:sz="4" w:space="0"/>
              <w:bottom w:val="single" w:color="auto" w:sz="4" w:space="0"/>
              <w:right w:val="single" w:color="auto" w:sz="4" w:space="0"/>
            </w:tcBorders>
            <w:vAlign w:val="center"/>
          </w:tcPr>
          <w:p w14:paraId="356A7B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监测内容</w:t>
            </w:r>
          </w:p>
        </w:tc>
        <w:tc>
          <w:tcPr>
            <w:tcW w:w="1381" w:type="dxa"/>
            <w:tcBorders>
              <w:top w:val="single" w:color="auto" w:sz="4" w:space="0"/>
              <w:left w:val="single" w:color="auto" w:sz="4" w:space="0"/>
              <w:bottom w:val="single" w:color="auto" w:sz="4" w:space="0"/>
              <w:right w:val="single" w:color="auto" w:sz="4" w:space="0"/>
            </w:tcBorders>
            <w:vAlign w:val="center"/>
          </w:tcPr>
          <w:p w14:paraId="648322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井深</w:t>
            </w:r>
          </w:p>
        </w:tc>
      </w:tr>
      <w:tr w14:paraId="4E247E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4D761F37">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W1项目区西北水井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777D6D3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东北侧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01867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530m</w:t>
            </w:r>
          </w:p>
        </w:tc>
        <w:tc>
          <w:tcPr>
            <w:tcW w:w="1380" w:type="dxa"/>
            <w:tcBorders>
              <w:top w:val="single" w:color="auto" w:sz="4" w:space="0"/>
              <w:left w:val="single" w:color="auto" w:sz="4" w:space="0"/>
              <w:bottom w:val="single" w:color="auto" w:sz="4" w:space="0"/>
              <w:right w:val="single" w:color="auto" w:sz="4" w:space="0"/>
            </w:tcBorders>
            <w:vAlign w:val="center"/>
          </w:tcPr>
          <w:p w14:paraId="5F9B24CC">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上游</w:t>
            </w:r>
          </w:p>
        </w:tc>
        <w:tc>
          <w:tcPr>
            <w:tcW w:w="1380" w:type="dxa"/>
            <w:tcBorders>
              <w:top w:val="single" w:color="auto" w:sz="4" w:space="0"/>
              <w:left w:val="single" w:color="auto" w:sz="4" w:space="0"/>
              <w:bottom w:val="single" w:color="auto" w:sz="4" w:space="0"/>
              <w:right w:val="single" w:color="auto" w:sz="4" w:space="0"/>
            </w:tcBorders>
            <w:vAlign w:val="center"/>
          </w:tcPr>
          <w:p w14:paraId="45CC2C6E">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381" w:type="dxa"/>
            <w:tcBorders>
              <w:top w:val="single" w:color="auto" w:sz="4" w:space="0"/>
              <w:left w:val="single" w:color="auto" w:sz="4" w:space="0"/>
              <w:bottom w:val="single" w:color="auto" w:sz="4" w:space="0"/>
              <w:right w:val="single" w:color="auto" w:sz="4" w:space="0"/>
            </w:tcBorders>
            <w:vAlign w:val="center"/>
          </w:tcPr>
          <w:p w14:paraId="7B6A4B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水质、水位</w:t>
            </w:r>
          </w:p>
        </w:tc>
        <w:tc>
          <w:tcPr>
            <w:tcW w:w="1381" w:type="dxa"/>
            <w:tcBorders>
              <w:top w:val="single" w:color="auto" w:sz="4" w:space="0"/>
              <w:left w:val="single" w:color="auto" w:sz="4" w:space="0"/>
              <w:bottom w:val="single" w:color="auto" w:sz="4" w:space="0"/>
              <w:right w:val="single" w:color="auto" w:sz="4" w:space="0"/>
            </w:tcBorders>
            <w:vAlign w:val="center"/>
          </w:tcPr>
          <w:p w14:paraId="2F0214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19m</w:t>
            </w:r>
          </w:p>
        </w:tc>
      </w:tr>
      <w:tr w14:paraId="4AF172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0FE72175">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W2项目区场内水井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17024755">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东侧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20728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370</w:t>
            </w:r>
            <w:r>
              <w:rPr>
                <w:rFonts w:hint="default" w:ascii="Times New Roman" w:hAnsi="Times New Roman" w:eastAsia="宋体" w:cs="Times New Roman"/>
                <w:color w:val="auto"/>
                <w:kern w:val="2"/>
                <w:sz w:val="21"/>
                <w:szCs w:val="21"/>
                <w:highlight w:val="none"/>
                <w:lang w:val="en-US" w:eastAsia="zh-CN" w:bidi="ar-SA"/>
              </w:rPr>
              <w:t>m</w:t>
            </w:r>
          </w:p>
        </w:tc>
        <w:tc>
          <w:tcPr>
            <w:tcW w:w="1380" w:type="dxa"/>
            <w:tcBorders>
              <w:top w:val="single" w:color="auto" w:sz="4" w:space="0"/>
              <w:left w:val="single" w:color="auto" w:sz="4" w:space="0"/>
              <w:bottom w:val="single" w:color="auto" w:sz="4" w:space="0"/>
              <w:right w:val="single" w:color="auto" w:sz="4" w:space="0"/>
            </w:tcBorders>
            <w:vAlign w:val="center"/>
          </w:tcPr>
          <w:p w14:paraId="59F1446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两侧</w:t>
            </w:r>
          </w:p>
        </w:tc>
        <w:tc>
          <w:tcPr>
            <w:tcW w:w="1380" w:type="dxa"/>
            <w:tcBorders>
              <w:top w:val="single" w:color="auto" w:sz="4" w:space="0"/>
              <w:left w:val="single" w:color="auto" w:sz="4" w:space="0"/>
              <w:bottom w:val="single" w:color="auto" w:sz="4" w:space="0"/>
              <w:right w:val="single" w:color="auto" w:sz="4" w:space="0"/>
            </w:tcBorders>
            <w:vAlign w:val="center"/>
          </w:tcPr>
          <w:p w14:paraId="727F1672">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养殖用水井</w:t>
            </w:r>
          </w:p>
        </w:tc>
        <w:tc>
          <w:tcPr>
            <w:tcW w:w="1381" w:type="dxa"/>
            <w:tcBorders>
              <w:top w:val="single" w:color="auto" w:sz="4" w:space="0"/>
              <w:left w:val="single" w:color="auto" w:sz="4" w:space="0"/>
              <w:bottom w:val="single" w:color="auto" w:sz="4" w:space="0"/>
              <w:right w:val="single" w:color="auto" w:sz="4" w:space="0"/>
            </w:tcBorders>
            <w:vAlign w:val="center"/>
          </w:tcPr>
          <w:p w14:paraId="323D6A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水质、水位</w:t>
            </w:r>
          </w:p>
        </w:tc>
        <w:tc>
          <w:tcPr>
            <w:tcW w:w="1381" w:type="dxa"/>
            <w:tcBorders>
              <w:top w:val="single" w:color="auto" w:sz="4" w:space="0"/>
              <w:left w:val="single" w:color="auto" w:sz="4" w:space="0"/>
              <w:bottom w:val="single" w:color="auto" w:sz="4" w:space="0"/>
              <w:right w:val="single" w:color="auto" w:sz="4" w:space="0"/>
            </w:tcBorders>
            <w:vAlign w:val="center"/>
          </w:tcPr>
          <w:p w14:paraId="6E9159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19m</w:t>
            </w:r>
          </w:p>
        </w:tc>
      </w:tr>
      <w:tr w14:paraId="32B1A3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6D8F4475">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W3项目区东南水井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054390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南侧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112032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1050</w:t>
            </w:r>
            <w:r>
              <w:rPr>
                <w:rFonts w:hint="default" w:ascii="Times New Roman" w:hAnsi="Times New Roman" w:eastAsia="宋体" w:cs="Times New Roman"/>
                <w:color w:val="auto"/>
                <w:kern w:val="2"/>
                <w:sz w:val="21"/>
                <w:szCs w:val="21"/>
                <w:highlight w:val="none"/>
                <w:lang w:val="en-US" w:eastAsia="zh-CN" w:bidi="ar-SA"/>
              </w:rPr>
              <w:t>m</w:t>
            </w:r>
          </w:p>
        </w:tc>
        <w:tc>
          <w:tcPr>
            <w:tcW w:w="1380" w:type="dxa"/>
            <w:tcBorders>
              <w:top w:val="single" w:color="auto" w:sz="4" w:space="0"/>
              <w:left w:val="single" w:color="auto" w:sz="4" w:space="0"/>
              <w:bottom w:val="single" w:color="auto" w:sz="4" w:space="0"/>
              <w:right w:val="single" w:color="auto" w:sz="4" w:space="0"/>
            </w:tcBorders>
            <w:vAlign w:val="center"/>
          </w:tcPr>
          <w:p w14:paraId="52EEC258">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下游</w:t>
            </w:r>
          </w:p>
        </w:tc>
        <w:tc>
          <w:tcPr>
            <w:tcW w:w="1380" w:type="dxa"/>
            <w:tcBorders>
              <w:top w:val="single" w:color="auto" w:sz="4" w:space="0"/>
              <w:left w:val="single" w:color="auto" w:sz="4" w:space="0"/>
              <w:bottom w:val="single" w:color="auto" w:sz="4" w:space="0"/>
              <w:right w:val="single" w:color="auto" w:sz="4" w:space="0"/>
            </w:tcBorders>
            <w:vAlign w:val="center"/>
          </w:tcPr>
          <w:p w14:paraId="153842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生活水井</w:t>
            </w:r>
          </w:p>
        </w:tc>
        <w:tc>
          <w:tcPr>
            <w:tcW w:w="1381" w:type="dxa"/>
            <w:tcBorders>
              <w:top w:val="single" w:color="auto" w:sz="4" w:space="0"/>
              <w:left w:val="single" w:color="auto" w:sz="4" w:space="0"/>
              <w:bottom w:val="single" w:color="auto" w:sz="4" w:space="0"/>
              <w:right w:val="single" w:color="auto" w:sz="4" w:space="0"/>
            </w:tcBorders>
            <w:vAlign w:val="center"/>
          </w:tcPr>
          <w:p w14:paraId="5329DA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水质、水位</w:t>
            </w:r>
          </w:p>
        </w:tc>
        <w:tc>
          <w:tcPr>
            <w:tcW w:w="1381" w:type="dxa"/>
            <w:tcBorders>
              <w:top w:val="single" w:color="auto" w:sz="4" w:space="0"/>
              <w:left w:val="single" w:color="auto" w:sz="4" w:space="0"/>
              <w:bottom w:val="single" w:color="auto" w:sz="4" w:space="0"/>
              <w:right w:val="single" w:color="auto" w:sz="4" w:space="0"/>
            </w:tcBorders>
            <w:vAlign w:val="center"/>
          </w:tcPr>
          <w:p w14:paraId="6D167C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19m</w:t>
            </w:r>
          </w:p>
        </w:tc>
      </w:tr>
      <w:tr w14:paraId="4E79FB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7B7F0484">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W4项目区北水井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064A5903">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西南侧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14ADC0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960</w:t>
            </w:r>
            <w:r>
              <w:rPr>
                <w:rFonts w:hint="default" w:ascii="Times New Roman" w:hAnsi="Times New Roman" w:eastAsia="宋体" w:cs="Times New Roman"/>
                <w:color w:val="auto"/>
                <w:kern w:val="2"/>
                <w:sz w:val="21"/>
                <w:szCs w:val="21"/>
                <w:highlight w:val="none"/>
                <w:lang w:val="en-US" w:eastAsia="zh-CN" w:bidi="ar-SA"/>
              </w:rPr>
              <w:t>m</w:t>
            </w:r>
          </w:p>
        </w:tc>
        <w:tc>
          <w:tcPr>
            <w:tcW w:w="1380" w:type="dxa"/>
            <w:tcBorders>
              <w:top w:val="single" w:color="auto" w:sz="4" w:space="0"/>
              <w:left w:val="single" w:color="auto" w:sz="4" w:space="0"/>
              <w:bottom w:val="single" w:color="auto" w:sz="4" w:space="0"/>
              <w:right w:val="single" w:color="auto" w:sz="4" w:space="0"/>
            </w:tcBorders>
            <w:vAlign w:val="center"/>
          </w:tcPr>
          <w:p w14:paraId="0EE00BF4">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两侧</w:t>
            </w:r>
          </w:p>
        </w:tc>
        <w:tc>
          <w:tcPr>
            <w:tcW w:w="1380" w:type="dxa"/>
            <w:tcBorders>
              <w:top w:val="single" w:color="auto" w:sz="4" w:space="0"/>
              <w:left w:val="single" w:color="auto" w:sz="4" w:space="0"/>
              <w:bottom w:val="single" w:color="auto" w:sz="4" w:space="0"/>
              <w:right w:val="single" w:color="auto" w:sz="4" w:space="0"/>
            </w:tcBorders>
            <w:vAlign w:val="center"/>
          </w:tcPr>
          <w:p w14:paraId="2E4421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381" w:type="dxa"/>
            <w:tcBorders>
              <w:top w:val="single" w:color="auto" w:sz="4" w:space="0"/>
              <w:left w:val="single" w:color="auto" w:sz="4" w:space="0"/>
              <w:bottom w:val="single" w:color="auto" w:sz="4" w:space="0"/>
              <w:right w:val="single" w:color="auto" w:sz="4" w:space="0"/>
            </w:tcBorders>
            <w:vAlign w:val="center"/>
          </w:tcPr>
          <w:p w14:paraId="74EBD0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水位</w:t>
            </w:r>
          </w:p>
        </w:tc>
        <w:tc>
          <w:tcPr>
            <w:tcW w:w="1381" w:type="dxa"/>
            <w:tcBorders>
              <w:top w:val="single" w:color="auto" w:sz="4" w:space="0"/>
              <w:left w:val="single" w:color="auto" w:sz="4" w:space="0"/>
              <w:bottom w:val="single" w:color="auto" w:sz="4" w:space="0"/>
              <w:right w:val="single" w:color="auto" w:sz="4" w:space="0"/>
            </w:tcBorders>
            <w:vAlign w:val="center"/>
          </w:tcPr>
          <w:p w14:paraId="1FCAE9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16m</w:t>
            </w:r>
          </w:p>
        </w:tc>
      </w:tr>
      <w:tr w14:paraId="114FC5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553D4789">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W5项目区南水井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339C834D">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西北侧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339796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704m</w:t>
            </w:r>
          </w:p>
        </w:tc>
        <w:tc>
          <w:tcPr>
            <w:tcW w:w="1380" w:type="dxa"/>
            <w:tcBorders>
              <w:top w:val="single" w:color="auto" w:sz="4" w:space="0"/>
              <w:left w:val="single" w:color="auto" w:sz="4" w:space="0"/>
              <w:bottom w:val="single" w:color="auto" w:sz="4" w:space="0"/>
              <w:right w:val="single" w:color="auto" w:sz="4" w:space="0"/>
            </w:tcBorders>
            <w:vAlign w:val="center"/>
          </w:tcPr>
          <w:p w14:paraId="73E5DE19">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下游</w:t>
            </w:r>
          </w:p>
        </w:tc>
        <w:tc>
          <w:tcPr>
            <w:tcW w:w="1380" w:type="dxa"/>
            <w:tcBorders>
              <w:top w:val="single" w:color="auto" w:sz="4" w:space="0"/>
              <w:left w:val="single" w:color="auto" w:sz="4" w:space="0"/>
              <w:bottom w:val="single" w:color="auto" w:sz="4" w:space="0"/>
              <w:right w:val="single" w:color="auto" w:sz="4" w:space="0"/>
            </w:tcBorders>
            <w:vAlign w:val="center"/>
          </w:tcPr>
          <w:p w14:paraId="72E547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381" w:type="dxa"/>
            <w:tcBorders>
              <w:top w:val="single" w:color="auto" w:sz="4" w:space="0"/>
              <w:left w:val="single" w:color="auto" w:sz="4" w:space="0"/>
              <w:bottom w:val="single" w:color="auto" w:sz="4" w:space="0"/>
              <w:right w:val="single" w:color="auto" w:sz="4" w:space="0"/>
            </w:tcBorders>
            <w:vAlign w:val="center"/>
          </w:tcPr>
          <w:p w14:paraId="30BDFB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水位</w:t>
            </w:r>
          </w:p>
        </w:tc>
        <w:tc>
          <w:tcPr>
            <w:tcW w:w="1381" w:type="dxa"/>
            <w:tcBorders>
              <w:top w:val="single" w:color="auto" w:sz="4" w:space="0"/>
              <w:left w:val="single" w:color="auto" w:sz="4" w:space="0"/>
              <w:bottom w:val="single" w:color="auto" w:sz="4" w:space="0"/>
              <w:right w:val="single" w:color="auto" w:sz="4" w:space="0"/>
            </w:tcBorders>
            <w:vAlign w:val="center"/>
          </w:tcPr>
          <w:p w14:paraId="3DD8B6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16m</w:t>
            </w:r>
          </w:p>
        </w:tc>
      </w:tr>
      <w:tr w14:paraId="44DC0E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8" w:type="dxa"/>
            <w:tcBorders>
              <w:top w:val="single" w:color="auto" w:sz="4" w:space="0"/>
              <w:left w:val="single" w:color="auto" w:sz="4" w:space="0"/>
              <w:bottom w:val="single" w:color="auto" w:sz="4" w:space="0"/>
              <w:right w:val="single" w:color="auto" w:sz="4" w:space="0"/>
            </w:tcBorders>
            <w:vAlign w:val="center"/>
          </w:tcPr>
          <w:p w14:paraId="79EA321B">
            <w:pPr>
              <w:keepNext w:val="0"/>
              <w:keepLines w:val="0"/>
              <w:pageBreakBefore w:val="0"/>
              <w:widowControl w:val="0"/>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W6项目区西南水井</w:t>
            </w:r>
          </w:p>
        </w:tc>
        <w:tc>
          <w:tcPr>
            <w:tcW w:w="1378" w:type="dxa"/>
            <w:tcBorders>
              <w:top w:val="single" w:color="auto" w:sz="4" w:space="0"/>
              <w:left w:val="single" w:color="auto" w:sz="4" w:space="0"/>
              <w:bottom w:val="single" w:color="auto" w:sz="4" w:space="0"/>
              <w:right w:val="single" w:color="auto" w:sz="4" w:space="0"/>
            </w:tcBorders>
            <w:shd w:val="clear" w:color="auto" w:fill="auto"/>
            <w:vAlign w:val="center"/>
          </w:tcPr>
          <w:p w14:paraId="67D0B7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西侧</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1FE80B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150m</w:t>
            </w:r>
          </w:p>
        </w:tc>
        <w:tc>
          <w:tcPr>
            <w:tcW w:w="1380" w:type="dxa"/>
            <w:tcBorders>
              <w:top w:val="single" w:color="auto" w:sz="4" w:space="0"/>
              <w:left w:val="single" w:color="auto" w:sz="4" w:space="0"/>
              <w:bottom w:val="single" w:color="auto" w:sz="4" w:space="0"/>
              <w:right w:val="single" w:color="auto" w:sz="4" w:space="0"/>
            </w:tcBorders>
            <w:vAlign w:val="center"/>
          </w:tcPr>
          <w:p w14:paraId="704BB951">
            <w:pPr>
              <w:keepNext w:val="0"/>
              <w:keepLines w:val="0"/>
              <w:pageBreakBefore w:val="0"/>
              <w:widowControl w:val="0"/>
              <w:shd w:val="clear"/>
              <w:kinsoku/>
              <w:wordWrap/>
              <w:overflowPunct/>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下游</w:t>
            </w:r>
          </w:p>
        </w:tc>
        <w:tc>
          <w:tcPr>
            <w:tcW w:w="1380" w:type="dxa"/>
            <w:tcBorders>
              <w:top w:val="single" w:color="auto" w:sz="4" w:space="0"/>
              <w:left w:val="single" w:color="auto" w:sz="4" w:space="0"/>
              <w:bottom w:val="single" w:color="auto" w:sz="4" w:space="0"/>
              <w:right w:val="single" w:color="auto" w:sz="4" w:space="0"/>
            </w:tcBorders>
            <w:vAlign w:val="center"/>
          </w:tcPr>
          <w:p w14:paraId="386107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灌溉水井</w:t>
            </w:r>
          </w:p>
        </w:tc>
        <w:tc>
          <w:tcPr>
            <w:tcW w:w="1381" w:type="dxa"/>
            <w:tcBorders>
              <w:top w:val="single" w:color="auto" w:sz="4" w:space="0"/>
              <w:left w:val="single" w:color="auto" w:sz="4" w:space="0"/>
              <w:bottom w:val="single" w:color="auto" w:sz="4" w:space="0"/>
              <w:right w:val="single" w:color="auto" w:sz="4" w:space="0"/>
            </w:tcBorders>
            <w:vAlign w:val="center"/>
          </w:tcPr>
          <w:p w14:paraId="19D632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水位</w:t>
            </w:r>
          </w:p>
        </w:tc>
        <w:tc>
          <w:tcPr>
            <w:tcW w:w="1381" w:type="dxa"/>
            <w:tcBorders>
              <w:top w:val="single" w:color="auto" w:sz="4" w:space="0"/>
              <w:left w:val="single" w:color="auto" w:sz="4" w:space="0"/>
              <w:bottom w:val="single" w:color="auto" w:sz="4" w:space="0"/>
              <w:right w:val="single" w:color="auto" w:sz="4" w:space="0"/>
            </w:tcBorders>
            <w:vAlign w:val="center"/>
          </w:tcPr>
          <w:p w14:paraId="64B1FB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16m</w:t>
            </w:r>
          </w:p>
        </w:tc>
      </w:tr>
    </w:tbl>
    <w:p w14:paraId="76B3A353">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4.2.2.2水质现状监测</w:t>
      </w:r>
    </w:p>
    <w:p w14:paraId="200C44C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1、水质监测因子</w:t>
      </w:r>
    </w:p>
    <w:p w14:paraId="7A7AA98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rPr>
        <w:t>监测项目：Ka</w:t>
      </w:r>
      <w:r>
        <w:rPr>
          <w:rFonts w:hint="default" w:ascii="Times New Roman" w:hAnsi="Times New Roman" w:eastAsia="宋体" w:cs="Times New Roman"/>
          <w:color w:val="auto"/>
          <w:kern w:val="0"/>
          <w:szCs w:val="21"/>
          <w:highlight w:val="none"/>
          <w:vertAlign w:val="superscript"/>
        </w:rPr>
        <w:t>+</w:t>
      </w:r>
      <w:r>
        <w:rPr>
          <w:rFonts w:hint="default" w:ascii="Times New Roman" w:hAnsi="Times New Roman" w:eastAsia="宋体" w:cs="Times New Roman"/>
          <w:color w:val="auto"/>
          <w:kern w:val="0"/>
          <w:szCs w:val="21"/>
          <w:highlight w:val="none"/>
        </w:rPr>
        <w:t>、Na</w:t>
      </w:r>
      <w:r>
        <w:rPr>
          <w:rFonts w:hint="default" w:ascii="Times New Roman" w:hAnsi="Times New Roman" w:eastAsia="宋体" w:cs="Times New Roman"/>
          <w:color w:val="auto"/>
          <w:kern w:val="0"/>
          <w:szCs w:val="21"/>
          <w:highlight w:val="none"/>
          <w:vertAlign w:val="superscript"/>
        </w:rPr>
        <w:t>+</w:t>
      </w:r>
      <w:r>
        <w:rPr>
          <w:rFonts w:hint="default" w:ascii="Times New Roman" w:hAnsi="Times New Roman" w:eastAsia="宋体" w:cs="Times New Roman"/>
          <w:color w:val="auto"/>
          <w:kern w:val="0"/>
          <w:szCs w:val="21"/>
          <w:highlight w:val="none"/>
        </w:rPr>
        <w:t>、Ca</w:t>
      </w:r>
      <w:r>
        <w:rPr>
          <w:rFonts w:hint="default" w:ascii="Times New Roman" w:hAnsi="Times New Roman" w:eastAsia="宋体" w:cs="Times New Roman"/>
          <w:color w:val="auto"/>
          <w:kern w:val="0"/>
          <w:szCs w:val="21"/>
          <w:highlight w:val="none"/>
          <w:vertAlign w:val="superscript"/>
        </w:rPr>
        <w:t>2+</w:t>
      </w:r>
      <w:r>
        <w:rPr>
          <w:rFonts w:hint="default" w:ascii="Times New Roman" w:hAnsi="Times New Roman" w:eastAsia="宋体" w:cs="Times New Roman"/>
          <w:color w:val="auto"/>
          <w:kern w:val="0"/>
          <w:szCs w:val="21"/>
          <w:highlight w:val="none"/>
        </w:rPr>
        <w:t>、Mg</w:t>
      </w:r>
      <w:r>
        <w:rPr>
          <w:rFonts w:hint="default" w:ascii="Times New Roman" w:hAnsi="Times New Roman" w:eastAsia="宋体" w:cs="Times New Roman"/>
          <w:color w:val="auto"/>
          <w:kern w:val="0"/>
          <w:szCs w:val="21"/>
          <w:highlight w:val="none"/>
          <w:vertAlign w:val="superscript"/>
        </w:rPr>
        <w:t>2+</w:t>
      </w:r>
      <w:r>
        <w:rPr>
          <w:rFonts w:hint="default" w:ascii="Times New Roman" w:hAnsi="Times New Roman" w:eastAsia="宋体" w:cs="Times New Roman"/>
          <w:color w:val="auto"/>
          <w:kern w:val="0"/>
          <w:szCs w:val="21"/>
          <w:highlight w:val="none"/>
        </w:rPr>
        <w:t>、CO</w:t>
      </w:r>
      <w:r>
        <w:rPr>
          <w:rFonts w:hint="default" w:ascii="Times New Roman" w:hAnsi="Times New Roman" w:eastAsia="宋体" w:cs="Times New Roman"/>
          <w:color w:val="auto"/>
          <w:kern w:val="0"/>
          <w:szCs w:val="21"/>
          <w:highlight w:val="none"/>
          <w:vertAlign w:val="subscript"/>
        </w:rPr>
        <w:t>3</w:t>
      </w:r>
      <w:r>
        <w:rPr>
          <w:rFonts w:hint="default" w:ascii="Times New Roman" w:hAnsi="Times New Roman" w:eastAsia="宋体" w:cs="Times New Roman"/>
          <w:color w:val="auto"/>
          <w:kern w:val="0"/>
          <w:szCs w:val="21"/>
          <w:highlight w:val="none"/>
          <w:vertAlign w:val="superscript"/>
        </w:rPr>
        <w:t>2-</w:t>
      </w:r>
      <w:r>
        <w:rPr>
          <w:rFonts w:hint="default" w:ascii="Times New Roman" w:hAnsi="Times New Roman" w:eastAsia="宋体" w:cs="Times New Roman"/>
          <w:color w:val="auto"/>
          <w:kern w:val="0"/>
          <w:szCs w:val="21"/>
          <w:highlight w:val="none"/>
        </w:rPr>
        <w:t>、HCO</w:t>
      </w:r>
      <w:r>
        <w:rPr>
          <w:rFonts w:hint="default" w:ascii="Times New Roman" w:hAnsi="Times New Roman" w:eastAsia="宋体" w:cs="Times New Roman"/>
          <w:color w:val="auto"/>
          <w:kern w:val="0"/>
          <w:szCs w:val="21"/>
          <w:highlight w:val="none"/>
          <w:vertAlign w:val="subscript"/>
        </w:rPr>
        <w:t>3</w:t>
      </w:r>
      <w:r>
        <w:rPr>
          <w:rFonts w:hint="default" w:ascii="Times New Roman" w:hAnsi="Times New Roman" w:eastAsia="宋体" w:cs="Times New Roman"/>
          <w:color w:val="auto"/>
          <w:kern w:val="0"/>
          <w:szCs w:val="21"/>
          <w:highlight w:val="none"/>
          <w:vertAlign w:val="superscript"/>
        </w:rPr>
        <w:t>-</w:t>
      </w:r>
      <w:r>
        <w:rPr>
          <w:rFonts w:hint="default" w:ascii="Times New Roman" w:hAnsi="Times New Roman" w:eastAsia="宋体" w:cs="Times New Roman"/>
          <w:color w:val="auto"/>
          <w:kern w:val="0"/>
          <w:szCs w:val="21"/>
          <w:highlight w:val="none"/>
        </w:rPr>
        <w:t>、Cl</w:t>
      </w:r>
      <w:r>
        <w:rPr>
          <w:rFonts w:hint="default" w:ascii="Times New Roman" w:hAnsi="Times New Roman" w:eastAsia="宋体" w:cs="Times New Roman"/>
          <w:color w:val="auto"/>
          <w:kern w:val="0"/>
          <w:szCs w:val="21"/>
          <w:highlight w:val="none"/>
          <w:vertAlign w:val="superscript"/>
        </w:rPr>
        <w:t>-</w:t>
      </w:r>
      <w:r>
        <w:rPr>
          <w:rFonts w:hint="default" w:ascii="Times New Roman" w:hAnsi="Times New Roman" w:eastAsia="宋体" w:cs="Times New Roman"/>
          <w:color w:val="auto"/>
          <w:kern w:val="0"/>
          <w:szCs w:val="21"/>
          <w:highlight w:val="none"/>
        </w:rPr>
        <w:t>、SO</w:t>
      </w:r>
      <w:r>
        <w:rPr>
          <w:rFonts w:hint="default" w:ascii="Times New Roman" w:hAnsi="Times New Roman" w:eastAsia="宋体" w:cs="Times New Roman"/>
          <w:color w:val="auto"/>
          <w:kern w:val="0"/>
          <w:szCs w:val="21"/>
          <w:highlight w:val="none"/>
          <w:vertAlign w:val="subscript"/>
        </w:rPr>
        <w:t>4</w:t>
      </w:r>
      <w:r>
        <w:rPr>
          <w:rFonts w:hint="default" w:ascii="Times New Roman" w:hAnsi="Times New Roman" w:eastAsia="宋体" w:cs="Times New Roman"/>
          <w:color w:val="auto"/>
          <w:kern w:val="0"/>
          <w:szCs w:val="21"/>
          <w:highlight w:val="none"/>
          <w:vertAlign w:val="superscript"/>
        </w:rPr>
        <w:t>2-</w:t>
      </w:r>
      <w:r>
        <w:rPr>
          <w:rFonts w:hint="default" w:ascii="Times New Roman" w:hAnsi="Times New Roman" w:eastAsia="宋体" w:cs="Times New Roman"/>
          <w:color w:val="auto"/>
          <w:kern w:val="0"/>
          <w:szCs w:val="21"/>
          <w:highlight w:val="none"/>
        </w:rPr>
        <w:t>；pH、总硬度、耗氧量、硫酸盐、氯化物、硝酸盐、氨氮、亚硝酸盐、挥发性酚类、氰化物、氟、溶解性总固体、六价铬、砷、汞、铅、镉、铁、锰、</w:t>
      </w:r>
      <w:r>
        <w:rPr>
          <w:rFonts w:hint="default" w:ascii="Times New Roman" w:hAnsi="Times New Roman" w:eastAsia="宋体" w:cs="Times New Roman"/>
          <w:color w:val="auto"/>
          <w:kern w:val="0"/>
          <w:szCs w:val="21"/>
          <w:highlight w:val="none"/>
          <w:lang w:eastAsia="zh-CN"/>
        </w:rPr>
        <w:t>菌落总数</w:t>
      </w:r>
      <w:r>
        <w:rPr>
          <w:rFonts w:hint="default" w:ascii="Times New Roman" w:hAnsi="Times New Roman" w:eastAsia="宋体" w:cs="Times New Roman"/>
          <w:color w:val="auto"/>
          <w:kern w:val="0"/>
          <w:szCs w:val="21"/>
          <w:highlight w:val="none"/>
        </w:rPr>
        <w:t>、总大肠菌群。</w:t>
      </w:r>
    </w:p>
    <w:p w14:paraId="405C1EC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355" w:name="_Toc386049604"/>
      <w:bookmarkStart w:id="356" w:name="_Toc346129902"/>
      <w:bookmarkStart w:id="357" w:name="_Toc436308534"/>
      <w:bookmarkStart w:id="358" w:name="_Toc439163832"/>
      <w:bookmarkStart w:id="359" w:name="_Toc346615958"/>
      <w:bookmarkStart w:id="360" w:name="_Toc346129691"/>
      <w:bookmarkStart w:id="361" w:name="_Toc439163209"/>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eastAsia="zh-CN"/>
        </w:rPr>
        <w:t>采样</w:t>
      </w:r>
      <w:r>
        <w:rPr>
          <w:rFonts w:hint="default" w:ascii="Times New Roman" w:hAnsi="Times New Roman" w:eastAsia="宋体" w:cs="Times New Roman"/>
          <w:color w:val="auto"/>
          <w:highlight w:val="none"/>
        </w:rPr>
        <w:t>时间及频次</w:t>
      </w:r>
    </w:p>
    <w:p w14:paraId="46748D7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采样</w:t>
      </w:r>
      <w:r>
        <w:rPr>
          <w:rFonts w:hint="default" w:ascii="Times New Roman" w:hAnsi="Times New Roman" w:eastAsia="宋体" w:cs="Times New Roman"/>
          <w:color w:val="auto"/>
          <w:highlight w:val="none"/>
        </w:rPr>
        <w:t>时间为20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日，</w:t>
      </w:r>
      <w:r>
        <w:rPr>
          <w:rFonts w:hint="default" w:ascii="Times New Roman" w:hAnsi="Times New Roman" w:eastAsia="宋体" w:cs="Times New Roman"/>
          <w:color w:val="auto"/>
          <w:highlight w:val="none"/>
          <w:lang w:eastAsia="zh-CN"/>
        </w:rPr>
        <w:t>采样</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次。</w:t>
      </w:r>
    </w:p>
    <w:bookmarkEnd w:id="355"/>
    <w:bookmarkEnd w:id="356"/>
    <w:bookmarkEnd w:id="357"/>
    <w:bookmarkEnd w:id="358"/>
    <w:bookmarkEnd w:id="359"/>
    <w:bookmarkEnd w:id="360"/>
    <w:bookmarkEnd w:id="361"/>
    <w:p w14:paraId="6087365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3、监测分析方法</w:t>
      </w:r>
    </w:p>
    <w:p w14:paraId="2149E69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rPr>
        <w:t>样品的采集、保存及分析均按照相关的标准及规范进行，各水质监测项目的分析方法见下表</w:t>
      </w:r>
      <w:r>
        <w:rPr>
          <w:rFonts w:hint="default" w:ascii="Times New Roman" w:hAnsi="Times New Roman" w:eastAsia="宋体" w:cs="Times New Roman"/>
          <w:color w:val="auto"/>
          <w:highlight w:val="none"/>
          <w:lang w:val="zh-CN"/>
        </w:rPr>
        <w:t>。</w:t>
      </w:r>
    </w:p>
    <w:p w14:paraId="71ABE20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表4.2-7</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地下水检测项目及分析方法一览表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251"/>
        <w:gridCol w:w="3018"/>
        <w:gridCol w:w="2023"/>
        <w:gridCol w:w="1271"/>
      </w:tblGrid>
      <w:tr w14:paraId="73D5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FCE218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序号</w:t>
            </w:r>
          </w:p>
        </w:tc>
        <w:tc>
          <w:tcPr>
            <w:tcW w:w="1438" w:type="dxa"/>
            <w:vAlign w:val="center"/>
          </w:tcPr>
          <w:p w14:paraId="498149B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3525" w:type="dxa"/>
            <w:vAlign w:val="center"/>
          </w:tcPr>
          <w:p w14:paraId="115E1F2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分析方法</w:t>
            </w:r>
          </w:p>
        </w:tc>
        <w:tc>
          <w:tcPr>
            <w:tcW w:w="2350" w:type="dxa"/>
            <w:vAlign w:val="center"/>
          </w:tcPr>
          <w:p w14:paraId="1DDDD147">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检测仪器及编号</w:t>
            </w:r>
          </w:p>
        </w:tc>
        <w:tc>
          <w:tcPr>
            <w:tcW w:w="1462" w:type="dxa"/>
            <w:vAlign w:val="center"/>
          </w:tcPr>
          <w:p w14:paraId="7C997C6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检出限</w:t>
            </w:r>
          </w:p>
        </w:tc>
      </w:tr>
      <w:tr w14:paraId="6F32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6D6B6F3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1438" w:type="dxa"/>
            <w:vAlign w:val="center"/>
          </w:tcPr>
          <w:p w14:paraId="7D8BBF4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pH</w:t>
            </w:r>
          </w:p>
        </w:tc>
        <w:tc>
          <w:tcPr>
            <w:tcW w:w="3525" w:type="dxa"/>
            <w:tcBorders>
              <w:top w:val="single" w:color="auto" w:sz="4" w:space="0"/>
              <w:left w:val="single" w:color="auto" w:sz="4" w:space="0"/>
              <w:bottom w:val="single" w:color="auto" w:sz="4" w:space="0"/>
              <w:right w:val="single" w:color="auto" w:sz="4" w:space="0"/>
            </w:tcBorders>
            <w:vAlign w:val="center"/>
          </w:tcPr>
          <w:p w14:paraId="5E864B0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《水质pH值的测定电极法》</w:t>
            </w:r>
            <w:r>
              <w:rPr>
                <w:rFonts w:hint="default" w:ascii="Times New Roman" w:hAnsi="Times New Roman" w:eastAsia="宋体" w:cs="Times New Roman"/>
                <w:color w:val="auto"/>
                <w:sz w:val="21"/>
                <w:szCs w:val="21"/>
                <w:highlight w:val="none"/>
                <w:lang w:val="en-US" w:eastAsia="zh-CN"/>
              </w:rPr>
              <w:t>HJ1147</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2020</w:t>
            </w:r>
          </w:p>
        </w:tc>
        <w:tc>
          <w:tcPr>
            <w:tcW w:w="2350" w:type="dxa"/>
            <w:vAlign w:val="center"/>
          </w:tcPr>
          <w:p w14:paraId="3CD61E8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SX751型</w:t>
            </w:r>
            <w:r>
              <w:rPr>
                <w:rFonts w:hint="default" w:ascii="Times New Roman" w:hAnsi="Times New Roman" w:eastAsia="宋体" w:cs="Times New Roman"/>
                <w:b w:val="0"/>
                <w:bCs/>
                <w:color w:val="auto"/>
                <w:sz w:val="21"/>
                <w:szCs w:val="21"/>
                <w:highlight w:val="none"/>
                <w:lang w:val="en-US" w:eastAsia="zh-CN"/>
              </w:rPr>
              <w:t>水质多参数分析仪SXF</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11</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1</w:t>
            </w:r>
          </w:p>
        </w:tc>
        <w:tc>
          <w:tcPr>
            <w:tcW w:w="1462" w:type="dxa"/>
            <w:vAlign w:val="center"/>
          </w:tcPr>
          <w:p w14:paraId="4D7D7EA8">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4F65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F844F8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438" w:type="dxa"/>
            <w:vAlign w:val="center"/>
          </w:tcPr>
          <w:p w14:paraId="75F31D25">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色度</w:t>
            </w:r>
          </w:p>
        </w:tc>
        <w:tc>
          <w:tcPr>
            <w:tcW w:w="3525" w:type="dxa"/>
            <w:tcBorders>
              <w:top w:val="single" w:color="auto" w:sz="4" w:space="0"/>
              <w:left w:val="single" w:color="auto" w:sz="4" w:space="0"/>
              <w:bottom w:val="single" w:color="auto" w:sz="4" w:space="0"/>
              <w:right w:val="single" w:color="auto" w:sz="4" w:space="0"/>
            </w:tcBorders>
            <w:vAlign w:val="center"/>
          </w:tcPr>
          <w:p w14:paraId="666FCC8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《水质色度的测定》GB/T11903-19893、铂钴比色法</w:t>
            </w:r>
          </w:p>
        </w:tc>
        <w:tc>
          <w:tcPr>
            <w:tcW w:w="2350" w:type="dxa"/>
            <w:vAlign w:val="center"/>
          </w:tcPr>
          <w:p w14:paraId="63C5C217">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w:t>
            </w:r>
          </w:p>
        </w:tc>
        <w:tc>
          <w:tcPr>
            <w:tcW w:w="1462" w:type="dxa"/>
            <w:vAlign w:val="center"/>
          </w:tcPr>
          <w:p w14:paraId="0AE3DE33">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2F5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98ABF5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438" w:type="dxa"/>
            <w:vAlign w:val="center"/>
          </w:tcPr>
          <w:p w14:paraId="34B2BE1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嗅和味</w:t>
            </w:r>
          </w:p>
        </w:tc>
        <w:tc>
          <w:tcPr>
            <w:tcW w:w="3525" w:type="dxa"/>
            <w:tcBorders>
              <w:top w:val="single" w:color="auto" w:sz="4" w:space="0"/>
              <w:left w:val="single" w:color="auto" w:sz="4" w:space="0"/>
              <w:bottom w:val="single" w:color="auto" w:sz="4" w:space="0"/>
              <w:right w:val="single" w:color="auto" w:sz="4" w:space="0"/>
            </w:tcBorders>
            <w:vAlign w:val="center"/>
          </w:tcPr>
          <w:p w14:paraId="681C08D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《生活饮用水标准检验方法感官性状和物理指标》GB/T5750.4-</w:t>
            </w:r>
            <w:r>
              <w:rPr>
                <w:rFonts w:hint="default" w:ascii="Times New Roman" w:hAnsi="Times New Roman" w:eastAsia="宋体" w:cs="Times New Roman"/>
                <w:color w:val="auto"/>
                <w:spacing w:val="-11"/>
                <w:sz w:val="21"/>
                <w:szCs w:val="21"/>
                <w:highlight w:val="none"/>
                <w:lang w:val="en-US" w:eastAsia="zh-CN"/>
              </w:rPr>
              <w:t>20236</w:t>
            </w:r>
            <w:r>
              <w:rPr>
                <w:rFonts w:hint="default" w:ascii="Times New Roman" w:hAnsi="Times New Roman" w:eastAsia="宋体" w:cs="Times New Roman"/>
                <w:color w:val="auto"/>
                <w:spacing w:val="-11"/>
                <w:sz w:val="21"/>
                <w:szCs w:val="21"/>
                <w:highlight w:val="none"/>
              </w:rPr>
              <w:t>.1嗅气和尝味法</w:t>
            </w:r>
          </w:p>
        </w:tc>
        <w:tc>
          <w:tcPr>
            <w:tcW w:w="2350" w:type="dxa"/>
            <w:vAlign w:val="center"/>
          </w:tcPr>
          <w:p w14:paraId="1DE1595A">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w:t>
            </w:r>
          </w:p>
        </w:tc>
        <w:tc>
          <w:tcPr>
            <w:tcW w:w="1462" w:type="dxa"/>
            <w:vAlign w:val="center"/>
          </w:tcPr>
          <w:p w14:paraId="3C3C8FEC">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10FD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322EDC0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1438" w:type="dxa"/>
            <w:vAlign w:val="center"/>
          </w:tcPr>
          <w:p w14:paraId="66CCD8F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浊度</w:t>
            </w:r>
          </w:p>
        </w:tc>
        <w:tc>
          <w:tcPr>
            <w:tcW w:w="3525" w:type="dxa"/>
            <w:tcBorders>
              <w:top w:val="single" w:color="auto" w:sz="4" w:space="0"/>
              <w:left w:val="single" w:color="auto" w:sz="4" w:space="0"/>
              <w:bottom w:val="single" w:color="auto" w:sz="4" w:space="0"/>
              <w:right w:val="single" w:color="auto" w:sz="4" w:space="0"/>
            </w:tcBorders>
            <w:vAlign w:val="center"/>
          </w:tcPr>
          <w:p w14:paraId="3ADB5943">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《水质浊度的测定》GB13200-91第一篇分光光度法</w:t>
            </w:r>
          </w:p>
        </w:tc>
        <w:tc>
          <w:tcPr>
            <w:tcW w:w="2350" w:type="dxa"/>
            <w:vAlign w:val="center"/>
          </w:tcPr>
          <w:p w14:paraId="29DF76C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w:t>
            </w:r>
            <w:r>
              <w:rPr>
                <w:rFonts w:hint="default" w:ascii="Times New Roman" w:hAnsi="Times New Roman" w:eastAsia="宋体" w:cs="Times New Roman"/>
                <w:color w:val="auto"/>
                <w:sz w:val="21"/>
                <w:szCs w:val="21"/>
                <w:highlight w:val="none"/>
                <w:lang w:eastAsia="zh-CN"/>
              </w:rPr>
              <w:t>世纪紫外</w:t>
            </w:r>
            <w:r>
              <w:rPr>
                <w:rFonts w:hint="default" w:ascii="Times New Roman" w:hAnsi="Times New Roman" w:eastAsia="宋体" w:cs="Times New Roman"/>
                <w:color w:val="auto"/>
                <w:sz w:val="21"/>
                <w:szCs w:val="21"/>
                <w:highlight w:val="none"/>
              </w:rPr>
              <w:t>可见分光光度</w:t>
            </w:r>
            <w:r>
              <w:rPr>
                <w:rFonts w:hint="default" w:ascii="Times New Roman" w:hAnsi="Times New Roman" w:eastAsia="宋体" w:cs="Times New Roman"/>
                <w:color w:val="auto"/>
                <w:sz w:val="21"/>
                <w:szCs w:val="21"/>
                <w:highlight w:val="none"/>
                <w:lang w:eastAsia="zh-CN"/>
              </w:rPr>
              <w:t>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-01</w:t>
            </w:r>
          </w:p>
        </w:tc>
        <w:tc>
          <w:tcPr>
            <w:tcW w:w="1462" w:type="dxa"/>
            <w:vAlign w:val="center"/>
          </w:tcPr>
          <w:p w14:paraId="71E5028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3度</w:t>
            </w:r>
          </w:p>
        </w:tc>
      </w:tr>
      <w:tr w14:paraId="73FD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67CC82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438" w:type="dxa"/>
            <w:vAlign w:val="center"/>
          </w:tcPr>
          <w:p w14:paraId="3F3E0CC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肉眼可见物</w:t>
            </w:r>
          </w:p>
        </w:tc>
        <w:tc>
          <w:tcPr>
            <w:tcW w:w="3525" w:type="dxa"/>
            <w:tcBorders>
              <w:top w:val="single" w:color="auto" w:sz="4" w:space="0"/>
              <w:left w:val="single" w:color="auto" w:sz="4" w:space="0"/>
              <w:bottom w:val="single" w:color="auto" w:sz="4" w:space="0"/>
              <w:right w:val="single" w:color="auto" w:sz="4" w:space="0"/>
            </w:tcBorders>
            <w:vAlign w:val="center"/>
          </w:tcPr>
          <w:p w14:paraId="69FF024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《生活饮用水标准检验方法感官性状和物理指标》GB/T5750.4-20</w:t>
            </w:r>
            <w:r>
              <w:rPr>
                <w:rFonts w:hint="default" w:ascii="Times New Roman" w:hAnsi="Times New Roman" w:eastAsia="宋体" w:cs="Times New Roman"/>
                <w:color w:val="auto"/>
                <w:spacing w:val="-11"/>
                <w:sz w:val="21"/>
                <w:szCs w:val="21"/>
                <w:highlight w:val="none"/>
                <w:lang w:val="en-US" w:eastAsia="zh-CN"/>
              </w:rPr>
              <w:t>237</w:t>
            </w:r>
            <w:r>
              <w:rPr>
                <w:rFonts w:hint="default" w:ascii="Times New Roman" w:hAnsi="Times New Roman" w:eastAsia="宋体" w:cs="Times New Roman"/>
                <w:color w:val="auto"/>
                <w:spacing w:val="-11"/>
                <w:sz w:val="21"/>
                <w:szCs w:val="21"/>
                <w:highlight w:val="none"/>
              </w:rPr>
              <w:t>.1直接观察法</w:t>
            </w:r>
          </w:p>
        </w:tc>
        <w:tc>
          <w:tcPr>
            <w:tcW w:w="2350" w:type="dxa"/>
            <w:vAlign w:val="center"/>
          </w:tcPr>
          <w:p w14:paraId="4D6CE0FF">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w:t>
            </w:r>
          </w:p>
        </w:tc>
        <w:tc>
          <w:tcPr>
            <w:tcW w:w="1462" w:type="dxa"/>
            <w:vAlign w:val="center"/>
          </w:tcPr>
          <w:p w14:paraId="7CC7F2B3">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5474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DBF2DA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438" w:type="dxa"/>
            <w:vAlign w:val="center"/>
          </w:tcPr>
          <w:p w14:paraId="0849614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钙和镁总量（总硬度）</w:t>
            </w:r>
          </w:p>
        </w:tc>
        <w:tc>
          <w:tcPr>
            <w:tcW w:w="3525" w:type="dxa"/>
            <w:tcBorders>
              <w:top w:val="single" w:color="auto" w:sz="4" w:space="0"/>
              <w:left w:val="single" w:color="auto" w:sz="4" w:space="0"/>
              <w:bottom w:val="single" w:color="auto" w:sz="4" w:space="0"/>
              <w:right w:val="single" w:color="auto" w:sz="4" w:space="0"/>
            </w:tcBorders>
            <w:vAlign w:val="center"/>
          </w:tcPr>
          <w:p w14:paraId="44A5B49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《水质钙和镁总量的测定EDTA滴定法》GB7477—1987</w:t>
            </w:r>
          </w:p>
        </w:tc>
        <w:tc>
          <w:tcPr>
            <w:tcW w:w="2350" w:type="dxa"/>
            <w:vAlign w:val="center"/>
          </w:tcPr>
          <w:p w14:paraId="1DA8F075">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25ml酸式滴定管</w:t>
            </w:r>
          </w:p>
          <w:p w14:paraId="0273CCD2">
            <w:pPr>
              <w:pStyle w:val="25"/>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w:t>
            </w:r>
            <w:r>
              <w:rPr>
                <w:rFonts w:hint="default" w:ascii="Times New Roman" w:hAnsi="Times New Roman" w:eastAsia="宋体" w:cs="Times New Roman"/>
                <w:b w:val="0"/>
                <w:bCs/>
                <w:color w:val="auto"/>
                <w:sz w:val="21"/>
                <w:szCs w:val="21"/>
                <w:highlight w:val="none"/>
                <w:lang w:val="en-US" w:eastAsia="zh-CN"/>
              </w:rPr>
              <w:t>40</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4</w:t>
            </w:r>
          </w:p>
        </w:tc>
        <w:tc>
          <w:tcPr>
            <w:tcW w:w="1462" w:type="dxa"/>
            <w:vAlign w:val="center"/>
          </w:tcPr>
          <w:p w14:paraId="50226B5A">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0.05mmoL/L</w:t>
            </w:r>
          </w:p>
        </w:tc>
      </w:tr>
      <w:tr w14:paraId="0D48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30A5C4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p>
        </w:tc>
        <w:tc>
          <w:tcPr>
            <w:tcW w:w="1438" w:type="dxa"/>
            <w:vAlign w:val="center"/>
          </w:tcPr>
          <w:p w14:paraId="405AC46D">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溶解性总固体</w:t>
            </w:r>
          </w:p>
        </w:tc>
        <w:tc>
          <w:tcPr>
            <w:tcW w:w="3525" w:type="dxa"/>
            <w:tcBorders>
              <w:top w:val="single" w:color="auto" w:sz="4" w:space="0"/>
              <w:left w:val="single" w:color="auto" w:sz="4" w:space="0"/>
              <w:bottom w:val="single" w:color="auto" w:sz="4" w:space="0"/>
              <w:right w:val="single" w:color="auto" w:sz="4" w:space="0"/>
            </w:tcBorders>
            <w:vAlign w:val="center"/>
          </w:tcPr>
          <w:p w14:paraId="4A49029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《生活饮用水标准检验方法感官性状和物理指标》GB/T5750.4-20</w:t>
            </w:r>
            <w:r>
              <w:rPr>
                <w:rFonts w:hint="default" w:ascii="Times New Roman" w:hAnsi="Times New Roman" w:eastAsia="宋体" w:cs="Times New Roman"/>
                <w:color w:val="auto"/>
                <w:sz w:val="21"/>
                <w:szCs w:val="21"/>
                <w:highlight w:val="none"/>
                <w:lang w:val="en-US" w:eastAsia="zh-CN"/>
              </w:rPr>
              <w:t>23.11.1称量法</w:t>
            </w:r>
          </w:p>
        </w:tc>
        <w:tc>
          <w:tcPr>
            <w:tcW w:w="2350" w:type="dxa"/>
            <w:vAlign w:val="center"/>
          </w:tcPr>
          <w:p w14:paraId="46555C5E">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BSA124S</w:t>
            </w:r>
            <w:r>
              <w:rPr>
                <w:rFonts w:hint="default" w:ascii="Times New Roman" w:hAnsi="Times New Roman" w:eastAsia="宋体" w:cs="Times New Roman"/>
                <w:color w:val="auto"/>
                <w:kern w:val="0"/>
                <w:sz w:val="21"/>
                <w:szCs w:val="21"/>
                <w:highlight w:val="none"/>
                <w:lang w:val="en-US" w:eastAsia="zh-CN"/>
              </w:rPr>
              <w:t>万分之一天平SXE-01-01</w:t>
            </w:r>
          </w:p>
        </w:tc>
        <w:tc>
          <w:tcPr>
            <w:tcW w:w="1462" w:type="dxa"/>
            <w:vAlign w:val="center"/>
          </w:tcPr>
          <w:p w14:paraId="474D778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1498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6859174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w:t>
            </w:r>
          </w:p>
        </w:tc>
        <w:tc>
          <w:tcPr>
            <w:tcW w:w="1438" w:type="dxa"/>
            <w:vAlign w:val="center"/>
          </w:tcPr>
          <w:p w14:paraId="6B5CD27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硫酸盐</w:t>
            </w:r>
          </w:p>
        </w:tc>
        <w:tc>
          <w:tcPr>
            <w:tcW w:w="3525" w:type="dxa"/>
            <w:tcBorders>
              <w:top w:val="single" w:color="auto" w:sz="4" w:space="0"/>
              <w:left w:val="single" w:color="auto" w:sz="4" w:space="0"/>
              <w:bottom w:val="single" w:color="auto" w:sz="4" w:space="0"/>
              <w:right w:val="single" w:color="auto" w:sz="4" w:space="0"/>
            </w:tcBorders>
            <w:vAlign w:val="center"/>
          </w:tcPr>
          <w:p w14:paraId="5D23E44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《水质硫酸盐的测定铬酸钡分光光度法》（试行）HJ/T342-2007</w:t>
            </w:r>
          </w:p>
        </w:tc>
        <w:tc>
          <w:tcPr>
            <w:tcW w:w="2350" w:type="dxa"/>
            <w:vAlign w:val="center"/>
          </w:tcPr>
          <w:p w14:paraId="72EE87F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T6-新世纪紫外可见分光光度计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-01</w:t>
            </w:r>
          </w:p>
        </w:tc>
        <w:tc>
          <w:tcPr>
            <w:tcW w:w="1462" w:type="dxa"/>
            <w:vAlign w:val="center"/>
          </w:tcPr>
          <w:p w14:paraId="503E6ADF">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shd w:val="clear" w:color="auto" w:fill="FFFFFF"/>
                <w:lang w:val="en-US" w:eastAsia="zh-CN"/>
              </w:rPr>
              <w:t>8</w:t>
            </w:r>
            <w:r>
              <w:rPr>
                <w:rFonts w:hint="default" w:ascii="Times New Roman" w:hAnsi="Times New Roman" w:eastAsia="宋体" w:cs="Times New Roman"/>
                <w:color w:val="auto"/>
                <w:sz w:val="21"/>
                <w:szCs w:val="21"/>
                <w:highlight w:val="none"/>
                <w:lang w:val="en-US" w:eastAsia="zh-CN"/>
              </w:rPr>
              <w:t>mg/L</w:t>
            </w:r>
          </w:p>
        </w:tc>
      </w:tr>
      <w:tr w14:paraId="024A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2AE9843">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9</w:t>
            </w:r>
          </w:p>
        </w:tc>
        <w:tc>
          <w:tcPr>
            <w:tcW w:w="1438" w:type="dxa"/>
            <w:vAlign w:val="center"/>
          </w:tcPr>
          <w:p w14:paraId="70E29615">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氯化物</w:t>
            </w:r>
          </w:p>
        </w:tc>
        <w:tc>
          <w:tcPr>
            <w:tcW w:w="3525" w:type="dxa"/>
            <w:tcBorders>
              <w:top w:val="single" w:color="auto" w:sz="4" w:space="0"/>
              <w:left w:val="single" w:color="auto" w:sz="4" w:space="0"/>
              <w:bottom w:val="single" w:color="auto" w:sz="4" w:space="0"/>
              <w:right w:val="single" w:color="auto" w:sz="4" w:space="0"/>
            </w:tcBorders>
            <w:vAlign w:val="center"/>
          </w:tcPr>
          <w:p w14:paraId="61F44294">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《水质氯化物的测定硝酸银滴定法》GB11896-1989</w:t>
            </w:r>
          </w:p>
        </w:tc>
        <w:tc>
          <w:tcPr>
            <w:tcW w:w="2350" w:type="dxa"/>
            <w:vAlign w:val="center"/>
          </w:tcPr>
          <w:p w14:paraId="23393D75">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25mL酸式滴定管</w:t>
            </w:r>
            <w:r>
              <w:rPr>
                <w:rFonts w:hint="default" w:ascii="Times New Roman" w:hAnsi="Times New Roman" w:eastAsia="宋体" w:cs="Times New Roman"/>
                <w:b w:val="0"/>
                <w:bCs/>
                <w:color w:val="auto"/>
                <w:sz w:val="21"/>
                <w:szCs w:val="21"/>
                <w:highlight w:val="none"/>
                <w:lang w:val="en-US" w:eastAsia="zh-CN"/>
              </w:rPr>
              <w:t>SXE</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40</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3</w:t>
            </w:r>
          </w:p>
        </w:tc>
        <w:tc>
          <w:tcPr>
            <w:tcW w:w="1462" w:type="dxa"/>
            <w:vAlign w:val="center"/>
          </w:tcPr>
          <w:p w14:paraId="68138370">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576A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6BADFD9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438" w:type="dxa"/>
            <w:vAlign w:val="center"/>
          </w:tcPr>
          <w:p w14:paraId="44AF5D3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铁</w:t>
            </w:r>
          </w:p>
        </w:tc>
        <w:tc>
          <w:tcPr>
            <w:tcW w:w="3525" w:type="dxa"/>
            <w:tcBorders>
              <w:top w:val="single" w:color="auto" w:sz="4" w:space="0"/>
              <w:left w:val="single" w:color="auto" w:sz="4" w:space="0"/>
              <w:bottom w:val="single" w:color="auto" w:sz="4" w:space="0"/>
              <w:right w:val="single" w:color="auto" w:sz="4" w:space="0"/>
            </w:tcBorders>
            <w:vAlign w:val="center"/>
          </w:tcPr>
          <w:p w14:paraId="37BC2188">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《水质铁、锰的测定火焰原子吸收分光光度法》GB/T11911-1989</w:t>
            </w:r>
          </w:p>
        </w:tc>
        <w:tc>
          <w:tcPr>
            <w:tcW w:w="2350" w:type="dxa"/>
            <w:vAlign w:val="center"/>
          </w:tcPr>
          <w:p w14:paraId="7E09B64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color w:val="auto"/>
                <w:sz w:val="21"/>
                <w:szCs w:val="21"/>
                <w:highlight w:val="none"/>
              </w:rPr>
              <w:t>原子吸收分光光度计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rPr>
              <w:t>-01</w:t>
            </w:r>
          </w:p>
        </w:tc>
        <w:tc>
          <w:tcPr>
            <w:tcW w:w="1462" w:type="dxa"/>
            <w:vAlign w:val="center"/>
          </w:tcPr>
          <w:p w14:paraId="0792BE1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0.03mg/L</w:t>
            </w:r>
          </w:p>
        </w:tc>
      </w:tr>
      <w:tr w14:paraId="7726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5021708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w:t>
            </w:r>
          </w:p>
        </w:tc>
        <w:tc>
          <w:tcPr>
            <w:tcW w:w="1438" w:type="dxa"/>
            <w:vAlign w:val="center"/>
          </w:tcPr>
          <w:p w14:paraId="07A4FA1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锰</w:t>
            </w:r>
          </w:p>
        </w:tc>
        <w:tc>
          <w:tcPr>
            <w:tcW w:w="3525" w:type="dxa"/>
            <w:tcBorders>
              <w:top w:val="single" w:color="auto" w:sz="4" w:space="0"/>
              <w:left w:val="single" w:color="auto" w:sz="4" w:space="0"/>
              <w:bottom w:val="single" w:color="auto" w:sz="4" w:space="0"/>
              <w:right w:val="single" w:color="auto" w:sz="4" w:space="0"/>
            </w:tcBorders>
            <w:vAlign w:val="center"/>
          </w:tcPr>
          <w:p w14:paraId="227D425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《水质铁、锰的测定火焰原子吸收分光光度法》GB/T11911-1989</w:t>
            </w:r>
          </w:p>
        </w:tc>
        <w:tc>
          <w:tcPr>
            <w:tcW w:w="2350" w:type="dxa"/>
            <w:vAlign w:val="center"/>
          </w:tcPr>
          <w:p w14:paraId="7C89A96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color w:val="auto"/>
                <w:sz w:val="21"/>
                <w:szCs w:val="21"/>
                <w:highlight w:val="none"/>
              </w:rPr>
              <w:t>原子吸收分光光度计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rPr>
              <w:t>-01</w:t>
            </w:r>
          </w:p>
        </w:tc>
        <w:tc>
          <w:tcPr>
            <w:tcW w:w="1462" w:type="dxa"/>
            <w:vAlign w:val="center"/>
          </w:tcPr>
          <w:p w14:paraId="1BEE7F6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0.01mg/L</w:t>
            </w:r>
          </w:p>
        </w:tc>
      </w:tr>
      <w:tr w14:paraId="39B0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6285726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w:t>
            </w:r>
          </w:p>
        </w:tc>
        <w:tc>
          <w:tcPr>
            <w:tcW w:w="1438" w:type="dxa"/>
            <w:vAlign w:val="center"/>
          </w:tcPr>
          <w:p w14:paraId="6D4BA6E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铜</w:t>
            </w:r>
          </w:p>
        </w:tc>
        <w:tc>
          <w:tcPr>
            <w:tcW w:w="3525" w:type="dxa"/>
            <w:tcBorders>
              <w:top w:val="single" w:color="auto" w:sz="4" w:space="0"/>
              <w:left w:val="single" w:color="auto" w:sz="4" w:space="0"/>
              <w:bottom w:val="single" w:color="auto" w:sz="4" w:space="0"/>
              <w:right w:val="single" w:color="auto" w:sz="4" w:space="0"/>
            </w:tcBorders>
            <w:vAlign w:val="center"/>
          </w:tcPr>
          <w:p w14:paraId="6BA3FDA7">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《水质铜、锌、铅、镉的测定原子吸收分光光度法》GB7475-87</w:t>
            </w:r>
          </w:p>
        </w:tc>
        <w:tc>
          <w:tcPr>
            <w:tcW w:w="2350" w:type="dxa"/>
            <w:vAlign w:val="center"/>
          </w:tcPr>
          <w:p w14:paraId="0AF70A12">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b w:val="0"/>
                <w:bCs/>
                <w:color w:val="auto"/>
                <w:sz w:val="21"/>
                <w:szCs w:val="21"/>
                <w:highlight w:val="none"/>
              </w:rPr>
              <w:t>原子吸收分光光度计SXE-02-01</w:t>
            </w:r>
          </w:p>
        </w:tc>
        <w:tc>
          <w:tcPr>
            <w:tcW w:w="1462" w:type="dxa"/>
            <w:vAlign w:val="center"/>
          </w:tcPr>
          <w:p w14:paraId="70735A8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0.05mg/L</w:t>
            </w:r>
          </w:p>
        </w:tc>
      </w:tr>
      <w:tr w14:paraId="7C18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438F1B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w:t>
            </w:r>
          </w:p>
        </w:tc>
        <w:tc>
          <w:tcPr>
            <w:tcW w:w="1438" w:type="dxa"/>
            <w:vAlign w:val="center"/>
          </w:tcPr>
          <w:p w14:paraId="0C96746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锌</w:t>
            </w:r>
          </w:p>
        </w:tc>
        <w:tc>
          <w:tcPr>
            <w:tcW w:w="3525" w:type="dxa"/>
            <w:tcBorders>
              <w:top w:val="single" w:color="auto" w:sz="4" w:space="0"/>
              <w:left w:val="single" w:color="auto" w:sz="4" w:space="0"/>
              <w:bottom w:val="single" w:color="auto" w:sz="4" w:space="0"/>
              <w:right w:val="single" w:color="auto" w:sz="4" w:space="0"/>
            </w:tcBorders>
            <w:vAlign w:val="center"/>
          </w:tcPr>
          <w:p w14:paraId="1FE10FA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《水质铜、锌、铅、镉的测定原子吸收分光光度法》GB7475-87</w:t>
            </w:r>
          </w:p>
        </w:tc>
        <w:tc>
          <w:tcPr>
            <w:tcW w:w="2350" w:type="dxa"/>
            <w:vAlign w:val="center"/>
          </w:tcPr>
          <w:p w14:paraId="26AEE673">
            <w:pPr>
              <w:keepNext w:val="0"/>
              <w:keepLines w:val="0"/>
              <w:pageBreakBefore w:val="0"/>
              <w:shd w:val="clear"/>
              <w:kinsoku/>
              <w:wordWrap/>
              <w:overflowPunct/>
              <w:topLinePunct/>
              <w:autoSpaceDE w:val="0"/>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b w:val="0"/>
                <w:bCs/>
                <w:color w:val="auto"/>
                <w:sz w:val="21"/>
                <w:szCs w:val="21"/>
                <w:highlight w:val="none"/>
              </w:rPr>
              <w:t>原子吸收分光光度计SXE-02-01</w:t>
            </w:r>
          </w:p>
        </w:tc>
        <w:tc>
          <w:tcPr>
            <w:tcW w:w="1462" w:type="dxa"/>
            <w:vAlign w:val="center"/>
          </w:tcPr>
          <w:p w14:paraId="6F906D97">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0.05mg/L</w:t>
            </w:r>
          </w:p>
        </w:tc>
      </w:tr>
      <w:tr w14:paraId="198B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77AEDB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w:t>
            </w:r>
          </w:p>
        </w:tc>
        <w:tc>
          <w:tcPr>
            <w:tcW w:w="1438" w:type="dxa"/>
            <w:vAlign w:val="center"/>
          </w:tcPr>
          <w:p w14:paraId="6C08FB8C">
            <w:pPr>
              <w:keepNext w:val="0"/>
              <w:keepLines w:val="0"/>
              <w:pageBreakBefore w:val="0"/>
              <w:numPr>
                <w:ilvl w:val="0"/>
                <w:numId w:val="0"/>
              </w:numPr>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挥发酚</w:t>
            </w:r>
          </w:p>
        </w:tc>
        <w:tc>
          <w:tcPr>
            <w:tcW w:w="3525" w:type="dxa"/>
            <w:tcBorders>
              <w:top w:val="single" w:color="auto" w:sz="4" w:space="0"/>
              <w:left w:val="single" w:color="auto" w:sz="4" w:space="0"/>
              <w:bottom w:val="single" w:color="auto" w:sz="4" w:space="0"/>
              <w:right w:val="single" w:color="auto" w:sz="4" w:space="0"/>
            </w:tcBorders>
            <w:vAlign w:val="center"/>
          </w:tcPr>
          <w:p w14:paraId="5B002E3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《水质挥发酚的测定4-氨基安替比林分光光度法》HJ503-2009方法1萃取分光光度法</w:t>
            </w:r>
          </w:p>
        </w:tc>
        <w:tc>
          <w:tcPr>
            <w:tcW w:w="2350" w:type="dxa"/>
            <w:vAlign w:val="center"/>
          </w:tcPr>
          <w:p w14:paraId="06409F8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T6-新悦可见分光光度计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5</w:t>
            </w:r>
            <w:r>
              <w:rPr>
                <w:rFonts w:hint="default" w:ascii="Times New Roman" w:hAnsi="Times New Roman" w:eastAsia="宋体" w:cs="Times New Roman"/>
                <w:b w:val="0"/>
                <w:bCs/>
                <w:color w:val="auto"/>
                <w:sz w:val="21"/>
                <w:szCs w:val="21"/>
                <w:highlight w:val="none"/>
              </w:rPr>
              <w:t>-01</w:t>
            </w:r>
          </w:p>
        </w:tc>
        <w:tc>
          <w:tcPr>
            <w:tcW w:w="1462" w:type="dxa"/>
            <w:vAlign w:val="center"/>
          </w:tcPr>
          <w:p w14:paraId="24B17D9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0.0003mg/L</w:t>
            </w:r>
          </w:p>
        </w:tc>
      </w:tr>
      <w:tr w14:paraId="68FA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43D42D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w:t>
            </w:r>
          </w:p>
        </w:tc>
        <w:tc>
          <w:tcPr>
            <w:tcW w:w="1438" w:type="dxa"/>
            <w:vAlign w:val="center"/>
          </w:tcPr>
          <w:p w14:paraId="4FF9880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阴离子表面活性剂</w:t>
            </w:r>
          </w:p>
        </w:tc>
        <w:tc>
          <w:tcPr>
            <w:tcW w:w="3525" w:type="dxa"/>
            <w:tcBorders>
              <w:top w:val="single" w:color="auto" w:sz="4" w:space="0"/>
              <w:left w:val="single" w:color="auto" w:sz="4" w:space="0"/>
              <w:bottom w:val="single" w:color="auto" w:sz="4" w:space="0"/>
              <w:right w:val="single" w:color="auto" w:sz="4" w:space="0"/>
            </w:tcBorders>
            <w:vAlign w:val="center"/>
          </w:tcPr>
          <w:p w14:paraId="49AD5605">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《水质阴离子表面活性剂的测定亚甲蓝分光光度法》GB/T7494-1987</w:t>
            </w:r>
          </w:p>
        </w:tc>
        <w:tc>
          <w:tcPr>
            <w:tcW w:w="2350" w:type="dxa"/>
            <w:vAlign w:val="center"/>
          </w:tcPr>
          <w:p w14:paraId="0B9BF2F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T6-新世纪紫</w:t>
            </w:r>
            <w:r>
              <w:rPr>
                <w:rFonts w:hint="default" w:ascii="Times New Roman" w:hAnsi="Times New Roman" w:eastAsia="宋体" w:cs="Times New Roman"/>
                <w:color w:val="auto"/>
                <w:sz w:val="21"/>
                <w:szCs w:val="21"/>
                <w:highlight w:val="none"/>
              </w:rPr>
              <w:t>外可见分光光度计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-01</w:t>
            </w:r>
          </w:p>
        </w:tc>
        <w:tc>
          <w:tcPr>
            <w:tcW w:w="1462" w:type="dxa"/>
            <w:vAlign w:val="center"/>
          </w:tcPr>
          <w:p w14:paraId="22FB160E">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0.05mg/L</w:t>
            </w:r>
          </w:p>
        </w:tc>
      </w:tr>
      <w:tr w14:paraId="167C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0879421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w:t>
            </w:r>
          </w:p>
        </w:tc>
        <w:tc>
          <w:tcPr>
            <w:tcW w:w="1438" w:type="dxa"/>
            <w:vAlign w:val="center"/>
          </w:tcPr>
          <w:p w14:paraId="558C225C">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高锰酸盐指数</w:t>
            </w:r>
          </w:p>
        </w:tc>
        <w:tc>
          <w:tcPr>
            <w:tcW w:w="3525" w:type="dxa"/>
            <w:tcBorders>
              <w:top w:val="single" w:color="auto" w:sz="4" w:space="0"/>
              <w:left w:val="single" w:color="auto" w:sz="4" w:space="0"/>
              <w:bottom w:val="single" w:color="auto" w:sz="4" w:space="0"/>
              <w:right w:val="single" w:color="auto" w:sz="4" w:space="0"/>
            </w:tcBorders>
            <w:vAlign w:val="center"/>
          </w:tcPr>
          <w:p w14:paraId="1555ED8E">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《水质高锰酸盐指数的测定》</w:t>
            </w:r>
          </w:p>
          <w:p w14:paraId="1B6B504E">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GB11892-1989</w:t>
            </w:r>
          </w:p>
        </w:tc>
        <w:tc>
          <w:tcPr>
            <w:tcW w:w="2350" w:type="dxa"/>
            <w:vAlign w:val="center"/>
          </w:tcPr>
          <w:p w14:paraId="26CD213D">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 w:val="21"/>
                <w:szCs w:val="21"/>
                <w:highlight w:val="none"/>
                <w:lang w:eastAsia="zh-CN"/>
              </w:rPr>
              <w:t>DZKW-D-2</w:t>
            </w:r>
            <w:r>
              <w:rPr>
                <w:rFonts w:hint="default" w:ascii="Times New Roman" w:hAnsi="Times New Roman" w:eastAsia="宋体" w:cs="Times New Roman"/>
                <w:b w:val="0"/>
                <w:bCs/>
                <w:color w:val="auto"/>
                <w:sz w:val="21"/>
                <w:szCs w:val="21"/>
                <w:highlight w:val="none"/>
              </w:rPr>
              <w:t>电热恒温水浴锅SXE-09-02</w:t>
            </w:r>
          </w:p>
          <w:p w14:paraId="343C92F8">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25ml酸式滴定管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w:t>
            </w:r>
            <w:r>
              <w:rPr>
                <w:rFonts w:hint="default" w:ascii="Times New Roman" w:hAnsi="Times New Roman" w:eastAsia="宋体" w:cs="Times New Roman"/>
                <w:b w:val="0"/>
                <w:bCs/>
                <w:color w:val="auto"/>
                <w:sz w:val="21"/>
                <w:szCs w:val="21"/>
                <w:highlight w:val="none"/>
                <w:lang w:val="en-US" w:eastAsia="zh-CN"/>
              </w:rPr>
              <w:t>40</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02</w:t>
            </w:r>
          </w:p>
        </w:tc>
        <w:tc>
          <w:tcPr>
            <w:tcW w:w="1462" w:type="dxa"/>
            <w:vAlign w:val="center"/>
          </w:tcPr>
          <w:p w14:paraId="5233C5DB">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0.5mg/L</w:t>
            </w:r>
          </w:p>
        </w:tc>
      </w:tr>
      <w:tr w14:paraId="0672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FEC025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17</w:t>
            </w:r>
          </w:p>
        </w:tc>
        <w:tc>
          <w:tcPr>
            <w:tcW w:w="1438" w:type="dxa"/>
            <w:vAlign w:val="center"/>
          </w:tcPr>
          <w:p w14:paraId="0350A74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氨氮</w:t>
            </w:r>
          </w:p>
        </w:tc>
        <w:tc>
          <w:tcPr>
            <w:tcW w:w="3525" w:type="dxa"/>
            <w:tcBorders>
              <w:top w:val="single" w:color="auto" w:sz="4" w:space="0"/>
              <w:left w:val="single" w:color="auto" w:sz="4" w:space="0"/>
              <w:bottom w:val="single" w:color="auto" w:sz="4" w:space="0"/>
              <w:right w:val="single" w:color="auto" w:sz="4" w:space="0"/>
            </w:tcBorders>
            <w:vAlign w:val="center"/>
          </w:tcPr>
          <w:p w14:paraId="01A30F8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《水质氨氮的测定纳氏试剂分光光度法》HJ535-2009</w:t>
            </w:r>
          </w:p>
        </w:tc>
        <w:tc>
          <w:tcPr>
            <w:tcW w:w="2350" w:type="dxa"/>
            <w:vAlign w:val="center"/>
          </w:tcPr>
          <w:p w14:paraId="619FD88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T6-新悦可见分光光度计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5</w:t>
            </w:r>
            <w:r>
              <w:rPr>
                <w:rFonts w:hint="default" w:ascii="Times New Roman" w:hAnsi="Times New Roman" w:eastAsia="宋体" w:cs="Times New Roman"/>
                <w:b w:val="0"/>
                <w:bCs/>
                <w:color w:val="auto"/>
                <w:sz w:val="21"/>
                <w:szCs w:val="21"/>
                <w:highlight w:val="none"/>
              </w:rPr>
              <w:t>-01</w:t>
            </w:r>
          </w:p>
        </w:tc>
        <w:tc>
          <w:tcPr>
            <w:tcW w:w="1462" w:type="dxa"/>
            <w:vAlign w:val="center"/>
          </w:tcPr>
          <w:p w14:paraId="1EA8622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0.025mg/L</w:t>
            </w:r>
          </w:p>
        </w:tc>
      </w:tr>
      <w:tr w14:paraId="35BF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347B4B43">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w:t>
            </w:r>
          </w:p>
        </w:tc>
        <w:tc>
          <w:tcPr>
            <w:tcW w:w="1438" w:type="dxa"/>
            <w:vAlign w:val="center"/>
          </w:tcPr>
          <w:p w14:paraId="0FB6870D">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硫化物</w:t>
            </w:r>
          </w:p>
        </w:tc>
        <w:tc>
          <w:tcPr>
            <w:tcW w:w="3525" w:type="dxa"/>
            <w:tcBorders>
              <w:top w:val="single" w:color="auto" w:sz="4" w:space="0"/>
              <w:left w:val="single" w:color="auto" w:sz="4" w:space="0"/>
              <w:bottom w:val="single" w:color="auto" w:sz="4" w:space="0"/>
              <w:right w:val="single" w:color="auto" w:sz="4" w:space="0"/>
            </w:tcBorders>
            <w:vAlign w:val="center"/>
          </w:tcPr>
          <w:p w14:paraId="345D44C5">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《水质硫化物的测定亚甲基蓝分光光度法》</w:t>
            </w:r>
            <w:r>
              <w:rPr>
                <w:rFonts w:hint="default" w:ascii="Times New Roman" w:hAnsi="Times New Roman" w:eastAsia="宋体" w:cs="Times New Roman"/>
                <w:color w:val="auto"/>
                <w:spacing w:val="-11"/>
                <w:sz w:val="21"/>
                <w:szCs w:val="21"/>
                <w:highlight w:val="none"/>
                <w:lang w:val="en-US" w:eastAsia="zh-CN"/>
              </w:rPr>
              <w:t>HJ1226</w:t>
            </w:r>
            <w:r>
              <w:rPr>
                <w:rFonts w:hint="default" w:ascii="Times New Roman" w:hAnsi="Times New Roman" w:eastAsia="宋体" w:cs="Times New Roman"/>
                <w:color w:val="auto"/>
                <w:spacing w:val="-11"/>
                <w:sz w:val="21"/>
                <w:szCs w:val="21"/>
                <w:highlight w:val="none"/>
              </w:rPr>
              <w:t>-</w:t>
            </w:r>
            <w:r>
              <w:rPr>
                <w:rFonts w:hint="default" w:ascii="Times New Roman" w:hAnsi="Times New Roman" w:eastAsia="宋体" w:cs="Times New Roman"/>
                <w:color w:val="auto"/>
                <w:spacing w:val="-11"/>
                <w:sz w:val="21"/>
                <w:szCs w:val="21"/>
                <w:highlight w:val="none"/>
                <w:lang w:val="en-US" w:eastAsia="zh-CN"/>
              </w:rPr>
              <w:t>2021</w:t>
            </w:r>
          </w:p>
        </w:tc>
        <w:tc>
          <w:tcPr>
            <w:tcW w:w="2350" w:type="dxa"/>
            <w:vAlign w:val="center"/>
          </w:tcPr>
          <w:p w14:paraId="5BEEF3EE">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T6-新世纪紫</w:t>
            </w:r>
            <w:r>
              <w:rPr>
                <w:rFonts w:hint="default" w:ascii="Times New Roman" w:hAnsi="Times New Roman" w:eastAsia="宋体" w:cs="Times New Roman"/>
                <w:color w:val="auto"/>
                <w:sz w:val="21"/>
                <w:szCs w:val="21"/>
                <w:highlight w:val="none"/>
              </w:rPr>
              <w:t>外可见分光光度计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-01</w:t>
            </w:r>
          </w:p>
        </w:tc>
        <w:tc>
          <w:tcPr>
            <w:tcW w:w="1462" w:type="dxa"/>
            <w:vAlign w:val="center"/>
          </w:tcPr>
          <w:p w14:paraId="44554A4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0.01mg/L</w:t>
            </w:r>
          </w:p>
        </w:tc>
      </w:tr>
      <w:tr w14:paraId="7689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059B15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19</w:t>
            </w:r>
          </w:p>
        </w:tc>
        <w:tc>
          <w:tcPr>
            <w:tcW w:w="1438" w:type="dxa"/>
            <w:vAlign w:val="center"/>
          </w:tcPr>
          <w:p w14:paraId="0E79A38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总大肠菌群</w:t>
            </w:r>
          </w:p>
        </w:tc>
        <w:tc>
          <w:tcPr>
            <w:tcW w:w="3525" w:type="dxa"/>
            <w:tcBorders>
              <w:top w:val="single" w:color="auto" w:sz="4" w:space="0"/>
              <w:left w:val="single" w:color="auto" w:sz="4" w:space="0"/>
              <w:bottom w:val="single" w:color="auto" w:sz="4" w:space="0"/>
              <w:right w:val="single" w:color="auto" w:sz="4" w:space="0"/>
            </w:tcBorders>
            <w:vAlign w:val="center"/>
          </w:tcPr>
          <w:p w14:paraId="4D4E4CC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《生活饮用水标准检验方法微生物指标》GB/T5750.12-20</w:t>
            </w:r>
            <w:r>
              <w:rPr>
                <w:rFonts w:hint="default" w:ascii="Times New Roman" w:hAnsi="Times New Roman" w:eastAsia="宋体" w:cs="Times New Roman"/>
                <w:color w:val="auto"/>
                <w:spacing w:val="-11"/>
                <w:sz w:val="21"/>
                <w:szCs w:val="21"/>
                <w:highlight w:val="none"/>
                <w:lang w:val="en-US" w:eastAsia="zh-CN"/>
              </w:rPr>
              <w:t>23.125.1</w:t>
            </w:r>
            <w:r>
              <w:rPr>
                <w:rFonts w:hint="default" w:ascii="Times New Roman" w:hAnsi="Times New Roman" w:eastAsia="宋体" w:cs="Times New Roman"/>
                <w:color w:val="auto"/>
                <w:spacing w:val="-11"/>
                <w:sz w:val="21"/>
                <w:szCs w:val="21"/>
                <w:highlight w:val="none"/>
              </w:rPr>
              <w:t>多管发酵法</w:t>
            </w:r>
          </w:p>
        </w:tc>
        <w:tc>
          <w:tcPr>
            <w:tcW w:w="2350" w:type="dxa"/>
            <w:vAlign w:val="center"/>
          </w:tcPr>
          <w:p w14:paraId="012A5B7D">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MJX-150BⅢ</w:t>
            </w:r>
            <w:r>
              <w:rPr>
                <w:rFonts w:hint="default" w:ascii="Times New Roman" w:hAnsi="Times New Roman" w:eastAsia="宋体" w:cs="Times New Roman"/>
                <w:color w:val="auto"/>
                <w:kern w:val="2"/>
                <w:sz w:val="21"/>
                <w:szCs w:val="21"/>
                <w:highlight w:val="none"/>
                <w:lang w:val="en-US" w:eastAsia="zh-CN" w:bidi="ar-SA"/>
              </w:rPr>
              <w:t>霉菌培养箱SXE-14-01</w:t>
            </w:r>
          </w:p>
        </w:tc>
        <w:tc>
          <w:tcPr>
            <w:tcW w:w="1462" w:type="dxa"/>
            <w:vAlign w:val="center"/>
          </w:tcPr>
          <w:p w14:paraId="087304A3">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7FDE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762F876">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20</w:t>
            </w:r>
          </w:p>
        </w:tc>
        <w:tc>
          <w:tcPr>
            <w:tcW w:w="1438" w:type="dxa"/>
            <w:vAlign w:val="center"/>
          </w:tcPr>
          <w:p w14:paraId="6E08D4A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菌落总数</w:t>
            </w:r>
          </w:p>
        </w:tc>
        <w:tc>
          <w:tcPr>
            <w:tcW w:w="3525" w:type="dxa"/>
            <w:tcBorders>
              <w:top w:val="single" w:color="auto" w:sz="4" w:space="0"/>
              <w:left w:val="single" w:color="auto" w:sz="4" w:space="0"/>
              <w:bottom w:val="single" w:color="auto" w:sz="4" w:space="0"/>
              <w:right w:val="single" w:color="auto" w:sz="4" w:space="0"/>
            </w:tcBorders>
            <w:vAlign w:val="center"/>
          </w:tcPr>
          <w:p w14:paraId="302D2F3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《生活饮用水标准检验方法微生物指标》GB/T5750.12-20</w:t>
            </w:r>
            <w:r>
              <w:rPr>
                <w:rFonts w:hint="default" w:ascii="Times New Roman" w:hAnsi="Times New Roman" w:eastAsia="宋体" w:cs="Times New Roman"/>
                <w:color w:val="auto"/>
                <w:spacing w:val="-11"/>
                <w:sz w:val="21"/>
                <w:szCs w:val="21"/>
                <w:highlight w:val="none"/>
                <w:lang w:val="en-US" w:eastAsia="zh-CN"/>
              </w:rPr>
              <w:t>234</w:t>
            </w:r>
            <w:r>
              <w:rPr>
                <w:rFonts w:hint="default" w:ascii="Times New Roman" w:hAnsi="Times New Roman" w:eastAsia="宋体" w:cs="Times New Roman"/>
                <w:color w:val="auto"/>
                <w:spacing w:val="-11"/>
                <w:sz w:val="21"/>
                <w:szCs w:val="21"/>
                <w:highlight w:val="none"/>
              </w:rPr>
              <w:t>.1平皿计数法</w:t>
            </w:r>
          </w:p>
        </w:tc>
        <w:tc>
          <w:tcPr>
            <w:tcW w:w="2350" w:type="dxa"/>
            <w:vAlign w:val="center"/>
          </w:tcPr>
          <w:p w14:paraId="43846FFF">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MJX-150BⅢ</w:t>
            </w:r>
            <w:r>
              <w:rPr>
                <w:rFonts w:hint="default" w:ascii="Times New Roman" w:hAnsi="Times New Roman" w:eastAsia="宋体" w:cs="Times New Roman"/>
                <w:color w:val="auto"/>
                <w:kern w:val="2"/>
                <w:sz w:val="21"/>
                <w:szCs w:val="21"/>
                <w:highlight w:val="none"/>
                <w:lang w:val="en-US" w:eastAsia="zh-CN" w:bidi="ar-SA"/>
              </w:rPr>
              <w:t>霉菌培养箱SXE-14-01</w:t>
            </w:r>
          </w:p>
        </w:tc>
        <w:tc>
          <w:tcPr>
            <w:tcW w:w="1462" w:type="dxa"/>
            <w:vAlign w:val="center"/>
          </w:tcPr>
          <w:p w14:paraId="207F615D">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591B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700F37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21</w:t>
            </w:r>
          </w:p>
        </w:tc>
        <w:tc>
          <w:tcPr>
            <w:tcW w:w="1438" w:type="dxa"/>
            <w:vAlign w:val="center"/>
          </w:tcPr>
          <w:p w14:paraId="4BAA0C6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亚硝酸盐氮</w:t>
            </w:r>
          </w:p>
        </w:tc>
        <w:tc>
          <w:tcPr>
            <w:tcW w:w="3525" w:type="dxa"/>
            <w:tcBorders>
              <w:top w:val="single" w:color="auto" w:sz="4" w:space="0"/>
              <w:left w:val="single" w:color="auto" w:sz="4" w:space="0"/>
              <w:bottom w:val="single" w:color="auto" w:sz="4" w:space="0"/>
              <w:right w:val="single" w:color="auto" w:sz="4" w:space="0"/>
            </w:tcBorders>
            <w:vAlign w:val="center"/>
          </w:tcPr>
          <w:p w14:paraId="18EDE459">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《水质亚硝酸盐氮的测定N-（1-萘基）-乙二胺光度法》</w:t>
            </w:r>
          </w:p>
          <w:p w14:paraId="1D1778A9">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GB/T7493-1987</w:t>
            </w:r>
          </w:p>
        </w:tc>
        <w:tc>
          <w:tcPr>
            <w:tcW w:w="2350" w:type="dxa"/>
            <w:vAlign w:val="center"/>
          </w:tcPr>
          <w:p w14:paraId="73CCEC3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T6-新悦可见分光光度计SXE-05-01</w:t>
            </w:r>
          </w:p>
        </w:tc>
        <w:tc>
          <w:tcPr>
            <w:tcW w:w="1462" w:type="dxa"/>
            <w:vAlign w:val="center"/>
          </w:tcPr>
          <w:p w14:paraId="28C88EF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0.003mg/L</w:t>
            </w:r>
          </w:p>
        </w:tc>
      </w:tr>
      <w:tr w14:paraId="34A3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4AE117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22</w:t>
            </w:r>
          </w:p>
        </w:tc>
        <w:tc>
          <w:tcPr>
            <w:tcW w:w="1438" w:type="dxa"/>
            <w:vAlign w:val="center"/>
          </w:tcPr>
          <w:p w14:paraId="73731BD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硝酸盐氮</w:t>
            </w:r>
          </w:p>
        </w:tc>
        <w:tc>
          <w:tcPr>
            <w:tcW w:w="3525" w:type="dxa"/>
            <w:tcBorders>
              <w:top w:val="single" w:color="auto" w:sz="4" w:space="0"/>
              <w:left w:val="single" w:color="auto" w:sz="4" w:space="0"/>
              <w:bottom w:val="single" w:color="auto" w:sz="4" w:space="0"/>
              <w:right w:val="single" w:color="auto" w:sz="4" w:space="0"/>
            </w:tcBorders>
            <w:vAlign w:val="center"/>
          </w:tcPr>
          <w:p w14:paraId="31CFCE4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《水质硝酸盐氮的测定紫外分光光度法》（试行）HJ/T346-2007</w:t>
            </w:r>
          </w:p>
        </w:tc>
        <w:tc>
          <w:tcPr>
            <w:tcW w:w="2350" w:type="dxa"/>
            <w:vAlign w:val="center"/>
          </w:tcPr>
          <w:p w14:paraId="69E92C8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T6-新世纪</w:t>
            </w:r>
            <w:r>
              <w:rPr>
                <w:rFonts w:hint="default" w:ascii="Times New Roman" w:hAnsi="Times New Roman" w:eastAsia="宋体" w:cs="Times New Roman"/>
                <w:b w:val="0"/>
                <w:bCs/>
                <w:color w:val="auto"/>
                <w:sz w:val="21"/>
                <w:szCs w:val="21"/>
                <w:highlight w:val="none"/>
                <w:lang w:val="en-US" w:eastAsia="zh-CN"/>
              </w:rPr>
              <w:t>紫外可见分光光度计SXE-06-01</w:t>
            </w:r>
          </w:p>
        </w:tc>
        <w:tc>
          <w:tcPr>
            <w:tcW w:w="1462" w:type="dxa"/>
            <w:vAlign w:val="center"/>
          </w:tcPr>
          <w:p w14:paraId="414EC0D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0.08mg/L</w:t>
            </w:r>
          </w:p>
        </w:tc>
      </w:tr>
      <w:tr w14:paraId="4631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E22B3C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1438" w:type="dxa"/>
            <w:vAlign w:val="center"/>
          </w:tcPr>
          <w:p w14:paraId="0FA33048">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氰化物</w:t>
            </w:r>
          </w:p>
        </w:tc>
        <w:tc>
          <w:tcPr>
            <w:tcW w:w="3525" w:type="dxa"/>
            <w:tcBorders>
              <w:top w:val="single" w:color="auto" w:sz="4" w:space="0"/>
              <w:left w:val="single" w:color="auto" w:sz="4" w:space="0"/>
              <w:bottom w:val="single" w:color="auto" w:sz="4" w:space="0"/>
              <w:right w:val="single" w:color="auto" w:sz="4" w:space="0"/>
            </w:tcBorders>
            <w:vAlign w:val="center"/>
          </w:tcPr>
          <w:p w14:paraId="64BBDF8A">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《生活饮用水标准检验方法第5部分：无机非金属指标》GB/T5750.5-2023</w:t>
            </w:r>
          </w:p>
        </w:tc>
        <w:tc>
          <w:tcPr>
            <w:tcW w:w="2350" w:type="dxa"/>
            <w:vAlign w:val="center"/>
          </w:tcPr>
          <w:p w14:paraId="04D4AC33">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T6-新世纪紫</w:t>
            </w:r>
            <w:r>
              <w:rPr>
                <w:rFonts w:hint="default" w:ascii="Times New Roman" w:hAnsi="Times New Roman" w:eastAsia="宋体" w:cs="Times New Roman"/>
                <w:color w:val="auto"/>
                <w:sz w:val="21"/>
                <w:szCs w:val="21"/>
                <w:highlight w:val="none"/>
              </w:rPr>
              <w:t>外可见分光光度计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-01</w:t>
            </w:r>
          </w:p>
        </w:tc>
        <w:tc>
          <w:tcPr>
            <w:tcW w:w="1462" w:type="dxa"/>
            <w:vAlign w:val="center"/>
          </w:tcPr>
          <w:p w14:paraId="45BD9B13">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0.002mg/L</w:t>
            </w:r>
          </w:p>
        </w:tc>
      </w:tr>
      <w:tr w14:paraId="52D9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4E50B9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1438" w:type="dxa"/>
            <w:vAlign w:val="center"/>
          </w:tcPr>
          <w:p w14:paraId="17F0E4FD">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氟化物</w:t>
            </w:r>
          </w:p>
        </w:tc>
        <w:tc>
          <w:tcPr>
            <w:tcW w:w="3525" w:type="dxa"/>
            <w:tcBorders>
              <w:top w:val="single" w:color="auto" w:sz="4" w:space="0"/>
              <w:left w:val="single" w:color="auto" w:sz="4" w:space="0"/>
              <w:bottom w:val="single" w:color="auto" w:sz="4" w:space="0"/>
              <w:right w:val="single" w:color="auto" w:sz="4" w:space="0"/>
            </w:tcBorders>
            <w:vAlign w:val="center"/>
          </w:tcPr>
          <w:p w14:paraId="2B72D9D0">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《水质氟化物的测定离子选择电极法》GB7484-87</w:t>
            </w:r>
          </w:p>
        </w:tc>
        <w:tc>
          <w:tcPr>
            <w:tcW w:w="2350" w:type="dxa"/>
            <w:vAlign w:val="center"/>
          </w:tcPr>
          <w:p w14:paraId="1F590127">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PHS-3E型酸度计SX</w:t>
            </w:r>
            <w:r>
              <w:rPr>
                <w:rFonts w:hint="default" w:ascii="Times New Roman" w:hAnsi="Times New Roman" w:eastAsia="宋体" w:cs="Times New Roman"/>
                <w:b w:val="0"/>
                <w:bCs/>
                <w:color w:val="auto"/>
                <w:sz w:val="21"/>
                <w:szCs w:val="21"/>
                <w:highlight w:val="none"/>
              </w:rPr>
              <w:t>E-</w:t>
            </w:r>
            <w:r>
              <w:rPr>
                <w:rFonts w:hint="default" w:ascii="Times New Roman" w:hAnsi="Times New Roman" w:eastAsia="宋体" w:cs="Times New Roman"/>
                <w:b w:val="0"/>
                <w:bCs/>
                <w:color w:val="auto"/>
                <w:sz w:val="21"/>
                <w:szCs w:val="21"/>
                <w:highlight w:val="none"/>
                <w:lang w:val="en-US" w:eastAsia="zh-CN"/>
              </w:rPr>
              <w:t>18</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2</w:t>
            </w:r>
          </w:p>
        </w:tc>
        <w:tc>
          <w:tcPr>
            <w:tcW w:w="1462" w:type="dxa"/>
            <w:vAlign w:val="center"/>
          </w:tcPr>
          <w:p w14:paraId="7AD6353D">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0.05mg/L</w:t>
            </w:r>
          </w:p>
        </w:tc>
      </w:tr>
      <w:tr w14:paraId="61BF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F5D393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1438" w:type="dxa"/>
            <w:vAlign w:val="center"/>
          </w:tcPr>
          <w:p w14:paraId="7B4E6CA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汞</w:t>
            </w:r>
          </w:p>
        </w:tc>
        <w:tc>
          <w:tcPr>
            <w:tcW w:w="3525" w:type="dxa"/>
            <w:tcBorders>
              <w:top w:val="single" w:color="auto" w:sz="4" w:space="0"/>
              <w:left w:val="single" w:color="auto" w:sz="4" w:space="0"/>
              <w:bottom w:val="single" w:color="auto" w:sz="4" w:space="0"/>
              <w:right w:val="single" w:color="auto" w:sz="4" w:space="0"/>
            </w:tcBorders>
            <w:vAlign w:val="center"/>
          </w:tcPr>
          <w:p w14:paraId="18C7C05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《水质汞、砷、硒、锑和铋的测定原子荧光法》HJ694-2014</w:t>
            </w:r>
          </w:p>
        </w:tc>
        <w:tc>
          <w:tcPr>
            <w:tcW w:w="2350" w:type="dxa"/>
            <w:vAlign w:val="center"/>
          </w:tcPr>
          <w:p w14:paraId="109D3D7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AFS-933原子荧光分光光度计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rPr>
              <w:t>-01</w:t>
            </w:r>
          </w:p>
        </w:tc>
        <w:tc>
          <w:tcPr>
            <w:tcW w:w="1462" w:type="dxa"/>
            <w:vAlign w:val="center"/>
          </w:tcPr>
          <w:p w14:paraId="322C451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0.04μg/L</w:t>
            </w:r>
          </w:p>
        </w:tc>
      </w:tr>
      <w:tr w14:paraId="1CAF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3E937EF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1438" w:type="dxa"/>
            <w:vAlign w:val="center"/>
          </w:tcPr>
          <w:p w14:paraId="0C61535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砷</w:t>
            </w:r>
          </w:p>
        </w:tc>
        <w:tc>
          <w:tcPr>
            <w:tcW w:w="3525" w:type="dxa"/>
            <w:tcBorders>
              <w:top w:val="single" w:color="auto" w:sz="4" w:space="0"/>
              <w:left w:val="single" w:color="auto" w:sz="4" w:space="0"/>
              <w:bottom w:val="single" w:color="auto" w:sz="4" w:space="0"/>
              <w:right w:val="single" w:color="auto" w:sz="4" w:space="0"/>
            </w:tcBorders>
            <w:vAlign w:val="center"/>
          </w:tcPr>
          <w:p w14:paraId="4285A60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《水质汞、砷、硒、锑和铋的测定原子荧光法》HJ694-2014</w:t>
            </w:r>
          </w:p>
        </w:tc>
        <w:tc>
          <w:tcPr>
            <w:tcW w:w="2350" w:type="dxa"/>
            <w:vAlign w:val="center"/>
          </w:tcPr>
          <w:p w14:paraId="300DF4F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AFS-933原子荧光分光光度计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rPr>
              <w:t>-01</w:t>
            </w:r>
          </w:p>
        </w:tc>
        <w:tc>
          <w:tcPr>
            <w:tcW w:w="1462" w:type="dxa"/>
            <w:vAlign w:val="center"/>
          </w:tcPr>
          <w:p w14:paraId="420C865E">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0.3μg/L</w:t>
            </w:r>
          </w:p>
        </w:tc>
      </w:tr>
      <w:tr w14:paraId="2B85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577C77D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1438" w:type="dxa"/>
            <w:vAlign w:val="center"/>
          </w:tcPr>
          <w:p w14:paraId="07CAE67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硒</w:t>
            </w:r>
          </w:p>
        </w:tc>
        <w:tc>
          <w:tcPr>
            <w:tcW w:w="3525" w:type="dxa"/>
            <w:tcBorders>
              <w:top w:val="single" w:color="auto" w:sz="4" w:space="0"/>
              <w:left w:val="single" w:color="auto" w:sz="4" w:space="0"/>
              <w:bottom w:val="single" w:color="auto" w:sz="4" w:space="0"/>
              <w:right w:val="single" w:color="auto" w:sz="4" w:space="0"/>
            </w:tcBorders>
            <w:vAlign w:val="center"/>
          </w:tcPr>
          <w:p w14:paraId="685B973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《水质汞、砷、硒、锑和铋的测定原子荧光法》HJ694-2014</w:t>
            </w:r>
          </w:p>
        </w:tc>
        <w:tc>
          <w:tcPr>
            <w:tcW w:w="2350" w:type="dxa"/>
            <w:vAlign w:val="center"/>
          </w:tcPr>
          <w:p w14:paraId="528DF42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AFS-933原子荧光分光光度计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rPr>
              <w:t>-01</w:t>
            </w:r>
          </w:p>
        </w:tc>
        <w:tc>
          <w:tcPr>
            <w:tcW w:w="1462" w:type="dxa"/>
            <w:vAlign w:val="center"/>
          </w:tcPr>
          <w:p w14:paraId="1757D664">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0.4</w:t>
            </w:r>
            <w:r>
              <w:rPr>
                <w:rFonts w:hint="default" w:ascii="Times New Roman" w:hAnsi="Times New Roman" w:eastAsia="宋体" w:cs="Times New Roman"/>
                <w:color w:val="auto"/>
                <w:kern w:val="2"/>
                <w:sz w:val="21"/>
                <w:szCs w:val="21"/>
                <w:highlight w:val="none"/>
                <w:lang w:val="en-US" w:eastAsia="zh-CN" w:bidi="ar-SA"/>
              </w:rPr>
              <w:t>μg/L</w:t>
            </w:r>
          </w:p>
        </w:tc>
      </w:tr>
      <w:tr w14:paraId="30B2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97F728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1438" w:type="dxa"/>
            <w:vAlign w:val="center"/>
          </w:tcPr>
          <w:p w14:paraId="45E924A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w:t>
            </w:r>
          </w:p>
        </w:tc>
        <w:tc>
          <w:tcPr>
            <w:tcW w:w="3525" w:type="dxa"/>
            <w:tcBorders>
              <w:top w:val="single" w:color="auto" w:sz="4" w:space="0"/>
              <w:left w:val="single" w:color="auto" w:sz="4" w:space="0"/>
              <w:bottom w:val="single" w:color="auto" w:sz="4" w:space="0"/>
              <w:right w:val="single" w:color="auto" w:sz="4" w:space="0"/>
            </w:tcBorders>
            <w:vAlign w:val="center"/>
          </w:tcPr>
          <w:p w14:paraId="23CAA4E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《水和废水监测分析方法》（第四版增补版）国家环境保护总局（2002年）第三篇第四章七（四）石墨炉原子吸收法测定镉、铜和铅（B）</w:t>
            </w:r>
          </w:p>
        </w:tc>
        <w:tc>
          <w:tcPr>
            <w:tcW w:w="2350" w:type="dxa"/>
            <w:vAlign w:val="center"/>
          </w:tcPr>
          <w:p w14:paraId="11AD037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color w:val="auto"/>
                <w:sz w:val="21"/>
                <w:szCs w:val="21"/>
                <w:highlight w:val="none"/>
              </w:rPr>
              <w:t>原子吸收分光光度计</w:t>
            </w:r>
            <w:r>
              <w:rPr>
                <w:rFonts w:hint="default" w:ascii="Times New Roman" w:hAnsi="Times New Roman" w:eastAsia="宋体" w:cs="Times New Roman"/>
                <w:color w:val="auto"/>
                <w:sz w:val="21"/>
                <w:szCs w:val="21"/>
                <w:highlight w:val="none"/>
                <w:lang w:val="en-US" w:eastAsia="zh-CN"/>
              </w:rPr>
              <w:t>SX</w:t>
            </w:r>
            <w:r>
              <w:rPr>
                <w:rFonts w:hint="default" w:ascii="Times New Roman" w:hAnsi="Times New Roman" w:eastAsia="宋体" w:cs="Times New Roman"/>
                <w:color w:val="auto"/>
                <w:sz w:val="21"/>
                <w:szCs w:val="21"/>
                <w:highlight w:val="none"/>
              </w:rPr>
              <w:t>E-0</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-01</w:t>
            </w:r>
          </w:p>
        </w:tc>
        <w:tc>
          <w:tcPr>
            <w:tcW w:w="1462" w:type="dxa"/>
            <w:vAlign w:val="center"/>
          </w:tcPr>
          <w:p w14:paraId="6F77EB2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0.1μg/L</w:t>
            </w:r>
          </w:p>
        </w:tc>
      </w:tr>
      <w:tr w14:paraId="4B9E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38D3FE6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p>
        </w:tc>
        <w:tc>
          <w:tcPr>
            <w:tcW w:w="1438" w:type="dxa"/>
            <w:vAlign w:val="center"/>
          </w:tcPr>
          <w:p w14:paraId="5614610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六价铬</w:t>
            </w:r>
          </w:p>
        </w:tc>
        <w:tc>
          <w:tcPr>
            <w:tcW w:w="3525" w:type="dxa"/>
            <w:tcBorders>
              <w:top w:val="single" w:color="auto" w:sz="4" w:space="0"/>
              <w:left w:val="single" w:color="auto" w:sz="4" w:space="0"/>
              <w:bottom w:val="single" w:color="auto" w:sz="4" w:space="0"/>
              <w:right w:val="single" w:color="auto" w:sz="4" w:space="0"/>
            </w:tcBorders>
            <w:vAlign w:val="center"/>
          </w:tcPr>
          <w:p w14:paraId="0D7E4747">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《生活饮用水标准检验方法第6部分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金属和类金属指标》GB/T5750.6-2023</w:t>
            </w:r>
            <w:r>
              <w:rPr>
                <w:rFonts w:hint="default" w:ascii="Times New Roman" w:hAnsi="Times New Roman" w:eastAsia="宋体" w:cs="Times New Roman"/>
                <w:color w:val="auto"/>
                <w:sz w:val="21"/>
                <w:szCs w:val="21"/>
                <w:highlight w:val="none"/>
              </w:rPr>
              <w:tab/>
            </w:r>
            <w:r>
              <w:rPr>
                <w:rFonts w:hint="default" w:ascii="Times New Roman" w:hAnsi="Times New Roman" w:eastAsia="宋体" w:cs="Times New Roman"/>
                <w:color w:val="auto"/>
                <w:sz w:val="21"/>
                <w:szCs w:val="21"/>
                <w:highlight w:val="none"/>
              </w:rPr>
              <w:t>13.1二苯碳酰二肼分光光度法</w:t>
            </w:r>
          </w:p>
        </w:tc>
        <w:tc>
          <w:tcPr>
            <w:tcW w:w="2350" w:type="dxa"/>
            <w:vAlign w:val="center"/>
          </w:tcPr>
          <w:p w14:paraId="10EF2CA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T6-新悦可见分光光度计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E-0</w:t>
            </w:r>
            <w:r>
              <w:rPr>
                <w:rFonts w:hint="default" w:ascii="Times New Roman" w:hAnsi="Times New Roman" w:eastAsia="宋体" w:cs="Times New Roman"/>
                <w:b w:val="0"/>
                <w:bCs/>
                <w:color w:val="auto"/>
                <w:sz w:val="21"/>
                <w:szCs w:val="21"/>
                <w:highlight w:val="none"/>
                <w:lang w:val="en-US" w:eastAsia="zh-CN"/>
              </w:rPr>
              <w:t>5</w:t>
            </w:r>
            <w:r>
              <w:rPr>
                <w:rFonts w:hint="default" w:ascii="Times New Roman" w:hAnsi="Times New Roman" w:eastAsia="宋体" w:cs="Times New Roman"/>
                <w:b w:val="0"/>
                <w:bCs/>
                <w:color w:val="auto"/>
                <w:sz w:val="21"/>
                <w:szCs w:val="21"/>
                <w:highlight w:val="none"/>
              </w:rPr>
              <w:t>-01</w:t>
            </w:r>
          </w:p>
        </w:tc>
        <w:tc>
          <w:tcPr>
            <w:tcW w:w="1462" w:type="dxa"/>
            <w:vAlign w:val="center"/>
          </w:tcPr>
          <w:p w14:paraId="336802D3">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0.004mg/L</w:t>
            </w:r>
          </w:p>
        </w:tc>
      </w:tr>
      <w:tr w14:paraId="5FC0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06F346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1438" w:type="dxa"/>
            <w:vAlign w:val="center"/>
          </w:tcPr>
          <w:p w14:paraId="28DD975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铅</w:t>
            </w:r>
          </w:p>
        </w:tc>
        <w:tc>
          <w:tcPr>
            <w:tcW w:w="3525" w:type="dxa"/>
            <w:tcBorders>
              <w:top w:val="single" w:color="auto" w:sz="4" w:space="0"/>
              <w:left w:val="single" w:color="auto" w:sz="4" w:space="0"/>
              <w:bottom w:val="single" w:color="auto" w:sz="4" w:space="0"/>
              <w:right w:val="single" w:color="auto" w:sz="4" w:space="0"/>
            </w:tcBorders>
            <w:vAlign w:val="center"/>
          </w:tcPr>
          <w:p w14:paraId="1906B025">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《水和废水监测分析方法》（第四版增补版）国家环境保护总局（2002年）第三篇第四章十六（五）石墨炉原子吸收法（B）</w:t>
            </w:r>
          </w:p>
        </w:tc>
        <w:tc>
          <w:tcPr>
            <w:tcW w:w="2350" w:type="dxa"/>
            <w:vAlign w:val="center"/>
          </w:tcPr>
          <w:p w14:paraId="73E7BDA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TAS-990</w:t>
            </w:r>
            <w:r>
              <w:rPr>
                <w:rFonts w:hint="default" w:ascii="Times New Roman" w:hAnsi="Times New Roman" w:eastAsia="宋体" w:cs="Times New Roman"/>
                <w:color w:val="auto"/>
                <w:sz w:val="21"/>
                <w:szCs w:val="21"/>
                <w:highlight w:val="none"/>
                <w:lang w:val="en-US" w:eastAsia="zh-CN"/>
              </w:rPr>
              <w:t>AFG</w:t>
            </w:r>
            <w:r>
              <w:rPr>
                <w:rFonts w:hint="default" w:ascii="Times New Roman" w:hAnsi="Times New Roman" w:eastAsia="宋体" w:cs="Times New Roman"/>
                <w:color w:val="auto"/>
                <w:sz w:val="21"/>
                <w:szCs w:val="21"/>
                <w:highlight w:val="none"/>
              </w:rPr>
              <w:t>原子吸收分光光度计</w:t>
            </w:r>
            <w:r>
              <w:rPr>
                <w:rFonts w:hint="default" w:ascii="Times New Roman" w:hAnsi="Times New Roman" w:eastAsia="宋体" w:cs="Times New Roman"/>
                <w:color w:val="auto"/>
                <w:sz w:val="21"/>
                <w:szCs w:val="21"/>
                <w:highlight w:val="none"/>
                <w:lang w:val="en-US" w:eastAsia="zh-CN"/>
              </w:rPr>
              <w:t>SX</w:t>
            </w:r>
            <w:r>
              <w:rPr>
                <w:rFonts w:hint="default" w:ascii="Times New Roman" w:hAnsi="Times New Roman" w:eastAsia="宋体" w:cs="Times New Roman"/>
                <w:color w:val="auto"/>
                <w:sz w:val="21"/>
                <w:szCs w:val="21"/>
                <w:highlight w:val="none"/>
              </w:rPr>
              <w:t>E-0</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-01</w:t>
            </w:r>
          </w:p>
        </w:tc>
        <w:tc>
          <w:tcPr>
            <w:tcW w:w="1462" w:type="dxa"/>
            <w:vAlign w:val="center"/>
          </w:tcPr>
          <w:p w14:paraId="321B226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bookmarkStart w:id="362" w:name="OLE_LINK15"/>
            <w:r>
              <w:rPr>
                <w:rFonts w:hint="default" w:ascii="Times New Roman" w:hAnsi="Times New Roman" w:eastAsia="宋体" w:cs="Times New Roman"/>
                <w:color w:val="auto"/>
                <w:sz w:val="21"/>
                <w:szCs w:val="21"/>
                <w:highlight w:val="none"/>
                <w:lang w:val="en-US" w:eastAsia="zh-CN"/>
              </w:rPr>
              <w:t>μg/L</w:t>
            </w:r>
            <w:bookmarkEnd w:id="362"/>
          </w:p>
        </w:tc>
      </w:tr>
      <w:tr w14:paraId="13FF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BDD8B3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w:t>
            </w:r>
          </w:p>
        </w:tc>
        <w:tc>
          <w:tcPr>
            <w:tcW w:w="1438" w:type="dxa"/>
            <w:vAlign w:val="center"/>
          </w:tcPr>
          <w:p w14:paraId="0D1A21BC">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钾</w:t>
            </w:r>
          </w:p>
        </w:tc>
        <w:tc>
          <w:tcPr>
            <w:tcW w:w="3525" w:type="dxa"/>
            <w:tcBorders>
              <w:top w:val="single" w:color="auto" w:sz="4" w:space="0"/>
              <w:left w:val="single" w:color="auto" w:sz="4" w:space="0"/>
              <w:bottom w:val="single" w:color="auto" w:sz="4" w:space="0"/>
              <w:right w:val="single" w:color="auto" w:sz="4" w:space="0"/>
            </w:tcBorders>
            <w:vAlign w:val="center"/>
          </w:tcPr>
          <w:p w14:paraId="737D3839">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《水质可溶性阳离子（Li</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）的测定离子色谱法》HJ812-2016</w:t>
            </w:r>
          </w:p>
        </w:tc>
        <w:tc>
          <w:tcPr>
            <w:tcW w:w="2350" w:type="dxa"/>
            <w:vAlign w:val="center"/>
          </w:tcPr>
          <w:p w14:paraId="0ED4E7F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CIC-D100离子色谱仪SXE-07-01</w:t>
            </w:r>
          </w:p>
        </w:tc>
        <w:tc>
          <w:tcPr>
            <w:tcW w:w="1462" w:type="dxa"/>
            <w:vAlign w:val="center"/>
          </w:tcPr>
          <w:p w14:paraId="06918D6D">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0.02mg/L</w:t>
            </w:r>
          </w:p>
        </w:tc>
      </w:tr>
      <w:tr w14:paraId="3F82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0861AE77">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p>
        </w:tc>
        <w:tc>
          <w:tcPr>
            <w:tcW w:w="1438" w:type="dxa"/>
            <w:vAlign w:val="center"/>
          </w:tcPr>
          <w:p w14:paraId="7E32D3AC">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钠</w:t>
            </w:r>
          </w:p>
        </w:tc>
        <w:tc>
          <w:tcPr>
            <w:tcW w:w="3525" w:type="dxa"/>
            <w:tcBorders>
              <w:top w:val="single" w:color="auto" w:sz="4" w:space="0"/>
              <w:left w:val="single" w:color="auto" w:sz="4" w:space="0"/>
              <w:bottom w:val="single" w:color="auto" w:sz="4" w:space="0"/>
              <w:right w:val="single" w:color="auto" w:sz="4" w:space="0"/>
            </w:tcBorders>
            <w:vAlign w:val="center"/>
          </w:tcPr>
          <w:p w14:paraId="78BFBFD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《水质可溶性阳离子（Li</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）的测定离子色谱法》HJ812-2016</w:t>
            </w:r>
          </w:p>
        </w:tc>
        <w:tc>
          <w:tcPr>
            <w:tcW w:w="2350" w:type="dxa"/>
            <w:vAlign w:val="center"/>
          </w:tcPr>
          <w:p w14:paraId="7308023F">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CIC-D100离子色谱仪SXE-07-01</w:t>
            </w:r>
          </w:p>
        </w:tc>
        <w:tc>
          <w:tcPr>
            <w:tcW w:w="1462" w:type="dxa"/>
            <w:vAlign w:val="center"/>
          </w:tcPr>
          <w:p w14:paraId="54F0E97B">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0.02mg/L</w:t>
            </w:r>
          </w:p>
        </w:tc>
      </w:tr>
      <w:tr w14:paraId="26B5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03" w:type="dxa"/>
            <w:vAlign w:val="center"/>
          </w:tcPr>
          <w:p w14:paraId="4D44B33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w:t>
            </w:r>
          </w:p>
        </w:tc>
        <w:tc>
          <w:tcPr>
            <w:tcW w:w="1438" w:type="dxa"/>
            <w:vAlign w:val="center"/>
          </w:tcPr>
          <w:p w14:paraId="61783EB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钙</w:t>
            </w:r>
          </w:p>
        </w:tc>
        <w:tc>
          <w:tcPr>
            <w:tcW w:w="3525" w:type="dxa"/>
            <w:tcBorders>
              <w:top w:val="single" w:color="auto" w:sz="4" w:space="0"/>
              <w:left w:val="single" w:color="auto" w:sz="4" w:space="0"/>
              <w:bottom w:val="single" w:color="auto" w:sz="4" w:space="0"/>
              <w:right w:val="single" w:color="auto" w:sz="4" w:space="0"/>
            </w:tcBorders>
            <w:vAlign w:val="center"/>
          </w:tcPr>
          <w:p w14:paraId="3A86B49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《水质可溶性阳离子（Li</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）的测定离子色谱法》HJ812-2016</w:t>
            </w:r>
          </w:p>
        </w:tc>
        <w:tc>
          <w:tcPr>
            <w:tcW w:w="2350" w:type="dxa"/>
            <w:vAlign w:val="center"/>
          </w:tcPr>
          <w:p w14:paraId="2D95509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CIC-D100离子色谱仪SXE-07-01</w:t>
            </w:r>
          </w:p>
        </w:tc>
        <w:tc>
          <w:tcPr>
            <w:tcW w:w="1462" w:type="dxa"/>
            <w:vAlign w:val="center"/>
          </w:tcPr>
          <w:p w14:paraId="26689E8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0.03mg/L</w:t>
            </w:r>
          </w:p>
        </w:tc>
      </w:tr>
      <w:tr w14:paraId="3DF5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EF34C8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w:t>
            </w:r>
          </w:p>
        </w:tc>
        <w:tc>
          <w:tcPr>
            <w:tcW w:w="1438" w:type="dxa"/>
            <w:vAlign w:val="center"/>
          </w:tcPr>
          <w:p w14:paraId="683008B8">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镁</w:t>
            </w:r>
          </w:p>
        </w:tc>
        <w:tc>
          <w:tcPr>
            <w:tcW w:w="3525" w:type="dxa"/>
            <w:tcBorders>
              <w:top w:val="single" w:color="auto" w:sz="4" w:space="0"/>
              <w:left w:val="single" w:color="auto" w:sz="4" w:space="0"/>
              <w:bottom w:val="single" w:color="auto" w:sz="4" w:space="0"/>
              <w:right w:val="single" w:color="auto" w:sz="4" w:space="0"/>
            </w:tcBorders>
            <w:vAlign w:val="center"/>
          </w:tcPr>
          <w:p w14:paraId="0AEB15B6">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《水质可溶性阳离子（Li</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、Na</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、Ca</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）的测定离子色谱法》HJ812-2016</w:t>
            </w:r>
          </w:p>
        </w:tc>
        <w:tc>
          <w:tcPr>
            <w:tcW w:w="2350" w:type="dxa"/>
            <w:vAlign w:val="center"/>
          </w:tcPr>
          <w:p w14:paraId="30C3A3E0">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CIC-D100离子色谱仪SXE-07-01</w:t>
            </w:r>
          </w:p>
        </w:tc>
        <w:tc>
          <w:tcPr>
            <w:tcW w:w="1462" w:type="dxa"/>
            <w:vAlign w:val="center"/>
          </w:tcPr>
          <w:p w14:paraId="219ADA46">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0.02mg/L</w:t>
            </w:r>
          </w:p>
        </w:tc>
      </w:tr>
      <w:tr w14:paraId="0FFE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692CBADA">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w:t>
            </w:r>
          </w:p>
        </w:tc>
        <w:tc>
          <w:tcPr>
            <w:tcW w:w="1438" w:type="dxa"/>
            <w:vAlign w:val="center"/>
          </w:tcPr>
          <w:p w14:paraId="64415DC7">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碳酸盐</w:t>
            </w:r>
          </w:p>
        </w:tc>
        <w:tc>
          <w:tcPr>
            <w:tcW w:w="3525" w:type="dxa"/>
            <w:tcBorders>
              <w:top w:val="single" w:color="auto" w:sz="4" w:space="0"/>
              <w:left w:val="single" w:color="auto" w:sz="4" w:space="0"/>
              <w:bottom w:val="single" w:color="auto" w:sz="4" w:space="0"/>
              <w:right w:val="single" w:color="auto" w:sz="4" w:space="0"/>
            </w:tcBorders>
            <w:vAlign w:val="center"/>
          </w:tcPr>
          <w:p w14:paraId="0B781572">
            <w:pPr>
              <w:keepNext w:val="0"/>
              <w:keepLines w:val="0"/>
              <w:pageBreakBefore w:val="0"/>
              <w:widowControl/>
              <w:suppressLineNumbers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eastAsia="宋体" w:cs="Times New Roman"/>
                <w:color w:val="auto"/>
                <w:spacing w:val="-11"/>
                <w:sz w:val="21"/>
                <w:szCs w:val="21"/>
                <w:highlight w:val="none"/>
              </w:rPr>
              <w:t>《</w:t>
            </w:r>
            <w:r>
              <w:rPr>
                <w:rFonts w:hint="default" w:ascii="Times New Roman" w:hAnsi="Times New Roman" w:eastAsia="宋体" w:cs="Times New Roman"/>
                <w:color w:val="auto"/>
                <w:spacing w:val="-11"/>
                <w:sz w:val="21"/>
                <w:szCs w:val="21"/>
                <w:highlight w:val="none"/>
                <w:lang w:eastAsia="zh-CN"/>
              </w:rPr>
              <w:t>水和废水监测分析方法</w:t>
            </w:r>
            <w:r>
              <w:rPr>
                <w:rFonts w:hint="default" w:ascii="Times New Roman" w:hAnsi="Times New Roman" w:eastAsia="宋体" w:cs="Times New Roman"/>
                <w:color w:val="auto"/>
                <w:spacing w:val="-11"/>
                <w:sz w:val="21"/>
                <w:szCs w:val="21"/>
                <w:highlight w:val="none"/>
              </w:rPr>
              <w:t>》</w:t>
            </w:r>
            <w:r>
              <w:rPr>
                <w:rFonts w:hint="default" w:ascii="Times New Roman" w:hAnsi="Times New Roman" w:eastAsia="宋体" w:cs="Times New Roman"/>
                <w:color w:val="auto"/>
                <w:spacing w:val="-11"/>
                <w:sz w:val="21"/>
                <w:szCs w:val="21"/>
                <w:highlight w:val="none"/>
                <w:lang w:eastAsia="zh-CN"/>
              </w:rPr>
              <w:t>（第四版增补版）国家环境总局（</w:t>
            </w:r>
            <w:r>
              <w:rPr>
                <w:rFonts w:hint="default" w:ascii="Times New Roman" w:hAnsi="Times New Roman" w:eastAsia="宋体" w:cs="Times New Roman"/>
                <w:color w:val="auto"/>
                <w:spacing w:val="-11"/>
                <w:sz w:val="21"/>
                <w:szCs w:val="21"/>
                <w:highlight w:val="none"/>
                <w:lang w:val="en-US" w:eastAsia="zh-CN"/>
              </w:rPr>
              <w:t>2002年</w:t>
            </w:r>
            <w:r>
              <w:rPr>
                <w:rFonts w:hint="default" w:ascii="Times New Roman" w:hAnsi="Times New Roman" w:eastAsia="宋体" w:cs="Times New Roman"/>
                <w:color w:val="auto"/>
                <w:spacing w:val="-11"/>
                <w:sz w:val="21"/>
                <w:szCs w:val="21"/>
                <w:highlight w:val="none"/>
                <w:lang w:eastAsia="zh-CN"/>
              </w:rPr>
              <w:t>）第三篇</w:t>
            </w:r>
            <w:r>
              <w:rPr>
                <w:rFonts w:hint="default" w:ascii="Times New Roman" w:hAnsi="Times New Roman" w:eastAsia="宋体" w:cs="Times New Roman"/>
                <w:color w:val="auto"/>
                <w:spacing w:val="-11"/>
                <w:sz w:val="21"/>
                <w:szCs w:val="21"/>
                <w:highlight w:val="none"/>
                <w:lang w:val="en-US" w:eastAsia="zh-CN"/>
              </w:rPr>
              <w:t>第一章十二（一）酸碱指示剂滴定法（B）</w:t>
            </w:r>
          </w:p>
        </w:tc>
        <w:tc>
          <w:tcPr>
            <w:tcW w:w="2350" w:type="dxa"/>
            <w:vAlign w:val="center"/>
          </w:tcPr>
          <w:p w14:paraId="6500A721">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25ml酸式滴定管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w:t>
            </w:r>
            <w:r>
              <w:rPr>
                <w:rFonts w:hint="default" w:ascii="Times New Roman" w:hAnsi="Times New Roman" w:eastAsia="宋体" w:cs="Times New Roman"/>
                <w:b w:val="0"/>
                <w:bCs/>
                <w:color w:val="auto"/>
                <w:sz w:val="21"/>
                <w:szCs w:val="21"/>
                <w:highlight w:val="none"/>
                <w:lang w:val="en-US" w:eastAsia="zh-CN"/>
              </w:rPr>
              <w:t>40</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5</w:t>
            </w:r>
          </w:p>
        </w:tc>
        <w:tc>
          <w:tcPr>
            <w:tcW w:w="1462" w:type="dxa"/>
            <w:vAlign w:val="center"/>
          </w:tcPr>
          <w:p w14:paraId="24F0510C">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2DB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2910C802">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w:t>
            </w:r>
          </w:p>
        </w:tc>
        <w:tc>
          <w:tcPr>
            <w:tcW w:w="1438" w:type="dxa"/>
            <w:vAlign w:val="center"/>
          </w:tcPr>
          <w:p w14:paraId="6F2B73D1">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重碳酸盐</w:t>
            </w:r>
          </w:p>
        </w:tc>
        <w:tc>
          <w:tcPr>
            <w:tcW w:w="3525" w:type="dxa"/>
            <w:tcBorders>
              <w:top w:val="single" w:color="auto" w:sz="4" w:space="0"/>
              <w:left w:val="single" w:color="auto" w:sz="4" w:space="0"/>
              <w:bottom w:val="single" w:color="auto" w:sz="4" w:space="0"/>
              <w:right w:val="single" w:color="auto" w:sz="4" w:space="0"/>
            </w:tcBorders>
            <w:vAlign w:val="center"/>
          </w:tcPr>
          <w:p w14:paraId="6B84D3FD">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《水和废水监测分析方法》（第四版增补版）国家环境保护总局（2002年）第三篇第一章十二（一）酸碱指示剂滴定法（B）</w:t>
            </w:r>
          </w:p>
        </w:tc>
        <w:tc>
          <w:tcPr>
            <w:tcW w:w="2350" w:type="dxa"/>
            <w:vAlign w:val="center"/>
          </w:tcPr>
          <w:p w14:paraId="43F38437">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25ml酸式滴定管</w:t>
            </w:r>
            <w:r>
              <w:rPr>
                <w:rFonts w:hint="default" w:ascii="Times New Roman" w:hAnsi="Times New Roman" w:eastAsia="宋体" w:cs="Times New Roman"/>
                <w:b w:val="0"/>
                <w:bCs/>
                <w:color w:val="auto"/>
                <w:sz w:val="21"/>
                <w:szCs w:val="21"/>
                <w:highlight w:val="none"/>
                <w:lang w:val="en-US" w:eastAsia="zh-CN"/>
              </w:rPr>
              <w:t>SX</w:t>
            </w:r>
            <w:r>
              <w:rPr>
                <w:rFonts w:hint="default" w:ascii="Times New Roman" w:hAnsi="Times New Roman" w:eastAsia="宋体" w:cs="Times New Roman"/>
                <w:b w:val="0"/>
                <w:bCs/>
                <w:color w:val="auto"/>
                <w:sz w:val="21"/>
                <w:szCs w:val="21"/>
                <w:highlight w:val="none"/>
              </w:rPr>
              <w:t>E-</w:t>
            </w:r>
            <w:r>
              <w:rPr>
                <w:rFonts w:hint="default" w:ascii="Times New Roman" w:hAnsi="Times New Roman" w:eastAsia="宋体" w:cs="Times New Roman"/>
                <w:b w:val="0"/>
                <w:bCs/>
                <w:color w:val="auto"/>
                <w:sz w:val="21"/>
                <w:szCs w:val="21"/>
                <w:highlight w:val="none"/>
                <w:lang w:val="en-US" w:eastAsia="zh-CN"/>
              </w:rPr>
              <w:t>40</w:t>
            </w:r>
            <w:r>
              <w:rPr>
                <w:rFonts w:hint="default" w:ascii="Times New Roman" w:hAnsi="Times New Roman" w:eastAsia="宋体" w:cs="Times New Roman"/>
                <w:b w:val="0"/>
                <w:bCs/>
                <w:color w:val="auto"/>
                <w:sz w:val="21"/>
                <w:szCs w:val="21"/>
                <w:highlight w:val="none"/>
              </w:rPr>
              <w:t>-0</w:t>
            </w:r>
            <w:r>
              <w:rPr>
                <w:rFonts w:hint="default" w:ascii="Times New Roman" w:hAnsi="Times New Roman" w:eastAsia="宋体" w:cs="Times New Roman"/>
                <w:b w:val="0"/>
                <w:bCs/>
                <w:color w:val="auto"/>
                <w:sz w:val="21"/>
                <w:szCs w:val="21"/>
                <w:highlight w:val="none"/>
                <w:lang w:val="en-US" w:eastAsia="zh-CN"/>
              </w:rPr>
              <w:t>5</w:t>
            </w:r>
          </w:p>
        </w:tc>
        <w:tc>
          <w:tcPr>
            <w:tcW w:w="1462" w:type="dxa"/>
            <w:vAlign w:val="center"/>
          </w:tcPr>
          <w:p w14:paraId="0322D701">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5BA4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75F124F5">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37</w:t>
            </w:r>
          </w:p>
        </w:tc>
        <w:tc>
          <w:tcPr>
            <w:tcW w:w="1438" w:type="dxa"/>
            <w:vAlign w:val="center"/>
          </w:tcPr>
          <w:p w14:paraId="5CF5595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氯离子</w:t>
            </w:r>
          </w:p>
        </w:tc>
        <w:tc>
          <w:tcPr>
            <w:tcW w:w="3525" w:type="dxa"/>
            <w:tcBorders>
              <w:top w:val="single" w:color="auto" w:sz="4" w:space="0"/>
              <w:left w:val="single" w:color="auto" w:sz="4" w:space="0"/>
              <w:bottom w:val="single" w:color="auto" w:sz="4" w:space="0"/>
              <w:right w:val="single" w:color="auto" w:sz="4" w:space="0"/>
            </w:tcBorders>
            <w:vAlign w:val="center"/>
          </w:tcPr>
          <w:p w14:paraId="20A5616B">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《水质无机阴离子（F</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、Br</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、PO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）的测定离子色谱法》HJ84-2016</w:t>
            </w:r>
          </w:p>
        </w:tc>
        <w:tc>
          <w:tcPr>
            <w:tcW w:w="2350" w:type="dxa"/>
            <w:vAlign w:val="center"/>
          </w:tcPr>
          <w:p w14:paraId="350EF524">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CIC-D100离子色谱仪SXE-07-01</w:t>
            </w:r>
          </w:p>
        </w:tc>
        <w:tc>
          <w:tcPr>
            <w:tcW w:w="1462" w:type="dxa"/>
            <w:vAlign w:val="center"/>
          </w:tcPr>
          <w:p w14:paraId="3D396177">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0.007mg/L</w:t>
            </w:r>
          </w:p>
        </w:tc>
      </w:tr>
      <w:tr w14:paraId="53EB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618185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w:t>
            </w:r>
          </w:p>
        </w:tc>
        <w:tc>
          <w:tcPr>
            <w:tcW w:w="1438" w:type="dxa"/>
            <w:vAlign w:val="center"/>
          </w:tcPr>
          <w:p w14:paraId="4A484B57">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硫酸根</w:t>
            </w:r>
          </w:p>
        </w:tc>
        <w:tc>
          <w:tcPr>
            <w:tcW w:w="3525" w:type="dxa"/>
            <w:tcBorders>
              <w:top w:val="single" w:color="auto" w:sz="4" w:space="0"/>
              <w:left w:val="single" w:color="auto" w:sz="4" w:space="0"/>
              <w:bottom w:val="single" w:color="auto" w:sz="4" w:space="0"/>
              <w:right w:val="single" w:color="auto" w:sz="4" w:space="0"/>
            </w:tcBorders>
            <w:vAlign w:val="center"/>
          </w:tcPr>
          <w:p w14:paraId="6226206C">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《水质无机阴离子（F</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、Br</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w:t>
            </w:r>
            <w:r>
              <w:rPr>
                <w:rFonts w:hint="default" w:ascii="Times New Roman" w:hAnsi="Times New Roman" w:eastAsia="宋体" w:cs="Times New Roman"/>
                <w:color w:val="auto"/>
                <w:sz w:val="21"/>
                <w:szCs w:val="21"/>
                <w:highlight w:val="none"/>
              </w:rPr>
              <w:t>、PO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）的测定离子色谱法》HJ84-2016</w:t>
            </w:r>
          </w:p>
        </w:tc>
        <w:tc>
          <w:tcPr>
            <w:tcW w:w="2350" w:type="dxa"/>
            <w:vAlign w:val="center"/>
          </w:tcPr>
          <w:p w14:paraId="55F805C5">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rPr>
              <w:t>CIC-D100离子色谱仪SXE-07-01</w:t>
            </w:r>
          </w:p>
        </w:tc>
        <w:tc>
          <w:tcPr>
            <w:tcW w:w="1462" w:type="dxa"/>
            <w:vAlign w:val="center"/>
          </w:tcPr>
          <w:p w14:paraId="19D619F9">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0.018</w:t>
            </w:r>
            <w:r>
              <w:rPr>
                <w:rFonts w:hint="default" w:ascii="Times New Roman" w:hAnsi="Times New Roman" w:eastAsia="宋体" w:cs="Times New Roman"/>
                <w:color w:val="auto"/>
                <w:kern w:val="2"/>
                <w:sz w:val="21"/>
                <w:szCs w:val="21"/>
                <w:highlight w:val="none"/>
                <w:lang w:val="en-US" w:eastAsia="zh-CN"/>
              </w:rPr>
              <w:t>mg/L</w:t>
            </w:r>
          </w:p>
        </w:tc>
      </w:tr>
      <w:tr w14:paraId="3F1B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4385C3BF">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w:t>
            </w:r>
          </w:p>
        </w:tc>
        <w:tc>
          <w:tcPr>
            <w:tcW w:w="1438" w:type="dxa"/>
            <w:vAlign w:val="center"/>
          </w:tcPr>
          <w:p w14:paraId="14440948">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*铝</w:t>
            </w:r>
          </w:p>
        </w:tc>
        <w:tc>
          <w:tcPr>
            <w:tcW w:w="3525" w:type="dxa"/>
            <w:tcBorders>
              <w:top w:val="single" w:color="auto" w:sz="4" w:space="0"/>
              <w:left w:val="single" w:color="auto" w:sz="4" w:space="0"/>
              <w:bottom w:val="single" w:color="auto" w:sz="4" w:space="0"/>
              <w:right w:val="single" w:color="auto" w:sz="4" w:space="0"/>
            </w:tcBorders>
            <w:vAlign w:val="center"/>
          </w:tcPr>
          <w:p w14:paraId="7AF2188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水质65种金属元素</w:t>
            </w:r>
            <w:bookmarkStart w:id="363" w:name="OLE_LINK14"/>
            <w:r>
              <w:rPr>
                <w:rFonts w:hint="default" w:ascii="Times New Roman" w:hAnsi="Times New Roman" w:eastAsia="宋体" w:cs="Times New Roman"/>
                <w:color w:val="auto"/>
                <w:sz w:val="21"/>
                <w:szCs w:val="21"/>
                <w:highlight w:val="none"/>
                <w:lang w:eastAsia="zh-CN"/>
              </w:rPr>
              <w:t>电感耦合等离子体质谱</w:t>
            </w:r>
            <w:bookmarkEnd w:id="363"/>
            <w:r>
              <w:rPr>
                <w:rFonts w:hint="default" w:ascii="Times New Roman" w:hAnsi="Times New Roman" w:eastAsia="宋体" w:cs="Times New Roman"/>
                <w:color w:val="auto"/>
                <w:sz w:val="21"/>
                <w:szCs w:val="21"/>
                <w:highlight w:val="none"/>
                <w:lang w:eastAsia="zh-CN"/>
              </w:rPr>
              <w:t>法》</w:t>
            </w:r>
            <w:r>
              <w:rPr>
                <w:rFonts w:hint="default" w:ascii="Times New Roman" w:hAnsi="Times New Roman" w:eastAsia="宋体" w:cs="Times New Roman"/>
                <w:color w:val="auto"/>
                <w:sz w:val="21"/>
                <w:szCs w:val="21"/>
                <w:highlight w:val="none"/>
                <w:lang w:val="en-US" w:eastAsia="zh-CN"/>
              </w:rPr>
              <w:t>HJ700-2014</w:t>
            </w:r>
          </w:p>
        </w:tc>
        <w:tc>
          <w:tcPr>
            <w:tcW w:w="2350" w:type="dxa"/>
            <w:vAlign w:val="center"/>
          </w:tcPr>
          <w:p w14:paraId="2684F65F">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pacing w:val="-11"/>
                <w:sz w:val="21"/>
                <w:szCs w:val="21"/>
                <w:highlight w:val="none"/>
                <w:lang w:eastAsia="zh-CN"/>
              </w:rPr>
              <w:t>电感耦合等离子质谱发生仪</w:t>
            </w:r>
            <w:r>
              <w:rPr>
                <w:rFonts w:hint="default" w:ascii="Times New Roman" w:hAnsi="Times New Roman" w:eastAsia="宋体" w:cs="Times New Roman"/>
                <w:color w:val="auto"/>
                <w:spacing w:val="-11"/>
                <w:sz w:val="21"/>
                <w:szCs w:val="21"/>
                <w:highlight w:val="none"/>
                <w:lang w:val="en-US" w:eastAsia="zh-CN"/>
              </w:rPr>
              <w:t>JPBBJ010</w:t>
            </w:r>
          </w:p>
        </w:tc>
        <w:tc>
          <w:tcPr>
            <w:tcW w:w="1462" w:type="dxa"/>
            <w:vAlign w:val="center"/>
          </w:tcPr>
          <w:p w14:paraId="0FC1C954">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1.15μg/L</w:t>
            </w:r>
          </w:p>
        </w:tc>
      </w:tr>
      <w:tr w14:paraId="5988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3" w:type="dxa"/>
            <w:vAlign w:val="center"/>
          </w:tcPr>
          <w:p w14:paraId="17F675F1">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1438" w:type="dxa"/>
            <w:vAlign w:val="center"/>
          </w:tcPr>
          <w:p w14:paraId="4B8A1F6C">
            <w:pPr>
              <w:keepNext w:val="0"/>
              <w:keepLines w:val="0"/>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*碘化物</w:t>
            </w:r>
          </w:p>
        </w:tc>
        <w:tc>
          <w:tcPr>
            <w:tcW w:w="3525" w:type="dxa"/>
            <w:tcBorders>
              <w:top w:val="single" w:color="auto" w:sz="4" w:space="0"/>
              <w:left w:val="single" w:color="auto" w:sz="4" w:space="0"/>
              <w:bottom w:val="single" w:color="auto" w:sz="4" w:space="0"/>
              <w:right w:val="single" w:color="auto" w:sz="4" w:space="0"/>
            </w:tcBorders>
            <w:vAlign w:val="center"/>
          </w:tcPr>
          <w:p w14:paraId="488F23B4">
            <w:pPr>
              <w:keepNext w:val="0"/>
              <w:keepLines w:val="0"/>
              <w:pageBreakBefore w:val="0"/>
              <w:shd w:val="clear"/>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《生活饮用水标准检验方法第5部分：无机非金属指标》GB/T5750.5-2023中13.2高浓度碘化物比色法</w:t>
            </w:r>
          </w:p>
        </w:tc>
        <w:tc>
          <w:tcPr>
            <w:tcW w:w="2350" w:type="dxa"/>
            <w:vAlign w:val="center"/>
          </w:tcPr>
          <w:p w14:paraId="0EB715B0">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rPr>
              <w:t>可见分光光度计</w:t>
            </w:r>
            <w:r>
              <w:rPr>
                <w:rFonts w:hint="default" w:ascii="Times New Roman" w:hAnsi="Times New Roman" w:eastAsia="宋体" w:cs="Times New Roman"/>
                <w:color w:val="auto"/>
                <w:sz w:val="21"/>
                <w:szCs w:val="21"/>
                <w:highlight w:val="none"/>
                <w:lang w:val="en-US" w:eastAsia="zh-CN"/>
              </w:rPr>
              <w:t>JPBBJ009</w:t>
            </w:r>
          </w:p>
        </w:tc>
        <w:tc>
          <w:tcPr>
            <w:tcW w:w="1462" w:type="dxa"/>
            <w:vAlign w:val="center"/>
          </w:tcPr>
          <w:p w14:paraId="71BDF08C">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w:t>
            </w:r>
            <w:r>
              <w:rPr>
                <w:rFonts w:hint="default" w:ascii="Times New Roman" w:hAnsi="Times New Roman" w:eastAsia="宋体" w:cs="Times New Roman"/>
                <w:color w:val="auto"/>
                <w:kern w:val="2"/>
                <w:sz w:val="21"/>
                <w:szCs w:val="21"/>
                <w:highlight w:val="none"/>
                <w:lang w:val="en-US" w:eastAsia="zh-CN"/>
              </w:rPr>
              <w:t>mg/L</w:t>
            </w:r>
          </w:p>
        </w:tc>
      </w:tr>
      <w:tr w14:paraId="6230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78" w:type="dxa"/>
            <w:gridSpan w:val="5"/>
            <w:vAlign w:val="center"/>
          </w:tcPr>
          <w:p w14:paraId="11244949">
            <w:pPr>
              <w:keepNext w:val="0"/>
              <w:keepLines w:val="0"/>
              <w:pageBreakBefore w:val="0"/>
              <w:widowControl/>
              <w:shd w:val="clear"/>
              <w:tabs>
                <w:tab w:val="center" w:pos="870"/>
                <w:tab w:val="right" w:pos="1620"/>
              </w:tabs>
              <w:kinsoku/>
              <w:wordWrap/>
              <w:overflowPunct/>
              <w:topLinePunct/>
              <w:autoSpaceDE w:val="0"/>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备注：铝、碘化物为分包项目。</w:t>
            </w:r>
          </w:p>
        </w:tc>
      </w:tr>
    </w:tbl>
    <w:p w14:paraId="6561BCD0">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en-US" w:eastAsia="zh-CN"/>
        </w:rPr>
        <w:t>4</w:t>
      </w:r>
      <w:r>
        <w:rPr>
          <w:rFonts w:hint="default" w:ascii="Times New Roman" w:hAnsi="Times New Roman" w:eastAsia="宋体" w:cs="Times New Roman"/>
          <w:color w:val="auto"/>
          <w:kern w:val="0"/>
          <w:highlight w:val="none"/>
          <w:lang w:val="zh-CN"/>
        </w:rPr>
        <w:t>、监测结果</w:t>
      </w:r>
    </w:p>
    <w:p w14:paraId="08CB7DF6">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地下水水质监测结果见表4.2-9、表4.2-</w:t>
      </w:r>
      <w:r>
        <w:rPr>
          <w:rFonts w:hint="default" w:ascii="Times New Roman" w:hAnsi="Times New Roman" w:eastAsia="宋体" w:cs="Times New Roman"/>
          <w:color w:val="auto"/>
          <w:kern w:val="0"/>
          <w:highlight w:val="none"/>
          <w:lang w:val="en-US" w:eastAsia="zh-CN"/>
        </w:rPr>
        <w:t>10</w:t>
      </w:r>
      <w:r>
        <w:rPr>
          <w:rFonts w:hint="default" w:ascii="Times New Roman" w:hAnsi="Times New Roman" w:eastAsia="宋体" w:cs="Times New Roman"/>
          <w:color w:val="auto"/>
          <w:kern w:val="0"/>
          <w:highlight w:val="none"/>
          <w:lang w:val="zh-CN"/>
        </w:rPr>
        <w:t>。</w:t>
      </w:r>
    </w:p>
    <w:p w14:paraId="141AD206">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评价区水质现状监测统计结果（单位：mg/L，PH无量纲）</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8"/>
        <w:gridCol w:w="1765"/>
        <w:gridCol w:w="1765"/>
        <w:gridCol w:w="1766"/>
        <w:gridCol w:w="1213"/>
      </w:tblGrid>
      <w:tr w14:paraId="1BD2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768" w:type="dxa"/>
            <w:vMerge w:val="restart"/>
            <w:vAlign w:val="center"/>
          </w:tcPr>
          <w:p w14:paraId="4DBC1460">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bookmarkStart w:id="364" w:name="_Hlk505452931"/>
            <w:bookmarkStart w:id="365" w:name="_Toc346129905"/>
            <w:bookmarkStart w:id="366" w:name="_Toc491351852"/>
            <w:bookmarkStart w:id="367" w:name="_Toc346129694"/>
            <w:bookmarkStart w:id="368" w:name="_Toc386049607"/>
            <w:bookmarkStart w:id="369" w:name="_Toc439163213"/>
            <w:bookmarkStart w:id="370" w:name="_Toc346615961"/>
            <w:bookmarkStart w:id="371" w:name="_Toc439163836"/>
            <w:bookmarkStart w:id="372" w:name="_Toc491351713"/>
            <w:bookmarkStart w:id="373" w:name="_Toc436308537"/>
            <w:r>
              <w:rPr>
                <w:rFonts w:hint="default" w:ascii="Times New Roman" w:hAnsi="Times New Roman" w:eastAsia="宋体" w:cs="Times New Roman"/>
                <w:color w:val="auto"/>
                <w:kern w:val="2"/>
                <w:sz w:val="21"/>
                <w:szCs w:val="21"/>
                <w:highlight w:val="none"/>
                <w:lang w:val="en-US" w:eastAsia="zh-CN" w:bidi="ar-SA"/>
              </w:rPr>
              <mc:AlternateContent>
                <mc:Choice Requires="wps">
                  <w:drawing>
                    <wp:anchor distT="0" distB="0" distL="114300" distR="114300" simplePos="0" relativeHeight="251694080" behindDoc="0" locked="0" layoutInCell="1" allowOverlap="1">
                      <wp:simplePos x="0" y="0"/>
                      <wp:positionH relativeFrom="column">
                        <wp:posOffset>-46990</wp:posOffset>
                      </wp:positionH>
                      <wp:positionV relativeFrom="paragraph">
                        <wp:posOffset>27305</wp:posOffset>
                      </wp:positionV>
                      <wp:extent cx="1086485" cy="542925"/>
                      <wp:effectExtent l="1905" t="4445" r="16510" b="5080"/>
                      <wp:wrapNone/>
                      <wp:docPr id="22" name="直线 13"/>
                      <wp:cNvGraphicFramePr/>
                      <a:graphic xmlns:a="http://schemas.openxmlformats.org/drawingml/2006/main">
                        <a:graphicData uri="http://schemas.microsoft.com/office/word/2010/wordprocessingShape">
                          <wps:wsp>
                            <wps:cNvCnPr/>
                            <wps:spPr>
                              <a:xfrm>
                                <a:off x="0" y="0"/>
                                <a:ext cx="1086485" cy="542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3.7pt;margin-top:2.15pt;height:42.75pt;width:85.55pt;z-index:251694080;mso-width-relative:page;mso-height-relative:page;" filled="f" stroked="t" coordsize="21600,21600" o:gfxdata="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x&#10;CKPk1gAAAAcBAAAPAAAAAAAAAAEAIAAAACIAAABkcnMvZG93bnJldi54bWxQSwECFAAUAAAACACH&#10;TuJA9E8eyO0BAADiAwAADgAAAAAAAAABACAAAAAl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宋体" w:cs="Times New Roman"/>
                <w:color w:val="auto"/>
                <w:kern w:val="0"/>
                <w:sz w:val="21"/>
                <w:szCs w:val="21"/>
                <w:highlight w:val="none"/>
                <w:lang w:val="en-US" w:eastAsia="zh-CN" w:bidi="ar-SA"/>
              </w:rPr>
              <w:t>点位编号</w:t>
            </w:r>
          </w:p>
          <w:p w14:paraId="4D54833F">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p w14:paraId="329806A5">
            <w:pPr>
              <w:pageBreakBefore w:val="0"/>
              <w:widowControl/>
              <w:shd w:val="clear"/>
              <w:kinsoku/>
              <w:wordWrap/>
              <w:overflowPunct/>
              <w:topLinePunct/>
              <w:autoSpaceDE w:val="0"/>
              <w:autoSpaceDN/>
              <w:bidi w:val="0"/>
              <w:adjustRightInd/>
              <w:spacing w:line="240" w:lineRule="auto"/>
              <w:ind w:left="0" w:leftChars="0" w:firstLine="0" w:firstLineChars="0"/>
              <w:jc w:val="both"/>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检测项目</w:t>
            </w:r>
          </w:p>
        </w:tc>
        <w:tc>
          <w:tcPr>
            <w:tcW w:w="1765" w:type="dxa"/>
            <w:vAlign w:val="center"/>
          </w:tcPr>
          <w:p w14:paraId="5458063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bookmarkStart w:id="374" w:name="OLE_LINK16"/>
            <w:r>
              <w:rPr>
                <w:rFonts w:hint="default" w:ascii="Times New Roman" w:hAnsi="Times New Roman" w:eastAsia="宋体" w:cs="Times New Roman"/>
                <w:color w:val="auto"/>
                <w:sz w:val="21"/>
                <w:szCs w:val="21"/>
                <w:highlight w:val="none"/>
                <w:lang w:val="en-US" w:eastAsia="zh-CN"/>
              </w:rPr>
              <w:t>W1项目区西北水井</w:t>
            </w:r>
            <w:bookmarkEnd w:id="374"/>
          </w:p>
        </w:tc>
        <w:tc>
          <w:tcPr>
            <w:tcW w:w="1765" w:type="dxa"/>
            <w:vAlign w:val="center"/>
          </w:tcPr>
          <w:p w14:paraId="1DA035C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W2项目区场内水井</w:t>
            </w:r>
          </w:p>
        </w:tc>
        <w:tc>
          <w:tcPr>
            <w:tcW w:w="1766" w:type="dxa"/>
            <w:vAlign w:val="center"/>
          </w:tcPr>
          <w:p w14:paraId="4BA195A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W3项目区东南水井</w:t>
            </w:r>
          </w:p>
        </w:tc>
        <w:tc>
          <w:tcPr>
            <w:tcW w:w="1213" w:type="dxa"/>
            <w:vMerge w:val="restart"/>
            <w:vAlign w:val="center"/>
          </w:tcPr>
          <w:p w14:paraId="46A1ED63">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执行标准</w:t>
            </w:r>
          </w:p>
        </w:tc>
      </w:tr>
      <w:tr w14:paraId="59D3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Merge w:val="continue"/>
            <w:vAlign w:val="center"/>
          </w:tcPr>
          <w:p w14:paraId="683F8B50">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z w:val="21"/>
                <w:szCs w:val="21"/>
                <w:highlight w:val="none"/>
              </w:rPr>
            </w:pPr>
          </w:p>
        </w:tc>
        <w:tc>
          <w:tcPr>
            <w:tcW w:w="1765" w:type="dxa"/>
            <w:vAlign w:val="center"/>
          </w:tcPr>
          <w:p w14:paraId="79BF755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D-W2024426-05</w:t>
            </w:r>
          </w:p>
        </w:tc>
        <w:tc>
          <w:tcPr>
            <w:tcW w:w="1765" w:type="dxa"/>
            <w:vAlign w:val="center"/>
          </w:tcPr>
          <w:p w14:paraId="06FCBFC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D-W2024426-04</w:t>
            </w:r>
          </w:p>
        </w:tc>
        <w:tc>
          <w:tcPr>
            <w:tcW w:w="1766" w:type="dxa"/>
            <w:vAlign w:val="center"/>
          </w:tcPr>
          <w:p w14:paraId="4F1C20E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D-W2024426-06</w:t>
            </w:r>
          </w:p>
        </w:tc>
        <w:tc>
          <w:tcPr>
            <w:tcW w:w="1213" w:type="dxa"/>
            <w:vMerge w:val="continue"/>
            <w:vAlign w:val="center"/>
          </w:tcPr>
          <w:p w14:paraId="5254B983">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rPr>
            </w:pPr>
          </w:p>
        </w:tc>
      </w:tr>
      <w:tr w14:paraId="4666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402D3C77">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w:t>
            </w:r>
          </w:p>
        </w:tc>
        <w:tc>
          <w:tcPr>
            <w:tcW w:w="1765" w:type="dxa"/>
            <w:vAlign w:val="center"/>
          </w:tcPr>
          <w:p w14:paraId="10F22DB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7.3</w:t>
            </w:r>
          </w:p>
        </w:tc>
        <w:tc>
          <w:tcPr>
            <w:tcW w:w="1765" w:type="dxa"/>
            <w:vAlign w:val="center"/>
          </w:tcPr>
          <w:p w14:paraId="12E1A55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7.3</w:t>
            </w:r>
          </w:p>
        </w:tc>
        <w:tc>
          <w:tcPr>
            <w:tcW w:w="1766" w:type="dxa"/>
            <w:vAlign w:val="center"/>
          </w:tcPr>
          <w:p w14:paraId="45D99B4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7.4</w:t>
            </w:r>
          </w:p>
        </w:tc>
        <w:tc>
          <w:tcPr>
            <w:tcW w:w="1213" w:type="dxa"/>
            <w:vAlign w:val="center"/>
          </w:tcPr>
          <w:p w14:paraId="7D13164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6.5-8.5</w:t>
            </w:r>
          </w:p>
        </w:tc>
      </w:tr>
      <w:tr w14:paraId="401C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67D5C48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色度（度）</w:t>
            </w:r>
          </w:p>
        </w:tc>
        <w:tc>
          <w:tcPr>
            <w:tcW w:w="1765" w:type="dxa"/>
            <w:vAlign w:val="center"/>
          </w:tcPr>
          <w:p w14:paraId="43A8F93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1765" w:type="dxa"/>
            <w:vAlign w:val="center"/>
          </w:tcPr>
          <w:p w14:paraId="4AC284E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1766" w:type="dxa"/>
            <w:vAlign w:val="center"/>
          </w:tcPr>
          <w:p w14:paraId="770D4F2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1213" w:type="dxa"/>
            <w:vAlign w:val="center"/>
          </w:tcPr>
          <w:p w14:paraId="5CEBC71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color w:val="auto"/>
                <w:kern w:val="2"/>
                <w:sz w:val="21"/>
                <w:szCs w:val="21"/>
                <w:highlight w:val="none"/>
                <w:lang w:val="en-US" w:eastAsia="zh-CN" w:bidi="ar-SA"/>
              </w:rPr>
              <w:t>15</w:t>
            </w:r>
          </w:p>
        </w:tc>
      </w:tr>
      <w:tr w14:paraId="1AAA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A29F88E">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嗅和味</w:t>
            </w:r>
          </w:p>
        </w:tc>
        <w:tc>
          <w:tcPr>
            <w:tcW w:w="1765" w:type="dxa"/>
            <w:vAlign w:val="center"/>
          </w:tcPr>
          <w:p w14:paraId="5739C9C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765" w:type="dxa"/>
            <w:vAlign w:val="center"/>
          </w:tcPr>
          <w:p w14:paraId="47BFBA9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766" w:type="dxa"/>
            <w:vAlign w:val="center"/>
          </w:tcPr>
          <w:p w14:paraId="75889394">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213" w:type="dxa"/>
            <w:vAlign w:val="center"/>
          </w:tcPr>
          <w:p w14:paraId="4ABBE89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r>
      <w:tr w14:paraId="696D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114AEB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浊度（NTU）</w:t>
            </w:r>
          </w:p>
        </w:tc>
        <w:tc>
          <w:tcPr>
            <w:tcW w:w="1765" w:type="dxa"/>
            <w:vAlign w:val="center"/>
          </w:tcPr>
          <w:p w14:paraId="62008B7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3L</w:t>
            </w:r>
          </w:p>
        </w:tc>
        <w:tc>
          <w:tcPr>
            <w:tcW w:w="1765" w:type="dxa"/>
            <w:vAlign w:val="center"/>
          </w:tcPr>
          <w:p w14:paraId="2EFF502C">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3L</w:t>
            </w:r>
          </w:p>
        </w:tc>
        <w:tc>
          <w:tcPr>
            <w:tcW w:w="1766" w:type="dxa"/>
            <w:vAlign w:val="center"/>
          </w:tcPr>
          <w:p w14:paraId="440C3C2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3L</w:t>
            </w:r>
          </w:p>
        </w:tc>
        <w:tc>
          <w:tcPr>
            <w:tcW w:w="1213" w:type="dxa"/>
            <w:vAlign w:val="center"/>
          </w:tcPr>
          <w:p w14:paraId="0472118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color w:val="auto"/>
                <w:kern w:val="2"/>
                <w:sz w:val="21"/>
                <w:szCs w:val="21"/>
                <w:highlight w:val="none"/>
                <w:lang w:val="en-US" w:eastAsia="zh-CN" w:bidi="ar-SA"/>
              </w:rPr>
              <w:t>3</w:t>
            </w:r>
          </w:p>
        </w:tc>
      </w:tr>
      <w:tr w14:paraId="3F01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1FAAE81">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肉眼可见物</w:t>
            </w:r>
          </w:p>
        </w:tc>
        <w:tc>
          <w:tcPr>
            <w:tcW w:w="1765" w:type="dxa"/>
            <w:vAlign w:val="center"/>
          </w:tcPr>
          <w:p w14:paraId="0B542FB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765" w:type="dxa"/>
            <w:vAlign w:val="center"/>
          </w:tcPr>
          <w:p w14:paraId="352F987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766" w:type="dxa"/>
            <w:vAlign w:val="center"/>
          </w:tcPr>
          <w:p w14:paraId="104F012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c>
          <w:tcPr>
            <w:tcW w:w="1213" w:type="dxa"/>
            <w:vAlign w:val="center"/>
          </w:tcPr>
          <w:p w14:paraId="37848D2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w:t>
            </w:r>
          </w:p>
        </w:tc>
      </w:tr>
      <w:tr w14:paraId="7409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49790BD">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钙和镁总量（总硬度）（</w:t>
            </w:r>
            <w:r>
              <w:rPr>
                <w:rFonts w:hint="default" w:ascii="Times New Roman" w:hAnsi="Times New Roman" w:eastAsia="宋体" w:cs="Times New Roman"/>
                <w:color w:val="auto"/>
                <w:kern w:val="2"/>
                <w:sz w:val="21"/>
                <w:szCs w:val="21"/>
                <w:highlight w:val="none"/>
                <w:lang w:val="en-US" w:eastAsia="zh-CN"/>
              </w:rPr>
              <w:t>mg/L</w:t>
            </w:r>
            <w:r>
              <w:rPr>
                <w:rFonts w:hint="default" w:ascii="Times New Roman" w:hAnsi="Times New Roman" w:eastAsia="宋体" w:cs="Times New Roman"/>
                <w:color w:val="auto"/>
                <w:kern w:val="2"/>
                <w:sz w:val="21"/>
                <w:szCs w:val="21"/>
                <w:highlight w:val="none"/>
                <w:lang w:val="en-US" w:eastAsia="zh-CN"/>
              </w:rPr>
              <w:t>）</w:t>
            </w:r>
          </w:p>
        </w:tc>
        <w:tc>
          <w:tcPr>
            <w:tcW w:w="1765" w:type="dxa"/>
            <w:vAlign w:val="center"/>
          </w:tcPr>
          <w:p w14:paraId="7F37B16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880</w:t>
            </w:r>
          </w:p>
        </w:tc>
        <w:tc>
          <w:tcPr>
            <w:tcW w:w="1765" w:type="dxa"/>
            <w:vAlign w:val="center"/>
          </w:tcPr>
          <w:p w14:paraId="0C7F099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313</w:t>
            </w:r>
          </w:p>
        </w:tc>
        <w:tc>
          <w:tcPr>
            <w:tcW w:w="1766" w:type="dxa"/>
            <w:vAlign w:val="center"/>
          </w:tcPr>
          <w:p w14:paraId="490C457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500</w:t>
            </w:r>
          </w:p>
        </w:tc>
        <w:tc>
          <w:tcPr>
            <w:tcW w:w="1213" w:type="dxa"/>
            <w:vAlign w:val="center"/>
          </w:tcPr>
          <w:p w14:paraId="24D1697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≤450</w:t>
            </w:r>
          </w:p>
        </w:tc>
      </w:tr>
      <w:tr w14:paraId="2A81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19126CCC">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溶解性总固体（</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07B6305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SA"/>
              </w:rPr>
              <w:t>2048</w:t>
            </w:r>
          </w:p>
        </w:tc>
        <w:tc>
          <w:tcPr>
            <w:tcW w:w="1765" w:type="dxa"/>
            <w:vAlign w:val="center"/>
          </w:tcPr>
          <w:p w14:paraId="512A503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530</w:t>
            </w:r>
          </w:p>
        </w:tc>
        <w:tc>
          <w:tcPr>
            <w:tcW w:w="1766" w:type="dxa"/>
            <w:vAlign w:val="center"/>
          </w:tcPr>
          <w:p w14:paraId="2E3A143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SA"/>
              </w:rPr>
              <w:t>1466</w:t>
            </w:r>
          </w:p>
        </w:tc>
        <w:tc>
          <w:tcPr>
            <w:tcW w:w="1213" w:type="dxa"/>
            <w:vAlign w:val="center"/>
          </w:tcPr>
          <w:p w14:paraId="22E02E5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≤1000</w:t>
            </w:r>
          </w:p>
        </w:tc>
      </w:tr>
      <w:tr w14:paraId="724F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47576A60">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硫酸盐（</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57810F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159</w:t>
            </w:r>
          </w:p>
        </w:tc>
        <w:tc>
          <w:tcPr>
            <w:tcW w:w="1765" w:type="dxa"/>
            <w:vAlign w:val="center"/>
          </w:tcPr>
          <w:p w14:paraId="1D310E74">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77</w:t>
            </w:r>
          </w:p>
        </w:tc>
        <w:tc>
          <w:tcPr>
            <w:tcW w:w="1766" w:type="dxa"/>
            <w:vAlign w:val="center"/>
          </w:tcPr>
          <w:p w14:paraId="3B7383C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40</w:t>
            </w:r>
          </w:p>
        </w:tc>
        <w:tc>
          <w:tcPr>
            <w:tcW w:w="1213" w:type="dxa"/>
            <w:vAlign w:val="center"/>
          </w:tcPr>
          <w:p w14:paraId="1D0998C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≤250</w:t>
            </w:r>
          </w:p>
        </w:tc>
      </w:tr>
      <w:tr w14:paraId="6F03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33912FD">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氯化物（</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44D331C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SA"/>
              </w:rPr>
              <w:t>575</w:t>
            </w:r>
          </w:p>
        </w:tc>
        <w:tc>
          <w:tcPr>
            <w:tcW w:w="1765" w:type="dxa"/>
            <w:vAlign w:val="center"/>
          </w:tcPr>
          <w:p w14:paraId="3599153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84</w:t>
            </w:r>
          </w:p>
        </w:tc>
        <w:tc>
          <w:tcPr>
            <w:tcW w:w="1766" w:type="dxa"/>
            <w:vAlign w:val="center"/>
          </w:tcPr>
          <w:p w14:paraId="148B783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SA"/>
              </w:rPr>
              <w:t>526</w:t>
            </w:r>
          </w:p>
        </w:tc>
        <w:tc>
          <w:tcPr>
            <w:tcW w:w="1213" w:type="dxa"/>
            <w:vAlign w:val="center"/>
          </w:tcPr>
          <w:p w14:paraId="410C59EC">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≤250</w:t>
            </w:r>
          </w:p>
        </w:tc>
      </w:tr>
      <w:tr w14:paraId="03C8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6A95631F">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铁</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479B678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0.03L</w:t>
            </w:r>
          </w:p>
        </w:tc>
        <w:tc>
          <w:tcPr>
            <w:tcW w:w="1765" w:type="dxa"/>
            <w:vAlign w:val="center"/>
          </w:tcPr>
          <w:p w14:paraId="5E1E7398">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0.03L</w:t>
            </w:r>
          </w:p>
        </w:tc>
        <w:tc>
          <w:tcPr>
            <w:tcW w:w="1766" w:type="dxa"/>
            <w:vAlign w:val="center"/>
          </w:tcPr>
          <w:p w14:paraId="54DF1EC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0.06</w:t>
            </w:r>
          </w:p>
        </w:tc>
        <w:tc>
          <w:tcPr>
            <w:tcW w:w="1213" w:type="dxa"/>
            <w:vAlign w:val="center"/>
          </w:tcPr>
          <w:p w14:paraId="61EAA35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≤0.3</w:t>
            </w:r>
          </w:p>
        </w:tc>
      </w:tr>
      <w:tr w14:paraId="79ED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41B1C84">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锰</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72AFE546">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0.09</w:t>
            </w:r>
          </w:p>
        </w:tc>
        <w:tc>
          <w:tcPr>
            <w:tcW w:w="1765" w:type="dxa"/>
            <w:vAlign w:val="center"/>
          </w:tcPr>
          <w:p w14:paraId="59B0F9F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0.06</w:t>
            </w:r>
          </w:p>
        </w:tc>
        <w:tc>
          <w:tcPr>
            <w:tcW w:w="1766" w:type="dxa"/>
            <w:vAlign w:val="center"/>
          </w:tcPr>
          <w:p w14:paraId="130982E3">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0.03</w:t>
            </w:r>
          </w:p>
        </w:tc>
        <w:tc>
          <w:tcPr>
            <w:tcW w:w="1213" w:type="dxa"/>
            <w:vAlign w:val="center"/>
          </w:tcPr>
          <w:p w14:paraId="106D41D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≤0.10</w:t>
            </w:r>
          </w:p>
        </w:tc>
      </w:tr>
      <w:tr w14:paraId="73B0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CA3772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铜</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0EAADB0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765" w:type="dxa"/>
            <w:vAlign w:val="center"/>
          </w:tcPr>
          <w:p w14:paraId="66C39D5F">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766" w:type="dxa"/>
            <w:vAlign w:val="center"/>
          </w:tcPr>
          <w:p w14:paraId="4E019586">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213" w:type="dxa"/>
            <w:vAlign w:val="center"/>
          </w:tcPr>
          <w:p w14:paraId="50ED564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≤1.00</w:t>
            </w:r>
          </w:p>
        </w:tc>
      </w:tr>
      <w:tr w14:paraId="4852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0BA8987">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锌</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51DAAFD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765" w:type="dxa"/>
            <w:vAlign w:val="center"/>
          </w:tcPr>
          <w:p w14:paraId="2475BDC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766" w:type="dxa"/>
            <w:vAlign w:val="center"/>
          </w:tcPr>
          <w:p w14:paraId="67D0526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0.05L</w:t>
            </w:r>
          </w:p>
        </w:tc>
        <w:tc>
          <w:tcPr>
            <w:tcW w:w="1213" w:type="dxa"/>
            <w:vAlign w:val="center"/>
          </w:tcPr>
          <w:p w14:paraId="2ADE13C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≤1.00</w:t>
            </w:r>
          </w:p>
        </w:tc>
      </w:tr>
      <w:tr w14:paraId="1603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5DFE847">
            <w:pPr>
              <w:pageBreakBefore w:val="0"/>
              <w:numPr>
                <w:ilvl w:val="0"/>
                <w:numId w:val="0"/>
              </w:numPr>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挥发酚</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502FC52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0.0003L</w:t>
            </w:r>
          </w:p>
        </w:tc>
        <w:tc>
          <w:tcPr>
            <w:tcW w:w="1765" w:type="dxa"/>
            <w:vAlign w:val="center"/>
          </w:tcPr>
          <w:p w14:paraId="0E97938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0.0003L</w:t>
            </w:r>
          </w:p>
        </w:tc>
        <w:tc>
          <w:tcPr>
            <w:tcW w:w="1766" w:type="dxa"/>
            <w:vAlign w:val="center"/>
          </w:tcPr>
          <w:p w14:paraId="0209EA8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0.0003L</w:t>
            </w:r>
          </w:p>
        </w:tc>
        <w:tc>
          <w:tcPr>
            <w:tcW w:w="1213" w:type="dxa"/>
            <w:vAlign w:val="center"/>
          </w:tcPr>
          <w:p w14:paraId="19FAA84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≤0.002</w:t>
            </w:r>
          </w:p>
        </w:tc>
      </w:tr>
      <w:tr w14:paraId="386F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30D6339">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阴离子表面活性剂</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4199F0E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765" w:type="dxa"/>
            <w:vAlign w:val="center"/>
          </w:tcPr>
          <w:p w14:paraId="5FDB7AD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766" w:type="dxa"/>
            <w:vAlign w:val="center"/>
          </w:tcPr>
          <w:p w14:paraId="0F1BB3B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213" w:type="dxa"/>
            <w:vAlign w:val="center"/>
          </w:tcPr>
          <w:p w14:paraId="3452D14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color w:val="auto"/>
                <w:kern w:val="2"/>
                <w:sz w:val="21"/>
                <w:szCs w:val="21"/>
                <w:highlight w:val="none"/>
                <w:lang w:val="en-US" w:eastAsia="zh-CN" w:bidi="ar-SA"/>
              </w:rPr>
              <w:t>0.3</w:t>
            </w:r>
          </w:p>
        </w:tc>
      </w:tr>
      <w:tr w14:paraId="57C9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66FA1D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高锰酸盐指数</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5BBAB3C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2.72</w:t>
            </w:r>
          </w:p>
        </w:tc>
        <w:tc>
          <w:tcPr>
            <w:tcW w:w="1765" w:type="dxa"/>
            <w:vAlign w:val="center"/>
          </w:tcPr>
          <w:p w14:paraId="524B8A0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0.92</w:t>
            </w:r>
          </w:p>
        </w:tc>
        <w:tc>
          <w:tcPr>
            <w:tcW w:w="1766" w:type="dxa"/>
            <w:vAlign w:val="center"/>
          </w:tcPr>
          <w:p w14:paraId="1249E53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SA"/>
              </w:rPr>
              <w:t>3.56</w:t>
            </w:r>
          </w:p>
        </w:tc>
        <w:tc>
          <w:tcPr>
            <w:tcW w:w="1213" w:type="dxa"/>
            <w:vAlign w:val="center"/>
          </w:tcPr>
          <w:p w14:paraId="3EC5591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≤3.0</w:t>
            </w:r>
          </w:p>
        </w:tc>
      </w:tr>
      <w:tr w14:paraId="08D4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751E7C3F">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rPr>
              <w:t>氨氮</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6D5BA8D">
            <w:pPr>
              <w:pStyle w:val="25"/>
              <w:pageBreakBefore w:val="0"/>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0.693</w:t>
            </w:r>
          </w:p>
        </w:tc>
        <w:tc>
          <w:tcPr>
            <w:tcW w:w="1765" w:type="dxa"/>
            <w:vAlign w:val="center"/>
          </w:tcPr>
          <w:p w14:paraId="28B74457">
            <w:pPr>
              <w:pStyle w:val="25"/>
              <w:pageBreakBefore w:val="0"/>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0.473</w:t>
            </w:r>
          </w:p>
        </w:tc>
        <w:tc>
          <w:tcPr>
            <w:tcW w:w="1766" w:type="dxa"/>
            <w:vAlign w:val="center"/>
          </w:tcPr>
          <w:p w14:paraId="4A1CEA6D">
            <w:pPr>
              <w:pStyle w:val="25"/>
              <w:pageBreakBefore w:val="0"/>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0.884</w:t>
            </w:r>
          </w:p>
        </w:tc>
        <w:tc>
          <w:tcPr>
            <w:tcW w:w="1213" w:type="dxa"/>
            <w:vAlign w:val="center"/>
          </w:tcPr>
          <w:p w14:paraId="60DBFA1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≤0.5</w:t>
            </w:r>
          </w:p>
        </w:tc>
      </w:tr>
      <w:tr w14:paraId="2B5A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8F90604">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硫化物</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A1DAA1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0.01L</w:t>
            </w:r>
          </w:p>
        </w:tc>
        <w:tc>
          <w:tcPr>
            <w:tcW w:w="1765" w:type="dxa"/>
            <w:vAlign w:val="center"/>
          </w:tcPr>
          <w:p w14:paraId="0E652B04">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0.01L</w:t>
            </w:r>
          </w:p>
        </w:tc>
        <w:tc>
          <w:tcPr>
            <w:tcW w:w="1766" w:type="dxa"/>
            <w:vAlign w:val="center"/>
          </w:tcPr>
          <w:p w14:paraId="06394B4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0.01L</w:t>
            </w:r>
          </w:p>
        </w:tc>
        <w:tc>
          <w:tcPr>
            <w:tcW w:w="1213" w:type="dxa"/>
            <w:vAlign w:val="center"/>
          </w:tcPr>
          <w:p w14:paraId="40EDA43C">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color w:val="auto"/>
                <w:kern w:val="2"/>
                <w:sz w:val="21"/>
                <w:szCs w:val="21"/>
                <w:highlight w:val="none"/>
                <w:lang w:val="en-US" w:eastAsia="zh-CN" w:bidi="ar-SA"/>
              </w:rPr>
              <w:t>0.02</w:t>
            </w:r>
          </w:p>
        </w:tc>
      </w:tr>
      <w:tr w14:paraId="2559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E73FF7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总大肠菌群（MPN/100mL）</w:t>
            </w:r>
          </w:p>
        </w:tc>
        <w:tc>
          <w:tcPr>
            <w:tcW w:w="1765" w:type="dxa"/>
            <w:vAlign w:val="center"/>
          </w:tcPr>
          <w:p w14:paraId="7D3ECF4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2</w:t>
            </w:r>
          </w:p>
        </w:tc>
        <w:tc>
          <w:tcPr>
            <w:tcW w:w="1765" w:type="dxa"/>
            <w:vAlign w:val="center"/>
          </w:tcPr>
          <w:p w14:paraId="25FE6EB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＜2</w:t>
            </w:r>
          </w:p>
        </w:tc>
        <w:tc>
          <w:tcPr>
            <w:tcW w:w="1766" w:type="dxa"/>
            <w:vAlign w:val="center"/>
          </w:tcPr>
          <w:p w14:paraId="436C731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＜2</w:t>
            </w:r>
          </w:p>
        </w:tc>
        <w:tc>
          <w:tcPr>
            <w:tcW w:w="1213" w:type="dxa"/>
            <w:vAlign w:val="center"/>
          </w:tcPr>
          <w:p w14:paraId="502D609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≤3.0</w:t>
            </w:r>
          </w:p>
        </w:tc>
      </w:tr>
      <w:tr w14:paraId="4A0A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0A553B4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菌落总数（</w:t>
            </w:r>
            <w:r>
              <w:rPr>
                <w:rFonts w:hint="default" w:ascii="Times New Roman" w:hAnsi="Times New Roman" w:eastAsia="宋体" w:cs="Times New Roman"/>
                <w:i w:val="0"/>
                <w:iCs w:val="0"/>
                <w:color w:val="auto"/>
                <w:kern w:val="0"/>
                <w:sz w:val="21"/>
                <w:szCs w:val="21"/>
                <w:highlight w:val="none"/>
                <w:u w:val="none"/>
                <w:lang w:val="en-US" w:eastAsia="zh-CN" w:bidi="ar-SA"/>
              </w:rPr>
              <w:t>CFU/mL</w:t>
            </w:r>
            <w:r>
              <w:rPr>
                <w:rFonts w:hint="default" w:ascii="Times New Roman" w:hAnsi="Times New Roman" w:eastAsia="宋体" w:cs="Times New Roman"/>
                <w:color w:val="auto"/>
                <w:kern w:val="2"/>
                <w:sz w:val="21"/>
                <w:szCs w:val="21"/>
                <w:highlight w:val="none"/>
                <w:lang w:val="en-US" w:eastAsia="zh-CN" w:bidi="ar-SA"/>
              </w:rPr>
              <w:t>）</w:t>
            </w:r>
          </w:p>
        </w:tc>
        <w:tc>
          <w:tcPr>
            <w:tcW w:w="1765" w:type="dxa"/>
            <w:vAlign w:val="center"/>
          </w:tcPr>
          <w:p w14:paraId="48426AF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72</w:t>
            </w:r>
          </w:p>
        </w:tc>
        <w:tc>
          <w:tcPr>
            <w:tcW w:w="1765" w:type="dxa"/>
            <w:vAlign w:val="center"/>
          </w:tcPr>
          <w:p w14:paraId="338B2C8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64</w:t>
            </w:r>
          </w:p>
        </w:tc>
        <w:tc>
          <w:tcPr>
            <w:tcW w:w="1766" w:type="dxa"/>
            <w:vAlign w:val="center"/>
          </w:tcPr>
          <w:p w14:paraId="2BD0703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67</w:t>
            </w:r>
          </w:p>
        </w:tc>
        <w:tc>
          <w:tcPr>
            <w:tcW w:w="1213" w:type="dxa"/>
            <w:vAlign w:val="center"/>
          </w:tcPr>
          <w:p w14:paraId="0131B1D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bidi="ar-SA"/>
              </w:rPr>
              <w:t>100</w:t>
            </w:r>
          </w:p>
        </w:tc>
      </w:tr>
      <w:tr w14:paraId="7F0F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19460A5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亚硝酸盐氮（</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461A7AF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0.08</w:t>
            </w:r>
          </w:p>
        </w:tc>
        <w:tc>
          <w:tcPr>
            <w:tcW w:w="1765" w:type="dxa"/>
            <w:vAlign w:val="center"/>
          </w:tcPr>
          <w:p w14:paraId="7E0FFD9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0.003L</w:t>
            </w:r>
          </w:p>
        </w:tc>
        <w:tc>
          <w:tcPr>
            <w:tcW w:w="1766" w:type="dxa"/>
            <w:vAlign w:val="center"/>
          </w:tcPr>
          <w:p w14:paraId="09FF480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0.04</w:t>
            </w:r>
          </w:p>
        </w:tc>
        <w:tc>
          <w:tcPr>
            <w:tcW w:w="1213" w:type="dxa"/>
            <w:vAlign w:val="center"/>
          </w:tcPr>
          <w:p w14:paraId="4D25ED5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≤1.00</w:t>
            </w:r>
          </w:p>
        </w:tc>
      </w:tr>
      <w:tr w14:paraId="039D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7C767F22">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硝酸盐氮（</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4B9C93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0.35</w:t>
            </w:r>
          </w:p>
        </w:tc>
        <w:tc>
          <w:tcPr>
            <w:tcW w:w="1765" w:type="dxa"/>
            <w:vAlign w:val="center"/>
          </w:tcPr>
          <w:p w14:paraId="24CCC6C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0.01</w:t>
            </w:r>
          </w:p>
        </w:tc>
        <w:tc>
          <w:tcPr>
            <w:tcW w:w="1766" w:type="dxa"/>
            <w:vAlign w:val="center"/>
          </w:tcPr>
          <w:p w14:paraId="1AB2384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0.55</w:t>
            </w:r>
          </w:p>
        </w:tc>
        <w:tc>
          <w:tcPr>
            <w:tcW w:w="1213" w:type="dxa"/>
            <w:vAlign w:val="center"/>
          </w:tcPr>
          <w:p w14:paraId="092F08B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≤20</w:t>
            </w:r>
          </w:p>
        </w:tc>
      </w:tr>
      <w:tr w14:paraId="58A4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D3AF5DB">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氰化物</w:t>
            </w:r>
            <w:r>
              <w:rPr>
                <w:rStyle w:val="160"/>
                <w:rFonts w:hint="default" w:ascii="Times New Roman" w:hAnsi="Times New Roman" w:eastAsia="宋体" w:cs="Times New Roman"/>
                <w:color w:val="auto"/>
                <w:sz w:val="21"/>
                <w:szCs w:val="21"/>
                <w:highlight w:val="none"/>
                <w:lang w:val="en-US" w:eastAsia="zh-CN"/>
              </w:rPr>
              <w:t>（mg/L）</w:t>
            </w:r>
          </w:p>
        </w:tc>
        <w:tc>
          <w:tcPr>
            <w:tcW w:w="1765" w:type="dxa"/>
            <w:vAlign w:val="center"/>
          </w:tcPr>
          <w:p w14:paraId="452BD9B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0.002L</w:t>
            </w:r>
          </w:p>
        </w:tc>
        <w:tc>
          <w:tcPr>
            <w:tcW w:w="1765" w:type="dxa"/>
            <w:vAlign w:val="center"/>
          </w:tcPr>
          <w:p w14:paraId="5F4FF8E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0.002L</w:t>
            </w:r>
          </w:p>
        </w:tc>
        <w:tc>
          <w:tcPr>
            <w:tcW w:w="1766" w:type="dxa"/>
            <w:vAlign w:val="center"/>
          </w:tcPr>
          <w:p w14:paraId="0591B21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0.002L</w:t>
            </w:r>
          </w:p>
        </w:tc>
        <w:tc>
          <w:tcPr>
            <w:tcW w:w="1213" w:type="dxa"/>
            <w:vAlign w:val="center"/>
          </w:tcPr>
          <w:p w14:paraId="424DBA6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Style w:val="160"/>
                <w:rFonts w:hint="default" w:ascii="Times New Roman" w:hAnsi="Times New Roman" w:eastAsia="宋体" w:cs="Times New Roman"/>
                <w:color w:val="auto"/>
                <w:sz w:val="21"/>
                <w:szCs w:val="21"/>
                <w:highlight w:val="none"/>
                <w:lang w:val="en-US" w:eastAsia="zh-CN"/>
              </w:rPr>
              <w:t>0.05</w:t>
            </w:r>
          </w:p>
        </w:tc>
      </w:tr>
      <w:tr w14:paraId="4CFB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6445FCFB">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氟化物（</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642F543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0.63</w:t>
            </w:r>
          </w:p>
        </w:tc>
        <w:tc>
          <w:tcPr>
            <w:tcW w:w="1765" w:type="dxa"/>
            <w:vAlign w:val="center"/>
          </w:tcPr>
          <w:p w14:paraId="17254A14">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0.84</w:t>
            </w:r>
          </w:p>
        </w:tc>
        <w:tc>
          <w:tcPr>
            <w:tcW w:w="1766" w:type="dxa"/>
            <w:vAlign w:val="center"/>
          </w:tcPr>
          <w:p w14:paraId="0267E24B">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0.56</w:t>
            </w:r>
          </w:p>
        </w:tc>
        <w:tc>
          <w:tcPr>
            <w:tcW w:w="1213" w:type="dxa"/>
            <w:vAlign w:val="center"/>
          </w:tcPr>
          <w:p w14:paraId="57C0771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≤1.0</w:t>
            </w:r>
          </w:p>
        </w:tc>
      </w:tr>
      <w:tr w14:paraId="7159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06DCB12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汞</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729EB33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L</w:t>
            </w:r>
          </w:p>
        </w:tc>
        <w:tc>
          <w:tcPr>
            <w:tcW w:w="1765" w:type="dxa"/>
            <w:vAlign w:val="center"/>
          </w:tcPr>
          <w:p w14:paraId="140778E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L</w:t>
            </w:r>
          </w:p>
        </w:tc>
        <w:tc>
          <w:tcPr>
            <w:tcW w:w="1766" w:type="dxa"/>
            <w:vAlign w:val="center"/>
          </w:tcPr>
          <w:p w14:paraId="76E45C7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L</w:t>
            </w:r>
          </w:p>
        </w:tc>
        <w:tc>
          <w:tcPr>
            <w:tcW w:w="1213" w:type="dxa"/>
            <w:vAlign w:val="center"/>
          </w:tcPr>
          <w:p w14:paraId="199E5E33">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≤0.001</w:t>
            </w:r>
          </w:p>
        </w:tc>
      </w:tr>
      <w:tr w14:paraId="540D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AA9B76A">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砷</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EAF2B4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9.2×10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765" w:type="dxa"/>
            <w:vAlign w:val="center"/>
          </w:tcPr>
          <w:p w14:paraId="610D014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766" w:type="dxa"/>
            <w:vAlign w:val="center"/>
          </w:tcPr>
          <w:p w14:paraId="24B7D67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8.1×10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213" w:type="dxa"/>
            <w:vAlign w:val="center"/>
          </w:tcPr>
          <w:p w14:paraId="6091805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≤0.01</w:t>
            </w:r>
          </w:p>
        </w:tc>
      </w:tr>
      <w:tr w14:paraId="497D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1616D729">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硒</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654ABF4">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765" w:type="dxa"/>
            <w:vAlign w:val="center"/>
          </w:tcPr>
          <w:p w14:paraId="2CEF9F5E">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766" w:type="dxa"/>
            <w:vAlign w:val="center"/>
          </w:tcPr>
          <w:p w14:paraId="3A4C068B">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213" w:type="dxa"/>
            <w:vAlign w:val="center"/>
          </w:tcPr>
          <w:p w14:paraId="763BD05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bidi="ar-SA"/>
              </w:rPr>
              <w:t>0.01</w:t>
            </w:r>
          </w:p>
        </w:tc>
      </w:tr>
      <w:tr w14:paraId="0B19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FDC5DDE">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镉</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8F4376F">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765" w:type="dxa"/>
            <w:vAlign w:val="center"/>
          </w:tcPr>
          <w:p w14:paraId="6F95E26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766" w:type="dxa"/>
            <w:vAlign w:val="center"/>
          </w:tcPr>
          <w:p w14:paraId="70C114D3">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L</w:t>
            </w:r>
          </w:p>
        </w:tc>
        <w:tc>
          <w:tcPr>
            <w:tcW w:w="1213" w:type="dxa"/>
            <w:vAlign w:val="center"/>
          </w:tcPr>
          <w:p w14:paraId="637112E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≤0.005</w:t>
            </w:r>
          </w:p>
        </w:tc>
      </w:tr>
      <w:tr w14:paraId="24D4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00E739E1">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六价铬</w:t>
            </w:r>
            <w:r>
              <w:rPr>
                <w:rStyle w:val="160"/>
                <w:rFonts w:hint="default" w:ascii="Times New Roman" w:hAnsi="Times New Roman" w:eastAsia="宋体" w:cs="Times New Roman"/>
                <w:color w:val="auto"/>
                <w:sz w:val="21"/>
                <w:szCs w:val="21"/>
                <w:highlight w:val="none"/>
                <w:lang w:val="en-US" w:eastAsia="zh-CN"/>
              </w:rPr>
              <w:t>（mg/L）</w:t>
            </w:r>
          </w:p>
        </w:tc>
        <w:tc>
          <w:tcPr>
            <w:tcW w:w="1765" w:type="dxa"/>
            <w:vAlign w:val="center"/>
          </w:tcPr>
          <w:p w14:paraId="4C6FA0F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0.012</w:t>
            </w:r>
          </w:p>
        </w:tc>
        <w:tc>
          <w:tcPr>
            <w:tcW w:w="1765" w:type="dxa"/>
            <w:vAlign w:val="center"/>
          </w:tcPr>
          <w:p w14:paraId="33EE1F1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0.018</w:t>
            </w:r>
          </w:p>
        </w:tc>
        <w:tc>
          <w:tcPr>
            <w:tcW w:w="1766" w:type="dxa"/>
            <w:vAlign w:val="center"/>
          </w:tcPr>
          <w:p w14:paraId="67BEB03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0.010</w:t>
            </w:r>
          </w:p>
        </w:tc>
        <w:tc>
          <w:tcPr>
            <w:tcW w:w="1213" w:type="dxa"/>
            <w:vAlign w:val="center"/>
          </w:tcPr>
          <w:p w14:paraId="2D90FD47">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Style w:val="160"/>
                <w:rFonts w:hint="default" w:ascii="Times New Roman" w:hAnsi="Times New Roman" w:eastAsia="宋体" w:cs="Times New Roman"/>
                <w:color w:val="auto"/>
                <w:sz w:val="21"/>
                <w:szCs w:val="21"/>
                <w:highlight w:val="none"/>
                <w:lang w:val="en-US" w:eastAsia="zh-CN"/>
              </w:rPr>
              <w:t>0.05</w:t>
            </w:r>
          </w:p>
        </w:tc>
      </w:tr>
      <w:tr w14:paraId="6AC2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5AA88015">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铅</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C136D9C">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bookmarkStart w:id="375" w:name="OLE_LINK10"/>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-3</w:t>
            </w:r>
            <w:bookmarkEnd w:id="375"/>
            <w:r>
              <w:rPr>
                <w:rFonts w:hint="default" w:ascii="Times New Roman" w:hAnsi="Times New Roman" w:eastAsia="宋体" w:cs="Times New Roman"/>
                <w:color w:val="auto"/>
                <w:kern w:val="2"/>
                <w:sz w:val="21"/>
                <w:szCs w:val="21"/>
                <w:highlight w:val="none"/>
                <w:lang w:val="en-US" w:eastAsia="zh-CN" w:bidi="ar-SA"/>
              </w:rPr>
              <w:t>L</w:t>
            </w:r>
          </w:p>
        </w:tc>
        <w:tc>
          <w:tcPr>
            <w:tcW w:w="1765" w:type="dxa"/>
            <w:vAlign w:val="center"/>
          </w:tcPr>
          <w:p w14:paraId="372D6D2F">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L</w:t>
            </w:r>
          </w:p>
        </w:tc>
        <w:tc>
          <w:tcPr>
            <w:tcW w:w="1766" w:type="dxa"/>
            <w:vAlign w:val="center"/>
          </w:tcPr>
          <w:p w14:paraId="73763788">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L</w:t>
            </w:r>
          </w:p>
        </w:tc>
        <w:tc>
          <w:tcPr>
            <w:tcW w:w="1213" w:type="dxa"/>
            <w:vAlign w:val="center"/>
          </w:tcPr>
          <w:p w14:paraId="5D153688">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≤0.01</w:t>
            </w:r>
          </w:p>
        </w:tc>
      </w:tr>
      <w:tr w14:paraId="7382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618E06AC">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钾</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E5E1869">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4.44</w:t>
            </w:r>
          </w:p>
        </w:tc>
        <w:tc>
          <w:tcPr>
            <w:tcW w:w="1765" w:type="dxa"/>
            <w:vAlign w:val="center"/>
          </w:tcPr>
          <w:p w14:paraId="0731A9CE">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8.00</w:t>
            </w:r>
          </w:p>
        </w:tc>
        <w:tc>
          <w:tcPr>
            <w:tcW w:w="1766" w:type="dxa"/>
            <w:vAlign w:val="center"/>
          </w:tcPr>
          <w:p w14:paraId="0D29385D">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3.79</w:t>
            </w:r>
          </w:p>
        </w:tc>
        <w:tc>
          <w:tcPr>
            <w:tcW w:w="1213" w:type="dxa"/>
            <w:vAlign w:val="center"/>
          </w:tcPr>
          <w:p w14:paraId="5A5CD322">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19EF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AD6A3D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钠（</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7CD6B73">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b/>
                <w:bCs/>
                <w:color w:val="auto"/>
                <w:spacing w:val="-11"/>
                <w:kern w:val="0"/>
                <w:sz w:val="21"/>
                <w:szCs w:val="21"/>
                <w:highlight w:val="none"/>
                <w:lang w:val="en-US" w:eastAsia="zh-CN" w:bidi="ar-SA"/>
              </w:rPr>
              <w:t>351</w:t>
            </w:r>
          </w:p>
        </w:tc>
        <w:tc>
          <w:tcPr>
            <w:tcW w:w="1765" w:type="dxa"/>
            <w:vAlign w:val="center"/>
          </w:tcPr>
          <w:p w14:paraId="3FBA6B6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116</w:t>
            </w:r>
          </w:p>
        </w:tc>
        <w:tc>
          <w:tcPr>
            <w:tcW w:w="1766" w:type="dxa"/>
            <w:vAlign w:val="center"/>
          </w:tcPr>
          <w:p w14:paraId="622C155B">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b/>
                <w:bCs/>
                <w:color w:val="auto"/>
                <w:spacing w:val="-11"/>
                <w:kern w:val="0"/>
                <w:sz w:val="21"/>
                <w:szCs w:val="21"/>
                <w:highlight w:val="none"/>
                <w:lang w:val="en-US" w:eastAsia="zh-CN" w:bidi="ar-SA"/>
              </w:rPr>
              <w:t>233</w:t>
            </w:r>
          </w:p>
        </w:tc>
        <w:tc>
          <w:tcPr>
            <w:tcW w:w="1213" w:type="dxa"/>
            <w:vAlign w:val="center"/>
          </w:tcPr>
          <w:p w14:paraId="2F06273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bidi="ar-SA"/>
              </w:rPr>
              <w:t>200</w:t>
            </w:r>
          </w:p>
        </w:tc>
      </w:tr>
      <w:tr w14:paraId="2707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7F0D8072">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钙</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F11AC22">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57.0</w:t>
            </w:r>
          </w:p>
        </w:tc>
        <w:tc>
          <w:tcPr>
            <w:tcW w:w="1765" w:type="dxa"/>
            <w:vAlign w:val="center"/>
          </w:tcPr>
          <w:p w14:paraId="4AAA791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59.0</w:t>
            </w:r>
          </w:p>
        </w:tc>
        <w:tc>
          <w:tcPr>
            <w:tcW w:w="1766" w:type="dxa"/>
            <w:vAlign w:val="center"/>
          </w:tcPr>
          <w:p w14:paraId="5A96AE29">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32.4</w:t>
            </w:r>
          </w:p>
        </w:tc>
        <w:tc>
          <w:tcPr>
            <w:tcW w:w="1213" w:type="dxa"/>
            <w:vAlign w:val="center"/>
          </w:tcPr>
          <w:p w14:paraId="0582E59C">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106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49241ADD">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镁</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507D9B8">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147</w:t>
            </w:r>
          </w:p>
        </w:tc>
        <w:tc>
          <w:tcPr>
            <w:tcW w:w="1765" w:type="dxa"/>
            <w:vAlign w:val="center"/>
          </w:tcPr>
          <w:p w14:paraId="20853A57">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51.3</w:t>
            </w:r>
          </w:p>
        </w:tc>
        <w:tc>
          <w:tcPr>
            <w:tcW w:w="1766" w:type="dxa"/>
            <w:vAlign w:val="center"/>
          </w:tcPr>
          <w:p w14:paraId="42D719EB">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67.4</w:t>
            </w:r>
          </w:p>
        </w:tc>
        <w:tc>
          <w:tcPr>
            <w:tcW w:w="1213" w:type="dxa"/>
            <w:vAlign w:val="center"/>
          </w:tcPr>
          <w:p w14:paraId="14388E0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731D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24984FCA">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碳酸盐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B01B88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0.00</w:t>
            </w:r>
          </w:p>
        </w:tc>
        <w:tc>
          <w:tcPr>
            <w:tcW w:w="1765" w:type="dxa"/>
            <w:vAlign w:val="center"/>
          </w:tcPr>
          <w:p w14:paraId="6BDB5AF2">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0.00</w:t>
            </w:r>
          </w:p>
        </w:tc>
        <w:tc>
          <w:tcPr>
            <w:tcW w:w="1766" w:type="dxa"/>
            <w:vAlign w:val="center"/>
          </w:tcPr>
          <w:p w14:paraId="3F7EC6CE">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0.00</w:t>
            </w:r>
          </w:p>
        </w:tc>
        <w:tc>
          <w:tcPr>
            <w:tcW w:w="1213" w:type="dxa"/>
            <w:vAlign w:val="center"/>
          </w:tcPr>
          <w:p w14:paraId="0592794A">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w:t>
            </w:r>
          </w:p>
        </w:tc>
      </w:tr>
      <w:tr w14:paraId="24D1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16B3D926">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重碳酸盐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7AE09F2">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652</w:t>
            </w:r>
          </w:p>
        </w:tc>
        <w:tc>
          <w:tcPr>
            <w:tcW w:w="1765" w:type="dxa"/>
            <w:vAlign w:val="center"/>
          </w:tcPr>
          <w:p w14:paraId="285AB148">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254</w:t>
            </w:r>
          </w:p>
        </w:tc>
        <w:tc>
          <w:tcPr>
            <w:tcW w:w="1766" w:type="dxa"/>
            <w:vAlign w:val="center"/>
          </w:tcPr>
          <w:p w14:paraId="58A2AA0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527</w:t>
            </w:r>
          </w:p>
        </w:tc>
        <w:tc>
          <w:tcPr>
            <w:tcW w:w="1213" w:type="dxa"/>
            <w:vAlign w:val="center"/>
          </w:tcPr>
          <w:p w14:paraId="0048970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41BE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3AE8A6A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氯离子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5A4BC45">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681</w:t>
            </w:r>
          </w:p>
        </w:tc>
        <w:tc>
          <w:tcPr>
            <w:tcW w:w="1765" w:type="dxa"/>
            <w:vAlign w:val="center"/>
          </w:tcPr>
          <w:p w14:paraId="6F7EC257">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87.5</w:t>
            </w:r>
          </w:p>
        </w:tc>
        <w:tc>
          <w:tcPr>
            <w:tcW w:w="1766" w:type="dxa"/>
            <w:vAlign w:val="center"/>
          </w:tcPr>
          <w:p w14:paraId="5292D5D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spacing w:val="-11"/>
                <w:kern w:val="0"/>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561</w:t>
            </w:r>
          </w:p>
        </w:tc>
        <w:tc>
          <w:tcPr>
            <w:tcW w:w="1213" w:type="dxa"/>
            <w:vAlign w:val="center"/>
          </w:tcPr>
          <w:p w14:paraId="7AAE58B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w:t>
            </w:r>
          </w:p>
        </w:tc>
      </w:tr>
      <w:tr w14:paraId="778D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179E3304">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硫酸根</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3BEB61C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392</w:t>
            </w:r>
          </w:p>
        </w:tc>
        <w:tc>
          <w:tcPr>
            <w:tcW w:w="1765" w:type="dxa"/>
            <w:vAlign w:val="center"/>
          </w:tcPr>
          <w:p w14:paraId="2B1F79A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109</w:t>
            </w:r>
          </w:p>
        </w:tc>
        <w:tc>
          <w:tcPr>
            <w:tcW w:w="1766" w:type="dxa"/>
            <w:vAlign w:val="center"/>
          </w:tcPr>
          <w:p w14:paraId="4DB3CC2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53.7</w:t>
            </w:r>
          </w:p>
        </w:tc>
        <w:tc>
          <w:tcPr>
            <w:tcW w:w="1213" w:type="dxa"/>
            <w:vAlign w:val="center"/>
          </w:tcPr>
          <w:p w14:paraId="6AFAAB55">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w:t>
            </w:r>
          </w:p>
        </w:tc>
      </w:tr>
      <w:tr w14:paraId="26B0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7F1D0A6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*铝</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108AD89C">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bookmarkStart w:id="376" w:name="OLE_LINK11"/>
            <w:r>
              <w:rPr>
                <w:rFonts w:hint="default" w:ascii="Times New Roman" w:hAnsi="Times New Roman" w:eastAsia="宋体" w:cs="Times New Roman"/>
                <w:b w:val="0"/>
                <w:bCs w:val="0"/>
                <w:i w:val="0"/>
                <w:iCs w:val="0"/>
                <w:color w:val="auto"/>
                <w:kern w:val="0"/>
                <w:sz w:val="21"/>
                <w:szCs w:val="21"/>
                <w:highlight w:val="none"/>
                <w:u w:val="none"/>
                <w:lang w:val="en-US" w:eastAsia="zh-CN" w:bidi="ar-SA"/>
              </w:rPr>
              <w:t>7.09</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-3</w:t>
            </w:r>
            <w:bookmarkEnd w:id="376"/>
          </w:p>
        </w:tc>
        <w:tc>
          <w:tcPr>
            <w:tcW w:w="1765" w:type="dxa"/>
            <w:vAlign w:val="center"/>
          </w:tcPr>
          <w:p w14:paraId="33F2E0FD">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2.40</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766" w:type="dxa"/>
            <w:vAlign w:val="center"/>
          </w:tcPr>
          <w:p w14:paraId="65CB5D4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SA"/>
              </w:rPr>
              <w:t>3.84</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213" w:type="dxa"/>
            <w:vAlign w:val="center"/>
          </w:tcPr>
          <w:p w14:paraId="5D50572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bidi="ar-SA"/>
              </w:rPr>
              <w:t>0.20</w:t>
            </w:r>
          </w:p>
        </w:tc>
      </w:tr>
      <w:tr w14:paraId="5CBB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8" w:type="dxa"/>
            <w:vAlign w:val="center"/>
          </w:tcPr>
          <w:p w14:paraId="4512B69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*碘化物</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765" w:type="dxa"/>
            <w:vAlign w:val="center"/>
          </w:tcPr>
          <w:p w14:paraId="221E89E9">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765" w:type="dxa"/>
            <w:vAlign w:val="center"/>
          </w:tcPr>
          <w:p w14:paraId="2AC5415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766" w:type="dxa"/>
            <w:vAlign w:val="center"/>
          </w:tcPr>
          <w:p w14:paraId="0F3778B0">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0.05L</w:t>
            </w:r>
          </w:p>
        </w:tc>
        <w:tc>
          <w:tcPr>
            <w:tcW w:w="1213" w:type="dxa"/>
            <w:vAlign w:val="center"/>
          </w:tcPr>
          <w:p w14:paraId="294C91A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bidi="ar-SA"/>
              </w:rPr>
              <w:t>0.08</w:t>
            </w:r>
          </w:p>
        </w:tc>
      </w:tr>
      <w:bookmarkEnd w:id="364"/>
    </w:tbl>
    <w:p w14:paraId="1821BFB4">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、现状评价</w:t>
      </w:r>
    </w:p>
    <w:p w14:paraId="6420737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（1）评价标准</w:t>
      </w:r>
      <w:bookmarkEnd w:id="365"/>
      <w:bookmarkEnd w:id="366"/>
      <w:bookmarkEnd w:id="367"/>
      <w:bookmarkEnd w:id="368"/>
      <w:bookmarkEnd w:id="369"/>
      <w:bookmarkEnd w:id="370"/>
      <w:bookmarkEnd w:id="371"/>
      <w:bookmarkEnd w:id="372"/>
      <w:bookmarkEnd w:id="373"/>
    </w:p>
    <w:p w14:paraId="23F4D16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377" w:name="_Ref432775268"/>
      <w:r>
        <w:rPr>
          <w:rFonts w:hint="default" w:ascii="Times New Roman" w:hAnsi="Times New Roman" w:eastAsia="宋体" w:cs="Times New Roman"/>
          <w:color w:val="auto"/>
          <w:highlight w:val="none"/>
        </w:rPr>
        <w:t>本次地下水水质现状评价，检测项目均执行《</w:t>
      </w:r>
      <w:r>
        <w:rPr>
          <w:rFonts w:hint="default" w:ascii="Times New Roman" w:hAnsi="Times New Roman" w:eastAsia="宋体" w:cs="Times New Roman"/>
          <w:color w:val="auto"/>
          <w:highlight w:val="none"/>
          <w:lang w:eastAsia="zh-CN"/>
        </w:rPr>
        <w:t>地下水质量标准</w:t>
      </w:r>
      <w:r>
        <w:rPr>
          <w:rFonts w:hint="default" w:ascii="Times New Roman" w:hAnsi="Times New Roman" w:eastAsia="宋体" w:cs="Times New Roman"/>
          <w:color w:val="auto"/>
          <w:highlight w:val="none"/>
        </w:rPr>
        <w:t>》（GB/T14848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2017）的</w:t>
      </w:r>
      <w:r>
        <w:rPr>
          <w:rFonts w:hint="default" w:ascii="Times New Roman" w:hAnsi="Times New Roman" w:eastAsia="宋体" w:cs="Times New Roman"/>
          <w:color w:val="auto"/>
          <w:highlight w:val="none"/>
          <w:lang w:eastAsia="zh-CN"/>
        </w:rPr>
        <w:t>Ⅲ</w:t>
      </w:r>
      <w:r>
        <w:rPr>
          <w:rFonts w:hint="default" w:ascii="Times New Roman" w:hAnsi="Times New Roman" w:eastAsia="宋体" w:cs="Times New Roman"/>
          <w:color w:val="auto"/>
          <w:highlight w:val="none"/>
        </w:rPr>
        <w:t>类标准。</w:t>
      </w:r>
    </w:p>
    <w:bookmarkEnd w:id="377"/>
    <w:p w14:paraId="64684EE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（2）评价方法</w:t>
      </w:r>
    </w:p>
    <w:p w14:paraId="273A88D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采用单因子标准指数法进行评价。当水质参数的标准指数大于1时，表明该水质参数超过了规定的水质标准，已经不能满足相应的使用要求。标准指数值越大，超标越严重。标准指数计算公式分为以下两种情况：</w:t>
      </w:r>
    </w:p>
    <w:p w14:paraId="70AB2BA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1）对于评价标准为定值的水质因子，其标准指数计算公式如下：</w:t>
      </w:r>
    </w:p>
    <w:p w14:paraId="63A1C7C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p>
    <w:p w14:paraId="792B32CF">
      <w:pPr>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rPr>
      </w:pPr>
      <m:oMathPara>
        <m:oMathParaPr>
          <m:jc m:val="center"/>
        </m:oMathPara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i</m:t>
              </m:r>
              <m:ctrlPr>
                <w:rPr>
                  <w:rFonts w:hint="default" w:ascii="Cambria Math" w:hAnsi="Cambria Math" w:eastAsia="宋体" w:cs="Times New Roman"/>
                  <w:i/>
                  <w:color w:val="auto"/>
                  <w:szCs w:val="30"/>
                  <w:highlight w:val="none"/>
                </w:rPr>
              </m:ctrlPr>
            </m:sub>
          </m:sSub>
          <m:r>
            <m:rPr/>
            <w:rPr>
              <w:rFonts w:hint="default" w:ascii="Cambria Math" w:hAnsi="Cambria Math" w:eastAsia="宋体" w:cs="Times New Roman"/>
              <w:color w:val="auto"/>
              <w:highlight w:val="none"/>
            </w:rPr>
            <m:t>=</m:t>
          </m:r>
          <m:f>
            <m:fPr>
              <m:ctrlPr>
                <w:rPr>
                  <w:rFonts w:hint="default" w:ascii="Cambria Math" w:hAnsi="Cambria Math" w:eastAsia="宋体" w:cs="Times New Roman"/>
                  <w:i/>
                  <w:color w:val="auto"/>
                  <w:szCs w:val="30"/>
                  <w:highlight w:val="none"/>
                </w:rPr>
              </m:ctrlPr>
            </m:fPr>
            <m:num>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C</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i</m:t>
                  </m:r>
                  <m:ctrlPr>
                    <w:rPr>
                      <w:rFonts w:hint="default" w:ascii="Cambria Math" w:hAnsi="Cambria Math" w:eastAsia="宋体" w:cs="Times New Roman"/>
                      <w:i/>
                      <w:color w:val="auto"/>
                      <w:szCs w:val="30"/>
                      <w:highlight w:val="none"/>
                    </w:rPr>
                  </m:ctrlPr>
                </m:sub>
              </m:sSub>
              <m:ctrlPr>
                <w:rPr>
                  <w:rFonts w:hint="default" w:ascii="Cambria Math" w:hAnsi="Cambria Math" w:eastAsia="宋体" w:cs="Times New Roman"/>
                  <w:i/>
                  <w:color w:val="auto"/>
                  <w:szCs w:val="30"/>
                  <w:highlight w:val="none"/>
                </w:rPr>
              </m:ctrlPr>
            </m:num>
            <m:den>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C</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si</m:t>
                  </m:r>
                  <m:ctrlPr>
                    <w:rPr>
                      <w:rFonts w:hint="default" w:ascii="Cambria Math" w:hAnsi="Cambria Math" w:eastAsia="宋体" w:cs="Times New Roman"/>
                      <w:i/>
                      <w:color w:val="auto"/>
                      <w:szCs w:val="30"/>
                      <w:highlight w:val="none"/>
                    </w:rPr>
                  </m:ctrlPr>
                </m:sub>
              </m:sSub>
              <m:ctrlPr>
                <w:rPr>
                  <w:rFonts w:hint="default" w:ascii="Cambria Math" w:hAnsi="Cambria Math" w:eastAsia="宋体" w:cs="Times New Roman"/>
                  <w:i/>
                  <w:color w:val="auto"/>
                  <w:szCs w:val="30"/>
                  <w:highlight w:val="none"/>
                </w:rPr>
              </m:ctrlPr>
            </m:den>
          </m:f>
        </m:oMath>
      </m:oMathPara>
    </w:p>
    <w:p w14:paraId="0654B82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2FB7223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i</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—第i个水质因子的标准指数，量纲为1；</w:t>
      </w:r>
    </w:p>
    <w:p w14:paraId="07AB114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C</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i</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—第i个水质因子的监测浓度值，mg/L；</w:t>
      </w:r>
    </w:p>
    <w:p w14:paraId="497A1E6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C</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si</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—第i个水质因子的标准浓度值，mg/L。</w:t>
      </w:r>
    </w:p>
    <w:p w14:paraId="22CDDEB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2）对于评价标准为区间值的水质因子（如pH值），其标准指数计算公式如下：</w:t>
      </w:r>
    </w:p>
    <w:p w14:paraId="79D90437">
      <w:pPr>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rPr>
      </w:pPr>
      <m:oMathPara>
        <m:oMathParaPr>
          <m:jc m:val="center"/>
        </m:oMathPara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sub>
          </m:sSub>
          <m:r>
            <m:rPr/>
            <w:rPr>
              <w:rFonts w:hint="default" w:ascii="Cambria Math" w:hAnsi="Cambria Math" w:eastAsia="宋体" w:cs="Times New Roman"/>
              <w:color w:val="auto"/>
              <w:highlight w:val="none"/>
            </w:rPr>
            <m:t>=</m:t>
          </m:r>
          <m:f>
            <m:fPr>
              <m:ctrlPr>
                <w:rPr>
                  <w:rFonts w:hint="default" w:ascii="Cambria Math" w:hAnsi="Cambria Math" w:eastAsia="宋体" w:cs="Times New Roman"/>
                  <w:i/>
                  <w:color w:val="auto"/>
                  <w:szCs w:val="30"/>
                  <w:highlight w:val="none"/>
                </w:rPr>
              </m:ctrlPr>
            </m:fPr>
            <m:num>
              <m:r>
                <m:rPr/>
                <w:rPr>
                  <w:rFonts w:hint="default" w:ascii="Cambria Math" w:hAnsi="Cambria Math" w:eastAsia="宋体" w:cs="Times New Roman"/>
                  <w:color w:val="auto"/>
                  <w:highlight w:val="none"/>
                </w:rPr>
                <m:t>7.0−pH</m:t>
              </m:r>
              <m:ctrlPr>
                <w:rPr>
                  <w:rFonts w:hint="default" w:ascii="Cambria Math" w:hAnsi="Cambria Math" w:eastAsia="宋体" w:cs="Times New Roman"/>
                  <w:i/>
                  <w:color w:val="auto"/>
                  <w:szCs w:val="30"/>
                  <w:highlight w:val="none"/>
                </w:rPr>
              </m:ctrlPr>
            </m:num>
            <m:den>
              <m:r>
                <m:rPr/>
                <w:rPr>
                  <w:rFonts w:hint="default" w:ascii="Cambria Math" w:hAnsi="Cambria Math" w:eastAsia="宋体" w:cs="Times New Roman"/>
                  <w:color w:val="auto"/>
                  <w:highlight w:val="none"/>
                </w:rPr>
                <m:t>7.0−</m:t>
              </m:r>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sd</m:t>
                  </m:r>
                  <m:ctrlPr>
                    <w:rPr>
                      <w:rFonts w:hint="default" w:ascii="Cambria Math" w:hAnsi="Cambria Math" w:eastAsia="宋体" w:cs="Times New Roman"/>
                      <w:i/>
                      <w:color w:val="auto"/>
                      <w:szCs w:val="30"/>
                      <w:highlight w:val="none"/>
                    </w:rPr>
                  </m:ctrlPr>
                </m:sub>
              </m:sSub>
              <m:ctrlPr>
                <w:rPr>
                  <w:rFonts w:hint="default" w:ascii="Cambria Math" w:hAnsi="Cambria Math" w:eastAsia="宋体" w:cs="Times New Roman"/>
                  <w:i/>
                  <w:color w:val="auto"/>
                  <w:szCs w:val="30"/>
                  <w:highlight w:val="none"/>
                </w:rPr>
              </m:ctrlPr>
            </m:den>
          </m:f>
          <m:r>
            <m:rPr/>
            <w:rPr>
              <w:rFonts w:hint="default" w:ascii="Cambria Math" w:hAnsi="Cambria Math" w:eastAsia="宋体" w:cs="Times New Roman"/>
              <w:color w:val="auto"/>
              <w:highlight w:val="none"/>
            </w:rPr>
            <m:t xml:space="preserve"> pH</m:t>
          </m:r>
          <m:r>
            <m:rPr>
              <m:sty m:val="p"/>
            </m:rPr>
            <w:rPr>
              <w:rFonts w:hint="default" w:ascii="Cambria Math" w:hAnsi="Cambria Math" w:eastAsia="宋体" w:cs="Times New Roman"/>
              <w:color w:val="auto"/>
              <w:highlight w:val="none"/>
            </w:rPr>
            <m:t>≤7时</m:t>
          </m:r>
        </m:oMath>
      </m:oMathPara>
    </w:p>
    <w:p w14:paraId="1FADBFA6">
      <w:pPr>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rPr>
      </w:pPr>
      <m:oMathPara>
        <m:oMathParaPr>
          <m:jc m:val="center"/>
        </m:oMathPara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sub>
          </m:sSub>
          <m:r>
            <m:rPr/>
            <w:rPr>
              <w:rFonts w:hint="default" w:ascii="Cambria Math" w:hAnsi="Cambria Math" w:eastAsia="宋体" w:cs="Times New Roman"/>
              <w:color w:val="auto"/>
              <w:highlight w:val="none"/>
            </w:rPr>
            <m:t>=</m:t>
          </m:r>
          <m:f>
            <m:fPr>
              <m:ctrlPr>
                <w:rPr>
                  <w:rFonts w:hint="default" w:ascii="Cambria Math" w:hAnsi="Cambria Math" w:eastAsia="宋体" w:cs="Times New Roman"/>
                  <w:i/>
                  <w:color w:val="auto"/>
                  <w:szCs w:val="30"/>
                  <w:highlight w:val="none"/>
                </w:rPr>
              </m:ctrlPr>
            </m:fPr>
            <m:num>
              <m:r>
                <m:rPr/>
                <w:rPr>
                  <w:rFonts w:hint="default" w:ascii="Cambria Math" w:hAnsi="Cambria Math" w:eastAsia="宋体" w:cs="Times New Roman"/>
                  <w:color w:val="auto"/>
                  <w:highlight w:val="none"/>
                </w:rPr>
                <m:t>pH−</m:t>
              </m:r>
              <m:r>
                <m:rPr>
                  <m:sty m:val="p"/>
                </m:rPr>
                <w:rPr>
                  <w:rFonts w:hint="default" w:ascii="Cambria Math" w:hAnsi="Cambria Math" w:eastAsia="宋体" w:cs="Times New Roman"/>
                  <w:color w:val="auto"/>
                  <w:highlight w:val="none"/>
                </w:rPr>
                <m:t>7.0</m:t>
              </m:r>
              <m:ctrlPr>
                <w:rPr>
                  <w:rFonts w:hint="default" w:ascii="Cambria Math" w:hAnsi="Cambria Math" w:eastAsia="宋体" w:cs="Times New Roman"/>
                  <w:i/>
                  <w:color w:val="auto"/>
                  <w:szCs w:val="30"/>
                  <w:highlight w:val="none"/>
                </w:rPr>
              </m:ctrlPr>
            </m:num>
            <m:den>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su</m:t>
                  </m:r>
                  <m:ctrlPr>
                    <w:rPr>
                      <w:rFonts w:hint="default" w:ascii="Cambria Math" w:hAnsi="Cambria Math" w:eastAsia="宋体" w:cs="Times New Roman"/>
                      <w:i/>
                      <w:color w:val="auto"/>
                      <w:szCs w:val="30"/>
                      <w:highlight w:val="none"/>
                    </w:rPr>
                  </m:ctrlPr>
                </m:sub>
              </m:sSub>
              <m:r>
                <m:rPr/>
                <w:rPr>
                  <w:rFonts w:hint="default" w:ascii="Cambria Math" w:hAnsi="Cambria Math" w:eastAsia="宋体" w:cs="Times New Roman"/>
                  <w:color w:val="auto"/>
                  <w:highlight w:val="none"/>
                </w:rPr>
                <m:t>−</m:t>
              </m:r>
              <m:r>
                <m:rPr>
                  <m:sty m:val="p"/>
                </m:rPr>
                <w:rPr>
                  <w:rFonts w:hint="default" w:ascii="Cambria Math" w:hAnsi="Cambria Math" w:eastAsia="宋体" w:cs="Times New Roman"/>
                  <w:color w:val="auto"/>
                  <w:highlight w:val="none"/>
                </w:rPr>
                <m:t>7.0</m:t>
              </m:r>
              <m:ctrlPr>
                <w:rPr>
                  <w:rFonts w:hint="default" w:ascii="Cambria Math" w:hAnsi="Cambria Math" w:eastAsia="宋体" w:cs="Times New Roman"/>
                  <w:i/>
                  <w:color w:val="auto"/>
                  <w:szCs w:val="30"/>
                  <w:highlight w:val="none"/>
                </w:rPr>
              </m:ctrlPr>
            </m:den>
          </m:f>
          <m:r>
            <m:rPr/>
            <w:rPr>
              <w:rFonts w:hint="default" w:ascii="Cambria Math" w:hAnsi="Cambria Math" w:eastAsia="宋体" w:cs="Times New Roman"/>
              <w:color w:val="auto"/>
              <w:highlight w:val="none"/>
            </w:rPr>
            <m:t xml:space="preserve"> pH</m:t>
          </m:r>
          <m:r>
            <m:rPr>
              <m:sty m:val="p"/>
            </m:rPr>
            <w:rPr>
              <w:rFonts w:hint="default" w:ascii="Cambria Math" w:hAnsi="Cambria Math" w:eastAsia="宋体" w:cs="Times New Roman"/>
              <w:color w:val="auto"/>
              <w:highlight w:val="none"/>
            </w:rPr>
            <m:t>&gt;</m:t>
          </m:r>
          <m:r>
            <m:rPr/>
            <w:rPr>
              <w:rFonts w:hint="default" w:ascii="Cambria Math" w:hAnsi="Cambria Math" w:eastAsia="宋体" w:cs="Times New Roman"/>
              <w:color w:val="auto"/>
              <w:highlight w:val="none"/>
            </w:rPr>
            <m:t>7</m:t>
          </m:r>
          <m:r>
            <m:rPr>
              <m:sty m:val="p"/>
            </m:rPr>
            <w:rPr>
              <w:rFonts w:hint="default" w:ascii="Cambria Math" w:hAnsi="Cambria Math" w:eastAsia="宋体" w:cs="Times New Roman"/>
              <w:color w:val="auto"/>
              <w:highlight w:val="none"/>
            </w:rPr>
            <m:t>时</m:t>
          </m:r>
        </m:oMath>
      </m:oMathPara>
    </w:p>
    <w:p w14:paraId="69589D0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324889F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—pH的标准指数，无量纲；</w:t>
      </w:r>
    </w:p>
    <w:p w14:paraId="3C7110C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pH—pH监测值；</w:t>
      </w:r>
    </w:p>
    <w:p w14:paraId="2A91549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su</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—标准中pH的上限值；</w:t>
      </w:r>
    </w:p>
    <w:p w14:paraId="08A3276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m:oMath>
        <m:sSub>
          <m:sSubPr>
            <m:ctrlPr>
              <w:rPr>
                <w:rFonts w:hint="default" w:ascii="Cambria Math" w:hAnsi="Cambria Math" w:eastAsia="宋体" w:cs="Times New Roman"/>
                <w:i/>
                <w:color w:val="auto"/>
                <w:szCs w:val="30"/>
                <w:highlight w:val="none"/>
              </w:rPr>
            </m:ctrlPr>
          </m:sSubPr>
          <m:e>
            <m:r>
              <m:rPr/>
              <w:rPr>
                <w:rFonts w:hint="default" w:ascii="Cambria Math" w:hAnsi="Cambria Math" w:eastAsia="宋体" w:cs="Times New Roman"/>
                <w:color w:val="auto"/>
                <w:highlight w:val="none"/>
              </w:rPr>
              <m:t>pH</m:t>
            </m:r>
            <m:ctrlPr>
              <w:rPr>
                <w:rFonts w:hint="default" w:ascii="Cambria Math" w:hAnsi="Cambria Math" w:eastAsia="宋体" w:cs="Times New Roman"/>
                <w:i/>
                <w:color w:val="auto"/>
                <w:szCs w:val="30"/>
                <w:highlight w:val="none"/>
              </w:rPr>
            </m:ctrlPr>
          </m:e>
          <m:sub>
            <m:r>
              <m:rPr/>
              <w:rPr>
                <w:rFonts w:hint="default" w:ascii="Cambria Math" w:hAnsi="Cambria Math" w:eastAsia="宋体" w:cs="Times New Roman"/>
                <w:color w:val="auto"/>
                <w:highlight w:val="none"/>
              </w:rPr>
              <m:t>sd</m:t>
            </m:r>
            <m:ctrlPr>
              <w:rPr>
                <w:rFonts w:hint="default" w:ascii="Cambria Math" w:hAnsi="Cambria Math" w:eastAsia="宋体" w:cs="Times New Roman"/>
                <w:i/>
                <w:color w:val="auto"/>
                <w:szCs w:val="30"/>
                <w:highlight w:val="none"/>
              </w:rPr>
            </m:ctrlPr>
          </m:sub>
        </m:sSub>
      </m:oMath>
      <w:r>
        <w:rPr>
          <w:rFonts w:hint="default" w:ascii="Times New Roman" w:hAnsi="Times New Roman" w:eastAsia="宋体" w:cs="Times New Roman"/>
          <w:color w:val="auto"/>
          <w:highlight w:val="none"/>
        </w:rPr>
        <w:t>—标准中pH的下限值。</w:t>
      </w:r>
    </w:p>
    <w:p w14:paraId="3F9E3EB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地下水现状水质评价见下表。</w:t>
      </w:r>
    </w:p>
    <w:p w14:paraId="11B7E0C4">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地下水水质评价结果</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95"/>
        <w:gridCol w:w="1334"/>
        <w:gridCol w:w="1335"/>
        <w:gridCol w:w="1335"/>
        <w:gridCol w:w="1289"/>
        <w:gridCol w:w="1289"/>
      </w:tblGrid>
      <w:tr w14:paraId="17DF4BA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vMerge w:val="restart"/>
            <w:tcBorders>
              <w:top w:val="single" w:color="auto" w:sz="4" w:space="0"/>
              <w:left w:val="single" w:color="auto" w:sz="4" w:space="0"/>
              <w:bottom w:val="single" w:color="auto" w:sz="4" w:space="0"/>
              <w:right w:val="single" w:color="auto" w:sz="4" w:space="0"/>
            </w:tcBorders>
            <w:vAlign w:val="center"/>
          </w:tcPr>
          <w:p w14:paraId="7057FD3B">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检测项目</w:t>
            </w:r>
          </w:p>
        </w:tc>
        <w:tc>
          <w:tcPr>
            <w:tcW w:w="4004" w:type="dxa"/>
            <w:gridSpan w:val="3"/>
            <w:tcBorders>
              <w:top w:val="single" w:color="auto" w:sz="4" w:space="0"/>
              <w:left w:val="single" w:color="auto" w:sz="4" w:space="0"/>
              <w:bottom w:val="single" w:color="auto" w:sz="4" w:space="0"/>
              <w:right w:val="single" w:color="auto" w:sz="4" w:space="0"/>
            </w:tcBorders>
            <w:vAlign w:val="center"/>
          </w:tcPr>
          <w:p w14:paraId="70BDA6C9">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标准指数</w:t>
            </w:r>
          </w:p>
        </w:tc>
        <w:tc>
          <w:tcPr>
            <w:tcW w:w="1289" w:type="dxa"/>
            <w:vMerge w:val="restart"/>
            <w:tcBorders>
              <w:top w:val="single" w:color="auto" w:sz="4" w:space="0"/>
              <w:left w:val="single" w:color="auto" w:sz="4" w:space="0"/>
              <w:bottom w:val="single" w:color="auto" w:sz="4" w:space="0"/>
              <w:right w:val="single" w:color="auto" w:sz="4" w:space="0"/>
            </w:tcBorders>
            <w:vAlign w:val="center"/>
          </w:tcPr>
          <w:p w14:paraId="543192A4">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达标情况</w:t>
            </w:r>
          </w:p>
        </w:tc>
        <w:tc>
          <w:tcPr>
            <w:tcW w:w="1289" w:type="dxa"/>
            <w:vMerge w:val="restart"/>
            <w:tcBorders>
              <w:top w:val="single" w:color="auto" w:sz="4" w:space="0"/>
              <w:left w:val="single" w:color="auto" w:sz="4" w:space="0"/>
              <w:bottom w:val="single" w:color="auto" w:sz="4" w:space="0"/>
              <w:right w:val="single" w:color="auto" w:sz="4" w:space="0"/>
            </w:tcBorders>
            <w:vAlign w:val="center"/>
          </w:tcPr>
          <w:p w14:paraId="71A54DE3">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超标率</w:t>
            </w:r>
          </w:p>
        </w:tc>
      </w:tr>
      <w:tr w14:paraId="5B4C1FD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vMerge w:val="continue"/>
            <w:tcBorders>
              <w:top w:val="single" w:color="auto" w:sz="4" w:space="0"/>
              <w:left w:val="single" w:color="auto" w:sz="4" w:space="0"/>
              <w:bottom w:val="single" w:color="auto" w:sz="4" w:space="0"/>
              <w:right w:val="single" w:color="auto" w:sz="4" w:space="0"/>
            </w:tcBorders>
            <w:vAlign w:val="center"/>
          </w:tcPr>
          <w:p w14:paraId="458FC1F2">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FD5F801">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W1项目区西北水井</w:t>
            </w:r>
          </w:p>
        </w:tc>
        <w:tc>
          <w:tcPr>
            <w:tcW w:w="1335" w:type="dxa"/>
            <w:tcBorders>
              <w:top w:val="single" w:color="auto" w:sz="4" w:space="0"/>
              <w:left w:val="single" w:color="auto" w:sz="4" w:space="0"/>
              <w:bottom w:val="single" w:color="auto" w:sz="4" w:space="0"/>
              <w:right w:val="single" w:color="auto" w:sz="4" w:space="0"/>
            </w:tcBorders>
            <w:shd w:val="clear" w:color="auto" w:fill="auto"/>
            <w:vAlign w:val="center"/>
          </w:tcPr>
          <w:p w14:paraId="73AB7FF6">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W2项目区场内水井</w:t>
            </w:r>
          </w:p>
        </w:tc>
        <w:tc>
          <w:tcPr>
            <w:tcW w:w="1335" w:type="dxa"/>
            <w:tcBorders>
              <w:top w:val="single" w:color="auto" w:sz="4" w:space="0"/>
              <w:left w:val="single" w:color="auto" w:sz="4" w:space="0"/>
              <w:bottom w:val="single" w:color="auto" w:sz="4" w:space="0"/>
              <w:right w:val="single" w:color="auto" w:sz="4" w:space="0"/>
            </w:tcBorders>
            <w:shd w:val="clear" w:color="auto" w:fill="auto"/>
            <w:vAlign w:val="center"/>
          </w:tcPr>
          <w:p w14:paraId="04B2FFBF">
            <w:pPr>
              <w:pageBreakBefore w:val="0"/>
              <w:widowControl/>
              <w:shd w:val="clear"/>
              <w:kinsoku/>
              <w:wordWrap/>
              <w:overflowPunct/>
              <w:topLinePunct/>
              <w:autoSpaceDE w:val="0"/>
              <w:autoSpaceDN/>
              <w:bidi w:val="0"/>
              <w:adjustRightInd/>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W3项目区东南水井</w:t>
            </w:r>
          </w:p>
        </w:tc>
        <w:tc>
          <w:tcPr>
            <w:tcW w:w="1289" w:type="dxa"/>
            <w:vMerge w:val="continue"/>
            <w:tcBorders>
              <w:top w:val="single" w:color="auto" w:sz="4" w:space="0"/>
              <w:left w:val="single" w:color="auto" w:sz="4" w:space="0"/>
              <w:bottom w:val="single" w:color="auto" w:sz="4" w:space="0"/>
              <w:right w:val="single" w:color="auto" w:sz="4" w:space="0"/>
            </w:tcBorders>
            <w:vAlign w:val="center"/>
          </w:tcPr>
          <w:p w14:paraId="52DB23F0">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1289" w:type="dxa"/>
            <w:vMerge w:val="continue"/>
            <w:tcBorders>
              <w:top w:val="single" w:color="auto" w:sz="4" w:space="0"/>
              <w:left w:val="single" w:color="auto" w:sz="4" w:space="0"/>
              <w:bottom w:val="single" w:color="auto" w:sz="4" w:space="0"/>
              <w:right w:val="single" w:color="auto" w:sz="4" w:space="0"/>
            </w:tcBorders>
            <w:vAlign w:val="center"/>
          </w:tcPr>
          <w:p w14:paraId="7C51BC7C">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r>
      <w:tr w14:paraId="7F06EA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03F689B7">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w:t>
            </w:r>
          </w:p>
        </w:tc>
        <w:tc>
          <w:tcPr>
            <w:tcW w:w="1334" w:type="dxa"/>
            <w:tcBorders>
              <w:top w:val="single" w:color="auto" w:sz="4" w:space="0"/>
              <w:left w:val="single" w:color="auto" w:sz="4" w:space="0"/>
              <w:bottom w:val="single" w:color="auto" w:sz="4" w:space="0"/>
              <w:right w:val="single" w:color="auto" w:sz="4" w:space="0"/>
            </w:tcBorders>
            <w:vAlign w:val="center"/>
          </w:tcPr>
          <w:p w14:paraId="7209F46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0.859</w:t>
            </w:r>
          </w:p>
        </w:tc>
        <w:tc>
          <w:tcPr>
            <w:tcW w:w="1335" w:type="dxa"/>
            <w:tcBorders>
              <w:top w:val="single" w:color="auto" w:sz="4" w:space="0"/>
              <w:left w:val="single" w:color="auto" w:sz="4" w:space="0"/>
              <w:bottom w:val="single" w:color="auto" w:sz="4" w:space="0"/>
              <w:right w:val="single" w:color="auto" w:sz="4" w:space="0"/>
            </w:tcBorders>
            <w:vAlign w:val="center"/>
          </w:tcPr>
          <w:p w14:paraId="0D0F991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0.859</w:t>
            </w:r>
          </w:p>
        </w:tc>
        <w:tc>
          <w:tcPr>
            <w:tcW w:w="1335" w:type="dxa"/>
            <w:tcBorders>
              <w:top w:val="single" w:color="auto" w:sz="4" w:space="0"/>
              <w:left w:val="single" w:color="auto" w:sz="4" w:space="0"/>
              <w:bottom w:val="single" w:color="auto" w:sz="4" w:space="0"/>
              <w:right w:val="single" w:color="auto" w:sz="4" w:space="0"/>
            </w:tcBorders>
            <w:vAlign w:val="center"/>
          </w:tcPr>
          <w:p w14:paraId="34DA5DD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0.871</w:t>
            </w:r>
          </w:p>
        </w:tc>
        <w:tc>
          <w:tcPr>
            <w:tcW w:w="1289" w:type="dxa"/>
            <w:tcBorders>
              <w:top w:val="single" w:color="auto" w:sz="4" w:space="0"/>
              <w:left w:val="single" w:color="auto" w:sz="4" w:space="0"/>
              <w:bottom w:val="single" w:color="auto" w:sz="4" w:space="0"/>
              <w:right w:val="single" w:color="auto" w:sz="4" w:space="0"/>
            </w:tcBorders>
            <w:vAlign w:val="center"/>
          </w:tcPr>
          <w:p w14:paraId="740004E3">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5F3EFA9F">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251E587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52497C67">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色度（度）</w:t>
            </w:r>
          </w:p>
        </w:tc>
        <w:tc>
          <w:tcPr>
            <w:tcW w:w="1334" w:type="dxa"/>
            <w:tcBorders>
              <w:top w:val="single" w:color="auto" w:sz="4" w:space="0"/>
              <w:left w:val="single" w:color="auto" w:sz="4" w:space="0"/>
              <w:bottom w:val="single" w:color="auto" w:sz="4" w:space="0"/>
              <w:right w:val="single" w:color="auto" w:sz="4" w:space="0"/>
            </w:tcBorders>
            <w:vAlign w:val="center"/>
          </w:tcPr>
          <w:p w14:paraId="41A3A75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0.667</w:t>
            </w:r>
          </w:p>
        </w:tc>
        <w:tc>
          <w:tcPr>
            <w:tcW w:w="1335" w:type="dxa"/>
            <w:tcBorders>
              <w:top w:val="single" w:color="auto" w:sz="4" w:space="0"/>
              <w:left w:val="single" w:color="auto" w:sz="4" w:space="0"/>
              <w:bottom w:val="single" w:color="auto" w:sz="4" w:space="0"/>
              <w:right w:val="single" w:color="auto" w:sz="4" w:space="0"/>
            </w:tcBorders>
            <w:vAlign w:val="center"/>
          </w:tcPr>
          <w:p w14:paraId="453BA2F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0.333</w:t>
            </w:r>
          </w:p>
        </w:tc>
        <w:tc>
          <w:tcPr>
            <w:tcW w:w="1335" w:type="dxa"/>
            <w:tcBorders>
              <w:top w:val="single" w:color="auto" w:sz="4" w:space="0"/>
              <w:left w:val="single" w:color="auto" w:sz="4" w:space="0"/>
              <w:bottom w:val="single" w:color="auto" w:sz="4" w:space="0"/>
              <w:right w:val="single" w:color="auto" w:sz="4" w:space="0"/>
            </w:tcBorders>
            <w:vAlign w:val="center"/>
          </w:tcPr>
          <w:p w14:paraId="16BA6EF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0.667</w:t>
            </w:r>
          </w:p>
        </w:tc>
        <w:tc>
          <w:tcPr>
            <w:tcW w:w="1289" w:type="dxa"/>
            <w:tcBorders>
              <w:top w:val="single" w:color="auto" w:sz="4" w:space="0"/>
              <w:left w:val="single" w:color="auto" w:sz="4" w:space="0"/>
              <w:bottom w:val="single" w:color="auto" w:sz="4" w:space="0"/>
              <w:right w:val="single" w:color="auto" w:sz="4" w:space="0"/>
            </w:tcBorders>
            <w:vAlign w:val="center"/>
          </w:tcPr>
          <w:p w14:paraId="1342D011">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2DC56F38">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5E60B2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41ED06BD">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嗅和味</w:t>
            </w:r>
          </w:p>
        </w:tc>
        <w:tc>
          <w:tcPr>
            <w:tcW w:w="1334" w:type="dxa"/>
            <w:tcBorders>
              <w:top w:val="single" w:color="auto" w:sz="4" w:space="0"/>
              <w:left w:val="single" w:color="auto" w:sz="4" w:space="0"/>
              <w:bottom w:val="single" w:color="auto" w:sz="4" w:space="0"/>
              <w:right w:val="single" w:color="auto" w:sz="4" w:space="0"/>
            </w:tcBorders>
            <w:vAlign w:val="center"/>
          </w:tcPr>
          <w:p w14:paraId="01155C4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243508F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3B33A03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2F0D3555">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83D7ABC">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9A6B0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2B4E282">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浊度（NTU）</w:t>
            </w:r>
          </w:p>
        </w:tc>
        <w:tc>
          <w:tcPr>
            <w:tcW w:w="1334" w:type="dxa"/>
            <w:tcBorders>
              <w:top w:val="single" w:color="auto" w:sz="4" w:space="0"/>
              <w:left w:val="single" w:color="auto" w:sz="4" w:space="0"/>
              <w:bottom w:val="single" w:color="auto" w:sz="4" w:space="0"/>
              <w:right w:val="single" w:color="auto" w:sz="4" w:space="0"/>
            </w:tcBorders>
            <w:vAlign w:val="center"/>
          </w:tcPr>
          <w:p w14:paraId="1D99592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0.500</w:t>
            </w:r>
          </w:p>
        </w:tc>
        <w:tc>
          <w:tcPr>
            <w:tcW w:w="1335" w:type="dxa"/>
            <w:tcBorders>
              <w:top w:val="single" w:color="auto" w:sz="4" w:space="0"/>
              <w:left w:val="single" w:color="auto" w:sz="4" w:space="0"/>
              <w:bottom w:val="single" w:color="auto" w:sz="4" w:space="0"/>
              <w:right w:val="single" w:color="auto" w:sz="4" w:space="0"/>
            </w:tcBorders>
            <w:vAlign w:val="center"/>
          </w:tcPr>
          <w:p w14:paraId="412A383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0.500</w:t>
            </w:r>
          </w:p>
        </w:tc>
        <w:tc>
          <w:tcPr>
            <w:tcW w:w="1335" w:type="dxa"/>
            <w:tcBorders>
              <w:top w:val="single" w:color="auto" w:sz="4" w:space="0"/>
              <w:left w:val="single" w:color="auto" w:sz="4" w:space="0"/>
              <w:bottom w:val="single" w:color="auto" w:sz="4" w:space="0"/>
              <w:right w:val="single" w:color="auto" w:sz="4" w:space="0"/>
            </w:tcBorders>
            <w:vAlign w:val="center"/>
          </w:tcPr>
          <w:p w14:paraId="7E2E4F8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0.500</w:t>
            </w:r>
          </w:p>
        </w:tc>
        <w:tc>
          <w:tcPr>
            <w:tcW w:w="1289" w:type="dxa"/>
            <w:tcBorders>
              <w:top w:val="single" w:color="auto" w:sz="4" w:space="0"/>
              <w:left w:val="single" w:color="auto" w:sz="4" w:space="0"/>
              <w:bottom w:val="single" w:color="auto" w:sz="4" w:space="0"/>
              <w:right w:val="single" w:color="auto" w:sz="4" w:space="0"/>
            </w:tcBorders>
            <w:vAlign w:val="center"/>
          </w:tcPr>
          <w:p w14:paraId="4F2A770D">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7AB7C02A">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BE793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713A9E6">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肉眼可见物</w:t>
            </w:r>
          </w:p>
        </w:tc>
        <w:tc>
          <w:tcPr>
            <w:tcW w:w="1334" w:type="dxa"/>
            <w:tcBorders>
              <w:top w:val="single" w:color="auto" w:sz="4" w:space="0"/>
              <w:left w:val="single" w:color="auto" w:sz="4" w:space="0"/>
              <w:bottom w:val="single" w:color="auto" w:sz="4" w:space="0"/>
              <w:right w:val="single" w:color="auto" w:sz="4" w:space="0"/>
            </w:tcBorders>
            <w:vAlign w:val="center"/>
          </w:tcPr>
          <w:p w14:paraId="47CA5E5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4D2180A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057C228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2AC39A34">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83F4B09">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F59D7B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CBB15BF">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钙和镁总量（总硬度）（</w:t>
            </w:r>
            <w:r>
              <w:rPr>
                <w:rFonts w:hint="default" w:ascii="Times New Roman" w:hAnsi="Times New Roman" w:eastAsia="宋体" w:cs="Times New Roman"/>
                <w:color w:val="auto"/>
                <w:kern w:val="2"/>
                <w:sz w:val="21"/>
                <w:szCs w:val="21"/>
                <w:highlight w:val="none"/>
                <w:lang w:val="en-US" w:eastAsia="zh-CN"/>
              </w:rPr>
              <w:t>mg/L</w:t>
            </w:r>
            <w:r>
              <w:rPr>
                <w:rFonts w:hint="default" w:ascii="Times New Roman" w:hAnsi="Times New Roman" w:eastAsia="宋体" w:cs="Times New Roman"/>
                <w:color w:val="auto"/>
                <w:kern w:val="2"/>
                <w:sz w:val="21"/>
                <w:szCs w:val="21"/>
                <w:highlight w:val="none"/>
                <w:lang w:val="en-US" w:eastAsia="zh-CN"/>
              </w:rPr>
              <w:t>）</w:t>
            </w:r>
          </w:p>
        </w:tc>
        <w:tc>
          <w:tcPr>
            <w:tcW w:w="1334" w:type="dxa"/>
            <w:tcBorders>
              <w:top w:val="single" w:color="auto" w:sz="4" w:space="0"/>
              <w:left w:val="single" w:color="auto" w:sz="4" w:space="0"/>
              <w:bottom w:val="single" w:color="auto" w:sz="4" w:space="0"/>
              <w:right w:val="single" w:color="auto" w:sz="4" w:space="0"/>
            </w:tcBorders>
            <w:vAlign w:val="center"/>
          </w:tcPr>
          <w:p w14:paraId="0B9DAF9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1.956</w:t>
            </w:r>
          </w:p>
        </w:tc>
        <w:tc>
          <w:tcPr>
            <w:tcW w:w="1335" w:type="dxa"/>
            <w:tcBorders>
              <w:top w:val="single" w:color="auto" w:sz="4" w:space="0"/>
              <w:left w:val="single" w:color="auto" w:sz="4" w:space="0"/>
              <w:bottom w:val="single" w:color="auto" w:sz="4" w:space="0"/>
              <w:right w:val="single" w:color="auto" w:sz="4" w:space="0"/>
            </w:tcBorders>
            <w:vAlign w:val="center"/>
          </w:tcPr>
          <w:p w14:paraId="14669D8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0.696</w:t>
            </w:r>
          </w:p>
        </w:tc>
        <w:tc>
          <w:tcPr>
            <w:tcW w:w="1335" w:type="dxa"/>
            <w:tcBorders>
              <w:top w:val="single" w:color="auto" w:sz="4" w:space="0"/>
              <w:left w:val="single" w:color="auto" w:sz="4" w:space="0"/>
              <w:bottom w:val="single" w:color="auto" w:sz="4" w:space="0"/>
              <w:right w:val="single" w:color="auto" w:sz="4" w:space="0"/>
            </w:tcBorders>
            <w:vAlign w:val="center"/>
          </w:tcPr>
          <w:p w14:paraId="481F72F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1.111</w:t>
            </w:r>
          </w:p>
        </w:tc>
        <w:tc>
          <w:tcPr>
            <w:tcW w:w="1289" w:type="dxa"/>
            <w:tcBorders>
              <w:top w:val="single" w:color="auto" w:sz="4" w:space="0"/>
              <w:left w:val="single" w:color="auto" w:sz="4" w:space="0"/>
              <w:bottom w:val="single" w:color="auto" w:sz="4" w:space="0"/>
              <w:right w:val="single" w:color="auto" w:sz="4" w:space="0"/>
            </w:tcBorders>
            <w:vAlign w:val="center"/>
          </w:tcPr>
          <w:p w14:paraId="7D4C76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642D455B">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6E3556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455A9A1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溶解性总固体（</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701EF81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2.048</w:t>
            </w:r>
          </w:p>
        </w:tc>
        <w:tc>
          <w:tcPr>
            <w:tcW w:w="1335" w:type="dxa"/>
            <w:tcBorders>
              <w:top w:val="single" w:color="auto" w:sz="4" w:space="0"/>
              <w:left w:val="single" w:color="auto" w:sz="4" w:space="0"/>
              <w:bottom w:val="single" w:color="auto" w:sz="4" w:space="0"/>
              <w:right w:val="single" w:color="auto" w:sz="4" w:space="0"/>
            </w:tcBorders>
            <w:vAlign w:val="center"/>
          </w:tcPr>
          <w:p w14:paraId="3C46462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0.530</w:t>
            </w:r>
          </w:p>
        </w:tc>
        <w:tc>
          <w:tcPr>
            <w:tcW w:w="1335" w:type="dxa"/>
            <w:tcBorders>
              <w:top w:val="single" w:color="auto" w:sz="4" w:space="0"/>
              <w:left w:val="single" w:color="auto" w:sz="4" w:space="0"/>
              <w:bottom w:val="single" w:color="auto" w:sz="4" w:space="0"/>
              <w:right w:val="single" w:color="auto" w:sz="4" w:space="0"/>
            </w:tcBorders>
            <w:vAlign w:val="center"/>
          </w:tcPr>
          <w:p w14:paraId="0E72AC2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1.466</w:t>
            </w:r>
          </w:p>
        </w:tc>
        <w:tc>
          <w:tcPr>
            <w:tcW w:w="1289" w:type="dxa"/>
            <w:tcBorders>
              <w:top w:val="single" w:color="auto" w:sz="4" w:space="0"/>
              <w:left w:val="single" w:color="auto" w:sz="4" w:space="0"/>
              <w:bottom w:val="single" w:color="auto" w:sz="4" w:space="0"/>
              <w:right w:val="single" w:color="auto" w:sz="4" w:space="0"/>
            </w:tcBorders>
            <w:vAlign w:val="center"/>
          </w:tcPr>
          <w:p w14:paraId="7CFFD2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0F49B888">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1F66E6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7F05576A">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硫酸盐（</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41A13A1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0.636</w:t>
            </w:r>
          </w:p>
        </w:tc>
        <w:tc>
          <w:tcPr>
            <w:tcW w:w="1335" w:type="dxa"/>
            <w:tcBorders>
              <w:top w:val="single" w:color="auto" w:sz="4" w:space="0"/>
              <w:left w:val="single" w:color="auto" w:sz="4" w:space="0"/>
              <w:bottom w:val="single" w:color="auto" w:sz="4" w:space="0"/>
              <w:right w:val="single" w:color="auto" w:sz="4" w:space="0"/>
            </w:tcBorders>
            <w:vAlign w:val="center"/>
          </w:tcPr>
          <w:p w14:paraId="43ED329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0.308</w:t>
            </w:r>
          </w:p>
        </w:tc>
        <w:tc>
          <w:tcPr>
            <w:tcW w:w="1335" w:type="dxa"/>
            <w:tcBorders>
              <w:top w:val="single" w:color="auto" w:sz="4" w:space="0"/>
              <w:left w:val="single" w:color="auto" w:sz="4" w:space="0"/>
              <w:bottom w:val="single" w:color="auto" w:sz="4" w:space="0"/>
              <w:right w:val="single" w:color="auto" w:sz="4" w:space="0"/>
            </w:tcBorders>
            <w:vAlign w:val="center"/>
          </w:tcPr>
          <w:p w14:paraId="1EDFF57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0.160</w:t>
            </w:r>
          </w:p>
        </w:tc>
        <w:tc>
          <w:tcPr>
            <w:tcW w:w="1289" w:type="dxa"/>
            <w:tcBorders>
              <w:top w:val="single" w:color="auto" w:sz="4" w:space="0"/>
              <w:left w:val="single" w:color="auto" w:sz="4" w:space="0"/>
              <w:bottom w:val="single" w:color="auto" w:sz="4" w:space="0"/>
              <w:right w:val="single" w:color="auto" w:sz="4" w:space="0"/>
            </w:tcBorders>
            <w:vAlign w:val="center"/>
          </w:tcPr>
          <w:p w14:paraId="1B369065">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0C151941">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4213C5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0B1E5389">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氯化物（</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8E931A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2.300</w:t>
            </w:r>
          </w:p>
        </w:tc>
        <w:tc>
          <w:tcPr>
            <w:tcW w:w="1335" w:type="dxa"/>
            <w:tcBorders>
              <w:top w:val="single" w:color="auto" w:sz="4" w:space="0"/>
              <w:left w:val="single" w:color="auto" w:sz="4" w:space="0"/>
              <w:bottom w:val="single" w:color="auto" w:sz="4" w:space="0"/>
              <w:right w:val="single" w:color="auto" w:sz="4" w:space="0"/>
            </w:tcBorders>
            <w:vAlign w:val="center"/>
          </w:tcPr>
          <w:p w14:paraId="2201F25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0.336</w:t>
            </w:r>
          </w:p>
        </w:tc>
        <w:tc>
          <w:tcPr>
            <w:tcW w:w="1335" w:type="dxa"/>
            <w:tcBorders>
              <w:top w:val="single" w:color="auto" w:sz="4" w:space="0"/>
              <w:left w:val="single" w:color="auto" w:sz="4" w:space="0"/>
              <w:bottom w:val="single" w:color="auto" w:sz="4" w:space="0"/>
              <w:right w:val="single" w:color="auto" w:sz="4" w:space="0"/>
            </w:tcBorders>
            <w:vAlign w:val="center"/>
          </w:tcPr>
          <w:p w14:paraId="06FA7C8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2.104</w:t>
            </w:r>
          </w:p>
        </w:tc>
        <w:tc>
          <w:tcPr>
            <w:tcW w:w="1289" w:type="dxa"/>
            <w:tcBorders>
              <w:top w:val="single" w:color="auto" w:sz="4" w:space="0"/>
              <w:left w:val="single" w:color="auto" w:sz="4" w:space="0"/>
              <w:bottom w:val="single" w:color="auto" w:sz="4" w:space="0"/>
              <w:right w:val="single" w:color="auto" w:sz="4" w:space="0"/>
            </w:tcBorders>
            <w:vAlign w:val="center"/>
          </w:tcPr>
          <w:p w14:paraId="204ED36A">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7336A476">
            <w:pPr>
              <w:keepNext w:val="0"/>
              <w:keepLines w:val="0"/>
              <w:pageBreakBefore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7E1E6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41BB2EB5">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铁</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12BB1FD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0.050</w:t>
            </w:r>
          </w:p>
        </w:tc>
        <w:tc>
          <w:tcPr>
            <w:tcW w:w="1335" w:type="dxa"/>
            <w:tcBorders>
              <w:top w:val="single" w:color="auto" w:sz="4" w:space="0"/>
              <w:left w:val="single" w:color="auto" w:sz="4" w:space="0"/>
              <w:bottom w:val="single" w:color="auto" w:sz="4" w:space="0"/>
              <w:right w:val="single" w:color="auto" w:sz="4" w:space="0"/>
            </w:tcBorders>
            <w:vAlign w:val="center"/>
          </w:tcPr>
          <w:p w14:paraId="0AF8DED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0.050</w:t>
            </w:r>
          </w:p>
        </w:tc>
        <w:tc>
          <w:tcPr>
            <w:tcW w:w="1335" w:type="dxa"/>
            <w:tcBorders>
              <w:top w:val="single" w:color="auto" w:sz="4" w:space="0"/>
              <w:left w:val="single" w:color="auto" w:sz="4" w:space="0"/>
              <w:bottom w:val="single" w:color="auto" w:sz="4" w:space="0"/>
              <w:right w:val="single" w:color="auto" w:sz="4" w:space="0"/>
            </w:tcBorders>
            <w:vAlign w:val="center"/>
          </w:tcPr>
          <w:p w14:paraId="1123247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0.200</w:t>
            </w:r>
          </w:p>
        </w:tc>
        <w:tc>
          <w:tcPr>
            <w:tcW w:w="1289" w:type="dxa"/>
            <w:tcBorders>
              <w:top w:val="single" w:color="auto" w:sz="4" w:space="0"/>
              <w:left w:val="single" w:color="auto" w:sz="4" w:space="0"/>
              <w:bottom w:val="single" w:color="auto" w:sz="4" w:space="0"/>
              <w:right w:val="single" w:color="auto" w:sz="4" w:space="0"/>
            </w:tcBorders>
            <w:vAlign w:val="center"/>
          </w:tcPr>
          <w:p w14:paraId="0936455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5F673DF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60CC05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0F11173">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锰</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777C05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0.900</w:t>
            </w:r>
          </w:p>
        </w:tc>
        <w:tc>
          <w:tcPr>
            <w:tcW w:w="1335" w:type="dxa"/>
            <w:tcBorders>
              <w:top w:val="single" w:color="auto" w:sz="4" w:space="0"/>
              <w:left w:val="single" w:color="auto" w:sz="4" w:space="0"/>
              <w:bottom w:val="single" w:color="auto" w:sz="4" w:space="0"/>
              <w:right w:val="single" w:color="auto" w:sz="4" w:space="0"/>
            </w:tcBorders>
            <w:vAlign w:val="center"/>
          </w:tcPr>
          <w:p w14:paraId="6EEDED1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0.600</w:t>
            </w:r>
          </w:p>
        </w:tc>
        <w:tc>
          <w:tcPr>
            <w:tcW w:w="1335" w:type="dxa"/>
            <w:tcBorders>
              <w:top w:val="single" w:color="auto" w:sz="4" w:space="0"/>
              <w:left w:val="single" w:color="auto" w:sz="4" w:space="0"/>
              <w:bottom w:val="single" w:color="auto" w:sz="4" w:space="0"/>
              <w:right w:val="single" w:color="auto" w:sz="4" w:space="0"/>
            </w:tcBorders>
            <w:vAlign w:val="center"/>
          </w:tcPr>
          <w:p w14:paraId="36116C4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0.300</w:t>
            </w:r>
          </w:p>
        </w:tc>
        <w:tc>
          <w:tcPr>
            <w:tcW w:w="1289" w:type="dxa"/>
            <w:tcBorders>
              <w:top w:val="single" w:color="auto" w:sz="4" w:space="0"/>
              <w:left w:val="single" w:color="auto" w:sz="4" w:space="0"/>
              <w:bottom w:val="single" w:color="auto" w:sz="4" w:space="0"/>
              <w:right w:val="single" w:color="auto" w:sz="4" w:space="0"/>
            </w:tcBorders>
            <w:vAlign w:val="center"/>
          </w:tcPr>
          <w:p w14:paraId="25AD06F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05FF38A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2AE04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EC3854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铜</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06E07DB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335" w:type="dxa"/>
            <w:tcBorders>
              <w:top w:val="single" w:color="auto" w:sz="4" w:space="0"/>
              <w:left w:val="single" w:color="auto" w:sz="4" w:space="0"/>
              <w:bottom w:val="single" w:color="auto" w:sz="4" w:space="0"/>
              <w:right w:val="single" w:color="auto" w:sz="4" w:space="0"/>
            </w:tcBorders>
            <w:vAlign w:val="center"/>
          </w:tcPr>
          <w:p w14:paraId="73DA426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335" w:type="dxa"/>
            <w:tcBorders>
              <w:top w:val="single" w:color="auto" w:sz="4" w:space="0"/>
              <w:left w:val="single" w:color="auto" w:sz="4" w:space="0"/>
              <w:bottom w:val="single" w:color="auto" w:sz="4" w:space="0"/>
              <w:right w:val="single" w:color="auto" w:sz="4" w:space="0"/>
            </w:tcBorders>
            <w:vAlign w:val="center"/>
          </w:tcPr>
          <w:p w14:paraId="433E3EE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289" w:type="dxa"/>
            <w:tcBorders>
              <w:top w:val="single" w:color="auto" w:sz="4" w:space="0"/>
              <w:left w:val="single" w:color="auto" w:sz="4" w:space="0"/>
              <w:bottom w:val="single" w:color="auto" w:sz="4" w:space="0"/>
              <w:right w:val="single" w:color="auto" w:sz="4" w:space="0"/>
            </w:tcBorders>
            <w:vAlign w:val="center"/>
          </w:tcPr>
          <w:p w14:paraId="639385C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497A3F4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6089C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7CD3D25">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锌</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51FF0E6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335" w:type="dxa"/>
            <w:tcBorders>
              <w:top w:val="single" w:color="auto" w:sz="4" w:space="0"/>
              <w:left w:val="single" w:color="auto" w:sz="4" w:space="0"/>
              <w:bottom w:val="single" w:color="auto" w:sz="4" w:space="0"/>
              <w:right w:val="single" w:color="auto" w:sz="4" w:space="0"/>
            </w:tcBorders>
            <w:vAlign w:val="center"/>
          </w:tcPr>
          <w:p w14:paraId="5C6FFB9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335" w:type="dxa"/>
            <w:tcBorders>
              <w:top w:val="single" w:color="auto" w:sz="4" w:space="0"/>
              <w:left w:val="single" w:color="auto" w:sz="4" w:space="0"/>
              <w:bottom w:val="single" w:color="auto" w:sz="4" w:space="0"/>
              <w:right w:val="single" w:color="auto" w:sz="4" w:space="0"/>
            </w:tcBorders>
            <w:vAlign w:val="center"/>
          </w:tcPr>
          <w:p w14:paraId="58900D0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w:t>
            </w:r>
          </w:p>
        </w:tc>
        <w:tc>
          <w:tcPr>
            <w:tcW w:w="1289" w:type="dxa"/>
            <w:tcBorders>
              <w:top w:val="single" w:color="auto" w:sz="4" w:space="0"/>
              <w:left w:val="single" w:color="auto" w:sz="4" w:space="0"/>
              <w:bottom w:val="single" w:color="auto" w:sz="4" w:space="0"/>
              <w:right w:val="single" w:color="auto" w:sz="4" w:space="0"/>
            </w:tcBorders>
            <w:vAlign w:val="center"/>
          </w:tcPr>
          <w:p w14:paraId="7A7A29B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B4428D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C5AD18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3391F82A">
            <w:pPr>
              <w:pageBreakBefore w:val="0"/>
              <w:numPr>
                <w:ilvl w:val="0"/>
                <w:numId w:val="0"/>
              </w:numPr>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挥发酚</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A93C4B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0.075</w:t>
            </w:r>
          </w:p>
        </w:tc>
        <w:tc>
          <w:tcPr>
            <w:tcW w:w="1335" w:type="dxa"/>
            <w:tcBorders>
              <w:top w:val="single" w:color="auto" w:sz="4" w:space="0"/>
              <w:left w:val="single" w:color="auto" w:sz="4" w:space="0"/>
              <w:bottom w:val="single" w:color="auto" w:sz="4" w:space="0"/>
              <w:right w:val="single" w:color="auto" w:sz="4" w:space="0"/>
            </w:tcBorders>
            <w:vAlign w:val="center"/>
          </w:tcPr>
          <w:p w14:paraId="77D8378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0.075</w:t>
            </w:r>
          </w:p>
        </w:tc>
        <w:tc>
          <w:tcPr>
            <w:tcW w:w="1335" w:type="dxa"/>
            <w:tcBorders>
              <w:top w:val="single" w:color="auto" w:sz="4" w:space="0"/>
              <w:left w:val="single" w:color="auto" w:sz="4" w:space="0"/>
              <w:bottom w:val="single" w:color="auto" w:sz="4" w:space="0"/>
              <w:right w:val="single" w:color="auto" w:sz="4" w:space="0"/>
            </w:tcBorders>
            <w:vAlign w:val="center"/>
          </w:tcPr>
          <w:p w14:paraId="54E41CD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0.075</w:t>
            </w:r>
          </w:p>
        </w:tc>
        <w:tc>
          <w:tcPr>
            <w:tcW w:w="1289" w:type="dxa"/>
            <w:tcBorders>
              <w:top w:val="single" w:color="auto" w:sz="4" w:space="0"/>
              <w:left w:val="single" w:color="auto" w:sz="4" w:space="0"/>
              <w:bottom w:val="single" w:color="auto" w:sz="4" w:space="0"/>
              <w:right w:val="single" w:color="auto" w:sz="4" w:space="0"/>
            </w:tcBorders>
            <w:vAlign w:val="center"/>
          </w:tcPr>
          <w:p w14:paraId="6A7BCBD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56C7742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2B79AC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44823E5E">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阴离子表面活性剂</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47DE26C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0.083</w:t>
            </w:r>
          </w:p>
        </w:tc>
        <w:tc>
          <w:tcPr>
            <w:tcW w:w="1335" w:type="dxa"/>
            <w:tcBorders>
              <w:top w:val="single" w:color="auto" w:sz="4" w:space="0"/>
              <w:left w:val="single" w:color="auto" w:sz="4" w:space="0"/>
              <w:bottom w:val="single" w:color="auto" w:sz="4" w:space="0"/>
              <w:right w:val="single" w:color="auto" w:sz="4" w:space="0"/>
            </w:tcBorders>
            <w:vAlign w:val="center"/>
          </w:tcPr>
          <w:p w14:paraId="046C244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0.083</w:t>
            </w:r>
          </w:p>
        </w:tc>
        <w:tc>
          <w:tcPr>
            <w:tcW w:w="1335" w:type="dxa"/>
            <w:tcBorders>
              <w:top w:val="single" w:color="auto" w:sz="4" w:space="0"/>
              <w:left w:val="single" w:color="auto" w:sz="4" w:space="0"/>
              <w:bottom w:val="single" w:color="auto" w:sz="4" w:space="0"/>
              <w:right w:val="single" w:color="auto" w:sz="4" w:space="0"/>
            </w:tcBorders>
            <w:vAlign w:val="center"/>
          </w:tcPr>
          <w:p w14:paraId="6AC0170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0.083</w:t>
            </w:r>
          </w:p>
        </w:tc>
        <w:tc>
          <w:tcPr>
            <w:tcW w:w="1289" w:type="dxa"/>
            <w:tcBorders>
              <w:top w:val="single" w:color="auto" w:sz="4" w:space="0"/>
              <w:left w:val="single" w:color="auto" w:sz="4" w:space="0"/>
              <w:bottom w:val="single" w:color="auto" w:sz="4" w:space="0"/>
              <w:right w:val="single" w:color="auto" w:sz="4" w:space="0"/>
            </w:tcBorders>
            <w:vAlign w:val="center"/>
          </w:tcPr>
          <w:p w14:paraId="57738EA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084B707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EC402A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38CA5279">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高锰酸盐指数</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70C8E4B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0.907</w:t>
            </w:r>
          </w:p>
        </w:tc>
        <w:tc>
          <w:tcPr>
            <w:tcW w:w="1335" w:type="dxa"/>
            <w:tcBorders>
              <w:top w:val="single" w:color="auto" w:sz="4" w:space="0"/>
              <w:left w:val="single" w:color="auto" w:sz="4" w:space="0"/>
              <w:bottom w:val="single" w:color="auto" w:sz="4" w:space="0"/>
              <w:right w:val="single" w:color="auto" w:sz="4" w:space="0"/>
            </w:tcBorders>
            <w:vAlign w:val="center"/>
          </w:tcPr>
          <w:p w14:paraId="782175B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0.307</w:t>
            </w:r>
          </w:p>
        </w:tc>
        <w:tc>
          <w:tcPr>
            <w:tcW w:w="1335" w:type="dxa"/>
            <w:tcBorders>
              <w:top w:val="single" w:color="auto" w:sz="4" w:space="0"/>
              <w:left w:val="single" w:color="auto" w:sz="4" w:space="0"/>
              <w:bottom w:val="single" w:color="auto" w:sz="4" w:space="0"/>
              <w:right w:val="single" w:color="auto" w:sz="4" w:space="0"/>
            </w:tcBorders>
            <w:vAlign w:val="center"/>
          </w:tcPr>
          <w:p w14:paraId="0753561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1.187</w:t>
            </w:r>
          </w:p>
        </w:tc>
        <w:tc>
          <w:tcPr>
            <w:tcW w:w="1289" w:type="dxa"/>
            <w:tcBorders>
              <w:top w:val="single" w:color="auto" w:sz="4" w:space="0"/>
              <w:left w:val="single" w:color="auto" w:sz="4" w:space="0"/>
              <w:bottom w:val="single" w:color="auto" w:sz="4" w:space="0"/>
              <w:right w:val="single" w:color="auto" w:sz="4" w:space="0"/>
            </w:tcBorders>
            <w:vAlign w:val="center"/>
          </w:tcPr>
          <w:p w14:paraId="23F6850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5B28B75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E365DB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E6A71F9">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rPr>
              <w:t>氨氮</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586338B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1.386</w:t>
            </w:r>
          </w:p>
        </w:tc>
        <w:tc>
          <w:tcPr>
            <w:tcW w:w="1335" w:type="dxa"/>
            <w:tcBorders>
              <w:top w:val="single" w:color="auto" w:sz="4" w:space="0"/>
              <w:left w:val="single" w:color="auto" w:sz="4" w:space="0"/>
              <w:bottom w:val="single" w:color="auto" w:sz="4" w:space="0"/>
              <w:right w:val="single" w:color="auto" w:sz="4" w:space="0"/>
            </w:tcBorders>
            <w:vAlign w:val="center"/>
          </w:tcPr>
          <w:p w14:paraId="2CEC70A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0.946</w:t>
            </w:r>
          </w:p>
        </w:tc>
        <w:tc>
          <w:tcPr>
            <w:tcW w:w="1335" w:type="dxa"/>
            <w:tcBorders>
              <w:top w:val="single" w:color="auto" w:sz="4" w:space="0"/>
              <w:left w:val="single" w:color="auto" w:sz="4" w:space="0"/>
              <w:bottom w:val="single" w:color="auto" w:sz="4" w:space="0"/>
              <w:right w:val="single" w:color="auto" w:sz="4" w:space="0"/>
            </w:tcBorders>
            <w:vAlign w:val="center"/>
          </w:tcPr>
          <w:p w14:paraId="79203E3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1.768</w:t>
            </w:r>
          </w:p>
        </w:tc>
        <w:tc>
          <w:tcPr>
            <w:tcW w:w="1289" w:type="dxa"/>
            <w:tcBorders>
              <w:top w:val="single" w:color="auto" w:sz="4" w:space="0"/>
              <w:left w:val="single" w:color="auto" w:sz="4" w:space="0"/>
              <w:bottom w:val="single" w:color="auto" w:sz="4" w:space="0"/>
              <w:right w:val="single" w:color="auto" w:sz="4" w:space="0"/>
            </w:tcBorders>
            <w:vAlign w:val="center"/>
          </w:tcPr>
          <w:p w14:paraId="00B8837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49E97B4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0478FB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3B69636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硫化物</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55F145B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0.250</w:t>
            </w:r>
          </w:p>
        </w:tc>
        <w:tc>
          <w:tcPr>
            <w:tcW w:w="1335" w:type="dxa"/>
            <w:tcBorders>
              <w:top w:val="single" w:color="auto" w:sz="4" w:space="0"/>
              <w:left w:val="single" w:color="auto" w:sz="4" w:space="0"/>
              <w:bottom w:val="single" w:color="auto" w:sz="4" w:space="0"/>
              <w:right w:val="single" w:color="auto" w:sz="4" w:space="0"/>
            </w:tcBorders>
            <w:vAlign w:val="center"/>
          </w:tcPr>
          <w:p w14:paraId="3A68207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0.250</w:t>
            </w:r>
          </w:p>
        </w:tc>
        <w:tc>
          <w:tcPr>
            <w:tcW w:w="1335" w:type="dxa"/>
            <w:tcBorders>
              <w:top w:val="single" w:color="auto" w:sz="4" w:space="0"/>
              <w:left w:val="single" w:color="auto" w:sz="4" w:space="0"/>
              <w:bottom w:val="single" w:color="auto" w:sz="4" w:space="0"/>
              <w:right w:val="single" w:color="auto" w:sz="4" w:space="0"/>
            </w:tcBorders>
            <w:vAlign w:val="center"/>
          </w:tcPr>
          <w:p w14:paraId="2A3230E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0.250</w:t>
            </w:r>
          </w:p>
        </w:tc>
        <w:tc>
          <w:tcPr>
            <w:tcW w:w="1289" w:type="dxa"/>
            <w:tcBorders>
              <w:top w:val="single" w:color="auto" w:sz="4" w:space="0"/>
              <w:left w:val="single" w:color="auto" w:sz="4" w:space="0"/>
              <w:bottom w:val="single" w:color="auto" w:sz="4" w:space="0"/>
              <w:right w:val="single" w:color="auto" w:sz="4" w:space="0"/>
            </w:tcBorders>
            <w:vAlign w:val="center"/>
          </w:tcPr>
          <w:p w14:paraId="0EB5455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7FF2763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F73B3E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555665B0">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总大肠菌群（MPN/100mL）</w:t>
            </w:r>
          </w:p>
        </w:tc>
        <w:tc>
          <w:tcPr>
            <w:tcW w:w="1334" w:type="dxa"/>
            <w:tcBorders>
              <w:top w:val="single" w:color="auto" w:sz="4" w:space="0"/>
              <w:left w:val="single" w:color="auto" w:sz="4" w:space="0"/>
              <w:bottom w:val="single" w:color="auto" w:sz="4" w:space="0"/>
              <w:right w:val="single" w:color="auto" w:sz="4" w:space="0"/>
            </w:tcBorders>
            <w:vAlign w:val="center"/>
          </w:tcPr>
          <w:p w14:paraId="1F8DDE6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0.667</w:t>
            </w:r>
          </w:p>
        </w:tc>
        <w:tc>
          <w:tcPr>
            <w:tcW w:w="1335" w:type="dxa"/>
            <w:tcBorders>
              <w:top w:val="single" w:color="auto" w:sz="4" w:space="0"/>
              <w:left w:val="single" w:color="auto" w:sz="4" w:space="0"/>
              <w:bottom w:val="single" w:color="auto" w:sz="4" w:space="0"/>
              <w:right w:val="single" w:color="auto" w:sz="4" w:space="0"/>
            </w:tcBorders>
            <w:vAlign w:val="center"/>
          </w:tcPr>
          <w:p w14:paraId="79E61A3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0.667</w:t>
            </w:r>
          </w:p>
        </w:tc>
        <w:tc>
          <w:tcPr>
            <w:tcW w:w="1335" w:type="dxa"/>
            <w:tcBorders>
              <w:top w:val="single" w:color="auto" w:sz="4" w:space="0"/>
              <w:left w:val="single" w:color="auto" w:sz="4" w:space="0"/>
              <w:bottom w:val="single" w:color="auto" w:sz="4" w:space="0"/>
              <w:right w:val="single" w:color="auto" w:sz="4" w:space="0"/>
            </w:tcBorders>
            <w:vAlign w:val="center"/>
          </w:tcPr>
          <w:p w14:paraId="0B3873E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0.667</w:t>
            </w:r>
          </w:p>
        </w:tc>
        <w:tc>
          <w:tcPr>
            <w:tcW w:w="1289" w:type="dxa"/>
            <w:tcBorders>
              <w:top w:val="single" w:color="auto" w:sz="4" w:space="0"/>
              <w:left w:val="single" w:color="auto" w:sz="4" w:space="0"/>
              <w:bottom w:val="single" w:color="auto" w:sz="4" w:space="0"/>
              <w:right w:val="single" w:color="auto" w:sz="4" w:space="0"/>
            </w:tcBorders>
            <w:vAlign w:val="center"/>
          </w:tcPr>
          <w:p w14:paraId="0E8876F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144FFC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20FC087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8F7836E">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菌落总数（</w:t>
            </w:r>
            <w:r>
              <w:rPr>
                <w:rFonts w:hint="default" w:ascii="Times New Roman" w:hAnsi="Times New Roman" w:eastAsia="宋体" w:cs="Times New Roman"/>
                <w:i w:val="0"/>
                <w:iCs w:val="0"/>
                <w:color w:val="auto"/>
                <w:kern w:val="0"/>
                <w:sz w:val="21"/>
                <w:szCs w:val="21"/>
                <w:highlight w:val="none"/>
                <w:u w:val="none"/>
                <w:lang w:val="en-US" w:eastAsia="zh-CN" w:bidi="ar-SA"/>
              </w:rPr>
              <w:t>CFU/mL</w:t>
            </w:r>
            <w:r>
              <w:rPr>
                <w:rFonts w:hint="default" w:ascii="Times New Roman" w:hAnsi="Times New Roman" w:eastAsia="宋体" w:cs="Times New Roman"/>
                <w:color w:val="auto"/>
                <w:kern w:val="2"/>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43F36E1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0.720</w:t>
            </w:r>
          </w:p>
        </w:tc>
        <w:tc>
          <w:tcPr>
            <w:tcW w:w="1335" w:type="dxa"/>
            <w:tcBorders>
              <w:top w:val="single" w:color="auto" w:sz="4" w:space="0"/>
              <w:left w:val="single" w:color="auto" w:sz="4" w:space="0"/>
              <w:bottom w:val="single" w:color="auto" w:sz="4" w:space="0"/>
              <w:right w:val="single" w:color="auto" w:sz="4" w:space="0"/>
            </w:tcBorders>
            <w:vAlign w:val="center"/>
          </w:tcPr>
          <w:p w14:paraId="29207EA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0.640</w:t>
            </w:r>
          </w:p>
        </w:tc>
        <w:tc>
          <w:tcPr>
            <w:tcW w:w="1335" w:type="dxa"/>
            <w:tcBorders>
              <w:top w:val="single" w:color="auto" w:sz="4" w:space="0"/>
              <w:left w:val="single" w:color="auto" w:sz="4" w:space="0"/>
              <w:bottom w:val="single" w:color="auto" w:sz="4" w:space="0"/>
              <w:right w:val="single" w:color="auto" w:sz="4" w:space="0"/>
            </w:tcBorders>
            <w:vAlign w:val="center"/>
          </w:tcPr>
          <w:p w14:paraId="774A177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0.670</w:t>
            </w:r>
          </w:p>
        </w:tc>
        <w:tc>
          <w:tcPr>
            <w:tcW w:w="1289" w:type="dxa"/>
            <w:tcBorders>
              <w:top w:val="single" w:color="auto" w:sz="4" w:space="0"/>
              <w:left w:val="single" w:color="auto" w:sz="4" w:space="0"/>
              <w:bottom w:val="single" w:color="auto" w:sz="4" w:space="0"/>
              <w:right w:val="single" w:color="auto" w:sz="4" w:space="0"/>
            </w:tcBorders>
            <w:vAlign w:val="center"/>
          </w:tcPr>
          <w:p w14:paraId="5211FD3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1E5BDE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88D5B0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4D7B338">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亚硝酸盐氮（</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2776C1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0.080</w:t>
            </w:r>
          </w:p>
        </w:tc>
        <w:tc>
          <w:tcPr>
            <w:tcW w:w="1335" w:type="dxa"/>
            <w:tcBorders>
              <w:top w:val="single" w:color="auto" w:sz="4" w:space="0"/>
              <w:left w:val="single" w:color="auto" w:sz="4" w:space="0"/>
              <w:bottom w:val="single" w:color="auto" w:sz="4" w:space="0"/>
              <w:right w:val="single" w:color="auto" w:sz="4" w:space="0"/>
            </w:tcBorders>
            <w:vAlign w:val="center"/>
          </w:tcPr>
          <w:p w14:paraId="527AD46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0.002</w:t>
            </w:r>
          </w:p>
        </w:tc>
        <w:tc>
          <w:tcPr>
            <w:tcW w:w="1335" w:type="dxa"/>
            <w:tcBorders>
              <w:top w:val="single" w:color="auto" w:sz="4" w:space="0"/>
              <w:left w:val="single" w:color="auto" w:sz="4" w:space="0"/>
              <w:bottom w:val="single" w:color="auto" w:sz="4" w:space="0"/>
              <w:right w:val="single" w:color="auto" w:sz="4" w:space="0"/>
            </w:tcBorders>
            <w:vAlign w:val="center"/>
          </w:tcPr>
          <w:p w14:paraId="35F0F25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0.040</w:t>
            </w:r>
          </w:p>
        </w:tc>
        <w:tc>
          <w:tcPr>
            <w:tcW w:w="1289" w:type="dxa"/>
            <w:tcBorders>
              <w:top w:val="single" w:color="auto" w:sz="4" w:space="0"/>
              <w:left w:val="single" w:color="auto" w:sz="4" w:space="0"/>
              <w:bottom w:val="single" w:color="auto" w:sz="4" w:space="0"/>
              <w:right w:val="single" w:color="auto" w:sz="4" w:space="0"/>
            </w:tcBorders>
            <w:vAlign w:val="center"/>
          </w:tcPr>
          <w:p w14:paraId="713F2C7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FD5091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2FE22BF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67D7D53E">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硝酸盐氮（</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4DBEF22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0.018</w:t>
            </w:r>
          </w:p>
        </w:tc>
        <w:tc>
          <w:tcPr>
            <w:tcW w:w="1335" w:type="dxa"/>
            <w:tcBorders>
              <w:top w:val="single" w:color="auto" w:sz="4" w:space="0"/>
              <w:left w:val="single" w:color="auto" w:sz="4" w:space="0"/>
              <w:bottom w:val="single" w:color="auto" w:sz="4" w:space="0"/>
              <w:right w:val="single" w:color="auto" w:sz="4" w:space="0"/>
            </w:tcBorders>
            <w:vAlign w:val="center"/>
          </w:tcPr>
          <w:p w14:paraId="67720E2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0.001</w:t>
            </w:r>
          </w:p>
        </w:tc>
        <w:tc>
          <w:tcPr>
            <w:tcW w:w="1335" w:type="dxa"/>
            <w:tcBorders>
              <w:top w:val="single" w:color="auto" w:sz="4" w:space="0"/>
              <w:left w:val="single" w:color="auto" w:sz="4" w:space="0"/>
              <w:bottom w:val="single" w:color="auto" w:sz="4" w:space="0"/>
              <w:right w:val="single" w:color="auto" w:sz="4" w:space="0"/>
            </w:tcBorders>
            <w:vAlign w:val="center"/>
          </w:tcPr>
          <w:p w14:paraId="300C6AC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0.028</w:t>
            </w:r>
          </w:p>
        </w:tc>
        <w:tc>
          <w:tcPr>
            <w:tcW w:w="1289" w:type="dxa"/>
            <w:tcBorders>
              <w:top w:val="single" w:color="auto" w:sz="4" w:space="0"/>
              <w:left w:val="single" w:color="auto" w:sz="4" w:space="0"/>
              <w:bottom w:val="single" w:color="auto" w:sz="4" w:space="0"/>
              <w:right w:val="single" w:color="auto" w:sz="4" w:space="0"/>
            </w:tcBorders>
            <w:vAlign w:val="center"/>
          </w:tcPr>
          <w:p w14:paraId="52A68F9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8DE564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p>
        </w:tc>
      </w:tr>
      <w:tr w14:paraId="5FA386A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6223375">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氰化物</w:t>
            </w:r>
            <w:r>
              <w:rPr>
                <w:rStyle w:val="160"/>
                <w:rFonts w:hint="default" w:ascii="Times New Roman" w:hAnsi="Times New Roman" w:eastAsia="宋体" w:cs="Times New Roman"/>
                <w:color w:val="auto"/>
                <w:sz w:val="21"/>
                <w:szCs w:val="21"/>
                <w:highlight w:val="none"/>
                <w:lang w:val="en-US" w:eastAsia="zh-CN"/>
              </w:rPr>
              <w:t>（mg/L）</w:t>
            </w:r>
          </w:p>
        </w:tc>
        <w:tc>
          <w:tcPr>
            <w:tcW w:w="1334" w:type="dxa"/>
            <w:tcBorders>
              <w:top w:val="single" w:color="auto" w:sz="4" w:space="0"/>
              <w:left w:val="single" w:color="auto" w:sz="4" w:space="0"/>
              <w:bottom w:val="single" w:color="auto" w:sz="4" w:space="0"/>
              <w:right w:val="single" w:color="auto" w:sz="4" w:space="0"/>
            </w:tcBorders>
            <w:vAlign w:val="center"/>
          </w:tcPr>
          <w:p w14:paraId="77091BC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335" w:type="dxa"/>
            <w:tcBorders>
              <w:top w:val="single" w:color="auto" w:sz="4" w:space="0"/>
              <w:left w:val="single" w:color="auto" w:sz="4" w:space="0"/>
              <w:bottom w:val="single" w:color="auto" w:sz="4" w:space="0"/>
              <w:right w:val="single" w:color="auto" w:sz="4" w:space="0"/>
            </w:tcBorders>
            <w:vAlign w:val="center"/>
          </w:tcPr>
          <w:p w14:paraId="4A8154D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335" w:type="dxa"/>
            <w:tcBorders>
              <w:top w:val="single" w:color="auto" w:sz="4" w:space="0"/>
              <w:left w:val="single" w:color="auto" w:sz="4" w:space="0"/>
              <w:bottom w:val="single" w:color="auto" w:sz="4" w:space="0"/>
              <w:right w:val="single" w:color="auto" w:sz="4" w:space="0"/>
            </w:tcBorders>
            <w:vAlign w:val="center"/>
          </w:tcPr>
          <w:p w14:paraId="3569B92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289" w:type="dxa"/>
            <w:tcBorders>
              <w:top w:val="single" w:color="auto" w:sz="4" w:space="0"/>
              <w:left w:val="single" w:color="auto" w:sz="4" w:space="0"/>
              <w:bottom w:val="single" w:color="auto" w:sz="4" w:space="0"/>
              <w:right w:val="single" w:color="auto" w:sz="4" w:space="0"/>
            </w:tcBorders>
            <w:vAlign w:val="center"/>
          </w:tcPr>
          <w:p w14:paraId="0DFD7B4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23E77EE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9DA49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F5D5851">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氟化物（</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19E4B6C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0.630</w:t>
            </w:r>
          </w:p>
        </w:tc>
        <w:tc>
          <w:tcPr>
            <w:tcW w:w="1335" w:type="dxa"/>
            <w:tcBorders>
              <w:top w:val="single" w:color="auto" w:sz="4" w:space="0"/>
              <w:left w:val="single" w:color="auto" w:sz="4" w:space="0"/>
              <w:bottom w:val="single" w:color="auto" w:sz="4" w:space="0"/>
              <w:right w:val="single" w:color="auto" w:sz="4" w:space="0"/>
            </w:tcBorders>
            <w:vAlign w:val="center"/>
          </w:tcPr>
          <w:p w14:paraId="6774268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0.840</w:t>
            </w:r>
          </w:p>
        </w:tc>
        <w:tc>
          <w:tcPr>
            <w:tcW w:w="1335" w:type="dxa"/>
            <w:tcBorders>
              <w:top w:val="single" w:color="auto" w:sz="4" w:space="0"/>
              <w:left w:val="single" w:color="auto" w:sz="4" w:space="0"/>
              <w:bottom w:val="single" w:color="auto" w:sz="4" w:space="0"/>
              <w:right w:val="single" w:color="auto" w:sz="4" w:space="0"/>
            </w:tcBorders>
            <w:vAlign w:val="center"/>
          </w:tcPr>
          <w:p w14:paraId="244A6E5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0.560</w:t>
            </w:r>
          </w:p>
        </w:tc>
        <w:tc>
          <w:tcPr>
            <w:tcW w:w="1289" w:type="dxa"/>
            <w:tcBorders>
              <w:top w:val="single" w:color="auto" w:sz="4" w:space="0"/>
              <w:left w:val="single" w:color="auto" w:sz="4" w:space="0"/>
              <w:bottom w:val="single" w:color="auto" w:sz="4" w:space="0"/>
              <w:right w:val="single" w:color="auto" w:sz="4" w:space="0"/>
            </w:tcBorders>
            <w:vAlign w:val="center"/>
          </w:tcPr>
          <w:p w14:paraId="6F8EDBD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2C866ED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69A9B0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CC8759D">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汞</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0AF4286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0.010</w:t>
            </w:r>
          </w:p>
        </w:tc>
        <w:tc>
          <w:tcPr>
            <w:tcW w:w="1335" w:type="dxa"/>
            <w:tcBorders>
              <w:top w:val="single" w:color="auto" w:sz="4" w:space="0"/>
              <w:left w:val="single" w:color="auto" w:sz="4" w:space="0"/>
              <w:bottom w:val="single" w:color="auto" w:sz="4" w:space="0"/>
              <w:right w:val="single" w:color="auto" w:sz="4" w:space="0"/>
            </w:tcBorders>
            <w:vAlign w:val="center"/>
          </w:tcPr>
          <w:p w14:paraId="06BB83F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335" w:type="dxa"/>
            <w:tcBorders>
              <w:top w:val="single" w:color="auto" w:sz="4" w:space="0"/>
              <w:left w:val="single" w:color="auto" w:sz="4" w:space="0"/>
              <w:bottom w:val="single" w:color="auto" w:sz="4" w:space="0"/>
              <w:right w:val="single" w:color="auto" w:sz="4" w:space="0"/>
            </w:tcBorders>
            <w:vAlign w:val="center"/>
          </w:tcPr>
          <w:p w14:paraId="71C8DF7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289" w:type="dxa"/>
            <w:tcBorders>
              <w:top w:val="single" w:color="auto" w:sz="4" w:space="0"/>
              <w:left w:val="single" w:color="auto" w:sz="4" w:space="0"/>
              <w:bottom w:val="single" w:color="auto" w:sz="4" w:space="0"/>
              <w:right w:val="single" w:color="auto" w:sz="4" w:space="0"/>
            </w:tcBorders>
            <w:vAlign w:val="center"/>
          </w:tcPr>
          <w:p w14:paraId="53BF900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5DCBAB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7BF3EC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337A99BB">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砷</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360270F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0.920</w:t>
            </w:r>
          </w:p>
        </w:tc>
        <w:tc>
          <w:tcPr>
            <w:tcW w:w="1335" w:type="dxa"/>
            <w:tcBorders>
              <w:top w:val="single" w:color="auto" w:sz="4" w:space="0"/>
              <w:left w:val="single" w:color="auto" w:sz="4" w:space="0"/>
              <w:bottom w:val="single" w:color="auto" w:sz="4" w:space="0"/>
              <w:right w:val="single" w:color="auto" w:sz="4" w:space="0"/>
            </w:tcBorders>
            <w:vAlign w:val="center"/>
          </w:tcPr>
          <w:p w14:paraId="772FAB8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0.280</w:t>
            </w:r>
          </w:p>
        </w:tc>
        <w:tc>
          <w:tcPr>
            <w:tcW w:w="1335" w:type="dxa"/>
            <w:tcBorders>
              <w:top w:val="single" w:color="auto" w:sz="4" w:space="0"/>
              <w:left w:val="single" w:color="auto" w:sz="4" w:space="0"/>
              <w:bottom w:val="single" w:color="auto" w:sz="4" w:space="0"/>
              <w:right w:val="single" w:color="auto" w:sz="4" w:space="0"/>
            </w:tcBorders>
            <w:vAlign w:val="center"/>
          </w:tcPr>
          <w:p w14:paraId="35B7B4C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0.810</w:t>
            </w:r>
          </w:p>
        </w:tc>
        <w:tc>
          <w:tcPr>
            <w:tcW w:w="1289" w:type="dxa"/>
            <w:tcBorders>
              <w:top w:val="single" w:color="auto" w:sz="4" w:space="0"/>
              <w:left w:val="single" w:color="auto" w:sz="4" w:space="0"/>
              <w:bottom w:val="single" w:color="auto" w:sz="4" w:space="0"/>
              <w:right w:val="single" w:color="auto" w:sz="4" w:space="0"/>
            </w:tcBorders>
            <w:vAlign w:val="center"/>
          </w:tcPr>
          <w:p w14:paraId="6F8A8EC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5310F08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9B524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62AA7971">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硒</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0A92508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0.010</w:t>
            </w:r>
          </w:p>
        </w:tc>
        <w:tc>
          <w:tcPr>
            <w:tcW w:w="1335" w:type="dxa"/>
            <w:tcBorders>
              <w:top w:val="single" w:color="auto" w:sz="4" w:space="0"/>
              <w:left w:val="single" w:color="auto" w:sz="4" w:space="0"/>
              <w:bottom w:val="single" w:color="auto" w:sz="4" w:space="0"/>
              <w:right w:val="single" w:color="auto" w:sz="4" w:space="0"/>
            </w:tcBorders>
            <w:vAlign w:val="center"/>
          </w:tcPr>
          <w:p w14:paraId="4111DA6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335" w:type="dxa"/>
            <w:tcBorders>
              <w:top w:val="single" w:color="auto" w:sz="4" w:space="0"/>
              <w:left w:val="single" w:color="auto" w:sz="4" w:space="0"/>
              <w:bottom w:val="single" w:color="auto" w:sz="4" w:space="0"/>
              <w:right w:val="single" w:color="auto" w:sz="4" w:space="0"/>
            </w:tcBorders>
            <w:vAlign w:val="center"/>
          </w:tcPr>
          <w:p w14:paraId="6BE72D9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0.020</w:t>
            </w:r>
          </w:p>
        </w:tc>
        <w:tc>
          <w:tcPr>
            <w:tcW w:w="1289" w:type="dxa"/>
            <w:tcBorders>
              <w:top w:val="single" w:color="auto" w:sz="4" w:space="0"/>
              <w:left w:val="single" w:color="auto" w:sz="4" w:space="0"/>
              <w:bottom w:val="single" w:color="auto" w:sz="4" w:space="0"/>
              <w:right w:val="single" w:color="auto" w:sz="4" w:space="0"/>
            </w:tcBorders>
            <w:vAlign w:val="center"/>
          </w:tcPr>
          <w:p w14:paraId="0263CB0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0169A4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56EB45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5EFC8FDF">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镉</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693E9F3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0.005</w:t>
            </w:r>
          </w:p>
        </w:tc>
        <w:tc>
          <w:tcPr>
            <w:tcW w:w="1335" w:type="dxa"/>
            <w:tcBorders>
              <w:top w:val="single" w:color="auto" w:sz="4" w:space="0"/>
              <w:left w:val="single" w:color="auto" w:sz="4" w:space="0"/>
              <w:bottom w:val="single" w:color="auto" w:sz="4" w:space="0"/>
              <w:right w:val="single" w:color="auto" w:sz="4" w:space="0"/>
            </w:tcBorders>
            <w:vAlign w:val="center"/>
          </w:tcPr>
          <w:p w14:paraId="2020AA7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0.010</w:t>
            </w:r>
          </w:p>
        </w:tc>
        <w:tc>
          <w:tcPr>
            <w:tcW w:w="1335" w:type="dxa"/>
            <w:tcBorders>
              <w:top w:val="single" w:color="auto" w:sz="4" w:space="0"/>
              <w:left w:val="single" w:color="auto" w:sz="4" w:space="0"/>
              <w:bottom w:val="single" w:color="auto" w:sz="4" w:space="0"/>
              <w:right w:val="single" w:color="auto" w:sz="4" w:space="0"/>
            </w:tcBorders>
            <w:vAlign w:val="center"/>
          </w:tcPr>
          <w:p w14:paraId="7C972C6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0.010</w:t>
            </w:r>
          </w:p>
        </w:tc>
        <w:tc>
          <w:tcPr>
            <w:tcW w:w="1289" w:type="dxa"/>
            <w:tcBorders>
              <w:top w:val="single" w:color="auto" w:sz="4" w:space="0"/>
              <w:left w:val="single" w:color="auto" w:sz="4" w:space="0"/>
              <w:bottom w:val="single" w:color="auto" w:sz="4" w:space="0"/>
              <w:right w:val="single" w:color="auto" w:sz="4" w:space="0"/>
            </w:tcBorders>
            <w:vAlign w:val="center"/>
          </w:tcPr>
          <w:p w14:paraId="4755045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4DA91B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DD01A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7D1B1A93">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六价铬</w:t>
            </w:r>
            <w:r>
              <w:rPr>
                <w:rStyle w:val="160"/>
                <w:rFonts w:hint="default" w:ascii="Times New Roman" w:hAnsi="Times New Roman" w:eastAsia="宋体" w:cs="Times New Roman"/>
                <w:color w:val="auto"/>
                <w:sz w:val="21"/>
                <w:szCs w:val="21"/>
                <w:highlight w:val="none"/>
                <w:lang w:val="en-US" w:eastAsia="zh-CN"/>
              </w:rPr>
              <w:t>（mg/L）</w:t>
            </w:r>
          </w:p>
        </w:tc>
        <w:tc>
          <w:tcPr>
            <w:tcW w:w="1334" w:type="dxa"/>
            <w:tcBorders>
              <w:top w:val="single" w:color="auto" w:sz="4" w:space="0"/>
              <w:left w:val="single" w:color="auto" w:sz="4" w:space="0"/>
              <w:bottom w:val="single" w:color="auto" w:sz="4" w:space="0"/>
              <w:right w:val="single" w:color="auto" w:sz="4" w:space="0"/>
            </w:tcBorders>
            <w:vAlign w:val="center"/>
          </w:tcPr>
          <w:p w14:paraId="4C775A0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0.240</w:t>
            </w:r>
          </w:p>
        </w:tc>
        <w:tc>
          <w:tcPr>
            <w:tcW w:w="1335" w:type="dxa"/>
            <w:tcBorders>
              <w:top w:val="single" w:color="auto" w:sz="4" w:space="0"/>
              <w:left w:val="single" w:color="auto" w:sz="4" w:space="0"/>
              <w:bottom w:val="single" w:color="auto" w:sz="4" w:space="0"/>
              <w:right w:val="single" w:color="auto" w:sz="4" w:space="0"/>
            </w:tcBorders>
            <w:vAlign w:val="center"/>
          </w:tcPr>
          <w:p w14:paraId="30306D7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0.360</w:t>
            </w:r>
          </w:p>
        </w:tc>
        <w:tc>
          <w:tcPr>
            <w:tcW w:w="1335" w:type="dxa"/>
            <w:tcBorders>
              <w:top w:val="single" w:color="auto" w:sz="4" w:space="0"/>
              <w:left w:val="single" w:color="auto" w:sz="4" w:space="0"/>
              <w:bottom w:val="single" w:color="auto" w:sz="4" w:space="0"/>
              <w:right w:val="single" w:color="auto" w:sz="4" w:space="0"/>
            </w:tcBorders>
            <w:vAlign w:val="center"/>
          </w:tcPr>
          <w:p w14:paraId="427C443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0.200</w:t>
            </w:r>
          </w:p>
        </w:tc>
        <w:tc>
          <w:tcPr>
            <w:tcW w:w="1289" w:type="dxa"/>
            <w:tcBorders>
              <w:top w:val="single" w:color="auto" w:sz="4" w:space="0"/>
              <w:left w:val="single" w:color="auto" w:sz="4" w:space="0"/>
              <w:bottom w:val="single" w:color="auto" w:sz="4" w:space="0"/>
              <w:right w:val="single" w:color="auto" w:sz="4" w:space="0"/>
            </w:tcBorders>
            <w:vAlign w:val="center"/>
          </w:tcPr>
          <w:p w14:paraId="569F5BB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25F5433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D35CDA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73897F7">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sz w:val="21"/>
                <w:szCs w:val="21"/>
                <w:highlight w:val="none"/>
                <w:lang w:val="en-US" w:eastAsia="zh-CN"/>
              </w:rPr>
              <w:t>铅</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20CDD9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0.050</w:t>
            </w:r>
          </w:p>
        </w:tc>
        <w:tc>
          <w:tcPr>
            <w:tcW w:w="1335" w:type="dxa"/>
            <w:tcBorders>
              <w:top w:val="single" w:color="auto" w:sz="4" w:space="0"/>
              <w:left w:val="single" w:color="auto" w:sz="4" w:space="0"/>
              <w:bottom w:val="single" w:color="auto" w:sz="4" w:space="0"/>
              <w:right w:val="single" w:color="auto" w:sz="4" w:space="0"/>
            </w:tcBorders>
            <w:vAlign w:val="center"/>
          </w:tcPr>
          <w:p w14:paraId="452D883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0.050</w:t>
            </w:r>
          </w:p>
        </w:tc>
        <w:tc>
          <w:tcPr>
            <w:tcW w:w="1335" w:type="dxa"/>
            <w:tcBorders>
              <w:top w:val="single" w:color="auto" w:sz="4" w:space="0"/>
              <w:left w:val="single" w:color="auto" w:sz="4" w:space="0"/>
              <w:bottom w:val="single" w:color="auto" w:sz="4" w:space="0"/>
              <w:right w:val="single" w:color="auto" w:sz="4" w:space="0"/>
            </w:tcBorders>
            <w:vAlign w:val="center"/>
          </w:tcPr>
          <w:p w14:paraId="11344ED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0.050</w:t>
            </w:r>
          </w:p>
        </w:tc>
        <w:tc>
          <w:tcPr>
            <w:tcW w:w="1289" w:type="dxa"/>
            <w:tcBorders>
              <w:top w:val="single" w:color="auto" w:sz="4" w:space="0"/>
              <w:left w:val="single" w:color="auto" w:sz="4" w:space="0"/>
              <w:bottom w:val="single" w:color="auto" w:sz="4" w:space="0"/>
              <w:right w:val="single" w:color="auto" w:sz="4" w:space="0"/>
            </w:tcBorders>
            <w:vAlign w:val="center"/>
          </w:tcPr>
          <w:p w14:paraId="29831B4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54D7DF2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E8105C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610E6A8B">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钾</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E0CA48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16F156B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18C4864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4F85661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75AC5A6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2DFB9E9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7BB6A512">
            <w:pPr>
              <w:pageBreakBefore w:val="0"/>
              <w:widowControl/>
              <w:shd w:val="clear"/>
              <w:kinsoku/>
              <w:wordWrap/>
              <w:overflowPunct/>
              <w:topLinePunct/>
              <w:autoSpaceDE w:val="0"/>
              <w:autoSpaceDN/>
              <w:bidi w:val="0"/>
              <w:adjustRightInd/>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color w:val="auto"/>
                <w:spacing w:val="-11"/>
                <w:kern w:val="0"/>
                <w:sz w:val="21"/>
                <w:szCs w:val="21"/>
                <w:highlight w:val="none"/>
                <w:lang w:val="en-US" w:eastAsia="zh-CN" w:bidi="ar-SA"/>
              </w:rPr>
              <w:t>钠（</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71F2742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1.755</w:t>
            </w:r>
          </w:p>
        </w:tc>
        <w:tc>
          <w:tcPr>
            <w:tcW w:w="1335" w:type="dxa"/>
            <w:tcBorders>
              <w:top w:val="single" w:color="auto" w:sz="4" w:space="0"/>
              <w:left w:val="single" w:color="auto" w:sz="4" w:space="0"/>
              <w:bottom w:val="single" w:color="auto" w:sz="4" w:space="0"/>
              <w:right w:val="single" w:color="auto" w:sz="4" w:space="0"/>
            </w:tcBorders>
            <w:vAlign w:val="center"/>
          </w:tcPr>
          <w:p w14:paraId="4BA08DF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0.580</w:t>
            </w:r>
          </w:p>
        </w:tc>
        <w:tc>
          <w:tcPr>
            <w:tcW w:w="1335" w:type="dxa"/>
            <w:tcBorders>
              <w:top w:val="single" w:color="auto" w:sz="4" w:space="0"/>
              <w:left w:val="single" w:color="auto" w:sz="4" w:space="0"/>
              <w:bottom w:val="single" w:color="auto" w:sz="4" w:space="0"/>
              <w:right w:val="single" w:color="auto" w:sz="4" w:space="0"/>
            </w:tcBorders>
            <w:vAlign w:val="center"/>
          </w:tcPr>
          <w:p w14:paraId="077A5AA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1.165</w:t>
            </w:r>
          </w:p>
        </w:tc>
        <w:tc>
          <w:tcPr>
            <w:tcW w:w="1289" w:type="dxa"/>
            <w:tcBorders>
              <w:top w:val="single" w:color="auto" w:sz="4" w:space="0"/>
              <w:left w:val="single" w:color="auto" w:sz="4" w:space="0"/>
              <w:bottom w:val="single" w:color="auto" w:sz="4" w:space="0"/>
              <w:right w:val="single" w:color="auto" w:sz="4" w:space="0"/>
            </w:tcBorders>
            <w:vAlign w:val="center"/>
          </w:tcPr>
          <w:p w14:paraId="4223450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超标</w:t>
            </w:r>
          </w:p>
        </w:tc>
        <w:tc>
          <w:tcPr>
            <w:tcW w:w="1289" w:type="dxa"/>
            <w:tcBorders>
              <w:top w:val="single" w:color="auto" w:sz="4" w:space="0"/>
              <w:left w:val="single" w:color="auto" w:sz="4" w:space="0"/>
              <w:bottom w:val="single" w:color="auto" w:sz="4" w:space="0"/>
              <w:right w:val="single" w:color="auto" w:sz="4" w:space="0"/>
            </w:tcBorders>
            <w:vAlign w:val="center"/>
          </w:tcPr>
          <w:p w14:paraId="10548B3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D6C71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68907A56">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钙</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27C3DF4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083DCC4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7E72CDE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646658C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337905F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23F65B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24756D4B">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镁</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04CDE3A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3435EE9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5491C2B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6FE137C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0E1FED6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7CC0E4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7A1F1262">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SA"/>
              </w:rPr>
              <w:t>碳酸盐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6C7B528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60462F1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77CF1F6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1C0D3B4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2133B6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C4BBFF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0FEF4BC9">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重碳酸盐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7EEAA42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3A961C32">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4A107CA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08A62DB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145951A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2DFDCE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66DF2102">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氯离子</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78DEFBB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3AD5C9C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71A68383">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41A1AB9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FFA136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028CE4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3B921DA1">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硫酸根</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4FFC775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3DD8DBD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335" w:type="dxa"/>
            <w:tcBorders>
              <w:top w:val="single" w:color="auto" w:sz="4" w:space="0"/>
              <w:left w:val="single" w:color="auto" w:sz="4" w:space="0"/>
              <w:bottom w:val="single" w:color="auto" w:sz="4" w:space="0"/>
              <w:right w:val="single" w:color="auto" w:sz="4" w:space="0"/>
            </w:tcBorders>
            <w:vAlign w:val="center"/>
          </w:tcPr>
          <w:p w14:paraId="1C0BD821">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289" w:type="dxa"/>
            <w:tcBorders>
              <w:top w:val="single" w:color="auto" w:sz="4" w:space="0"/>
              <w:left w:val="single" w:color="auto" w:sz="4" w:space="0"/>
              <w:bottom w:val="single" w:color="auto" w:sz="4" w:space="0"/>
              <w:right w:val="single" w:color="auto" w:sz="4" w:space="0"/>
            </w:tcBorders>
            <w:vAlign w:val="center"/>
          </w:tcPr>
          <w:p w14:paraId="49B8747D">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72EF2C2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3A4F39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13F7058F">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*铝</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37A8397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0.035</w:t>
            </w:r>
          </w:p>
        </w:tc>
        <w:tc>
          <w:tcPr>
            <w:tcW w:w="1335" w:type="dxa"/>
            <w:tcBorders>
              <w:top w:val="single" w:color="auto" w:sz="4" w:space="0"/>
              <w:left w:val="single" w:color="auto" w:sz="4" w:space="0"/>
              <w:bottom w:val="single" w:color="auto" w:sz="4" w:space="0"/>
              <w:right w:val="single" w:color="auto" w:sz="4" w:space="0"/>
            </w:tcBorders>
            <w:vAlign w:val="center"/>
          </w:tcPr>
          <w:p w14:paraId="77F2E845">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0.012</w:t>
            </w:r>
          </w:p>
        </w:tc>
        <w:tc>
          <w:tcPr>
            <w:tcW w:w="1335" w:type="dxa"/>
            <w:tcBorders>
              <w:top w:val="single" w:color="auto" w:sz="4" w:space="0"/>
              <w:left w:val="single" w:color="auto" w:sz="4" w:space="0"/>
              <w:bottom w:val="single" w:color="auto" w:sz="4" w:space="0"/>
              <w:right w:val="single" w:color="auto" w:sz="4" w:space="0"/>
            </w:tcBorders>
            <w:vAlign w:val="center"/>
          </w:tcPr>
          <w:p w14:paraId="23AA789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0.019</w:t>
            </w:r>
          </w:p>
        </w:tc>
        <w:tc>
          <w:tcPr>
            <w:tcW w:w="1289" w:type="dxa"/>
            <w:tcBorders>
              <w:top w:val="single" w:color="auto" w:sz="4" w:space="0"/>
              <w:left w:val="single" w:color="auto" w:sz="4" w:space="0"/>
              <w:bottom w:val="single" w:color="auto" w:sz="4" w:space="0"/>
              <w:right w:val="single" w:color="auto" w:sz="4" w:space="0"/>
            </w:tcBorders>
            <w:vAlign w:val="center"/>
          </w:tcPr>
          <w:p w14:paraId="7EB2A44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12B789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DC2A35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14:paraId="7FF32873">
            <w:pPr>
              <w:pStyle w:val="2"/>
              <w:pageBreakBefore w:val="0"/>
              <w:shd w:val="clear"/>
              <w:kinsoku/>
              <w:wordWrap/>
              <w:overflowPunct/>
              <w:topLinePunct/>
              <w:autoSpaceDE w:val="0"/>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*碘化物</w:t>
            </w:r>
            <w:r>
              <w:rPr>
                <w:rFonts w:hint="default" w:ascii="Times New Roman" w:hAnsi="Times New Roman" w:eastAsia="宋体" w:cs="Times New Roman"/>
                <w:color w:val="auto"/>
                <w:spacing w:val="-11"/>
                <w:kern w:val="0"/>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mg/L</w:t>
            </w:r>
            <w:r>
              <w:rPr>
                <w:rFonts w:hint="default" w:ascii="Times New Roman" w:hAnsi="Times New Roman" w:eastAsia="宋体" w:cs="Times New Roman"/>
                <w:color w:val="auto"/>
                <w:spacing w:val="-11"/>
                <w:kern w:val="0"/>
                <w:sz w:val="21"/>
                <w:szCs w:val="21"/>
                <w:highlight w:val="none"/>
                <w:lang w:val="en-US" w:eastAsia="zh-CN" w:bidi="ar-SA"/>
              </w:rPr>
              <w:t>）</w:t>
            </w:r>
          </w:p>
        </w:tc>
        <w:tc>
          <w:tcPr>
            <w:tcW w:w="1334" w:type="dxa"/>
            <w:tcBorders>
              <w:top w:val="single" w:color="auto" w:sz="4" w:space="0"/>
              <w:left w:val="single" w:color="auto" w:sz="4" w:space="0"/>
              <w:bottom w:val="single" w:color="auto" w:sz="4" w:space="0"/>
              <w:right w:val="single" w:color="auto" w:sz="4" w:space="0"/>
            </w:tcBorders>
            <w:vAlign w:val="center"/>
          </w:tcPr>
          <w:p w14:paraId="0F9B32E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0.313</w:t>
            </w:r>
          </w:p>
        </w:tc>
        <w:tc>
          <w:tcPr>
            <w:tcW w:w="1335" w:type="dxa"/>
            <w:tcBorders>
              <w:top w:val="single" w:color="auto" w:sz="4" w:space="0"/>
              <w:left w:val="single" w:color="auto" w:sz="4" w:space="0"/>
              <w:bottom w:val="single" w:color="auto" w:sz="4" w:space="0"/>
              <w:right w:val="single" w:color="auto" w:sz="4" w:space="0"/>
            </w:tcBorders>
            <w:vAlign w:val="center"/>
          </w:tcPr>
          <w:p w14:paraId="675BA50F">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0.313</w:t>
            </w:r>
          </w:p>
        </w:tc>
        <w:tc>
          <w:tcPr>
            <w:tcW w:w="1335" w:type="dxa"/>
            <w:tcBorders>
              <w:top w:val="single" w:color="auto" w:sz="4" w:space="0"/>
              <w:left w:val="single" w:color="auto" w:sz="4" w:space="0"/>
              <w:bottom w:val="single" w:color="auto" w:sz="4" w:space="0"/>
              <w:right w:val="single" w:color="auto" w:sz="4" w:space="0"/>
            </w:tcBorders>
            <w:vAlign w:val="center"/>
          </w:tcPr>
          <w:p w14:paraId="4977456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0.313</w:t>
            </w:r>
          </w:p>
        </w:tc>
        <w:tc>
          <w:tcPr>
            <w:tcW w:w="1289" w:type="dxa"/>
            <w:tcBorders>
              <w:top w:val="single" w:color="auto" w:sz="4" w:space="0"/>
              <w:left w:val="single" w:color="auto" w:sz="4" w:space="0"/>
              <w:bottom w:val="single" w:color="auto" w:sz="4" w:space="0"/>
              <w:right w:val="single" w:color="auto" w:sz="4" w:space="0"/>
            </w:tcBorders>
            <w:vAlign w:val="center"/>
          </w:tcPr>
          <w:p w14:paraId="1FFDCF8A">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达标</w:t>
            </w:r>
          </w:p>
        </w:tc>
        <w:tc>
          <w:tcPr>
            <w:tcW w:w="1289" w:type="dxa"/>
            <w:tcBorders>
              <w:top w:val="single" w:color="auto" w:sz="4" w:space="0"/>
              <w:left w:val="single" w:color="auto" w:sz="4" w:space="0"/>
              <w:bottom w:val="single" w:color="auto" w:sz="4" w:space="0"/>
              <w:right w:val="single" w:color="auto" w:sz="4" w:space="0"/>
            </w:tcBorders>
            <w:vAlign w:val="center"/>
          </w:tcPr>
          <w:p w14:paraId="663A2EB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bl>
    <w:p w14:paraId="5391B2C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从</w:t>
      </w:r>
      <w:r>
        <w:rPr>
          <w:rFonts w:hint="default" w:ascii="Times New Roman" w:hAnsi="Times New Roman" w:eastAsia="宋体" w:cs="Times New Roman"/>
          <w:color w:val="auto"/>
          <w:sz w:val="24"/>
          <w:szCs w:val="24"/>
          <w:highlight w:val="none"/>
        </w:rPr>
        <w:t>地下水监测结果可以看出，1、五原县兄弟农民专业合作社W1项目区西北水井检测项目钙和镁总量（总硬度）、溶解性总固体、氯化物、氨氮、钠不符合《地下水质量标准》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p>
    <w:p w14:paraId="73F9D81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2、五原县兄弟农民专业合作社W2项目区西北水井检测项目钾、钙、镁、碳酸盐、重碳酸盐、氯离子、硫酸根在《地下水质量标准》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p>
    <w:p w14:paraId="2D9520A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3、五原县兄弟农民专业合作社W3项目区西北水井检测项目钙和镁总量（总硬度）、溶解性总固体、氯化物、高锰酸盐指数、氨氮、钠不符合《地下水质量标准》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r>
        <w:rPr>
          <w:rFonts w:hint="default" w:ascii="Times New Roman" w:hAnsi="Times New Roman" w:eastAsia="宋体" w:cs="Times New Roman"/>
          <w:color w:val="auto"/>
          <w:highlight w:val="none"/>
          <w:lang w:eastAsia="zh-CN"/>
        </w:rPr>
        <w:t>。</w:t>
      </w:r>
    </w:p>
    <w:p w14:paraId="6E75FC1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超标原因：</w:t>
      </w:r>
      <w:r>
        <w:rPr>
          <w:rFonts w:hint="default" w:ascii="Times New Roman" w:hAnsi="Times New Roman" w:eastAsia="宋体" w:cs="Times New Roman"/>
          <w:color w:val="auto"/>
          <w:highlight w:val="none"/>
          <w:lang w:val="en-US" w:eastAsia="zh-CN"/>
        </w:rPr>
        <w:t>由于</w:t>
      </w:r>
      <w:r>
        <w:rPr>
          <w:rFonts w:hint="default" w:ascii="Times New Roman" w:hAnsi="Times New Roman" w:eastAsia="宋体" w:cs="Times New Roman"/>
          <w:color w:val="auto"/>
          <w:highlight w:val="none"/>
        </w:rPr>
        <w:t>评价区含水层形成环境与现状地下水特征所决定的。</w:t>
      </w:r>
    </w:p>
    <w:p w14:paraId="3BA0653B">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378" w:name="_Toc27386"/>
      <w:r>
        <w:rPr>
          <w:rFonts w:hint="default" w:ascii="Times New Roman" w:hAnsi="Times New Roman" w:eastAsia="宋体" w:cs="Times New Roman"/>
          <w:color w:val="auto"/>
          <w:highlight w:val="none"/>
        </w:rPr>
        <w:t>4.2.3土壤环境质量现状调查与评价</w:t>
      </w:r>
      <w:bookmarkEnd w:id="378"/>
    </w:p>
    <w:p w14:paraId="28A8BDC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本次评价土壤现状数据委托</w:t>
      </w:r>
      <w:r>
        <w:rPr>
          <w:rFonts w:hint="default" w:ascii="Times New Roman" w:hAnsi="Times New Roman" w:eastAsia="宋体" w:cs="Times New Roman"/>
          <w:color w:val="auto"/>
          <w:highlight w:val="none"/>
          <w:lang w:eastAsia="zh-CN"/>
        </w:rPr>
        <w:t>内蒙古双旭环境检测有限公司</w:t>
      </w:r>
      <w:r>
        <w:rPr>
          <w:rFonts w:hint="default" w:ascii="Times New Roman" w:hAnsi="Times New Roman" w:eastAsia="宋体" w:cs="Times New Roman"/>
          <w:color w:val="auto"/>
          <w:highlight w:val="none"/>
        </w:rPr>
        <w:t>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日（采样一次）对本项目进行的土壤质量现状</w:t>
      </w:r>
      <w:r>
        <w:rPr>
          <w:rFonts w:hint="default" w:ascii="Times New Roman" w:hAnsi="Times New Roman" w:eastAsia="宋体" w:cs="Times New Roman"/>
          <w:color w:val="auto"/>
          <w:highlight w:val="none"/>
          <w:lang w:eastAsia="zh-CN"/>
        </w:rPr>
        <w:t>监测</w:t>
      </w:r>
      <w:r>
        <w:rPr>
          <w:rFonts w:hint="default" w:ascii="Times New Roman" w:hAnsi="Times New Roman" w:eastAsia="宋体" w:cs="Times New Roman"/>
          <w:color w:val="auto"/>
          <w:highlight w:val="none"/>
        </w:rPr>
        <w:t>。</w:t>
      </w:r>
    </w:p>
    <w:p w14:paraId="3DCBA795">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4.2.3.1监测布点</w:t>
      </w:r>
    </w:p>
    <w:p w14:paraId="322AD4D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w:t>
      </w:r>
      <w:r>
        <w:rPr>
          <w:rFonts w:hint="default" w:ascii="Times New Roman" w:hAnsi="Times New Roman" w:eastAsia="宋体" w:cs="Times New Roman"/>
          <w:color w:val="auto"/>
          <w:highlight w:val="none"/>
          <w:lang w:val="en-US" w:eastAsia="zh-CN"/>
        </w:rPr>
        <w:t>在</w:t>
      </w:r>
      <w:r>
        <w:rPr>
          <w:rFonts w:hint="default" w:ascii="Times New Roman" w:hAnsi="Times New Roman" w:eastAsia="宋体" w:cs="Times New Roman"/>
          <w:color w:val="auto"/>
          <w:highlight w:val="none"/>
        </w:rPr>
        <w:t>占地范围</w:t>
      </w:r>
      <w:r>
        <w:rPr>
          <w:rFonts w:hint="default" w:ascii="Times New Roman" w:hAnsi="Times New Roman" w:eastAsia="宋体" w:cs="Times New Roman"/>
          <w:color w:val="auto"/>
          <w:highlight w:val="none"/>
          <w:lang w:eastAsia="zh-CN"/>
        </w:rPr>
        <w:t>内</w:t>
      </w:r>
      <w:r>
        <w:rPr>
          <w:rFonts w:hint="default" w:ascii="Times New Roman" w:hAnsi="Times New Roman" w:eastAsia="宋体" w:cs="Times New Roman"/>
          <w:color w:val="auto"/>
          <w:highlight w:val="none"/>
        </w:rPr>
        <w:t>共布设</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个土壤监测点，满足</w:t>
      </w:r>
      <w:r>
        <w:rPr>
          <w:rFonts w:hint="default" w:ascii="Times New Roman" w:hAnsi="Times New Roman" w:eastAsia="宋体" w:cs="Times New Roman"/>
          <w:color w:val="auto"/>
          <w:highlight w:val="none"/>
          <w:lang w:val="en-GB"/>
        </w:rPr>
        <w:t>《</w:t>
      </w:r>
      <w:r>
        <w:rPr>
          <w:rFonts w:hint="default" w:ascii="Times New Roman" w:hAnsi="Times New Roman" w:eastAsia="宋体" w:cs="Times New Roman"/>
          <w:color w:val="auto"/>
          <w:highlight w:val="none"/>
          <w:lang w:val="en-GB" w:eastAsia="zh-CN"/>
        </w:rPr>
        <w:t>环境影响评价技术导则</w:t>
      </w:r>
      <w:r>
        <w:rPr>
          <w:rFonts w:hint="default" w:ascii="Times New Roman" w:hAnsi="Times New Roman" w:eastAsia="宋体" w:cs="Times New Roman"/>
          <w:color w:val="auto"/>
          <w:highlight w:val="none"/>
          <w:lang w:val="en-GB"/>
        </w:rPr>
        <w:t>土壤环境（试行）》（HJ964-2018）要求</w:t>
      </w:r>
      <w:r>
        <w:rPr>
          <w:rFonts w:hint="default" w:ascii="Times New Roman" w:hAnsi="Times New Roman" w:eastAsia="宋体" w:cs="Times New Roman"/>
          <w:color w:val="auto"/>
          <w:highlight w:val="none"/>
        </w:rPr>
        <w:t>。</w:t>
      </w:r>
    </w:p>
    <w:p w14:paraId="7B8D4D7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本次共布设</w:t>
      </w:r>
      <w:r>
        <w:rPr>
          <w:rFonts w:hint="default" w:ascii="Times New Roman" w:hAnsi="Times New Roman" w:eastAsia="宋体" w:cs="Times New Roman"/>
          <w:color w:val="auto"/>
          <w:highlight w:val="none"/>
          <w:lang w:val="en-US" w:eastAsia="zh-CN"/>
        </w:rPr>
        <w:t>3个</w:t>
      </w:r>
      <w:r>
        <w:rPr>
          <w:rFonts w:hint="default" w:ascii="Times New Roman" w:hAnsi="Times New Roman" w:eastAsia="宋体" w:cs="Times New Roman"/>
          <w:color w:val="auto"/>
          <w:highlight w:val="none"/>
        </w:rPr>
        <w:t>点，监测点位及监测项目设置情况见下表。</w:t>
      </w:r>
    </w:p>
    <w:p w14:paraId="57191C72">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土壤监测布点表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1182"/>
        <w:gridCol w:w="3547"/>
        <w:gridCol w:w="1183"/>
        <w:gridCol w:w="1183"/>
      </w:tblGrid>
      <w:tr w14:paraId="00F3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26E93B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567" w:type="dxa"/>
            <w:vAlign w:val="center"/>
          </w:tcPr>
          <w:p w14:paraId="200ECF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位置</w:t>
            </w:r>
          </w:p>
        </w:tc>
        <w:tc>
          <w:tcPr>
            <w:tcW w:w="1701" w:type="dxa"/>
            <w:vAlign w:val="center"/>
          </w:tcPr>
          <w:p w14:paraId="44DDA9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坐标</w:t>
            </w:r>
          </w:p>
        </w:tc>
        <w:tc>
          <w:tcPr>
            <w:tcW w:w="567" w:type="dxa"/>
            <w:vAlign w:val="center"/>
          </w:tcPr>
          <w:p w14:paraId="2D7E61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采样点</w:t>
            </w:r>
          </w:p>
        </w:tc>
        <w:tc>
          <w:tcPr>
            <w:tcW w:w="567" w:type="dxa"/>
            <w:vAlign w:val="center"/>
          </w:tcPr>
          <w:p w14:paraId="1C109F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r>
      <w:tr w14:paraId="3584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5A3F13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T1</w:t>
            </w:r>
          </w:p>
        </w:tc>
        <w:tc>
          <w:tcPr>
            <w:tcW w:w="567" w:type="dxa"/>
            <w:vAlign w:val="center"/>
          </w:tcPr>
          <w:p w14:paraId="499AFA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厂</w:t>
            </w:r>
            <w:r>
              <w:rPr>
                <w:rFonts w:hint="default" w:ascii="Times New Roman" w:hAnsi="Times New Roman" w:eastAsia="宋体" w:cs="Times New Roman"/>
                <w:color w:val="auto"/>
                <w:kern w:val="0"/>
                <w:sz w:val="21"/>
                <w:szCs w:val="21"/>
                <w:highlight w:val="none"/>
              </w:rPr>
              <w:t>区内□</w:t>
            </w:r>
            <w:r>
              <w:rPr>
                <w:rFonts w:hint="default" w:ascii="Times New Roman" w:hAnsi="Times New Roman" w:eastAsia="宋体" w:cs="Times New Roman"/>
                <w:color w:val="auto"/>
                <w:kern w:val="0"/>
                <w:sz w:val="21"/>
                <w:szCs w:val="21"/>
                <w:highlight w:val="none"/>
                <w:lang w:val="en-US" w:eastAsia="zh-CN"/>
              </w:rPr>
              <w:t>1</w:t>
            </w:r>
          </w:p>
        </w:tc>
        <w:tc>
          <w:tcPr>
            <w:tcW w:w="1701" w:type="dxa"/>
            <w:vAlign w:val="center"/>
          </w:tcPr>
          <w:p w14:paraId="3A877D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E</w:t>
            </w:r>
            <w:r>
              <w:rPr>
                <w:rFonts w:hint="default" w:ascii="Times New Roman" w:hAnsi="Times New Roman" w:eastAsia="宋体" w:cs="Times New Roman"/>
                <w:color w:val="auto"/>
                <w:kern w:val="0"/>
                <w:sz w:val="21"/>
                <w:szCs w:val="21"/>
                <w:highlight w:val="none"/>
              </w:rPr>
              <w:t>108°55′59.44″</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N</w:t>
            </w:r>
            <w:r>
              <w:rPr>
                <w:rFonts w:hint="default" w:ascii="Times New Roman" w:hAnsi="Times New Roman" w:eastAsia="宋体" w:cs="Times New Roman"/>
                <w:color w:val="auto"/>
                <w:kern w:val="0"/>
                <w:sz w:val="21"/>
                <w:szCs w:val="21"/>
                <w:highlight w:val="none"/>
              </w:rPr>
              <w:t>41°7′8.89″</w:t>
            </w:r>
          </w:p>
        </w:tc>
        <w:tc>
          <w:tcPr>
            <w:tcW w:w="567" w:type="dxa"/>
            <w:vMerge w:val="restart"/>
            <w:vAlign w:val="center"/>
          </w:tcPr>
          <w:p w14:paraId="4DDA8D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表层样</w:t>
            </w:r>
          </w:p>
        </w:tc>
        <w:tc>
          <w:tcPr>
            <w:tcW w:w="567" w:type="dxa"/>
            <w:vMerge w:val="restart"/>
            <w:vAlign w:val="center"/>
          </w:tcPr>
          <w:p w14:paraId="218D15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pH、镉、汞、砷、铅、铬、铜、镍、锌</w:t>
            </w:r>
          </w:p>
        </w:tc>
      </w:tr>
      <w:tr w14:paraId="2B93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7781C2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T2</w:t>
            </w:r>
          </w:p>
        </w:tc>
        <w:tc>
          <w:tcPr>
            <w:tcW w:w="567" w:type="dxa"/>
            <w:vAlign w:val="center"/>
          </w:tcPr>
          <w:p w14:paraId="040145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厂</w:t>
            </w:r>
            <w:r>
              <w:rPr>
                <w:rFonts w:hint="default" w:ascii="Times New Roman" w:hAnsi="Times New Roman" w:eastAsia="宋体" w:cs="Times New Roman"/>
                <w:color w:val="auto"/>
                <w:kern w:val="0"/>
                <w:sz w:val="21"/>
                <w:szCs w:val="21"/>
                <w:highlight w:val="none"/>
              </w:rPr>
              <w:t>区内□</w:t>
            </w:r>
            <w:r>
              <w:rPr>
                <w:rFonts w:hint="default" w:ascii="Times New Roman" w:hAnsi="Times New Roman" w:eastAsia="宋体" w:cs="Times New Roman"/>
                <w:color w:val="auto"/>
                <w:kern w:val="0"/>
                <w:sz w:val="21"/>
                <w:szCs w:val="21"/>
                <w:highlight w:val="none"/>
                <w:lang w:val="en-US" w:eastAsia="zh-CN"/>
              </w:rPr>
              <w:t>2</w:t>
            </w:r>
          </w:p>
        </w:tc>
        <w:tc>
          <w:tcPr>
            <w:tcW w:w="1701" w:type="dxa"/>
            <w:vAlign w:val="center"/>
          </w:tcPr>
          <w:p w14:paraId="4CAC29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E</w:t>
            </w:r>
            <w:r>
              <w:rPr>
                <w:rFonts w:hint="default" w:ascii="Times New Roman" w:hAnsi="Times New Roman" w:eastAsia="宋体" w:cs="Times New Roman"/>
                <w:color w:val="auto"/>
                <w:kern w:val="0"/>
                <w:sz w:val="21"/>
                <w:szCs w:val="21"/>
                <w:highlight w:val="none"/>
              </w:rPr>
              <w:t>108°55′53.89″</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N</w:t>
            </w:r>
            <w:r>
              <w:rPr>
                <w:rFonts w:hint="default" w:ascii="Times New Roman" w:hAnsi="Times New Roman" w:eastAsia="宋体" w:cs="Times New Roman"/>
                <w:color w:val="auto"/>
                <w:kern w:val="0"/>
                <w:sz w:val="21"/>
                <w:szCs w:val="21"/>
                <w:highlight w:val="none"/>
              </w:rPr>
              <w:t>41°7′12.9</w:t>
            </w:r>
            <w:r>
              <w:rPr>
                <w:rFonts w:hint="default" w:ascii="Times New Roman" w:hAnsi="Times New Roman" w:eastAsia="宋体" w:cs="Times New Roman"/>
                <w:color w:val="auto"/>
                <w:kern w:val="0"/>
                <w:sz w:val="21"/>
                <w:szCs w:val="21"/>
                <w:highlight w:val="none"/>
                <w:lang w:val="en-US" w:eastAsia="zh-CN"/>
              </w:rPr>
              <w:t>8</w:t>
            </w:r>
            <w:r>
              <w:rPr>
                <w:rFonts w:hint="default" w:ascii="Times New Roman" w:hAnsi="Times New Roman" w:eastAsia="宋体" w:cs="Times New Roman"/>
                <w:color w:val="auto"/>
                <w:kern w:val="0"/>
                <w:sz w:val="21"/>
                <w:szCs w:val="21"/>
                <w:highlight w:val="none"/>
              </w:rPr>
              <w:t>″</w:t>
            </w:r>
          </w:p>
        </w:tc>
        <w:tc>
          <w:tcPr>
            <w:tcW w:w="567" w:type="dxa"/>
            <w:vMerge w:val="continue"/>
            <w:vAlign w:val="center"/>
          </w:tcPr>
          <w:p w14:paraId="6F179C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567" w:type="dxa"/>
            <w:vMerge w:val="continue"/>
            <w:vAlign w:val="center"/>
          </w:tcPr>
          <w:p w14:paraId="2FB34C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r>
      <w:tr w14:paraId="7DE9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Align w:val="center"/>
          </w:tcPr>
          <w:p w14:paraId="036B08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T3</w:t>
            </w:r>
          </w:p>
        </w:tc>
        <w:tc>
          <w:tcPr>
            <w:tcW w:w="567" w:type="dxa"/>
            <w:vAlign w:val="center"/>
          </w:tcPr>
          <w:p w14:paraId="2170F5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厂</w:t>
            </w:r>
            <w:r>
              <w:rPr>
                <w:rFonts w:hint="default" w:ascii="Times New Roman" w:hAnsi="Times New Roman" w:eastAsia="宋体" w:cs="Times New Roman"/>
                <w:color w:val="auto"/>
                <w:kern w:val="0"/>
                <w:sz w:val="21"/>
                <w:szCs w:val="21"/>
                <w:highlight w:val="none"/>
              </w:rPr>
              <w:t>区内□</w:t>
            </w:r>
            <w:r>
              <w:rPr>
                <w:rFonts w:hint="default" w:ascii="Times New Roman" w:hAnsi="Times New Roman" w:eastAsia="宋体" w:cs="Times New Roman"/>
                <w:color w:val="auto"/>
                <w:kern w:val="0"/>
                <w:sz w:val="21"/>
                <w:szCs w:val="21"/>
                <w:highlight w:val="none"/>
                <w:lang w:val="en-US" w:eastAsia="zh-CN"/>
              </w:rPr>
              <w:t>3</w:t>
            </w:r>
          </w:p>
        </w:tc>
        <w:tc>
          <w:tcPr>
            <w:tcW w:w="1701" w:type="dxa"/>
            <w:vAlign w:val="center"/>
          </w:tcPr>
          <w:p w14:paraId="25BF30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E</w:t>
            </w:r>
            <w:r>
              <w:rPr>
                <w:rFonts w:hint="default" w:ascii="Times New Roman" w:hAnsi="Times New Roman" w:eastAsia="宋体" w:cs="Times New Roman"/>
                <w:color w:val="auto"/>
                <w:kern w:val="0"/>
                <w:sz w:val="21"/>
                <w:szCs w:val="21"/>
                <w:highlight w:val="none"/>
              </w:rPr>
              <w:t>108°55′59.99″</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N</w:t>
            </w:r>
            <w:r>
              <w:rPr>
                <w:rFonts w:hint="default" w:ascii="Times New Roman" w:hAnsi="Times New Roman" w:eastAsia="宋体" w:cs="Times New Roman"/>
                <w:color w:val="auto"/>
                <w:kern w:val="0"/>
                <w:sz w:val="21"/>
                <w:szCs w:val="21"/>
                <w:highlight w:val="none"/>
              </w:rPr>
              <w:t>41°7′6.64″</w:t>
            </w:r>
          </w:p>
        </w:tc>
        <w:tc>
          <w:tcPr>
            <w:tcW w:w="567" w:type="dxa"/>
            <w:vMerge w:val="continue"/>
            <w:vAlign w:val="center"/>
          </w:tcPr>
          <w:p w14:paraId="4D7F46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567" w:type="dxa"/>
            <w:vMerge w:val="continue"/>
            <w:vAlign w:val="center"/>
          </w:tcPr>
          <w:p w14:paraId="417FBC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r>
    </w:tbl>
    <w:p w14:paraId="12AFD81A">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4.2.3.2监测因子</w:t>
      </w:r>
    </w:p>
    <w:p w14:paraId="561F1A5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pH、镉、汞、砷、铅、铬、铜、镍、锌；</w:t>
      </w:r>
    </w:p>
    <w:p w14:paraId="03BEE745">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4.2.3.</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监测方法</w:t>
      </w:r>
    </w:p>
    <w:p w14:paraId="1713E2D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kern w:val="0"/>
          <w:highlight w:val="none"/>
        </w:rPr>
      </w:pPr>
      <w:bookmarkStart w:id="379" w:name="_Toc521342156"/>
      <w:bookmarkStart w:id="380" w:name="_Toc494206318"/>
      <w:r>
        <w:rPr>
          <w:rFonts w:hint="default" w:ascii="Times New Roman" w:hAnsi="Times New Roman" w:eastAsia="宋体" w:cs="Times New Roman"/>
          <w:color w:val="auto"/>
          <w:kern w:val="0"/>
          <w:highlight w:val="none"/>
        </w:rPr>
        <w:t>采样和分析方法按《土壤环境监测技术规范》（HJ/T166</w:t>
      </w:r>
      <w:r>
        <w:rPr>
          <w:rFonts w:hint="default" w:ascii="Times New Roman" w:hAnsi="Times New Roman" w:eastAsia="宋体" w:cs="Times New Roman"/>
          <w:color w:val="auto"/>
          <w:kern w:val="0"/>
          <w:highlight w:val="none"/>
          <w:lang w:eastAsia="zh-CN"/>
        </w:rPr>
        <w:t>-</w:t>
      </w:r>
      <w:r>
        <w:rPr>
          <w:rFonts w:hint="default" w:ascii="Times New Roman" w:hAnsi="Times New Roman" w:eastAsia="宋体" w:cs="Times New Roman"/>
          <w:color w:val="auto"/>
          <w:kern w:val="0"/>
          <w:highlight w:val="none"/>
        </w:rPr>
        <w:t>2004）及</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土壤环境质量 建设用地土壤污染风险管控标准</w:t>
      </w:r>
      <w:r>
        <w:rPr>
          <w:rFonts w:hint="default" w:ascii="Times New Roman" w:hAnsi="Times New Roman" w:eastAsia="宋体" w:cs="Times New Roman"/>
          <w:color w:val="auto"/>
          <w:sz w:val="24"/>
          <w:highlight w:val="none"/>
        </w:rPr>
        <w:t>（试行）》（GB36600-2018）</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eastAsia="宋体" w:cs="Times New Roman"/>
          <w:color w:val="auto"/>
          <w:kern w:val="0"/>
          <w:highlight w:val="none"/>
        </w:rPr>
        <w:t>相关要求进行，见下表。</w:t>
      </w:r>
    </w:p>
    <w:p w14:paraId="5A6692A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土壤监测</w:t>
      </w:r>
      <w:r>
        <w:rPr>
          <w:rFonts w:hint="default" w:ascii="Times New Roman" w:hAnsi="Times New Roman" w:eastAsia="宋体" w:cs="Times New Roman"/>
          <w:color w:val="auto"/>
          <w:sz w:val="24"/>
          <w:szCs w:val="24"/>
          <w:highlight w:val="none"/>
        </w:rPr>
        <w:t>项目分析方法</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358"/>
        <w:gridCol w:w="2684"/>
        <w:gridCol w:w="2303"/>
        <w:gridCol w:w="1305"/>
      </w:tblGrid>
      <w:tr w14:paraId="5E81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00" w:type="dxa"/>
            <w:vAlign w:val="center"/>
          </w:tcPr>
          <w:p w14:paraId="4A9F280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序号</w:t>
            </w:r>
          </w:p>
        </w:tc>
        <w:tc>
          <w:tcPr>
            <w:tcW w:w="1563" w:type="dxa"/>
            <w:vAlign w:val="center"/>
          </w:tcPr>
          <w:p w14:paraId="649F714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3127" w:type="dxa"/>
            <w:vAlign w:val="center"/>
          </w:tcPr>
          <w:p w14:paraId="4D007D4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分析方法</w:t>
            </w:r>
          </w:p>
        </w:tc>
        <w:tc>
          <w:tcPr>
            <w:tcW w:w="2677" w:type="dxa"/>
            <w:vAlign w:val="center"/>
          </w:tcPr>
          <w:p w14:paraId="0093D24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检测仪器及编号</w:t>
            </w:r>
          </w:p>
        </w:tc>
        <w:tc>
          <w:tcPr>
            <w:tcW w:w="1500" w:type="dxa"/>
            <w:vAlign w:val="center"/>
          </w:tcPr>
          <w:p w14:paraId="003612A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检出限</w:t>
            </w:r>
          </w:p>
        </w:tc>
      </w:tr>
      <w:tr w14:paraId="7712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163AE30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563" w:type="dxa"/>
            <w:vAlign w:val="center"/>
          </w:tcPr>
          <w:p w14:paraId="43C0418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pH</w:t>
            </w:r>
          </w:p>
        </w:tc>
        <w:tc>
          <w:tcPr>
            <w:tcW w:w="3127" w:type="dxa"/>
            <w:tcBorders>
              <w:top w:val="single" w:color="auto" w:sz="4" w:space="0"/>
              <w:left w:val="single" w:color="auto" w:sz="4" w:space="0"/>
              <w:bottom w:val="single" w:color="auto" w:sz="4" w:space="0"/>
              <w:right w:val="single" w:color="auto" w:sz="4" w:space="0"/>
            </w:tcBorders>
            <w:vAlign w:val="center"/>
          </w:tcPr>
          <w:p w14:paraId="00FF9FA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《土壤pH的测定电位法》HJ926-2018</w:t>
            </w:r>
          </w:p>
        </w:tc>
        <w:tc>
          <w:tcPr>
            <w:tcW w:w="2677" w:type="dxa"/>
            <w:vAlign w:val="center"/>
          </w:tcPr>
          <w:p w14:paraId="5774DA1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PHS-3EPH计</w:t>
            </w:r>
          </w:p>
          <w:p w14:paraId="5683B36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SXE-18-01</w:t>
            </w:r>
          </w:p>
        </w:tc>
        <w:tc>
          <w:tcPr>
            <w:tcW w:w="1500" w:type="dxa"/>
            <w:vAlign w:val="center"/>
          </w:tcPr>
          <w:p w14:paraId="7D5C7085">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6795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F5255A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563" w:type="dxa"/>
            <w:vAlign w:val="center"/>
          </w:tcPr>
          <w:p w14:paraId="45DFDD5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砷</w:t>
            </w:r>
          </w:p>
        </w:tc>
        <w:tc>
          <w:tcPr>
            <w:tcW w:w="3127" w:type="dxa"/>
            <w:tcBorders>
              <w:top w:val="single" w:color="auto" w:sz="4" w:space="0"/>
              <w:left w:val="single" w:color="auto" w:sz="4" w:space="0"/>
              <w:bottom w:val="single" w:color="auto" w:sz="4" w:space="0"/>
              <w:right w:val="single" w:color="auto" w:sz="4" w:space="0"/>
            </w:tcBorders>
            <w:vAlign w:val="center"/>
          </w:tcPr>
          <w:p w14:paraId="660224C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《土壤和沉积物汞、砷、硒、铋、锑的测定微波消解/原子荧光法》HJ680-2013</w:t>
            </w:r>
          </w:p>
        </w:tc>
        <w:tc>
          <w:tcPr>
            <w:tcW w:w="2677" w:type="dxa"/>
            <w:vAlign w:val="center"/>
          </w:tcPr>
          <w:p w14:paraId="3166A54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AFS-933原子荧光分光光度计SXE-03-01</w:t>
            </w:r>
          </w:p>
        </w:tc>
        <w:tc>
          <w:tcPr>
            <w:tcW w:w="1500" w:type="dxa"/>
            <w:vAlign w:val="center"/>
          </w:tcPr>
          <w:p w14:paraId="324C4A7D">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0.01</w:t>
            </w:r>
            <w:r>
              <w:rPr>
                <w:rFonts w:hint="default" w:ascii="Times New Roman" w:hAnsi="Times New Roman" w:eastAsia="宋体" w:cs="Times New Roman"/>
                <w:color w:val="auto"/>
                <w:kern w:val="0"/>
                <w:sz w:val="21"/>
                <w:szCs w:val="21"/>
                <w:highlight w:val="none"/>
              </w:rPr>
              <w:t>mg/kg</w:t>
            </w:r>
          </w:p>
        </w:tc>
      </w:tr>
      <w:tr w14:paraId="2301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0380A3B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563" w:type="dxa"/>
            <w:vAlign w:val="center"/>
          </w:tcPr>
          <w:p w14:paraId="407E85F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镉</w:t>
            </w:r>
          </w:p>
        </w:tc>
        <w:tc>
          <w:tcPr>
            <w:tcW w:w="3127" w:type="dxa"/>
            <w:tcBorders>
              <w:top w:val="single" w:color="auto" w:sz="4" w:space="0"/>
              <w:left w:val="single" w:color="auto" w:sz="4" w:space="0"/>
              <w:bottom w:val="single" w:color="auto" w:sz="4" w:space="0"/>
              <w:right w:val="single" w:color="auto" w:sz="4" w:space="0"/>
            </w:tcBorders>
            <w:vAlign w:val="center"/>
          </w:tcPr>
          <w:p w14:paraId="3064B65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《土壤质量铅、镉的测定石墨炉原子吸收分光光度法》GB/T17141-1997</w:t>
            </w:r>
          </w:p>
        </w:tc>
        <w:tc>
          <w:tcPr>
            <w:tcW w:w="2677" w:type="dxa"/>
            <w:vAlign w:val="center"/>
          </w:tcPr>
          <w:p w14:paraId="462290E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TAS-990AFG原子吸收分光光度计SXE-02-01</w:t>
            </w:r>
          </w:p>
        </w:tc>
        <w:tc>
          <w:tcPr>
            <w:tcW w:w="1500" w:type="dxa"/>
            <w:vAlign w:val="center"/>
          </w:tcPr>
          <w:p w14:paraId="480A2599">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r>
              <w:rPr>
                <w:rFonts w:hint="default" w:ascii="Times New Roman" w:hAnsi="Times New Roman" w:eastAsia="宋体" w:cs="Times New Roman"/>
                <w:color w:val="auto"/>
                <w:kern w:val="0"/>
                <w:sz w:val="21"/>
                <w:szCs w:val="21"/>
                <w:highlight w:val="none"/>
              </w:rPr>
              <w:t>mg/kg</w:t>
            </w:r>
          </w:p>
        </w:tc>
      </w:tr>
      <w:tr w14:paraId="177E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16B8D60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563" w:type="dxa"/>
            <w:vAlign w:val="center"/>
          </w:tcPr>
          <w:p w14:paraId="6780B24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铜</w:t>
            </w:r>
          </w:p>
        </w:tc>
        <w:tc>
          <w:tcPr>
            <w:tcW w:w="3127" w:type="dxa"/>
            <w:tcBorders>
              <w:top w:val="single" w:color="auto" w:sz="4" w:space="0"/>
              <w:left w:val="single" w:color="auto" w:sz="4" w:space="0"/>
              <w:bottom w:val="single" w:color="auto" w:sz="4" w:space="0"/>
              <w:right w:val="single" w:color="auto" w:sz="4" w:space="0"/>
            </w:tcBorders>
            <w:vAlign w:val="center"/>
          </w:tcPr>
          <w:p w14:paraId="4F89E2D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《土壤和沉积物铜、锌、铅、镍、铬火焰原子吸收分光光度法》HJ491-2019</w:t>
            </w:r>
          </w:p>
        </w:tc>
        <w:tc>
          <w:tcPr>
            <w:tcW w:w="2677" w:type="dxa"/>
            <w:vAlign w:val="center"/>
          </w:tcPr>
          <w:p w14:paraId="7EBEAF6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TAS-990AFG原子吸收分光光度计SXE-02-01</w:t>
            </w:r>
          </w:p>
        </w:tc>
        <w:tc>
          <w:tcPr>
            <w:tcW w:w="1500" w:type="dxa"/>
            <w:vAlign w:val="center"/>
          </w:tcPr>
          <w:p w14:paraId="4B545B83">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0"/>
                <w:sz w:val="21"/>
                <w:szCs w:val="21"/>
                <w:highlight w:val="none"/>
              </w:rPr>
              <w:t>mg/kg</w:t>
            </w:r>
          </w:p>
        </w:tc>
      </w:tr>
      <w:tr w14:paraId="7B1B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8B9AFD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563" w:type="dxa"/>
            <w:vAlign w:val="center"/>
          </w:tcPr>
          <w:p w14:paraId="14020E0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铅</w:t>
            </w:r>
          </w:p>
        </w:tc>
        <w:tc>
          <w:tcPr>
            <w:tcW w:w="3127" w:type="dxa"/>
            <w:tcBorders>
              <w:top w:val="single" w:color="auto" w:sz="4" w:space="0"/>
              <w:left w:val="single" w:color="auto" w:sz="4" w:space="0"/>
              <w:bottom w:val="single" w:color="auto" w:sz="4" w:space="0"/>
              <w:right w:val="single" w:color="auto" w:sz="4" w:space="0"/>
            </w:tcBorders>
            <w:vAlign w:val="center"/>
          </w:tcPr>
          <w:p w14:paraId="71FFAD2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《土壤和沉积物铜、锌、铅、镍、铬火焰原子吸收分光光度法》HJ491-2019</w:t>
            </w:r>
          </w:p>
        </w:tc>
        <w:tc>
          <w:tcPr>
            <w:tcW w:w="2677" w:type="dxa"/>
            <w:vAlign w:val="center"/>
          </w:tcPr>
          <w:p w14:paraId="24A9382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TAS-990AFG原子吸收分光光度计SXE-02-01</w:t>
            </w:r>
          </w:p>
        </w:tc>
        <w:tc>
          <w:tcPr>
            <w:tcW w:w="1500" w:type="dxa"/>
            <w:vAlign w:val="center"/>
          </w:tcPr>
          <w:p w14:paraId="79B6D078">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10</w:t>
            </w:r>
            <w:r>
              <w:rPr>
                <w:rFonts w:hint="default" w:ascii="Times New Roman" w:hAnsi="Times New Roman" w:eastAsia="宋体" w:cs="Times New Roman"/>
                <w:color w:val="auto"/>
                <w:kern w:val="0"/>
                <w:sz w:val="21"/>
                <w:szCs w:val="21"/>
                <w:highlight w:val="none"/>
              </w:rPr>
              <w:t>mg/kg</w:t>
            </w:r>
          </w:p>
        </w:tc>
      </w:tr>
      <w:tr w14:paraId="7E0D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683066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1563" w:type="dxa"/>
            <w:vAlign w:val="center"/>
          </w:tcPr>
          <w:p w14:paraId="59B7588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汞</w:t>
            </w:r>
          </w:p>
        </w:tc>
        <w:tc>
          <w:tcPr>
            <w:tcW w:w="3127" w:type="dxa"/>
            <w:tcBorders>
              <w:top w:val="single" w:color="auto" w:sz="4" w:space="0"/>
              <w:left w:val="single" w:color="auto" w:sz="4" w:space="0"/>
              <w:bottom w:val="single" w:color="auto" w:sz="4" w:space="0"/>
              <w:right w:val="single" w:color="auto" w:sz="4" w:space="0"/>
            </w:tcBorders>
            <w:vAlign w:val="center"/>
          </w:tcPr>
          <w:p w14:paraId="1B3D156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《土壤和沉积物汞、砷、硒、铋、锑的测定微波消解/原子荧光法》HJ680-2013</w:t>
            </w:r>
          </w:p>
        </w:tc>
        <w:tc>
          <w:tcPr>
            <w:tcW w:w="2677" w:type="dxa"/>
            <w:vAlign w:val="center"/>
          </w:tcPr>
          <w:p w14:paraId="5AD4BAA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AFS-933原子荧光分光光度计SXE-03-01</w:t>
            </w:r>
          </w:p>
        </w:tc>
        <w:tc>
          <w:tcPr>
            <w:tcW w:w="1500" w:type="dxa"/>
            <w:vAlign w:val="center"/>
          </w:tcPr>
          <w:p w14:paraId="09A389BC">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0.002</w:t>
            </w:r>
            <w:r>
              <w:rPr>
                <w:rFonts w:hint="default" w:ascii="Times New Roman" w:hAnsi="Times New Roman" w:eastAsia="宋体" w:cs="Times New Roman"/>
                <w:color w:val="auto"/>
                <w:kern w:val="0"/>
                <w:sz w:val="21"/>
                <w:szCs w:val="21"/>
                <w:highlight w:val="none"/>
              </w:rPr>
              <w:t>mg/kg</w:t>
            </w:r>
          </w:p>
        </w:tc>
      </w:tr>
      <w:tr w14:paraId="1724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59FE56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1563" w:type="dxa"/>
            <w:vAlign w:val="center"/>
          </w:tcPr>
          <w:p w14:paraId="5AD5055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镍</w:t>
            </w:r>
          </w:p>
        </w:tc>
        <w:tc>
          <w:tcPr>
            <w:tcW w:w="3127" w:type="dxa"/>
            <w:tcBorders>
              <w:top w:val="single" w:color="auto" w:sz="4" w:space="0"/>
              <w:left w:val="single" w:color="auto" w:sz="4" w:space="0"/>
              <w:bottom w:val="single" w:color="auto" w:sz="4" w:space="0"/>
              <w:right w:val="single" w:color="auto" w:sz="4" w:space="0"/>
            </w:tcBorders>
            <w:vAlign w:val="center"/>
          </w:tcPr>
          <w:p w14:paraId="6B1FAD1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《土壤和沉积物铜、锌、铅、镍、铬火焰原子吸收分光光度法》HJ491-2019</w:t>
            </w:r>
          </w:p>
        </w:tc>
        <w:tc>
          <w:tcPr>
            <w:tcW w:w="2677" w:type="dxa"/>
            <w:vAlign w:val="center"/>
          </w:tcPr>
          <w:p w14:paraId="03DF18C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TAS-990AFG原子吸收分光光度计SXE-02-01</w:t>
            </w:r>
          </w:p>
        </w:tc>
        <w:tc>
          <w:tcPr>
            <w:tcW w:w="1500" w:type="dxa"/>
            <w:vAlign w:val="center"/>
          </w:tcPr>
          <w:p w14:paraId="17FD7FED">
            <w:pPr>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0"/>
                <w:sz w:val="21"/>
                <w:szCs w:val="21"/>
                <w:highlight w:val="none"/>
              </w:rPr>
              <w:t>mg/kg</w:t>
            </w:r>
          </w:p>
        </w:tc>
      </w:tr>
      <w:tr w14:paraId="5D13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41A641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1563" w:type="dxa"/>
            <w:vAlign w:val="center"/>
          </w:tcPr>
          <w:p w14:paraId="0DC7175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*六价铬</w:t>
            </w:r>
          </w:p>
        </w:tc>
        <w:tc>
          <w:tcPr>
            <w:tcW w:w="3127" w:type="dxa"/>
            <w:tcBorders>
              <w:top w:val="single" w:color="auto" w:sz="4" w:space="0"/>
              <w:left w:val="single" w:color="auto" w:sz="4" w:space="0"/>
              <w:bottom w:val="single" w:color="auto" w:sz="4" w:space="0"/>
              <w:right w:val="single" w:color="auto" w:sz="4" w:space="0"/>
            </w:tcBorders>
            <w:vAlign w:val="center"/>
          </w:tcPr>
          <w:p w14:paraId="64106E6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《土壤和沉积物六价铬的测定碱溶液提取-火焰原子吸收分光光度法》HJ1082-2019</w:t>
            </w:r>
          </w:p>
        </w:tc>
        <w:tc>
          <w:tcPr>
            <w:tcW w:w="2677" w:type="dxa"/>
            <w:vAlign w:val="center"/>
          </w:tcPr>
          <w:p w14:paraId="5C83AA2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原子吸收分光光度计</w:t>
            </w:r>
          </w:p>
          <w:p w14:paraId="2C83CDF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JPBBJ003</w:t>
            </w:r>
          </w:p>
        </w:tc>
        <w:tc>
          <w:tcPr>
            <w:tcW w:w="1500" w:type="dxa"/>
            <w:vAlign w:val="center"/>
          </w:tcPr>
          <w:p w14:paraId="00F7B3D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0.5㎎/㎏</w:t>
            </w:r>
          </w:p>
        </w:tc>
      </w:tr>
      <w:tr w14:paraId="2EFF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964C35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1563" w:type="dxa"/>
            <w:vAlign w:val="center"/>
          </w:tcPr>
          <w:p w14:paraId="05B8511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*四氯化碳</w:t>
            </w:r>
          </w:p>
        </w:tc>
        <w:tc>
          <w:tcPr>
            <w:tcW w:w="3127" w:type="dxa"/>
            <w:tcBorders>
              <w:top w:val="single" w:color="auto" w:sz="4" w:space="0"/>
              <w:left w:val="single" w:color="auto" w:sz="4" w:space="0"/>
              <w:bottom w:val="single" w:color="auto" w:sz="4" w:space="0"/>
              <w:right w:val="single" w:color="auto" w:sz="4" w:space="0"/>
            </w:tcBorders>
            <w:vAlign w:val="center"/>
          </w:tcPr>
          <w:p w14:paraId="574C3B3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58584F5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1A75C1E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F5F001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1.3μg/kg</w:t>
            </w:r>
          </w:p>
        </w:tc>
      </w:tr>
      <w:tr w14:paraId="4B58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0FB3A9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563" w:type="dxa"/>
            <w:vAlign w:val="center"/>
          </w:tcPr>
          <w:p w14:paraId="54821E8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*氯仿</w:t>
            </w:r>
          </w:p>
        </w:tc>
        <w:tc>
          <w:tcPr>
            <w:tcW w:w="3127" w:type="dxa"/>
            <w:tcBorders>
              <w:top w:val="single" w:color="auto" w:sz="4" w:space="0"/>
              <w:left w:val="single" w:color="auto" w:sz="4" w:space="0"/>
              <w:bottom w:val="single" w:color="auto" w:sz="4" w:space="0"/>
              <w:right w:val="single" w:color="auto" w:sz="4" w:space="0"/>
            </w:tcBorders>
            <w:vAlign w:val="center"/>
          </w:tcPr>
          <w:p w14:paraId="6FC87A8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6338716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3C3C22D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3FD5761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1.1μg/kg</w:t>
            </w:r>
          </w:p>
        </w:tc>
      </w:tr>
      <w:tr w14:paraId="2142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070982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w:t>
            </w:r>
          </w:p>
        </w:tc>
        <w:tc>
          <w:tcPr>
            <w:tcW w:w="1563" w:type="dxa"/>
            <w:vAlign w:val="center"/>
          </w:tcPr>
          <w:p w14:paraId="2062286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*氯甲烷</w:t>
            </w:r>
          </w:p>
        </w:tc>
        <w:tc>
          <w:tcPr>
            <w:tcW w:w="3127" w:type="dxa"/>
            <w:tcBorders>
              <w:top w:val="single" w:color="auto" w:sz="4" w:space="0"/>
              <w:left w:val="single" w:color="auto" w:sz="4" w:space="0"/>
              <w:bottom w:val="single" w:color="auto" w:sz="4" w:space="0"/>
              <w:right w:val="single" w:color="auto" w:sz="4" w:space="0"/>
            </w:tcBorders>
            <w:vAlign w:val="center"/>
          </w:tcPr>
          <w:p w14:paraId="2EF7306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42EF3FC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601A677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70CC131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1.0μg/kg</w:t>
            </w:r>
          </w:p>
        </w:tc>
      </w:tr>
      <w:tr w14:paraId="023F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1244CB2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w:t>
            </w:r>
          </w:p>
        </w:tc>
        <w:tc>
          <w:tcPr>
            <w:tcW w:w="1563" w:type="dxa"/>
            <w:vAlign w:val="center"/>
          </w:tcPr>
          <w:p w14:paraId="02684EF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1-二氯乙烷</w:t>
            </w:r>
          </w:p>
        </w:tc>
        <w:tc>
          <w:tcPr>
            <w:tcW w:w="3127" w:type="dxa"/>
            <w:tcBorders>
              <w:top w:val="single" w:color="auto" w:sz="4" w:space="0"/>
              <w:left w:val="single" w:color="auto" w:sz="4" w:space="0"/>
              <w:bottom w:val="single" w:color="auto" w:sz="4" w:space="0"/>
              <w:right w:val="single" w:color="auto" w:sz="4" w:space="0"/>
            </w:tcBorders>
            <w:vAlign w:val="center"/>
          </w:tcPr>
          <w:p w14:paraId="2B2D3BD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3038C72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724E091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592132B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1704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6819FE1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w:t>
            </w:r>
          </w:p>
        </w:tc>
        <w:tc>
          <w:tcPr>
            <w:tcW w:w="1563" w:type="dxa"/>
            <w:vAlign w:val="center"/>
          </w:tcPr>
          <w:p w14:paraId="1F79878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2-二氯乙烷</w:t>
            </w:r>
          </w:p>
        </w:tc>
        <w:tc>
          <w:tcPr>
            <w:tcW w:w="3127" w:type="dxa"/>
            <w:tcBorders>
              <w:top w:val="single" w:color="auto" w:sz="4" w:space="0"/>
              <w:left w:val="single" w:color="auto" w:sz="4" w:space="0"/>
              <w:bottom w:val="single" w:color="auto" w:sz="4" w:space="0"/>
              <w:right w:val="single" w:color="auto" w:sz="4" w:space="0"/>
            </w:tcBorders>
            <w:vAlign w:val="center"/>
          </w:tcPr>
          <w:p w14:paraId="77CCF71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3EB9843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14A7A7D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7C54D7F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1.3μg/kg</w:t>
            </w:r>
          </w:p>
        </w:tc>
      </w:tr>
      <w:tr w14:paraId="529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040767F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w:t>
            </w:r>
          </w:p>
        </w:tc>
        <w:tc>
          <w:tcPr>
            <w:tcW w:w="1563" w:type="dxa"/>
            <w:vAlign w:val="center"/>
          </w:tcPr>
          <w:p w14:paraId="41446D0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1-二氯乙烯</w:t>
            </w:r>
          </w:p>
        </w:tc>
        <w:tc>
          <w:tcPr>
            <w:tcW w:w="3127" w:type="dxa"/>
            <w:tcBorders>
              <w:top w:val="single" w:color="auto" w:sz="4" w:space="0"/>
              <w:left w:val="single" w:color="auto" w:sz="4" w:space="0"/>
              <w:bottom w:val="single" w:color="auto" w:sz="4" w:space="0"/>
              <w:right w:val="single" w:color="auto" w:sz="4" w:space="0"/>
            </w:tcBorders>
            <w:vAlign w:val="center"/>
          </w:tcPr>
          <w:p w14:paraId="60A9137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7854FDE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7050816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389075E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1.0μg/kg</w:t>
            </w:r>
          </w:p>
        </w:tc>
      </w:tr>
      <w:tr w14:paraId="3D76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CE5F6F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w:t>
            </w:r>
          </w:p>
        </w:tc>
        <w:tc>
          <w:tcPr>
            <w:tcW w:w="1563" w:type="dxa"/>
            <w:vAlign w:val="center"/>
          </w:tcPr>
          <w:p w14:paraId="0C3E343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*顺-1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2-二氯乙烯</w:t>
            </w:r>
          </w:p>
        </w:tc>
        <w:tc>
          <w:tcPr>
            <w:tcW w:w="3127" w:type="dxa"/>
            <w:tcBorders>
              <w:top w:val="single" w:color="auto" w:sz="4" w:space="0"/>
              <w:left w:val="single" w:color="auto" w:sz="4" w:space="0"/>
              <w:bottom w:val="single" w:color="auto" w:sz="4" w:space="0"/>
              <w:right w:val="single" w:color="auto" w:sz="4" w:space="0"/>
            </w:tcBorders>
            <w:vAlign w:val="center"/>
          </w:tcPr>
          <w:p w14:paraId="72414BD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1789705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20BC93D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8959E4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1.3μg/kg</w:t>
            </w:r>
          </w:p>
        </w:tc>
      </w:tr>
      <w:tr w14:paraId="61FF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7033C0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w:t>
            </w:r>
          </w:p>
        </w:tc>
        <w:tc>
          <w:tcPr>
            <w:tcW w:w="1563" w:type="dxa"/>
            <w:vAlign w:val="center"/>
          </w:tcPr>
          <w:p w14:paraId="7A12210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*反-1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2-二氯乙烯</w:t>
            </w:r>
          </w:p>
        </w:tc>
        <w:tc>
          <w:tcPr>
            <w:tcW w:w="3127" w:type="dxa"/>
            <w:tcBorders>
              <w:top w:val="single" w:color="auto" w:sz="4" w:space="0"/>
              <w:left w:val="single" w:color="auto" w:sz="4" w:space="0"/>
              <w:bottom w:val="single" w:color="auto" w:sz="4" w:space="0"/>
              <w:right w:val="single" w:color="auto" w:sz="4" w:space="0"/>
            </w:tcBorders>
            <w:vAlign w:val="center"/>
          </w:tcPr>
          <w:p w14:paraId="35CB2CE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701688A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22BEA4C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6457C56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1.4μg/kg</w:t>
            </w:r>
          </w:p>
        </w:tc>
      </w:tr>
      <w:tr w14:paraId="6885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5D43375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17</w:t>
            </w:r>
          </w:p>
        </w:tc>
        <w:tc>
          <w:tcPr>
            <w:tcW w:w="1563" w:type="dxa"/>
            <w:vAlign w:val="center"/>
          </w:tcPr>
          <w:p w14:paraId="5C3D995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*二氯甲烷</w:t>
            </w:r>
          </w:p>
        </w:tc>
        <w:tc>
          <w:tcPr>
            <w:tcW w:w="3127" w:type="dxa"/>
            <w:tcBorders>
              <w:top w:val="single" w:color="auto" w:sz="4" w:space="0"/>
              <w:left w:val="single" w:color="auto" w:sz="4" w:space="0"/>
              <w:bottom w:val="single" w:color="auto" w:sz="4" w:space="0"/>
              <w:right w:val="single" w:color="auto" w:sz="4" w:space="0"/>
            </w:tcBorders>
            <w:vAlign w:val="center"/>
          </w:tcPr>
          <w:p w14:paraId="1227AA6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62B053C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7654500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9D7BC7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1.5μg/kg</w:t>
            </w:r>
          </w:p>
        </w:tc>
      </w:tr>
      <w:tr w14:paraId="519C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2A4FFFB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w:t>
            </w:r>
          </w:p>
        </w:tc>
        <w:tc>
          <w:tcPr>
            <w:tcW w:w="1563" w:type="dxa"/>
            <w:vAlign w:val="center"/>
          </w:tcPr>
          <w:p w14:paraId="3D31BD9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2-二氯丙烷</w:t>
            </w:r>
          </w:p>
        </w:tc>
        <w:tc>
          <w:tcPr>
            <w:tcW w:w="3127" w:type="dxa"/>
            <w:tcBorders>
              <w:top w:val="single" w:color="auto" w:sz="4" w:space="0"/>
              <w:left w:val="single" w:color="auto" w:sz="4" w:space="0"/>
              <w:bottom w:val="single" w:color="auto" w:sz="4" w:space="0"/>
              <w:right w:val="single" w:color="auto" w:sz="4" w:space="0"/>
            </w:tcBorders>
            <w:vAlign w:val="center"/>
          </w:tcPr>
          <w:p w14:paraId="076AE7A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29B883E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1D2A94E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7C02AE5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1.1μg/kg</w:t>
            </w:r>
          </w:p>
        </w:tc>
      </w:tr>
      <w:tr w14:paraId="4051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697940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19</w:t>
            </w:r>
          </w:p>
        </w:tc>
        <w:tc>
          <w:tcPr>
            <w:tcW w:w="1563" w:type="dxa"/>
            <w:vAlign w:val="center"/>
          </w:tcPr>
          <w:p w14:paraId="0C48815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2-四氯乙烷</w:t>
            </w:r>
          </w:p>
        </w:tc>
        <w:tc>
          <w:tcPr>
            <w:tcW w:w="3127" w:type="dxa"/>
            <w:tcBorders>
              <w:top w:val="single" w:color="auto" w:sz="4" w:space="0"/>
              <w:left w:val="single" w:color="auto" w:sz="4" w:space="0"/>
              <w:bottom w:val="single" w:color="auto" w:sz="4" w:space="0"/>
              <w:right w:val="single" w:color="auto" w:sz="4" w:space="0"/>
            </w:tcBorders>
            <w:vAlign w:val="center"/>
          </w:tcPr>
          <w:p w14:paraId="2794D22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492EDDD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39E954B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6D43FC7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6BE2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50BFE08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20</w:t>
            </w:r>
          </w:p>
        </w:tc>
        <w:tc>
          <w:tcPr>
            <w:tcW w:w="1563" w:type="dxa"/>
            <w:vAlign w:val="center"/>
          </w:tcPr>
          <w:p w14:paraId="0A73EB7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2-四氯乙烷</w:t>
            </w:r>
          </w:p>
        </w:tc>
        <w:tc>
          <w:tcPr>
            <w:tcW w:w="3127" w:type="dxa"/>
            <w:tcBorders>
              <w:top w:val="single" w:color="auto" w:sz="4" w:space="0"/>
              <w:left w:val="single" w:color="auto" w:sz="4" w:space="0"/>
              <w:bottom w:val="single" w:color="auto" w:sz="4" w:space="0"/>
              <w:right w:val="single" w:color="auto" w:sz="4" w:space="0"/>
            </w:tcBorders>
            <w:vAlign w:val="center"/>
          </w:tcPr>
          <w:p w14:paraId="2B79850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2D454A3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1C4B843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604ED03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4AD8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095C364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21</w:t>
            </w:r>
          </w:p>
        </w:tc>
        <w:tc>
          <w:tcPr>
            <w:tcW w:w="1563" w:type="dxa"/>
            <w:vAlign w:val="center"/>
          </w:tcPr>
          <w:p w14:paraId="41A98C1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*四氯乙烯</w:t>
            </w:r>
          </w:p>
        </w:tc>
        <w:tc>
          <w:tcPr>
            <w:tcW w:w="3127" w:type="dxa"/>
            <w:tcBorders>
              <w:top w:val="single" w:color="auto" w:sz="4" w:space="0"/>
              <w:left w:val="single" w:color="auto" w:sz="4" w:space="0"/>
              <w:bottom w:val="single" w:color="auto" w:sz="4" w:space="0"/>
              <w:right w:val="single" w:color="auto" w:sz="4" w:space="0"/>
            </w:tcBorders>
            <w:vAlign w:val="center"/>
          </w:tcPr>
          <w:p w14:paraId="1616714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6CAAC0D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6F2F5F8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07599AB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1.4μg/kg</w:t>
            </w:r>
          </w:p>
        </w:tc>
      </w:tr>
      <w:tr w14:paraId="16E4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689FE91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22</w:t>
            </w:r>
          </w:p>
        </w:tc>
        <w:tc>
          <w:tcPr>
            <w:tcW w:w="1563" w:type="dxa"/>
            <w:vAlign w:val="center"/>
          </w:tcPr>
          <w:p w14:paraId="4C90136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1-三氯乙烷</w:t>
            </w:r>
          </w:p>
        </w:tc>
        <w:tc>
          <w:tcPr>
            <w:tcW w:w="3127" w:type="dxa"/>
            <w:tcBorders>
              <w:top w:val="single" w:color="auto" w:sz="4" w:space="0"/>
              <w:left w:val="single" w:color="auto" w:sz="4" w:space="0"/>
              <w:bottom w:val="single" w:color="auto" w:sz="4" w:space="0"/>
              <w:right w:val="single" w:color="auto" w:sz="4" w:space="0"/>
            </w:tcBorders>
            <w:vAlign w:val="center"/>
          </w:tcPr>
          <w:p w14:paraId="09A243D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302A370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43D973C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35BB449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1.3μg/kg</w:t>
            </w:r>
          </w:p>
        </w:tc>
      </w:tr>
      <w:tr w14:paraId="14AF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56C1AC0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23</w:t>
            </w:r>
          </w:p>
        </w:tc>
        <w:tc>
          <w:tcPr>
            <w:tcW w:w="1563" w:type="dxa"/>
            <w:vAlign w:val="center"/>
          </w:tcPr>
          <w:p w14:paraId="0AB86B4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2-三氯乙烷</w:t>
            </w:r>
          </w:p>
        </w:tc>
        <w:tc>
          <w:tcPr>
            <w:tcW w:w="3127" w:type="dxa"/>
            <w:tcBorders>
              <w:top w:val="single" w:color="auto" w:sz="4" w:space="0"/>
              <w:left w:val="single" w:color="auto" w:sz="4" w:space="0"/>
              <w:bottom w:val="single" w:color="auto" w:sz="4" w:space="0"/>
              <w:right w:val="single" w:color="auto" w:sz="4" w:space="0"/>
            </w:tcBorders>
            <w:vAlign w:val="center"/>
          </w:tcPr>
          <w:p w14:paraId="74F0963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27AE61A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62E39CC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F656A0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1C30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603522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24</w:t>
            </w:r>
          </w:p>
        </w:tc>
        <w:tc>
          <w:tcPr>
            <w:tcW w:w="1563" w:type="dxa"/>
            <w:vAlign w:val="center"/>
          </w:tcPr>
          <w:p w14:paraId="04CA6B6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*三氯乙烯</w:t>
            </w:r>
          </w:p>
        </w:tc>
        <w:tc>
          <w:tcPr>
            <w:tcW w:w="3127" w:type="dxa"/>
            <w:tcBorders>
              <w:top w:val="single" w:color="auto" w:sz="4" w:space="0"/>
              <w:left w:val="single" w:color="auto" w:sz="4" w:space="0"/>
              <w:bottom w:val="single" w:color="auto" w:sz="4" w:space="0"/>
              <w:right w:val="single" w:color="auto" w:sz="4" w:space="0"/>
            </w:tcBorders>
            <w:vAlign w:val="center"/>
          </w:tcPr>
          <w:p w14:paraId="3BAF17C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179FAAE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168AF06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02FA624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4562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6EDC55A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25</w:t>
            </w:r>
          </w:p>
        </w:tc>
        <w:tc>
          <w:tcPr>
            <w:tcW w:w="1563" w:type="dxa"/>
            <w:vAlign w:val="center"/>
          </w:tcPr>
          <w:p w14:paraId="5D3F5CE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3-三氯丙烷</w:t>
            </w:r>
          </w:p>
        </w:tc>
        <w:tc>
          <w:tcPr>
            <w:tcW w:w="3127" w:type="dxa"/>
            <w:tcBorders>
              <w:top w:val="single" w:color="auto" w:sz="4" w:space="0"/>
              <w:left w:val="single" w:color="auto" w:sz="4" w:space="0"/>
              <w:bottom w:val="single" w:color="auto" w:sz="4" w:space="0"/>
              <w:right w:val="single" w:color="auto" w:sz="4" w:space="0"/>
            </w:tcBorders>
            <w:vAlign w:val="center"/>
          </w:tcPr>
          <w:p w14:paraId="2DACC4F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3D60C17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667AFAE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0872765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227F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059945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26</w:t>
            </w:r>
          </w:p>
        </w:tc>
        <w:tc>
          <w:tcPr>
            <w:tcW w:w="1563" w:type="dxa"/>
            <w:vAlign w:val="center"/>
          </w:tcPr>
          <w:p w14:paraId="344D73F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*氯乙烯</w:t>
            </w:r>
          </w:p>
        </w:tc>
        <w:tc>
          <w:tcPr>
            <w:tcW w:w="3127" w:type="dxa"/>
            <w:tcBorders>
              <w:top w:val="single" w:color="auto" w:sz="4" w:space="0"/>
              <w:left w:val="single" w:color="auto" w:sz="4" w:space="0"/>
              <w:bottom w:val="single" w:color="auto" w:sz="4" w:space="0"/>
              <w:right w:val="single" w:color="auto" w:sz="4" w:space="0"/>
            </w:tcBorders>
            <w:vAlign w:val="center"/>
          </w:tcPr>
          <w:p w14:paraId="09D5862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3853F12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3E6D323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E69506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1.0μg/kg</w:t>
            </w:r>
          </w:p>
        </w:tc>
      </w:tr>
      <w:tr w14:paraId="4052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DA0923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27</w:t>
            </w:r>
          </w:p>
        </w:tc>
        <w:tc>
          <w:tcPr>
            <w:tcW w:w="1563" w:type="dxa"/>
            <w:vAlign w:val="center"/>
          </w:tcPr>
          <w:p w14:paraId="379AD24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w:t>
            </w:r>
          </w:p>
        </w:tc>
        <w:tc>
          <w:tcPr>
            <w:tcW w:w="3127" w:type="dxa"/>
            <w:tcBorders>
              <w:top w:val="single" w:color="auto" w:sz="4" w:space="0"/>
              <w:left w:val="single" w:color="auto" w:sz="4" w:space="0"/>
              <w:bottom w:val="single" w:color="auto" w:sz="4" w:space="0"/>
              <w:right w:val="single" w:color="auto" w:sz="4" w:space="0"/>
            </w:tcBorders>
            <w:vAlign w:val="center"/>
          </w:tcPr>
          <w:p w14:paraId="6FFC4E6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4C0D875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4E38859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2BF5A52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1.9μg/kg</w:t>
            </w:r>
          </w:p>
        </w:tc>
      </w:tr>
      <w:tr w14:paraId="76C7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799C48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28</w:t>
            </w:r>
          </w:p>
        </w:tc>
        <w:tc>
          <w:tcPr>
            <w:tcW w:w="1563" w:type="dxa"/>
            <w:vAlign w:val="center"/>
          </w:tcPr>
          <w:p w14:paraId="19640AE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*氯苯</w:t>
            </w:r>
          </w:p>
        </w:tc>
        <w:tc>
          <w:tcPr>
            <w:tcW w:w="3127" w:type="dxa"/>
            <w:tcBorders>
              <w:top w:val="single" w:color="auto" w:sz="4" w:space="0"/>
              <w:left w:val="single" w:color="auto" w:sz="4" w:space="0"/>
              <w:bottom w:val="single" w:color="auto" w:sz="4" w:space="0"/>
              <w:right w:val="single" w:color="auto" w:sz="4" w:space="0"/>
            </w:tcBorders>
            <w:vAlign w:val="center"/>
          </w:tcPr>
          <w:p w14:paraId="6A029FF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6D5394E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3F8631F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373D02B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039E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6680A2E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29</w:t>
            </w:r>
          </w:p>
        </w:tc>
        <w:tc>
          <w:tcPr>
            <w:tcW w:w="1563" w:type="dxa"/>
            <w:vAlign w:val="center"/>
          </w:tcPr>
          <w:p w14:paraId="451E94B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2-二氯苯</w:t>
            </w:r>
          </w:p>
        </w:tc>
        <w:tc>
          <w:tcPr>
            <w:tcW w:w="3127" w:type="dxa"/>
            <w:tcBorders>
              <w:top w:val="single" w:color="auto" w:sz="4" w:space="0"/>
              <w:left w:val="single" w:color="auto" w:sz="4" w:space="0"/>
              <w:bottom w:val="single" w:color="auto" w:sz="4" w:space="0"/>
              <w:right w:val="single" w:color="auto" w:sz="4" w:space="0"/>
            </w:tcBorders>
            <w:vAlign w:val="center"/>
          </w:tcPr>
          <w:p w14:paraId="3F1EF46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70A36BE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6A7AB28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2F01CF6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1.5μg/kg</w:t>
            </w:r>
          </w:p>
        </w:tc>
      </w:tr>
      <w:tr w14:paraId="63F1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550B8A1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1563" w:type="dxa"/>
            <w:vAlign w:val="center"/>
          </w:tcPr>
          <w:p w14:paraId="24AC776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4-二氯苯</w:t>
            </w:r>
          </w:p>
        </w:tc>
        <w:tc>
          <w:tcPr>
            <w:tcW w:w="3127" w:type="dxa"/>
            <w:tcBorders>
              <w:top w:val="single" w:color="auto" w:sz="4" w:space="0"/>
              <w:left w:val="single" w:color="auto" w:sz="4" w:space="0"/>
              <w:bottom w:val="single" w:color="auto" w:sz="4" w:space="0"/>
              <w:right w:val="single" w:color="auto" w:sz="4" w:space="0"/>
            </w:tcBorders>
            <w:vAlign w:val="center"/>
          </w:tcPr>
          <w:p w14:paraId="7876058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56ECF7B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气相色谱质谱联用仪</w:t>
            </w:r>
          </w:p>
          <w:p w14:paraId="303CD98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JPBBG006</w:t>
            </w:r>
          </w:p>
        </w:tc>
        <w:tc>
          <w:tcPr>
            <w:tcW w:w="1500" w:type="dxa"/>
            <w:vAlign w:val="center"/>
          </w:tcPr>
          <w:p w14:paraId="05BC114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1.5μg/kg</w:t>
            </w:r>
          </w:p>
        </w:tc>
      </w:tr>
      <w:tr w14:paraId="19C8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184226C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31</w:t>
            </w:r>
          </w:p>
        </w:tc>
        <w:tc>
          <w:tcPr>
            <w:tcW w:w="1563" w:type="dxa"/>
            <w:vAlign w:val="center"/>
          </w:tcPr>
          <w:p w14:paraId="2FC0DB9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*乙苯</w:t>
            </w:r>
          </w:p>
        </w:tc>
        <w:tc>
          <w:tcPr>
            <w:tcW w:w="3127" w:type="dxa"/>
            <w:tcBorders>
              <w:top w:val="single" w:color="auto" w:sz="4" w:space="0"/>
              <w:left w:val="single" w:color="auto" w:sz="4" w:space="0"/>
              <w:bottom w:val="single" w:color="auto" w:sz="4" w:space="0"/>
              <w:right w:val="single" w:color="auto" w:sz="4" w:space="0"/>
            </w:tcBorders>
            <w:vAlign w:val="center"/>
          </w:tcPr>
          <w:p w14:paraId="356A4D2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2A92E76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36AA71D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5269EB2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2616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6224532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32</w:t>
            </w:r>
          </w:p>
        </w:tc>
        <w:tc>
          <w:tcPr>
            <w:tcW w:w="1563" w:type="dxa"/>
            <w:vAlign w:val="center"/>
          </w:tcPr>
          <w:p w14:paraId="508D1D2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*苯乙烯</w:t>
            </w:r>
          </w:p>
        </w:tc>
        <w:tc>
          <w:tcPr>
            <w:tcW w:w="3127" w:type="dxa"/>
            <w:tcBorders>
              <w:top w:val="single" w:color="auto" w:sz="4" w:space="0"/>
              <w:left w:val="single" w:color="auto" w:sz="4" w:space="0"/>
              <w:bottom w:val="single" w:color="auto" w:sz="4" w:space="0"/>
              <w:right w:val="single" w:color="auto" w:sz="4" w:space="0"/>
            </w:tcBorders>
            <w:vAlign w:val="center"/>
          </w:tcPr>
          <w:p w14:paraId="0EEEF52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56E5EFC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08B0A57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7D10677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1.1μg/kg</w:t>
            </w:r>
          </w:p>
        </w:tc>
      </w:tr>
      <w:tr w14:paraId="239B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6974D9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33</w:t>
            </w:r>
          </w:p>
        </w:tc>
        <w:tc>
          <w:tcPr>
            <w:tcW w:w="1563" w:type="dxa"/>
            <w:vAlign w:val="center"/>
          </w:tcPr>
          <w:p w14:paraId="2089700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*甲苯</w:t>
            </w:r>
          </w:p>
        </w:tc>
        <w:tc>
          <w:tcPr>
            <w:tcW w:w="3127" w:type="dxa"/>
            <w:tcBorders>
              <w:top w:val="single" w:color="auto" w:sz="4" w:space="0"/>
              <w:left w:val="single" w:color="auto" w:sz="4" w:space="0"/>
              <w:bottom w:val="single" w:color="auto" w:sz="4" w:space="0"/>
              <w:right w:val="single" w:color="auto" w:sz="4" w:space="0"/>
            </w:tcBorders>
            <w:vAlign w:val="center"/>
          </w:tcPr>
          <w:p w14:paraId="1933DDB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4306A1B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2843A16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2DFFA51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1.3μg/kg</w:t>
            </w:r>
          </w:p>
        </w:tc>
      </w:tr>
      <w:tr w14:paraId="53D9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65B0F2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34</w:t>
            </w:r>
          </w:p>
        </w:tc>
        <w:tc>
          <w:tcPr>
            <w:tcW w:w="1563" w:type="dxa"/>
            <w:vAlign w:val="center"/>
          </w:tcPr>
          <w:p w14:paraId="05203C3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*间二甲苯+对二甲苯</w:t>
            </w:r>
          </w:p>
        </w:tc>
        <w:tc>
          <w:tcPr>
            <w:tcW w:w="3127" w:type="dxa"/>
            <w:tcBorders>
              <w:top w:val="single" w:color="auto" w:sz="4" w:space="0"/>
              <w:left w:val="single" w:color="auto" w:sz="4" w:space="0"/>
              <w:bottom w:val="single" w:color="auto" w:sz="4" w:space="0"/>
              <w:right w:val="single" w:color="auto" w:sz="4" w:space="0"/>
            </w:tcBorders>
            <w:vAlign w:val="center"/>
          </w:tcPr>
          <w:p w14:paraId="1619D5E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1950080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0E73279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4217432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797D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27A1DFB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35</w:t>
            </w:r>
          </w:p>
        </w:tc>
        <w:tc>
          <w:tcPr>
            <w:tcW w:w="1563" w:type="dxa"/>
            <w:vAlign w:val="center"/>
          </w:tcPr>
          <w:p w14:paraId="4834636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*邻二甲苯</w:t>
            </w:r>
          </w:p>
        </w:tc>
        <w:tc>
          <w:tcPr>
            <w:tcW w:w="3127" w:type="dxa"/>
            <w:tcBorders>
              <w:top w:val="single" w:color="auto" w:sz="4" w:space="0"/>
              <w:left w:val="single" w:color="auto" w:sz="4" w:space="0"/>
              <w:bottom w:val="single" w:color="auto" w:sz="4" w:space="0"/>
              <w:right w:val="single" w:color="auto" w:sz="4" w:space="0"/>
            </w:tcBorders>
            <w:vAlign w:val="center"/>
          </w:tcPr>
          <w:p w14:paraId="302BEFC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《土壤和沉积物挥发性有机物的测定吹扫捕集/气相色谱-质谱法》HJ605-2011</w:t>
            </w:r>
          </w:p>
        </w:tc>
        <w:tc>
          <w:tcPr>
            <w:tcW w:w="2677" w:type="dxa"/>
            <w:vAlign w:val="center"/>
          </w:tcPr>
          <w:p w14:paraId="16CB372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6C9113A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PY/G-1123</w:t>
            </w:r>
          </w:p>
        </w:tc>
        <w:tc>
          <w:tcPr>
            <w:tcW w:w="1500" w:type="dxa"/>
            <w:vAlign w:val="center"/>
          </w:tcPr>
          <w:p w14:paraId="2E2F3FF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1.2μg/kg</w:t>
            </w:r>
          </w:p>
        </w:tc>
      </w:tr>
      <w:tr w14:paraId="7651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272D6D7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36</w:t>
            </w:r>
          </w:p>
        </w:tc>
        <w:tc>
          <w:tcPr>
            <w:tcW w:w="1563" w:type="dxa"/>
            <w:vAlign w:val="center"/>
          </w:tcPr>
          <w:p w14:paraId="34EDCF0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*硝基苯</w:t>
            </w:r>
          </w:p>
        </w:tc>
        <w:tc>
          <w:tcPr>
            <w:tcW w:w="3127" w:type="dxa"/>
            <w:tcBorders>
              <w:top w:val="single" w:color="auto" w:sz="4" w:space="0"/>
              <w:left w:val="single" w:color="auto" w:sz="4" w:space="0"/>
              <w:bottom w:val="single" w:color="auto" w:sz="4" w:space="0"/>
              <w:right w:val="single" w:color="auto" w:sz="4" w:space="0"/>
            </w:tcBorders>
            <w:vAlign w:val="center"/>
          </w:tcPr>
          <w:p w14:paraId="20C3D1F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16D6C4A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747D411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48375E5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0.09mg/kg</w:t>
            </w:r>
          </w:p>
        </w:tc>
      </w:tr>
      <w:tr w14:paraId="4409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000F02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37</w:t>
            </w:r>
          </w:p>
        </w:tc>
        <w:tc>
          <w:tcPr>
            <w:tcW w:w="1563" w:type="dxa"/>
            <w:vAlign w:val="center"/>
          </w:tcPr>
          <w:p w14:paraId="692F890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*苯胺</w:t>
            </w:r>
          </w:p>
        </w:tc>
        <w:tc>
          <w:tcPr>
            <w:tcW w:w="3127" w:type="dxa"/>
            <w:tcBorders>
              <w:top w:val="single" w:color="auto" w:sz="4" w:space="0"/>
              <w:left w:val="single" w:color="auto" w:sz="4" w:space="0"/>
              <w:bottom w:val="single" w:color="auto" w:sz="4" w:space="0"/>
              <w:right w:val="single" w:color="auto" w:sz="4" w:space="0"/>
            </w:tcBorders>
            <w:vAlign w:val="center"/>
          </w:tcPr>
          <w:p w14:paraId="0A03E4C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《土壤和沉积物13种苯胺类和2种联苯胺类化合物的测定液相色谱-三重四极杆质谱法》HJ1210-2021</w:t>
            </w:r>
          </w:p>
        </w:tc>
        <w:tc>
          <w:tcPr>
            <w:tcW w:w="2677" w:type="dxa"/>
            <w:vAlign w:val="center"/>
          </w:tcPr>
          <w:p w14:paraId="614F6A2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TSQFortisPlus</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VanquishCore三重四杆液相色谱质谱联用仪</w:t>
            </w:r>
          </w:p>
          <w:p w14:paraId="15E7D81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PY/G-1125</w:t>
            </w:r>
          </w:p>
        </w:tc>
        <w:tc>
          <w:tcPr>
            <w:tcW w:w="1500" w:type="dxa"/>
            <w:vAlign w:val="center"/>
          </w:tcPr>
          <w:p w14:paraId="62E453C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2μg/kg</w:t>
            </w:r>
          </w:p>
        </w:tc>
      </w:tr>
      <w:tr w14:paraId="3ABB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A5896C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38</w:t>
            </w:r>
          </w:p>
        </w:tc>
        <w:tc>
          <w:tcPr>
            <w:tcW w:w="1563" w:type="dxa"/>
            <w:vAlign w:val="center"/>
          </w:tcPr>
          <w:p w14:paraId="4D4E9E7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*2-氯酚</w:t>
            </w:r>
          </w:p>
        </w:tc>
        <w:tc>
          <w:tcPr>
            <w:tcW w:w="3127" w:type="dxa"/>
            <w:tcBorders>
              <w:top w:val="single" w:color="auto" w:sz="4" w:space="0"/>
              <w:left w:val="single" w:color="auto" w:sz="4" w:space="0"/>
              <w:bottom w:val="single" w:color="auto" w:sz="4" w:space="0"/>
              <w:right w:val="single" w:color="auto" w:sz="4" w:space="0"/>
            </w:tcBorders>
            <w:vAlign w:val="center"/>
          </w:tcPr>
          <w:p w14:paraId="6BF0252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6706F65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1961632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5933715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0.06mg/kg</w:t>
            </w:r>
          </w:p>
        </w:tc>
      </w:tr>
      <w:tr w14:paraId="64E8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1CB0442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39</w:t>
            </w:r>
          </w:p>
        </w:tc>
        <w:tc>
          <w:tcPr>
            <w:tcW w:w="1563" w:type="dxa"/>
            <w:vAlign w:val="center"/>
          </w:tcPr>
          <w:p w14:paraId="5FEBF28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*苯并［a］蒽</w:t>
            </w:r>
          </w:p>
        </w:tc>
        <w:tc>
          <w:tcPr>
            <w:tcW w:w="3127" w:type="dxa"/>
            <w:tcBorders>
              <w:top w:val="single" w:color="auto" w:sz="4" w:space="0"/>
              <w:left w:val="single" w:color="auto" w:sz="4" w:space="0"/>
              <w:bottom w:val="single" w:color="auto" w:sz="4" w:space="0"/>
              <w:right w:val="single" w:color="auto" w:sz="4" w:space="0"/>
            </w:tcBorders>
            <w:vAlign w:val="center"/>
          </w:tcPr>
          <w:p w14:paraId="0AB9B89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555151E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4C90BE3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3FC7DD1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434C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2DFDEFCF">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40</w:t>
            </w:r>
          </w:p>
        </w:tc>
        <w:tc>
          <w:tcPr>
            <w:tcW w:w="1563" w:type="dxa"/>
            <w:vAlign w:val="center"/>
          </w:tcPr>
          <w:p w14:paraId="3554386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*苯并［a］芘</w:t>
            </w:r>
          </w:p>
        </w:tc>
        <w:tc>
          <w:tcPr>
            <w:tcW w:w="3127" w:type="dxa"/>
            <w:tcBorders>
              <w:top w:val="single" w:color="auto" w:sz="4" w:space="0"/>
              <w:left w:val="single" w:color="auto" w:sz="4" w:space="0"/>
              <w:bottom w:val="single" w:color="auto" w:sz="4" w:space="0"/>
              <w:right w:val="single" w:color="auto" w:sz="4" w:space="0"/>
            </w:tcBorders>
            <w:vAlign w:val="center"/>
          </w:tcPr>
          <w:p w14:paraId="4BABEAD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1C7C7EE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2178F2E0">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27A7D1F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7889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7D62A29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41</w:t>
            </w:r>
          </w:p>
        </w:tc>
        <w:tc>
          <w:tcPr>
            <w:tcW w:w="1563" w:type="dxa"/>
            <w:vAlign w:val="center"/>
          </w:tcPr>
          <w:p w14:paraId="30D81AB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*苯并［b］荧蒽</w:t>
            </w:r>
          </w:p>
        </w:tc>
        <w:tc>
          <w:tcPr>
            <w:tcW w:w="3127" w:type="dxa"/>
            <w:tcBorders>
              <w:top w:val="single" w:color="auto" w:sz="4" w:space="0"/>
              <w:left w:val="single" w:color="auto" w:sz="4" w:space="0"/>
              <w:bottom w:val="single" w:color="auto" w:sz="4" w:space="0"/>
              <w:right w:val="single" w:color="auto" w:sz="4" w:space="0"/>
            </w:tcBorders>
            <w:vAlign w:val="center"/>
          </w:tcPr>
          <w:p w14:paraId="251D85C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7AC16A2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24B8E2F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1C2C105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0.2mg/kg</w:t>
            </w:r>
          </w:p>
        </w:tc>
      </w:tr>
      <w:tr w14:paraId="5081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46CE2E7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42</w:t>
            </w:r>
          </w:p>
        </w:tc>
        <w:tc>
          <w:tcPr>
            <w:tcW w:w="1563" w:type="dxa"/>
            <w:vAlign w:val="center"/>
          </w:tcPr>
          <w:p w14:paraId="78B2A4D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*苯并［k］荧蒽</w:t>
            </w:r>
          </w:p>
        </w:tc>
        <w:tc>
          <w:tcPr>
            <w:tcW w:w="3127" w:type="dxa"/>
            <w:tcBorders>
              <w:top w:val="single" w:color="auto" w:sz="4" w:space="0"/>
              <w:left w:val="single" w:color="auto" w:sz="4" w:space="0"/>
              <w:bottom w:val="single" w:color="auto" w:sz="4" w:space="0"/>
              <w:right w:val="single" w:color="auto" w:sz="4" w:space="0"/>
            </w:tcBorders>
            <w:vAlign w:val="center"/>
          </w:tcPr>
          <w:p w14:paraId="262B35A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10D65C5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7330716B">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610C1E0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3E46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093BE31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43</w:t>
            </w:r>
          </w:p>
        </w:tc>
        <w:tc>
          <w:tcPr>
            <w:tcW w:w="1563" w:type="dxa"/>
            <w:vAlign w:val="center"/>
          </w:tcPr>
          <w:p w14:paraId="39F33159">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*䓛</w:t>
            </w:r>
          </w:p>
        </w:tc>
        <w:tc>
          <w:tcPr>
            <w:tcW w:w="3127" w:type="dxa"/>
            <w:tcBorders>
              <w:top w:val="single" w:color="auto" w:sz="4" w:space="0"/>
              <w:left w:val="single" w:color="auto" w:sz="4" w:space="0"/>
              <w:bottom w:val="single" w:color="auto" w:sz="4" w:space="0"/>
              <w:right w:val="single" w:color="auto" w:sz="4" w:space="0"/>
            </w:tcBorders>
            <w:vAlign w:val="center"/>
          </w:tcPr>
          <w:p w14:paraId="0B83F40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5C60293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745EDF7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7AC6E9A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4430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29C65FA1">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44</w:t>
            </w:r>
          </w:p>
        </w:tc>
        <w:tc>
          <w:tcPr>
            <w:tcW w:w="1563" w:type="dxa"/>
            <w:vAlign w:val="center"/>
          </w:tcPr>
          <w:p w14:paraId="4D919CA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*二苯并［a</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h］蒽</w:t>
            </w:r>
          </w:p>
        </w:tc>
        <w:tc>
          <w:tcPr>
            <w:tcW w:w="3127" w:type="dxa"/>
            <w:tcBorders>
              <w:top w:val="single" w:color="auto" w:sz="4" w:space="0"/>
              <w:left w:val="single" w:color="auto" w:sz="4" w:space="0"/>
              <w:bottom w:val="single" w:color="auto" w:sz="4" w:space="0"/>
              <w:right w:val="single" w:color="auto" w:sz="4" w:space="0"/>
            </w:tcBorders>
            <w:vAlign w:val="center"/>
          </w:tcPr>
          <w:p w14:paraId="427443B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1E21D446">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66477D2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3BF73B8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10E0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37B5FEF5">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45</w:t>
            </w:r>
          </w:p>
        </w:tc>
        <w:tc>
          <w:tcPr>
            <w:tcW w:w="1563" w:type="dxa"/>
            <w:vAlign w:val="center"/>
          </w:tcPr>
          <w:p w14:paraId="1F70DF0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*茚并［1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3-cd］芘</w:t>
            </w:r>
          </w:p>
        </w:tc>
        <w:tc>
          <w:tcPr>
            <w:tcW w:w="3127" w:type="dxa"/>
            <w:tcBorders>
              <w:top w:val="single" w:color="auto" w:sz="4" w:space="0"/>
              <w:left w:val="single" w:color="auto" w:sz="4" w:space="0"/>
              <w:bottom w:val="single" w:color="auto" w:sz="4" w:space="0"/>
              <w:right w:val="single" w:color="auto" w:sz="4" w:space="0"/>
            </w:tcBorders>
            <w:vAlign w:val="center"/>
          </w:tcPr>
          <w:p w14:paraId="3D5D1CCC">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286FD528">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7EA89787">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712573D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0.1mg/kg</w:t>
            </w:r>
          </w:p>
        </w:tc>
      </w:tr>
      <w:tr w14:paraId="2DA8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vAlign w:val="center"/>
          </w:tcPr>
          <w:p w14:paraId="5FE9B9B4">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46</w:t>
            </w:r>
          </w:p>
        </w:tc>
        <w:tc>
          <w:tcPr>
            <w:tcW w:w="1563" w:type="dxa"/>
            <w:vAlign w:val="center"/>
          </w:tcPr>
          <w:p w14:paraId="11B5878A">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*萘</w:t>
            </w:r>
          </w:p>
        </w:tc>
        <w:tc>
          <w:tcPr>
            <w:tcW w:w="3127" w:type="dxa"/>
            <w:tcBorders>
              <w:top w:val="single" w:color="auto" w:sz="4" w:space="0"/>
              <w:left w:val="single" w:color="auto" w:sz="4" w:space="0"/>
              <w:bottom w:val="single" w:color="auto" w:sz="4" w:space="0"/>
              <w:right w:val="single" w:color="auto" w:sz="4" w:space="0"/>
            </w:tcBorders>
            <w:vAlign w:val="center"/>
          </w:tcPr>
          <w:p w14:paraId="3A1A8C13">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《土壤和沉积物半挥发性有机化合物的测定气相色谱-质谱法》HJ834-2017</w:t>
            </w:r>
          </w:p>
        </w:tc>
        <w:tc>
          <w:tcPr>
            <w:tcW w:w="2677" w:type="dxa"/>
            <w:vAlign w:val="center"/>
          </w:tcPr>
          <w:p w14:paraId="67C286AD">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TRACE1300/ISQ450气相色谱质谱联用仪</w:t>
            </w:r>
          </w:p>
          <w:p w14:paraId="21860642">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PY/G-1122</w:t>
            </w:r>
          </w:p>
        </w:tc>
        <w:tc>
          <w:tcPr>
            <w:tcW w:w="1500" w:type="dxa"/>
            <w:vAlign w:val="center"/>
          </w:tcPr>
          <w:p w14:paraId="22C6403E">
            <w:pPr>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0.09mg/kg</w:t>
            </w:r>
          </w:p>
        </w:tc>
      </w:tr>
      <w:tr w14:paraId="72E4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7" w:type="dxa"/>
            <w:gridSpan w:val="5"/>
            <w:vAlign w:val="center"/>
          </w:tcPr>
          <w:p w14:paraId="3316B2F2">
            <w:pPr>
              <w:pStyle w:val="3"/>
              <w:pageBreakBefore w:val="0"/>
              <w:shd w:val="clear"/>
              <w:kinsoku/>
              <w:wordWrap/>
              <w:overflowPunct/>
              <w:topLinePunct/>
              <w:autoSpaceDE w:val="0"/>
              <w:autoSpaceDN/>
              <w:bidi w:val="0"/>
              <w:adjustRightInd/>
              <w:snapToGrid/>
              <w:spacing w:before="0" w:after="0" w:line="240" w:lineRule="auto"/>
              <w:ind w:left="0" w:leftChars="0" w:firstLine="0" w:firstLineChars="0"/>
              <w:textAlignment w:val="auto"/>
              <w:rPr>
                <w:rFonts w:hint="default" w:ascii="Times New Roman" w:hAnsi="Times New Roman" w:eastAsia="宋体" w:cs="Times New Roman"/>
                <w:b w:val="0"/>
                <w:bCs/>
                <w:color w:val="auto"/>
                <w:sz w:val="21"/>
                <w:szCs w:val="21"/>
                <w:highlight w:val="none"/>
                <w:lang w:val="en-US" w:eastAsia="zh-CN"/>
              </w:rPr>
            </w:pPr>
            <w:bookmarkStart w:id="381" w:name="_Toc13172"/>
            <w:bookmarkStart w:id="382" w:name="_Toc99"/>
            <w:r>
              <w:rPr>
                <w:rFonts w:hint="default" w:ascii="Times New Roman" w:hAnsi="Times New Roman" w:eastAsia="宋体" w:cs="Times New Roman"/>
                <w:b w:val="0"/>
                <w:bCs/>
                <w:color w:val="auto"/>
                <w:sz w:val="21"/>
                <w:szCs w:val="21"/>
                <w:highlight w:val="none"/>
                <w:lang w:val="en-US" w:eastAsia="zh-CN"/>
              </w:rPr>
              <w:t>备注：</w:t>
            </w:r>
            <w:r>
              <w:rPr>
                <w:rFonts w:hint="default" w:ascii="Times New Roman" w:hAnsi="Times New Roman" w:eastAsia="宋体" w:cs="Times New Roman"/>
                <w:b w:val="0"/>
                <w:bCs/>
                <w:color w:val="auto"/>
                <w:kern w:val="2"/>
                <w:sz w:val="21"/>
                <w:szCs w:val="21"/>
                <w:highlight w:val="none"/>
                <w:lang w:val="en-US" w:eastAsia="zh-CN" w:bidi="ar-SA"/>
              </w:rPr>
              <w:t>*六价铬、四氯化碳、氯仿、氯甲烷、1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1-二氯乙烷、1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2-二氯乙烷、1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1-二氯乙烯、顺-1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2-二氯乙烯、反-1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2-二氯乙烯、二氯甲烷、1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2-二氯丙烷、1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2-四氯乙烷、1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2-四氯乙烷、四氯乙烯、1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1-三氯乙烷、1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2-三氯乙烷、三氯乙烯、1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3-三氯丙烷、氯乙烯、苯、氯苯、1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2-二氯苯、1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4-二氯苯、乙苯、苯乙烯、甲苯、间-二甲苯+对-二甲苯、邻-二甲苯、硝基苯、苯胺、</w:t>
            </w:r>
            <w:r>
              <w:rPr>
                <w:rFonts w:hint="default" w:ascii="Times New Roman" w:hAnsi="Times New Roman" w:eastAsia="宋体" w:cs="Times New Roman"/>
                <w:b w:val="0"/>
                <w:bCs/>
                <w:color w:val="auto"/>
                <w:sz w:val="21"/>
                <w:szCs w:val="21"/>
                <w:highlight w:val="none"/>
                <w:lang w:val="en-US" w:eastAsia="zh-CN"/>
              </w:rPr>
              <w:t>2-氯酚</w:t>
            </w:r>
            <w:r>
              <w:rPr>
                <w:rFonts w:hint="default" w:ascii="Times New Roman" w:hAnsi="Times New Roman" w:eastAsia="宋体" w:cs="Times New Roman"/>
                <w:b w:val="0"/>
                <w:bCs/>
                <w:color w:val="auto"/>
                <w:kern w:val="2"/>
                <w:sz w:val="21"/>
                <w:szCs w:val="21"/>
                <w:highlight w:val="none"/>
                <w:lang w:val="en-US" w:eastAsia="zh-CN" w:bidi="ar-SA"/>
              </w:rPr>
              <w:t>、苯并【a】蒽、苯并【a】芘、苯并【b】荧蒽、苯并【k】荧蒽、䓛、二苯并【a，h】蒽、茚并【1</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2</w:t>
            </w:r>
            <w:r>
              <w:rPr>
                <w:rFonts w:hint="default" w:ascii="Times New Roman" w:hAnsi="Times New Roman" w:eastAsia="宋体"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3-cd】芘、萘、石油烃（C10-C40）为分包项目，</w:t>
            </w:r>
            <w:r>
              <w:rPr>
                <w:rFonts w:hint="default" w:ascii="Times New Roman" w:hAnsi="Times New Roman" w:eastAsia="宋体" w:cs="Times New Roman"/>
                <w:b w:val="0"/>
                <w:bCs w:val="0"/>
                <w:color w:val="auto"/>
                <w:sz w:val="21"/>
                <w:szCs w:val="21"/>
                <w:highlight w:val="none"/>
                <w:lang w:val="en-US" w:eastAsia="zh-CN"/>
              </w:rPr>
              <w:t>委托分</w:t>
            </w:r>
            <w:r>
              <w:rPr>
                <w:rFonts w:hint="default" w:ascii="Times New Roman" w:hAnsi="Times New Roman" w:eastAsia="宋体" w:cs="Times New Roman"/>
                <w:b w:val="0"/>
                <w:bCs w:val="0"/>
                <w:color w:val="auto"/>
                <w:sz w:val="21"/>
                <w:szCs w:val="21"/>
                <w:highlight w:val="none"/>
                <w:lang w:eastAsia="zh-CN"/>
              </w:rPr>
              <w:t>包方为</w:t>
            </w:r>
            <w:r>
              <w:rPr>
                <w:rFonts w:hint="default" w:ascii="Times New Roman" w:hAnsi="Times New Roman" w:eastAsia="宋体" w:cs="Times New Roman"/>
                <w:b w:val="0"/>
                <w:bCs w:val="0"/>
                <w:color w:val="auto"/>
                <w:sz w:val="21"/>
                <w:szCs w:val="21"/>
                <w:highlight w:val="none"/>
                <w:lang w:val="en-US" w:eastAsia="zh-CN"/>
              </w:rPr>
              <w:t>辽宁鹏宇环境监测</w:t>
            </w:r>
            <w:r>
              <w:rPr>
                <w:rFonts w:hint="default" w:ascii="Times New Roman" w:hAnsi="Times New Roman" w:eastAsia="宋体" w:cs="Times New Roman"/>
                <w:b w:val="0"/>
                <w:bCs w:val="0"/>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资质认定证书编号为</w:t>
            </w:r>
            <w:r>
              <w:rPr>
                <w:rFonts w:hint="default" w:ascii="Times New Roman" w:hAnsi="Times New Roman" w:eastAsia="宋体" w:cs="Times New Roman"/>
                <w:b w:val="0"/>
                <w:bCs/>
                <w:color w:val="auto"/>
                <w:kern w:val="2"/>
                <w:sz w:val="21"/>
                <w:szCs w:val="21"/>
                <w:highlight w:val="none"/>
                <w:lang w:val="en-US" w:eastAsia="zh-CN" w:bidi="ar-SA"/>
              </w:rPr>
              <w:t>17061205N061。</w:t>
            </w:r>
            <w:bookmarkEnd w:id="381"/>
            <w:bookmarkEnd w:id="382"/>
          </w:p>
        </w:tc>
      </w:tr>
    </w:tbl>
    <w:p w14:paraId="349F7456">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4.2.3.</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评价标准</w:t>
      </w:r>
    </w:p>
    <w:p w14:paraId="5CC7A16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项目区土壤环境质量执行</w:t>
      </w:r>
      <w:r>
        <w:rPr>
          <w:rFonts w:hint="default" w:ascii="Times New Roman" w:hAnsi="Times New Roman" w:eastAsia="宋体" w:cs="Times New Roman"/>
          <w:color w:val="auto"/>
          <w:highlight w:val="none"/>
          <w:lang w:eastAsia="zh-CN"/>
        </w:rPr>
        <w:t>《土壤环境质量</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建设用地土壤污染风险管控标准（试行）》（GB36600-2018）第二类用地筛选值的限值要求</w:t>
      </w:r>
      <w:r>
        <w:rPr>
          <w:rFonts w:hint="default" w:ascii="Times New Roman" w:hAnsi="Times New Roman" w:eastAsia="宋体" w:cs="Times New Roman"/>
          <w:color w:val="auto"/>
          <w:highlight w:val="none"/>
        </w:rPr>
        <w:t>。</w:t>
      </w:r>
    </w:p>
    <w:p w14:paraId="1799BCE0">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4.2.3.</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监测结果</w:t>
      </w:r>
    </w:p>
    <w:p w14:paraId="0803C0ED">
      <w:pPr>
        <w:pageBreakBefore w:val="0"/>
        <w:widowControl w:val="0"/>
        <w:shd w:val="clear"/>
        <w:kinsoku/>
        <w:wordWrap/>
        <w:overflowPunct/>
        <w:topLinePunct/>
        <w:autoSpaceDE w:val="0"/>
        <w:autoSpaceDN/>
        <w:bidi w:val="0"/>
        <w:adjustRightInd/>
        <w:snapToGrid w:val="0"/>
        <w:spacing w:line="360" w:lineRule="auto"/>
        <w:ind w:left="0" w:leftChars="0" w:right="0" w:right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highlight w:val="none"/>
          <w:lang w:eastAsia="zh-CN"/>
        </w:rPr>
        <w:t>项目区内</w:t>
      </w:r>
      <w:r>
        <w:rPr>
          <w:rFonts w:hint="default" w:ascii="Times New Roman" w:hAnsi="Times New Roman" w:eastAsia="宋体" w:cs="Times New Roman"/>
          <w:color w:val="auto"/>
          <w:highlight w:val="none"/>
        </w:rPr>
        <w:t>土壤环境质量现状监测结果见下表。</w:t>
      </w:r>
    </w:p>
    <w:p w14:paraId="1FEEB8C7">
      <w:pPr>
        <w:pageBreakBefore w:val="0"/>
        <w:widowControl w:val="0"/>
        <w:shd w:val="clear"/>
        <w:kinsoku/>
        <w:wordWrap/>
        <w:overflowPunct/>
        <w:topLinePunct/>
        <w:autoSpaceDE w:val="0"/>
        <w:autoSpaceDN/>
        <w:bidi w:val="0"/>
        <w:adjustRightInd/>
        <w:snapToGrid w:val="0"/>
        <w:spacing w:line="360" w:lineRule="auto"/>
        <w:ind w:left="0" w:leftChars="0" w:right="0" w:right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表4.2-1</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项目用地范围内</w:t>
      </w:r>
      <w:r>
        <w:rPr>
          <w:rFonts w:hint="default" w:ascii="Times New Roman" w:hAnsi="Times New Roman" w:eastAsia="宋体" w:cs="Times New Roman"/>
          <w:b/>
          <w:bCs/>
          <w:color w:val="auto"/>
          <w:highlight w:val="none"/>
          <w:lang w:eastAsia="zh-CN"/>
        </w:rPr>
        <w:t>土壤监测</w:t>
      </w:r>
      <w:r>
        <w:rPr>
          <w:rFonts w:hint="default" w:ascii="Times New Roman" w:hAnsi="Times New Roman" w:eastAsia="宋体" w:cs="Times New Roman"/>
          <w:b/>
          <w:bCs/>
          <w:color w:val="auto"/>
          <w:highlight w:val="none"/>
        </w:rPr>
        <w:t>结果表（单位：mg/kg）</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4"/>
        <w:gridCol w:w="4295"/>
        <w:gridCol w:w="1368"/>
      </w:tblGrid>
      <w:tr w14:paraId="55B0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Merge w:val="restart"/>
            <w:vAlign w:val="center"/>
          </w:tcPr>
          <w:p w14:paraId="227E5F9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mc:AlternateContent>
                <mc:Choice Requires="wps">
                  <w:drawing>
                    <wp:anchor distT="0" distB="0" distL="114300" distR="114300" simplePos="0" relativeHeight="251709440" behindDoc="0" locked="0" layoutInCell="1" allowOverlap="1">
                      <wp:simplePos x="0" y="0"/>
                      <wp:positionH relativeFrom="column">
                        <wp:posOffset>-66040</wp:posOffset>
                      </wp:positionH>
                      <wp:positionV relativeFrom="paragraph">
                        <wp:posOffset>15240</wp:posOffset>
                      </wp:positionV>
                      <wp:extent cx="1630045" cy="505460"/>
                      <wp:effectExtent l="1270" t="4445" r="6985" b="4445"/>
                      <wp:wrapNone/>
                      <wp:docPr id="48" name="直接连接符 48"/>
                      <wp:cNvGraphicFramePr/>
                      <a:graphic xmlns:a="http://schemas.openxmlformats.org/drawingml/2006/main">
                        <a:graphicData uri="http://schemas.microsoft.com/office/word/2010/wordprocessingShape">
                          <wps:wsp>
                            <wps:cNvCnPr/>
                            <wps:spPr>
                              <a:xfrm>
                                <a:off x="911225" y="1898650"/>
                                <a:ext cx="1630045" cy="50546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2pt;margin-top:1.2pt;height:39.8pt;width:128.35pt;z-index:251709440;mso-width-relative:page;mso-height-relative:page;" filled="f" stroked="t" coordsize="21600,21600" o:gfxdata="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p&#10;IQ2v2QAAAAgBAAAPAAAAAAAAAAEAIAAAACIAAABkcnMvZG93bnJldi54bWxQSwECFAAUAAAACACH&#10;TuJA/kqn1eoBAACsAwAADgAAAAAAAAABACAAAAAoAQAAZHJzL2Uyb0RvYy54bWxQSwUGAAAAAAYA&#10;BgBZAQAAhAUAAAAA&#10;">
                      <v:fill on="f" focussize="0,0"/>
                      <v:stroke weight="0.25pt" color="#000000 [3213]" joinstyle="round"/>
                      <v:imagedata o:title=""/>
                      <o:lock v:ext="edit" aspectratio="f"/>
                    </v:line>
                  </w:pict>
                </mc:Fallback>
              </mc:AlternateContent>
            </w:r>
            <w:r>
              <w:rPr>
                <w:rFonts w:hint="default" w:ascii="Times New Roman" w:hAnsi="Times New Roman" w:eastAsia="宋体" w:cs="Times New Roman"/>
                <w:color w:val="auto"/>
                <w:sz w:val="21"/>
                <w:szCs w:val="21"/>
                <w:highlight w:val="none"/>
                <w:lang w:val="en-US" w:eastAsia="zh-CN"/>
              </w:rPr>
              <w:t xml:space="preserve">              点位编号</w:t>
            </w:r>
          </w:p>
          <w:p w14:paraId="19442C97">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color w:val="auto"/>
                <w:sz w:val="21"/>
                <w:szCs w:val="21"/>
                <w:highlight w:val="none"/>
                <w:lang w:val="en-US" w:eastAsia="zh-CN"/>
              </w:rPr>
            </w:pPr>
          </w:p>
          <w:p w14:paraId="74B673B8">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检测项目</w:t>
            </w:r>
          </w:p>
        </w:tc>
        <w:tc>
          <w:tcPr>
            <w:tcW w:w="4973" w:type="dxa"/>
            <w:vAlign w:val="center"/>
          </w:tcPr>
          <w:p w14:paraId="0BEF8B7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检测结果</w:t>
            </w:r>
          </w:p>
        </w:tc>
        <w:tc>
          <w:tcPr>
            <w:tcW w:w="1559" w:type="dxa"/>
            <w:vMerge w:val="restart"/>
            <w:vAlign w:val="center"/>
          </w:tcPr>
          <w:p w14:paraId="325B78D2">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标准限值</w:t>
            </w:r>
          </w:p>
        </w:tc>
      </w:tr>
      <w:tr w14:paraId="5491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Merge w:val="continue"/>
            <w:vAlign w:val="center"/>
          </w:tcPr>
          <w:p w14:paraId="60BFBDED">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973" w:type="dxa"/>
            <w:vAlign w:val="center"/>
          </w:tcPr>
          <w:p w14:paraId="14EB13B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T-W2024426-03</w:t>
            </w:r>
          </w:p>
        </w:tc>
        <w:tc>
          <w:tcPr>
            <w:tcW w:w="1559" w:type="dxa"/>
            <w:vMerge w:val="continue"/>
            <w:vAlign w:val="center"/>
          </w:tcPr>
          <w:p w14:paraId="1943084A">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r>
      <w:tr w14:paraId="0780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78AD91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pH（无量纲）</w:t>
            </w:r>
          </w:p>
        </w:tc>
        <w:tc>
          <w:tcPr>
            <w:tcW w:w="4973" w:type="dxa"/>
            <w:vAlign w:val="center"/>
          </w:tcPr>
          <w:p w14:paraId="16EEBE1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8.3</w:t>
            </w:r>
          </w:p>
        </w:tc>
        <w:tc>
          <w:tcPr>
            <w:tcW w:w="1559" w:type="dxa"/>
            <w:vAlign w:val="center"/>
          </w:tcPr>
          <w:p w14:paraId="4C7A6DA3">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2A75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5C4214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砷（</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4993E33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6.89</w:t>
            </w:r>
          </w:p>
        </w:tc>
        <w:tc>
          <w:tcPr>
            <w:tcW w:w="1559" w:type="dxa"/>
            <w:vAlign w:val="center"/>
          </w:tcPr>
          <w:p w14:paraId="022FDAE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r>
      <w:tr w14:paraId="5CBA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2E7BF6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镉</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612EF4D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0.48</w:t>
            </w:r>
          </w:p>
        </w:tc>
        <w:tc>
          <w:tcPr>
            <w:tcW w:w="1559" w:type="dxa"/>
            <w:vAlign w:val="center"/>
          </w:tcPr>
          <w:p w14:paraId="0F2052D7">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65</w:t>
            </w:r>
          </w:p>
        </w:tc>
      </w:tr>
      <w:tr w14:paraId="51A0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0F91DB1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铜</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24535A1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1559" w:type="dxa"/>
            <w:vAlign w:val="center"/>
          </w:tcPr>
          <w:p w14:paraId="42D614FA">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18000</w:t>
            </w:r>
          </w:p>
        </w:tc>
      </w:tr>
      <w:tr w14:paraId="1351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67BAE7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铅</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5633080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w:t>
            </w:r>
          </w:p>
        </w:tc>
        <w:tc>
          <w:tcPr>
            <w:tcW w:w="1559" w:type="dxa"/>
            <w:vAlign w:val="center"/>
          </w:tcPr>
          <w:p w14:paraId="036AF115">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800</w:t>
            </w:r>
          </w:p>
        </w:tc>
      </w:tr>
      <w:tr w14:paraId="587C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5F4F3C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汞</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B21403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0.039</w:t>
            </w:r>
          </w:p>
        </w:tc>
        <w:tc>
          <w:tcPr>
            <w:tcW w:w="1559" w:type="dxa"/>
            <w:vAlign w:val="center"/>
          </w:tcPr>
          <w:p w14:paraId="5398EF69">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≤38</w:t>
            </w:r>
          </w:p>
        </w:tc>
      </w:tr>
      <w:tr w14:paraId="065A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D50D9E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镍</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07C13A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42</w:t>
            </w:r>
          </w:p>
        </w:tc>
        <w:tc>
          <w:tcPr>
            <w:tcW w:w="1559" w:type="dxa"/>
            <w:vAlign w:val="center"/>
          </w:tcPr>
          <w:p w14:paraId="7256054E">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900</w:t>
            </w:r>
          </w:p>
        </w:tc>
      </w:tr>
      <w:tr w14:paraId="152A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EB8BE6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*六价铬</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6631EC2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3F0A9C7">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5.7</w:t>
            </w:r>
          </w:p>
        </w:tc>
      </w:tr>
      <w:tr w14:paraId="73A3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05AA5A1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*四氯化碳</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70CF612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48CAF2C8">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rPr>
              <w:t>2.8</w:t>
            </w:r>
          </w:p>
        </w:tc>
      </w:tr>
      <w:tr w14:paraId="6AF3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4489D7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*氯仿</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045C6B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89EF3B9">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≤0.9</w:t>
            </w:r>
          </w:p>
        </w:tc>
      </w:tr>
      <w:tr w14:paraId="1158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2FB6E4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*氯甲烷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28F9A7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56C2377">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≤37</w:t>
            </w:r>
          </w:p>
        </w:tc>
      </w:tr>
      <w:tr w14:paraId="00A3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A9B26E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1-二氯乙烷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372692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B131120">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w:t>
            </w:r>
          </w:p>
        </w:tc>
      </w:tr>
      <w:tr w14:paraId="2AD1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A4968C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EAC33E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D58BBD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r>
      <w:tr w14:paraId="2850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9DBBC6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1-二氯乙烯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E82ED6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3FC305C">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w:t>
            </w:r>
          </w:p>
        </w:tc>
      </w:tr>
      <w:tr w14:paraId="62D8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F5F930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*顺-1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F97B4A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42BAC47F">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≤596</w:t>
            </w:r>
          </w:p>
        </w:tc>
      </w:tr>
      <w:tr w14:paraId="6F29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3D8584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*反-1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08EE12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A3E7E6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r>
      <w:tr w14:paraId="1A4A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7C6CAC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*二氯甲烷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7CF56D7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7C56FD02">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≤616</w:t>
            </w:r>
          </w:p>
        </w:tc>
      </w:tr>
      <w:tr w14:paraId="5F83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284331A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D181CE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7ACAF3D3">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r>
      <w:tr w14:paraId="7712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E9B945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2-四氯乙烷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94CC19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008F5F6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r>
      <w:tr w14:paraId="28D0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636580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2-四氯乙烷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5AB956A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D6979BE">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≤6.8</w:t>
            </w:r>
          </w:p>
        </w:tc>
      </w:tr>
      <w:tr w14:paraId="6E5B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220738C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*四氯乙烯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36AA8C1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31F5DEA3">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r>
      <w:tr w14:paraId="1191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CB0993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1-三氯乙烷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2633181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4A1719D2">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≤840</w:t>
            </w:r>
          </w:p>
        </w:tc>
      </w:tr>
      <w:tr w14:paraId="26F2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D9CB3D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2-三氯乙烷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3C8822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966BED7">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r>
      <w:tr w14:paraId="4678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2FD2277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*三氯乙烯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3B704DD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052398B4">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r>
      <w:tr w14:paraId="300C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447756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3-三氯丙烷</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3627028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18DFEBD">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≤0.5</w:t>
            </w:r>
          </w:p>
        </w:tc>
      </w:tr>
      <w:tr w14:paraId="40DA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5C30B05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13B9A9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267DDABD">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≤0.43</w:t>
            </w:r>
          </w:p>
        </w:tc>
      </w:tr>
      <w:tr w14:paraId="2495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CBB992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7035844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74F7D8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r>
      <w:tr w14:paraId="2AAD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979E77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*氯苯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55485B8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CA78B01">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≤270</w:t>
            </w:r>
          </w:p>
        </w:tc>
      </w:tr>
      <w:tr w14:paraId="3660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3624CB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2-二氯苯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427EEF5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75F38A5E">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≤560</w:t>
            </w:r>
          </w:p>
        </w:tc>
      </w:tr>
      <w:tr w14:paraId="0EE4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CC4667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4-二氯苯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B0922B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7E5DD9E">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r>
      <w:tr w14:paraId="3723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06D0F1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*乙苯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49618F3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1B6D2C2">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w:t>
            </w:r>
          </w:p>
        </w:tc>
      </w:tr>
      <w:tr w14:paraId="12B7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0B7297A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*苯乙烯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3515C46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AD29058">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≤1290</w:t>
            </w:r>
          </w:p>
        </w:tc>
      </w:tr>
      <w:tr w14:paraId="573D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CE0855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*甲苯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6A478F4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4032478F">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≤1200</w:t>
            </w:r>
          </w:p>
        </w:tc>
      </w:tr>
      <w:tr w14:paraId="4D82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5F77E3A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*间二甲苯+对二甲苯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2DA109C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043D7AF">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≤570</w:t>
            </w:r>
          </w:p>
        </w:tc>
      </w:tr>
      <w:tr w14:paraId="28C7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7CEABD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*邻二甲苯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5AD6D3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BB3D276">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≤640</w:t>
            </w:r>
          </w:p>
        </w:tc>
      </w:tr>
      <w:tr w14:paraId="061A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03ADC57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*硝基苯</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5FE3DD8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DF52BA1">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≤76</w:t>
            </w:r>
          </w:p>
        </w:tc>
      </w:tr>
      <w:tr w14:paraId="3749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9FA91C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*苯胺</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5B9A09F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24C3F51">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≤260</w:t>
            </w:r>
          </w:p>
        </w:tc>
      </w:tr>
      <w:tr w14:paraId="5BCF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5B717BD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*2-氯酚</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66FCF09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646EB00">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≤2256</w:t>
            </w:r>
          </w:p>
        </w:tc>
      </w:tr>
      <w:tr w14:paraId="4947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8E982D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*苯并［a］蒽</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65B77D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D5AF140">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r>
      <w:tr w14:paraId="17B8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38C593D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*苯并［a］芘</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F2D52C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2AD5AB24">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r>
      <w:tr w14:paraId="2BFD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78691CB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*苯并［b］荧蒽</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74ABEB1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06F3D31">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r>
      <w:tr w14:paraId="1FD9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4997736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*苯并［k］荧蒽</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770FE01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6B8E2C5E">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≤151</w:t>
            </w:r>
          </w:p>
        </w:tc>
      </w:tr>
      <w:tr w14:paraId="651F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35465C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*䓛</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3EEB747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197ACEEC">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≤1293</w:t>
            </w:r>
          </w:p>
        </w:tc>
      </w:tr>
      <w:tr w14:paraId="5E65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6D4811C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*二苯并［a</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h］蒽</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7F27E4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517BE64A">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r>
      <w:tr w14:paraId="3A0C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03C8D84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*茚并［1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3-cd］芘</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0C1DDAB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3C49A369">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r>
      <w:tr w14:paraId="1B66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2" w:type="dxa"/>
            <w:vAlign w:val="center"/>
          </w:tcPr>
          <w:p w14:paraId="1CF4934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*萘</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mg/kg</w:t>
            </w:r>
            <w:r>
              <w:rPr>
                <w:rFonts w:hint="default" w:ascii="Times New Roman" w:hAnsi="Times New Roman" w:eastAsia="宋体" w:cs="Times New Roman"/>
                <w:color w:val="auto"/>
                <w:sz w:val="21"/>
                <w:szCs w:val="21"/>
                <w:highlight w:val="none"/>
                <w:lang w:val="en-US" w:eastAsia="zh-CN"/>
              </w:rPr>
              <w:t>）</w:t>
            </w:r>
          </w:p>
        </w:tc>
        <w:tc>
          <w:tcPr>
            <w:tcW w:w="4973" w:type="dxa"/>
            <w:vAlign w:val="center"/>
          </w:tcPr>
          <w:p w14:paraId="1CB3D96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未检出</w:t>
            </w:r>
          </w:p>
        </w:tc>
        <w:tc>
          <w:tcPr>
            <w:tcW w:w="1559" w:type="dxa"/>
            <w:vAlign w:val="center"/>
          </w:tcPr>
          <w:p w14:paraId="3CD4141B">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w:t>
            </w:r>
          </w:p>
        </w:tc>
      </w:tr>
    </w:tbl>
    <w:p w14:paraId="3096CF59">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4.2.3.</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评价结果</w:t>
      </w:r>
    </w:p>
    <w:p w14:paraId="2BBDF4E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从土壤环境监测和分析结果来看，项目用地范围内各监测点位监测值均满足</w:t>
      </w:r>
      <w:r>
        <w:rPr>
          <w:rFonts w:hint="default" w:ascii="Times New Roman" w:hAnsi="Times New Roman" w:eastAsia="宋体" w:cs="Times New Roman"/>
          <w:color w:val="auto"/>
          <w:highlight w:val="none"/>
          <w:lang w:eastAsia="zh-CN"/>
        </w:rPr>
        <w:t>《土壤环境质量</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建设用地土壤污染风险管控标准（试行）》（GB36600-2018）第二类用地筛选值的限值要求</w:t>
      </w:r>
      <w:r>
        <w:rPr>
          <w:rFonts w:hint="default" w:ascii="Times New Roman" w:hAnsi="Times New Roman" w:eastAsia="宋体" w:cs="Times New Roman"/>
          <w:color w:val="auto"/>
          <w:highlight w:val="none"/>
        </w:rPr>
        <w:t>，项目所在地土壤环境质量良好。</w:t>
      </w:r>
    </w:p>
    <w:p w14:paraId="7B493F0C">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383" w:name="_Toc20784"/>
      <w:r>
        <w:rPr>
          <w:rFonts w:hint="default" w:ascii="Times New Roman" w:hAnsi="Times New Roman" w:eastAsia="宋体" w:cs="Times New Roman"/>
          <w:color w:val="auto"/>
          <w:highlight w:val="none"/>
        </w:rPr>
        <w:t>4.2.4声环境质量现状调查与评价</w:t>
      </w:r>
      <w:bookmarkEnd w:id="379"/>
      <w:bookmarkEnd w:id="380"/>
      <w:bookmarkEnd w:id="383"/>
    </w:p>
    <w:p w14:paraId="555E4D2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本次评价对声环境质量现状进行实测，监测单位为</w:t>
      </w:r>
      <w:r>
        <w:rPr>
          <w:rFonts w:hint="default" w:ascii="Times New Roman" w:hAnsi="Times New Roman" w:eastAsia="宋体" w:cs="Times New Roman"/>
          <w:color w:val="auto"/>
          <w:highlight w:val="none"/>
          <w:lang w:eastAsia="zh-CN"/>
        </w:rPr>
        <w:t>内蒙古双旭环境检测有限公司</w:t>
      </w:r>
      <w:r>
        <w:rPr>
          <w:rFonts w:hint="default" w:ascii="Times New Roman" w:hAnsi="Times New Roman" w:eastAsia="宋体" w:cs="Times New Roman"/>
          <w:color w:val="auto"/>
          <w:highlight w:val="none"/>
        </w:rPr>
        <w:t>，监测时间为202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日</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7日</w:t>
      </w:r>
      <w:r>
        <w:rPr>
          <w:rFonts w:hint="default" w:ascii="Times New Roman" w:hAnsi="Times New Roman" w:eastAsia="宋体" w:cs="Times New Roman"/>
          <w:color w:val="auto"/>
          <w:highlight w:val="none"/>
        </w:rPr>
        <w:t>。</w:t>
      </w:r>
    </w:p>
    <w:p w14:paraId="3FE3E44F">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4.2.4.1监测布点</w:t>
      </w:r>
    </w:p>
    <w:p w14:paraId="3E5A929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在项目</w:t>
      </w:r>
      <w:r>
        <w:rPr>
          <w:rFonts w:hint="default" w:ascii="Times New Roman" w:hAnsi="Times New Roman" w:eastAsia="宋体" w:cs="Times New Roman"/>
          <w:color w:val="auto"/>
          <w:highlight w:val="none"/>
          <w:lang w:eastAsia="zh-CN"/>
        </w:rPr>
        <w:t>建设场区</w:t>
      </w:r>
      <w:r>
        <w:rPr>
          <w:rFonts w:hint="default" w:ascii="Times New Roman" w:hAnsi="Times New Roman" w:eastAsia="宋体" w:cs="Times New Roman"/>
          <w:color w:val="auto"/>
          <w:highlight w:val="none"/>
        </w:rPr>
        <w:t>东、南、西、北厂界外1m</w:t>
      </w:r>
      <w:r>
        <w:rPr>
          <w:rFonts w:hint="default" w:ascii="Times New Roman" w:hAnsi="Times New Roman" w:eastAsia="宋体" w:cs="Times New Roman"/>
          <w:color w:val="auto"/>
          <w:highlight w:val="none"/>
          <w:lang w:eastAsia="zh-CN"/>
        </w:rPr>
        <w:t>各</w:t>
      </w:r>
      <w:r>
        <w:rPr>
          <w:rFonts w:hint="default" w:ascii="Times New Roman" w:hAnsi="Times New Roman" w:eastAsia="宋体" w:cs="Times New Roman"/>
          <w:color w:val="auto"/>
          <w:highlight w:val="none"/>
        </w:rPr>
        <w:t>布设</w:t>
      </w:r>
      <w:r>
        <w:rPr>
          <w:rFonts w:hint="default" w:ascii="Times New Roman" w:hAnsi="Times New Roman" w:eastAsia="宋体" w:cs="Times New Roman"/>
          <w:color w:val="auto"/>
          <w:highlight w:val="none"/>
          <w:lang w:val="en-US" w:eastAsia="zh-CN"/>
        </w:rPr>
        <w:t>1个</w:t>
      </w:r>
      <w:r>
        <w:rPr>
          <w:rFonts w:hint="default" w:ascii="Times New Roman" w:hAnsi="Times New Roman" w:eastAsia="宋体" w:cs="Times New Roman"/>
          <w:color w:val="auto"/>
          <w:highlight w:val="none"/>
        </w:rPr>
        <w:t>噪声现状监测点</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噪声监测点的编号依次为1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如图4.2-</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所示。</w:t>
      </w:r>
    </w:p>
    <w:p w14:paraId="20EF47C0">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4.2.4.2监测时间及频次</w:t>
      </w:r>
    </w:p>
    <w:p w14:paraId="3A0621F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监测频次：</w:t>
      </w:r>
      <w:r>
        <w:rPr>
          <w:rFonts w:hint="default" w:ascii="Times New Roman" w:hAnsi="Times New Roman" w:eastAsia="宋体" w:cs="Times New Roman"/>
          <w:color w:val="auto"/>
          <w:highlight w:val="none"/>
          <w:lang w:eastAsia="zh-CN"/>
        </w:rPr>
        <w:t>共</w:t>
      </w:r>
      <w:r>
        <w:rPr>
          <w:rFonts w:hint="default" w:ascii="Times New Roman" w:hAnsi="Times New Roman" w:eastAsia="宋体" w:cs="Times New Roman"/>
          <w:color w:val="auto"/>
          <w:highlight w:val="none"/>
        </w:rPr>
        <w:t>监测</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天，每次测量10分钟的</w:t>
      </w:r>
      <w:r>
        <w:rPr>
          <w:rFonts w:hint="default" w:ascii="Times New Roman" w:hAnsi="Times New Roman" w:eastAsia="宋体" w:cs="Times New Roman"/>
          <w:color w:val="auto"/>
          <w:highlight w:val="none"/>
          <w:lang w:eastAsia="zh-CN"/>
        </w:rPr>
        <w:t>等效连续</w:t>
      </w:r>
      <w:r>
        <w:rPr>
          <w:rFonts w:hint="default" w:ascii="Times New Roman" w:hAnsi="Times New Roman" w:eastAsia="宋体" w:cs="Times New Roman"/>
          <w:color w:val="auto"/>
          <w:highlight w:val="none"/>
        </w:rPr>
        <w:t>A声级</w:t>
      </w:r>
      <w:r>
        <w:rPr>
          <w:rFonts w:hint="default" w:ascii="Times New Roman" w:hAnsi="Times New Roman" w:eastAsia="宋体" w:cs="Times New Roman"/>
          <w:bCs/>
          <w:color w:val="auto"/>
          <w:highlight w:val="none"/>
        </w:rPr>
        <w:t>。</w:t>
      </w:r>
    </w:p>
    <w:p w14:paraId="39522263">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4.2.4.3监测方法</w:t>
      </w:r>
    </w:p>
    <w:p w14:paraId="06341DE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监测方法采用《声环境质量标准》（GB3096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2008）中要求的监测方法，采用的测试仪器为AWA5688型多功能声级计。</w:t>
      </w:r>
    </w:p>
    <w:p w14:paraId="5EE0369E">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4.2.4.4监测结果</w:t>
      </w:r>
    </w:p>
    <w:p w14:paraId="4F3D1E0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噪声监测数据统计结果见下表。</w:t>
      </w:r>
    </w:p>
    <w:p w14:paraId="5761C637">
      <w:pPr>
        <w:pageBreakBefore w:val="0"/>
        <w:shd w:val="clear"/>
        <w:kinsoku/>
        <w:wordWrap/>
        <w:bidi w:val="0"/>
        <w:spacing w:line="360" w:lineRule="auto"/>
        <w:ind w:left="0" w:leftChars="0" w:firstLine="0" w:firstLineChars="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rPr>
        <w:t>表4.2-15</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检验检测分析结果汇总表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1656"/>
        <w:gridCol w:w="1656"/>
        <w:gridCol w:w="1656"/>
        <w:gridCol w:w="1653"/>
      </w:tblGrid>
      <w:tr w14:paraId="3715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vAlign w:val="center"/>
          </w:tcPr>
          <w:p w14:paraId="4E7E0133">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检测日期</w:t>
            </w:r>
          </w:p>
        </w:tc>
        <w:tc>
          <w:tcPr>
            <w:tcW w:w="1000" w:type="pct"/>
            <w:vAlign w:val="center"/>
          </w:tcPr>
          <w:p w14:paraId="1A065CF5">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风向</w:t>
            </w:r>
          </w:p>
        </w:tc>
        <w:tc>
          <w:tcPr>
            <w:tcW w:w="1000" w:type="pct"/>
            <w:vAlign w:val="center"/>
          </w:tcPr>
          <w:p w14:paraId="6164B9F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风速（m/s）</w:t>
            </w:r>
          </w:p>
        </w:tc>
        <w:tc>
          <w:tcPr>
            <w:tcW w:w="1000" w:type="pct"/>
            <w:vAlign w:val="center"/>
          </w:tcPr>
          <w:p w14:paraId="1A1F9E3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气温（℃）</w:t>
            </w:r>
          </w:p>
        </w:tc>
        <w:tc>
          <w:tcPr>
            <w:tcW w:w="998" w:type="pct"/>
            <w:vAlign w:val="center"/>
          </w:tcPr>
          <w:p w14:paraId="35E0A20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气压（hPa）</w:t>
            </w:r>
          </w:p>
        </w:tc>
      </w:tr>
      <w:tr w14:paraId="77FF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vAlign w:val="center"/>
          </w:tcPr>
          <w:p w14:paraId="5C4BC30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2024.8.6</w:t>
            </w:r>
          </w:p>
        </w:tc>
        <w:tc>
          <w:tcPr>
            <w:tcW w:w="1000" w:type="pct"/>
            <w:vAlign w:val="center"/>
          </w:tcPr>
          <w:p w14:paraId="36799A08">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NE</w:t>
            </w:r>
          </w:p>
        </w:tc>
        <w:tc>
          <w:tcPr>
            <w:tcW w:w="1000" w:type="pct"/>
            <w:vAlign w:val="center"/>
          </w:tcPr>
          <w:p w14:paraId="624D6DA0">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0" w:type="pct"/>
            <w:vAlign w:val="center"/>
          </w:tcPr>
          <w:p w14:paraId="180351C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28</w:t>
            </w:r>
          </w:p>
        </w:tc>
        <w:tc>
          <w:tcPr>
            <w:tcW w:w="998" w:type="pct"/>
            <w:vAlign w:val="center"/>
          </w:tcPr>
          <w:p w14:paraId="3FE1D5D4">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893</w:t>
            </w:r>
          </w:p>
        </w:tc>
      </w:tr>
      <w:tr w14:paraId="747E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pct"/>
            <w:vAlign w:val="center"/>
          </w:tcPr>
          <w:p w14:paraId="4361F869">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2024.8.7</w:t>
            </w:r>
          </w:p>
        </w:tc>
        <w:tc>
          <w:tcPr>
            <w:tcW w:w="1000" w:type="pct"/>
            <w:vAlign w:val="center"/>
          </w:tcPr>
          <w:p w14:paraId="06734EAA">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N</w:t>
            </w:r>
          </w:p>
        </w:tc>
        <w:tc>
          <w:tcPr>
            <w:tcW w:w="1000" w:type="pct"/>
            <w:vAlign w:val="center"/>
          </w:tcPr>
          <w:p w14:paraId="31318601">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0" w:type="pct"/>
            <w:vAlign w:val="center"/>
          </w:tcPr>
          <w:p w14:paraId="1C70F50C">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998" w:type="pct"/>
            <w:vAlign w:val="center"/>
          </w:tcPr>
          <w:p w14:paraId="4FA0EB06">
            <w:pPr>
              <w:keepNext w:val="0"/>
              <w:keepLines w:val="0"/>
              <w:pageBreakBefore w:val="0"/>
              <w:widowControl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891</w:t>
            </w:r>
          </w:p>
        </w:tc>
      </w:tr>
    </w:tbl>
    <w:p w14:paraId="5D5871DA">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噪声监测结果统计表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8"/>
        <w:gridCol w:w="2002"/>
        <w:gridCol w:w="1315"/>
        <w:gridCol w:w="1972"/>
        <w:gridCol w:w="1240"/>
      </w:tblGrid>
      <w:tr w14:paraId="54A4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Merge w:val="restart"/>
            <w:vAlign w:val="center"/>
          </w:tcPr>
          <w:p w14:paraId="7D6635A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点位名称</w:t>
            </w:r>
          </w:p>
        </w:tc>
        <w:tc>
          <w:tcPr>
            <w:tcW w:w="6529" w:type="dxa"/>
            <w:gridSpan w:val="4"/>
            <w:vAlign w:val="center"/>
          </w:tcPr>
          <w:p w14:paraId="26C4E1A5">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等效声级单位：Leq[dB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p>
        </w:tc>
      </w:tr>
      <w:tr w14:paraId="3870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Merge w:val="continue"/>
            <w:vAlign w:val="center"/>
          </w:tcPr>
          <w:p w14:paraId="3E7C653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2002" w:type="dxa"/>
            <w:vAlign w:val="center"/>
          </w:tcPr>
          <w:p w14:paraId="01DF2BE4">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样品编号</w:t>
            </w:r>
          </w:p>
        </w:tc>
        <w:tc>
          <w:tcPr>
            <w:tcW w:w="1315" w:type="dxa"/>
            <w:vAlign w:val="center"/>
          </w:tcPr>
          <w:p w14:paraId="7A1EB91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昼间</w:t>
            </w:r>
          </w:p>
        </w:tc>
        <w:tc>
          <w:tcPr>
            <w:tcW w:w="1972" w:type="dxa"/>
            <w:vAlign w:val="center"/>
          </w:tcPr>
          <w:p w14:paraId="07A8665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样品编号</w:t>
            </w:r>
          </w:p>
        </w:tc>
        <w:tc>
          <w:tcPr>
            <w:tcW w:w="1240" w:type="dxa"/>
            <w:vAlign w:val="center"/>
          </w:tcPr>
          <w:p w14:paraId="54A9791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夜间</w:t>
            </w:r>
          </w:p>
        </w:tc>
      </w:tr>
      <w:tr w14:paraId="2FC3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Align w:val="center"/>
          </w:tcPr>
          <w:p w14:paraId="1D74907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东</w:t>
            </w:r>
            <w:r>
              <w:rPr>
                <w:rFonts w:hint="default" w:ascii="Times New Roman" w:hAnsi="Times New Roman" w:eastAsia="宋体" w:cs="Times New Roman"/>
                <w:color w:val="auto"/>
                <w:sz w:val="21"/>
                <w:szCs w:val="21"/>
                <w:highlight w:val="none"/>
                <w:lang w:val="en-US" w:eastAsia="zh-CN"/>
              </w:rPr>
              <w:t>A</w:t>
            </w:r>
          </w:p>
        </w:tc>
        <w:tc>
          <w:tcPr>
            <w:tcW w:w="2002" w:type="dxa"/>
            <w:vAlign w:val="center"/>
          </w:tcPr>
          <w:p w14:paraId="72D944C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Z-W2024426-01-001</w:t>
            </w:r>
          </w:p>
        </w:tc>
        <w:tc>
          <w:tcPr>
            <w:tcW w:w="1315" w:type="dxa"/>
            <w:vAlign w:val="center"/>
          </w:tcPr>
          <w:p w14:paraId="2998875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c>
          <w:tcPr>
            <w:tcW w:w="1972" w:type="dxa"/>
            <w:vAlign w:val="center"/>
          </w:tcPr>
          <w:p w14:paraId="5E10BF3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Z-W2024426-01-002</w:t>
            </w:r>
          </w:p>
        </w:tc>
        <w:tc>
          <w:tcPr>
            <w:tcW w:w="1240" w:type="dxa"/>
            <w:vAlign w:val="center"/>
          </w:tcPr>
          <w:p w14:paraId="3B3EDD7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48</w:t>
            </w:r>
          </w:p>
        </w:tc>
      </w:tr>
      <w:tr w14:paraId="4F42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Align w:val="center"/>
          </w:tcPr>
          <w:p w14:paraId="5E39B00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南</w:t>
            </w:r>
            <w:r>
              <w:rPr>
                <w:rFonts w:hint="default" w:ascii="Times New Roman" w:hAnsi="Times New Roman" w:eastAsia="宋体" w:cs="Times New Roman"/>
                <w:color w:val="auto"/>
                <w:sz w:val="21"/>
                <w:szCs w:val="21"/>
                <w:highlight w:val="none"/>
                <w:lang w:val="en-US" w:eastAsia="zh-CN"/>
              </w:rPr>
              <w:t>B</w:t>
            </w:r>
          </w:p>
        </w:tc>
        <w:tc>
          <w:tcPr>
            <w:tcW w:w="2002" w:type="dxa"/>
            <w:vAlign w:val="center"/>
          </w:tcPr>
          <w:p w14:paraId="1DCDF26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Z-W2024426-02-001</w:t>
            </w:r>
          </w:p>
        </w:tc>
        <w:tc>
          <w:tcPr>
            <w:tcW w:w="1315" w:type="dxa"/>
            <w:vAlign w:val="center"/>
          </w:tcPr>
          <w:p w14:paraId="73821C7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1972" w:type="dxa"/>
            <w:vAlign w:val="center"/>
          </w:tcPr>
          <w:p w14:paraId="67DEC83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Z-W2024426-02-002</w:t>
            </w:r>
          </w:p>
        </w:tc>
        <w:tc>
          <w:tcPr>
            <w:tcW w:w="1240" w:type="dxa"/>
            <w:vAlign w:val="center"/>
          </w:tcPr>
          <w:p w14:paraId="4118A51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47</w:t>
            </w:r>
          </w:p>
        </w:tc>
      </w:tr>
      <w:tr w14:paraId="3E56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Align w:val="center"/>
          </w:tcPr>
          <w:p w14:paraId="6C4FDB6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北</w:t>
            </w:r>
            <w:r>
              <w:rPr>
                <w:rFonts w:hint="default" w:ascii="Times New Roman" w:hAnsi="Times New Roman" w:eastAsia="宋体" w:cs="Times New Roman"/>
                <w:color w:val="auto"/>
                <w:sz w:val="21"/>
                <w:szCs w:val="21"/>
                <w:highlight w:val="none"/>
                <w:lang w:val="en-US" w:eastAsia="zh-CN"/>
              </w:rPr>
              <w:t>C</w:t>
            </w:r>
          </w:p>
        </w:tc>
        <w:tc>
          <w:tcPr>
            <w:tcW w:w="2002" w:type="dxa"/>
            <w:vAlign w:val="center"/>
          </w:tcPr>
          <w:p w14:paraId="29E2901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Z-W2024426-03-001</w:t>
            </w:r>
          </w:p>
        </w:tc>
        <w:tc>
          <w:tcPr>
            <w:tcW w:w="1315" w:type="dxa"/>
            <w:vAlign w:val="center"/>
          </w:tcPr>
          <w:p w14:paraId="3F85435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c>
          <w:tcPr>
            <w:tcW w:w="1972" w:type="dxa"/>
            <w:vAlign w:val="center"/>
          </w:tcPr>
          <w:p w14:paraId="0ED1210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Z-W2024426-03-002</w:t>
            </w:r>
          </w:p>
        </w:tc>
        <w:tc>
          <w:tcPr>
            <w:tcW w:w="1240" w:type="dxa"/>
            <w:vAlign w:val="center"/>
          </w:tcPr>
          <w:p w14:paraId="304E7AB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48</w:t>
            </w:r>
          </w:p>
        </w:tc>
      </w:tr>
      <w:tr w14:paraId="6363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Align w:val="center"/>
          </w:tcPr>
          <w:p w14:paraId="2DF5906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西</w:t>
            </w:r>
            <w:r>
              <w:rPr>
                <w:rFonts w:hint="default" w:ascii="Times New Roman" w:hAnsi="Times New Roman" w:eastAsia="宋体" w:cs="Times New Roman"/>
                <w:color w:val="auto"/>
                <w:sz w:val="21"/>
                <w:szCs w:val="21"/>
                <w:highlight w:val="none"/>
                <w:lang w:val="en-US" w:eastAsia="zh-CN"/>
              </w:rPr>
              <w:t>D</w:t>
            </w:r>
          </w:p>
        </w:tc>
        <w:tc>
          <w:tcPr>
            <w:tcW w:w="2002" w:type="dxa"/>
            <w:vAlign w:val="center"/>
          </w:tcPr>
          <w:p w14:paraId="27B933B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Z-W2024426-04-001</w:t>
            </w:r>
          </w:p>
        </w:tc>
        <w:tc>
          <w:tcPr>
            <w:tcW w:w="1315" w:type="dxa"/>
            <w:vAlign w:val="center"/>
          </w:tcPr>
          <w:p w14:paraId="25994D9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1972" w:type="dxa"/>
            <w:vAlign w:val="center"/>
          </w:tcPr>
          <w:p w14:paraId="317BDAF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Z-W2024426-04-002</w:t>
            </w:r>
          </w:p>
        </w:tc>
        <w:tc>
          <w:tcPr>
            <w:tcW w:w="1240" w:type="dxa"/>
            <w:vAlign w:val="center"/>
          </w:tcPr>
          <w:p w14:paraId="1A3F991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46</w:t>
            </w:r>
          </w:p>
        </w:tc>
      </w:tr>
      <w:tr w14:paraId="78A0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8" w:type="dxa"/>
            <w:vAlign w:val="center"/>
          </w:tcPr>
          <w:p w14:paraId="0479961C">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西侧新丰村三社</w:t>
            </w:r>
          </w:p>
        </w:tc>
        <w:tc>
          <w:tcPr>
            <w:tcW w:w="2002" w:type="dxa"/>
            <w:vAlign w:val="center"/>
          </w:tcPr>
          <w:p w14:paraId="6B01C29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Z-W2024426-05-001</w:t>
            </w:r>
          </w:p>
        </w:tc>
        <w:tc>
          <w:tcPr>
            <w:tcW w:w="1315" w:type="dxa"/>
            <w:vAlign w:val="center"/>
          </w:tcPr>
          <w:p w14:paraId="7F331147">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48</w:t>
            </w:r>
          </w:p>
        </w:tc>
        <w:tc>
          <w:tcPr>
            <w:tcW w:w="1972" w:type="dxa"/>
            <w:vAlign w:val="center"/>
          </w:tcPr>
          <w:p w14:paraId="0A68237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Z-W2024426-05-002</w:t>
            </w:r>
          </w:p>
        </w:tc>
        <w:tc>
          <w:tcPr>
            <w:tcW w:w="1240" w:type="dxa"/>
            <w:vAlign w:val="center"/>
          </w:tcPr>
          <w:p w14:paraId="6B2F78B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43</w:t>
            </w:r>
          </w:p>
        </w:tc>
      </w:tr>
    </w:tbl>
    <w:p w14:paraId="6FD8686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噪声监测结果统计表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000"/>
        <w:gridCol w:w="1314"/>
        <w:gridCol w:w="1970"/>
        <w:gridCol w:w="1248"/>
      </w:tblGrid>
      <w:tr w14:paraId="2B36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Merge w:val="restart"/>
            <w:vAlign w:val="center"/>
          </w:tcPr>
          <w:p w14:paraId="2836CF5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点位名称</w:t>
            </w:r>
          </w:p>
        </w:tc>
        <w:tc>
          <w:tcPr>
            <w:tcW w:w="6532" w:type="dxa"/>
            <w:gridSpan w:val="4"/>
            <w:vAlign w:val="center"/>
          </w:tcPr>
          <w:p w14:paraId="5CAE9EA5">
            <w:pPr>
              <w:keepNext w:val="0"/>
              <w:keepLines w:val="0"/>
              <w:pageBreakBefore w:val="0"/>
              <w:widowControl/>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等效声级单位：Leq[dB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p>
        </w:tc>
      </w:tr>
      <w:tr w14:paraId="17C2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Merge w:val="continue"/>
            <w:vAlign w:val="center"/>
          </w:tcPr>
          <w:p w14:paraId="59940F1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2000" w:type="dxa"/>
            <w:vAlign w:val="center"/>
          </w:tcPr>
          <w:p w14:paraId="132141D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样品编号</w:t>
            </w:r>
          </w:p>
        </w:tc>
        <w:tc>
          <w:tcPr>
            <w:tcW w:w="1314" w:type="dxa"/>
            <w:vAlign w:val="center"/>
          </w:tcPr>
          <w:p w14:paraId="02BFFD2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昼间</w:t>
            </w:r>
          </w:p>
        </w:tc>
        <w:tc>
          <w:tcPr>
            <w:tcW w:w="1970" w:type="dxa"/>
            <w:vAlign w:val="center"/>
          </w:tcPr>
          <w:p w14:paraId="313721F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样品编号</w:t>
            </w:r>
          </w:p>
        </w:tc>
        <w:tc>
          <w:tcPr>
            <w:tcW w:w="1248" w:type="dxa"/>
            <w:vAlign w:val="center"/>
          </w:tcPr>
          <w:p w14:paraId="51F210F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夜间</w:t>
            </w:r>
          </w:p>
        </w:tc>
      </w:tr>
      <w:tr w14:paraId="2D59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Align w:val="center"/>
          </w:tcPr>
          <w:p w14:paraId="490E510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东</w:t>
            </w:r>
            <w:r>
              <w:rPr>
                <w:rFonts w:hint="default" w:ascii="Times New Roman" w:hAnsi="Times New Roman" w:eastAsia="宋体" w:cs="Times New Roman"/>
                <w:color w:val="auto"/>
                <w:sz w:val="21"/>
                <w:szCs w:val="21"/>
                <w:highlight w:val="none"/>
                <w:lang w:val="en-US" w:eastAsia="zh-CN"/>
              </w:rPr>
              <w:t>A</w:t>
            </w:r>
          </w:p>
        </w:tc>
        <w:tc>
          <w:tcPr>
            <w:tcW w:w="2000" w:type="dxa"/>
            <w:vAlign w:val="center"/>
          </w:tcPr>
          <w:p w14:paraId="624C9FF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Z-W2024426-01-003</w:t>
            </w:r>
          </w:p>
        </w:tc>
        <w:tc>
          <w:tcPr>
            <w:tcW w:w="1314" w:type="dxa"/>
            <w:vAlign w:val="center"/>
          </w:tcPr>
          <w:p w14:paraId="563DB4F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1970" w:type="dxa"/>
            <w:vAlign w:val="center"/>
          </w:tcPr>
          <w:p w14:paraId="66733BEF">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Z-W2024426-01-004</w:t>
            </w:r>
          </w:p>
        </w:tc>
        <w:tc>
          <w:tcPr>
            <w:tcW w:w="1248" w:type="dxa"/>
            <w:vAlign w:val="center"/>
          </w:tcPr>
          <w:p w14:paraId="6D59E95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47</w:t>
            </w:r>
          </w:p>
        </w:tc>
      </w:tr>
      <w:tr w14:paraId="4F37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Align w:val="center"/>
          </w:tcPr>
          <w:p w14:paraId="64EDD12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南</w:t>
            </w:r>
            <w:r>
              <w:rPr>
                <w:rFonts w:hint="default" w:ascii="Times New Roman" w:hAnsi="Times New Roman" w:eastAsia="宋体" w:cs="Times New Roman"/>
                <w:color w:val="auto"/>
                <w:sz w:val="21"/>
                <w:szCs w:val="21"/>
                <w:highlight w:val="none"/>
                <w:lang w:val="en-US" w:eastAsia="zh-CN"/>
              </w:rPr>
              <w:t>B</w:t>
            </w:r>
          </w:p>
        </w:tc>
        <w:tc>
          <w:tcPr>
            <w:tcW w:w="2000" w:type="dxa"/>
            <w:vAlign w:val="center"/>
          </w:tcPr>
          <w:p w14:paraId="1E192FB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Z-W2024426-02-003</w:t>
            </w:r>
          </w:p>
        </w:tc>
        <w:tc>
          <w:tcPr>
            <w:tcW w:w="1314" w:type="dxa"/>
            <w:vAlign w:val="center"/>
          </w:tcPr>
          <w:p w14:paraId="57133F1A">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c>
          <w:tcPr>
            <w:tcW w:w="1970" w:type="dxa"/>
            <w:vAlign w:val="center"/>
          </w:tcPr>
          <w:p w14:paraId="1C95F20B">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Z-W2024426-02-004</w:t>
            </w:r>
          </w:p>
        </w:tc>
        <w:tc>
          <w:tcPr>
            <w:tcW w:w="1248" w:type="dxa"/>
            <w:vAlign w:val="center"/>
          </w:tcPr>
          <w:p w14:paraId="5425F6C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48</w:t>
            </w:r>
          </w:p>
        </w:tc>
      </w:tr>
      <w:tr w14:paraId="3DB2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Align w:val="center"/>
          </w:tcPr>
          <w:p w14:paraId="4194E6F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北</w:t>
            </w:r>
            <w:r>
              <w:rPr>
                <w:rFonts w:hint="default" w:ascii="Times New Roman" w:hAnsi="Times New Roman" w:eastAsia="宋体" w:cs="Times New Roman"/>
                <w:color w:val="auto"/>
                <w:sz w:val="21"/>
                <w:szCs w:val="21"/>
                <w:highlight w:val="none"/>
                <w:lang w:val="en-US" w:eastAsia="zh-CN"/>
              </w:rPr>
              <w:t>C</w:t>
            </w:r>
          </w:p>
        </w:tc>
        <w:tc>
          <w:tcPr>
            <w:tcW w:w="2000" w:type="dxa"/>
            <w:vAlign w:val="center"/>
          </w:tcPr>
          <w:p w14:paraId="041FA583">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Z-W2024426-03-003</w:t>
            </w:r>
          </w:p>
        </w:tc>
        <w:tc>
          <w:tcPr>
            <w:tcW w:w="1314" w:type="dxa"/>
            <w:vAlign w:val="center"/>
          </w:tcPr>
          <w:p w14:paraId="0D4E8A0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1970" w:type="dxa"/>
            <w:vAlign w:val="center"/>
          </w:tcPr>
          <w:p w14:paraId="134D3CE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Z-W2024426-03-004</w:t>
            </w:r>
          </w:p>
        </w:tc>
        <w:tc>
          <w:tcPr>
            <w:tcW w:w="1248" w:type="dxa"/>
            <w:vAlign w:val="center"/>
          </w:tcPr>
          <w:p w14:paraId="555618E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46</w:t>
            </w:r>
          </w:p>
        </w:tc>
      </w:tr>
      <w:tr w14:paraId="7D31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Align w:val="center"/>
          </w:tcPr>
          <w:p w14:paraId="7B2849E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eastAsia="zh-CN"/>
              </w:rPr>
              <w:t>西</w:t>
            </w:r>
            <w:r>
              <w:rPr>
                <w:rFonts w:hint="default" w:ascii="Times New Roman" w:hAnsi="Times New Roman" w:eastAsia="宋体" w:cs="Times New Roman"/>
                <w:color w:val="auto"/>
                <w:sz w:val="21"/>
                <w:szCs w:val="21"/>
                <w:highlight w:val="none"/>
                <w:lang w:val="en-US" w:eastAsia="zh-CN"/>
              </w:rPr>
              <w:t>D</w:t>
            </w:r>
          </w:p>
        </w:tc>
        <w:tc>
          <w:tcPr>
            <w:tcW w:w="2000" w:type="dxa"/>
            <w:vAlign w:val="center"/>
          </w:tcPr>
          <w:p w14:paraId="4D6C5B5D">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Z-W2024426-04-003</w:t>
            </w:r>
          </w:p>
        </w:tc>
        <w:tc>
          <w:tcPr>
            <w:tcW w:w="1314" w:type="dxa"/>
            <w:vAlign w:val="center"/>
          </w:tcPr>
          <w:p w14:paraId="18087235">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52</w:t>
            </w:r>
          </w:p>
        </w:tc>
        <w:tc>
          <w:tcPr>
            <w:tcW w:w="1970" w:type="dxa"/>
            <w:vAlign w:val="center"/>
          </w:tcPr>
          <w:p w14:paraId="783BDF79">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Z-W2024426-04-004</w:t>
            </w:r>
          </w:p>
        </w:tc>
        <w:tc>
          <w:tcPr>
            <w:tcW w:w="1248" w:type="dxa"/>
            <w:vAlign w:val="center"/>
          </w:tcPr>
          <w:p w14:paraId="63F46BC2">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48</w:t>
            </w:r>
          </w:p>
        </w:tc>
      </w:tr>
      <w:tr w14:paraId="5626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45" w:type="dxa"/>
            <w:vAlign w:val="center"/>
          </w:tcPr>
          <w:p w14:paraId="58EE6DD1">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西侧新丰村三社</w:t>
            </w:r>
          </w:p>
        </w:tc>
        <w:tc>
          <w:tcPr>
            <w:tcW w:w="2000" w:type="dxa"/>
            <w:vAlign w:val="center"/>
          </w:tcPr>
          <w:p w14:paraId="286FB02E">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Z-W2024426-05-003</w:t>
            </w:r>
          </w:p>
        </w:tc>
        <w:tc>
          <w:tcPr>
            <w:tcW w:w="1314" w:type="dxa"/>
            <w:vAlign w:val="center"/>
          </w:tcPr>
          <w:p w14:paraId="31EEC256">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47</w:t>
            </w:r>
          </w:p>
        </w:tc>
        <w:tc>
          <w:tcPr>
            <w:tcW w:w="1970" w:type="dxa"/>
            <w:vAlign w:val="center"/>
          </w:tcPr>
          <w:p w14:paraId="1E1B6510">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Z-W2024426-05-004</w:t>
            </w:r>
          </w:p>
        </w:tc>
        <w:tc>
          <w:tcPr>
            <w:tcW w:w="1248" w:type="dxa"/>
            <w:vAlign w:val="center"/>
          </w:tcPr>
          <w:p w14:paraId="2B656F08">
            <w:pPr>
              <w:keepNext w:val="0"/>
              <w:keepLines w:val="0"/>
              <w:pageBreakBefore w:val="0"/>
              <w:shd w:val="clear"/>
              <w:kinsoku/>
              <w:wordWrap/>
              <w:overflowPunct/>
              <w:topLinePunct/>
              <w:autoSpaceDE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43</w:t>
            </w:r>
          </w:p>
        </w:tc>
      </w:tr>
    </w:tbl>
    <w:p w14:paraId="581FC201">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4.2.4.5声环境质量现状评价</w:t>
      </w:r>
    </w:p>
    <w:p w14:paraId="0776633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0000FF"/>
          <w:highlight w:val="none"/>
        </w:rPr>
      </w:pPr>
      <w:r>
        <w:rPr>
          <w:rFonts w:hint="default" w:ascii="Times New Roman" w:hAnsi="Times New Roman" w:eastAsia="宋体" w:cs="Times New Roman"/>
          <w:color w:val="0000FF"/>
          <w:highlight w:val="none"/>
        </w:rPr>
        <w:t>1）评价标准</w:t>
      </w:r>
    </w:p>
    <w:p w14:paraId="0F7E9CB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0000FF"/>
          <w:highlight w:val="none"/>
          <w:lang w:eastAsia="zh-CN"/>
        </w:rPr>
      </w:pPr>
      <w:r>
        <w:rPr>
          <w:rFonts w:hint="default" w:ascii="Times New Roman" w:hAnsi="Times New Roman" w:eastAsia="宋体" w:cs="Times New Roman"/>
          <w:color w:val="0000FF"/>
          <w:highlight w:val="none"/>
        </w:rPr>
        <w:t>根据项目区域的环境特征，声环境现状评价依据《声环境质量标准》（GB3096</w:t>
      </w:r>
      <w:r>
        <w:rPr>
          <w:rFonts w:hint="default" w:ascii="Times New Roman" w:hAnsi="Times New Roman" w:eastAsia="宋体" w:cs="Times New Roman"/>
          <w:color w:val="0000FF"/>
          <w:highlight w:val="none"/>
          <w:lang w:eastAsia="zh-CN"/>
        </w:rPr>
        <w:t>-</w:t>
      </w:r>
      <w:r>
        <w:rPr>
          <w:rFonts w:hint="default" w:ascii="Times New Roman" w:hAnsi="Times New Roman" w:eastAsia="宋体" w:cs="Times New Roman"/>
          <w:color w:val="0000FF"/>
          <w:highlight w:val="none"/>
        </w:rPr>
        <w:t>2008）中的</w:t>
      </w:r>
      <w:r>
        <w:rPr>
          <w:rFonts w:hint="default" w:ascii="Times New Roman" w:hAnsi="Times New Roman" w:eastAsia="宋体" w:cs="Times New Roman"/>
          <w:color w:val="0000FF"/>
          <w:highlight w:val="none"/>
          <w:lang w:val="en-US" w:eastAsia="zh-CN"/>
        </w:rPr>
        <w:t>2</w:t>
      </w:r>
      <w:r>
        <w:rPr>
          <w:rFonts w:hint="default" w:ascii="Times New Roman" w:hAnsi="Times New Roman" w:eastAsia="宋体" w:cs="Times New Roman"/>
          <w:color w:val="0000FF"/>
          <w:highlight w:val="none"/>
        </w:rPr>
        <w:t>类区标准：昼间</w:t>
      </w:r>
      <w:r>
        <w:rPr>
          <w:rFonts w:hint="default" w:ascii="Times New Roman" w:hAnsi="Times New Roman" w:eastAsia="宋体" w:cs="Times New Roman"/>
          <w:color w:val="0000FF"/>
          <w:highlight w:val="none"/>
          <w:lang w:val="en-US" w:eastAsia="zh-CN"/>
        </w:rPr>
        <w:t>60</w:t>
      </w:r>
      <w:r>
        <w:rPr>
          <w:rFonts w:hint="default" w:ascii="Times New Roman" w:hAnsi="Times New Roman" w:eastAsia="宋体" w:cs="Times New Roman"/>
          <w:color w:val="0000FF"/>
          <w:highlight w:val="none"/>
        </w:rPr>
        <w:t>dB</w:t>
      </w:r>
      <w:r>
        <w:rPr>
          <w:rFonts w:hint="default" w:ascii="Times New Roman" w:hAnsi="Times New Roman" w:eastAsia="宋体" w:cs="Times New Roman"/>
          <w:color w:val="0000FF"/>
          <w:highlight w:val="none"/>
          <w:lang w:eastAsia="zh-CN"/>
        </w:rPr>
        <w:t>（A）</w:t>
      </w:r>
      <w:r>
        <w:rPr>
          <w:rFonts w:hint="default" w:ascii="Times New Roman" w:hAnsi="Times New Roman" w:eastAsia="宋体" w:cs="Times New Roman"/>
          <w:color w:val="0000FF"/>
          <w:highlight w:val="none"/>
        </w:rPr>
        <w:t>，夜间</w:t>
      </w:r>
      <w:r>
        <w:rPr>
          <w:rFonts w:hint="default" w:ascii="Times New Roman" w:hAnsi="Times New Roman" w:eastAsia="宋体" w:cs="Times New Roman"/>
          <w:color w:val="0000FF"/>
          <w:highlight w:val="none"/>
          <w:lang w:val="en-US" w:eastAsia="zh-CN"/>
        </w:rPr>
        <w:t>50</w:t>
      </w:r>
      <w:r>
        <w:rPr>
          <w:rFonts w:hint="default" w:ascii="Times New Roman" w:hAnsi="Times New Roman" w:eastAsia="宋体" w:cs="Times New Roman"/>
          <w:color w:val="0000FF"/>
          <w:highlight w:val="none"/>
        </w:rPr>
        <w:t>dB</w:t>
      </w:r>
      <w:r>
        <w:rPr>
          <w:rFonts w:hint="default" w:ascii="Times New Roman" w:hAnsi="Times New Roman" w:eastAsia="宋体" w:cs="Times New Roman"/>
          <w:color w:val="0000FF"/>
          <w:highlight w:val="none"/>
          <w:lang w:eastAsia="zh-CN"/>
        </w:rPr>
        <w:t>（A）。</w:t>
      </w:r>
    </w:p>
    <w:p w14:paraId="5BDF0FE0">
      <w:pPr>
        <w:pageBreakBefore w:val="0"/>
        <w:widowControl w:val="0"/>
        <w:shd w:val="clear"/>
        <w:kinsoku/>
        <w:wordWrap/>
        <w:overflowPunct/>
        <w:topLinePunct/>
        <w:autoSpaceDE w:val="0"/>
        <w:autoSpaceDN/>
        <w:bidi w:val="0"/>
        <w:adjustRightInd/>
        <w:snapToGrid w:val="0"/>
        <w:spacing w:line="360" w:lineRule="auto"/>
        <w:ind w:left="0" w:leftChars="0" w:right="0" w:rightChars="0" w:firstLine="496"/>
        <w:textAlignment w:val="auto"/>
        <w:rPr>
          <w:rFonts w:hint="default" w:ascii="Times New Roman" w:hAnsi="Times New Roman" w:eastAsia="宋体" w:cs="Times New Roman"/>
          <w:color w:val="0000FF"/>
          <w:spacing w:val="4"/>
          <w:szCs w:val="24"/>
          <w:highlight w:val="none"/>
        </w:rPr>
      </w:pPr>
      <w:r>
        <w:rPr>
          <w:rFonts w:hint="default" w:ascii="Times New Roman" w:hAnsi="Times New Roman" w:eastAsia="宋体" w:cs="Times New Roman"/>
          <w:color w:val="0000FF"/>
          <w:spacing w:val="4"/>
          <w:szCs w:val="24"/>
          <w:highlight w:val="none"/>
        </w:rPr>
        <w:t>2）评价结果</w:t>
      </w:r>
    </w:p>
    <w:p w14:paraId="4C66556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0000FF"/>
          <w:highlight w:val="none"/>
          <w:lang w:eastAsia="zh-CN"/>
        </w:rPr>
      </w:pPr>
      <w:r>
        <w:rPr>
          <w:rFonts w:hint="default" w:ascii="Times New Roman" w:hAnsi="Times New Roman" w:eastAsia="宋体" w:cs="Times New Roman"/>
          <w:color w:val="0000FF"/>
          <w:highlight w:val="none"/>
        </w:rPr>
        <w:t>根据监测结果</w:t>
      </w:r>
      <w:r>
        <w:rPr>
          <w:rFonts w:hint="default" w:ascii="Times New Roman" w:hAnsi="Times New Roman" w:eastAsia="宋体" w:cs="Times New Roman"/>
          <w:color w:val="0000FF"/>
          <w:highlight w:val="none"/>
          <w:lang w:eastAsia="zh-CN"/>
        </w:rPr>
        <w:t>可知，本项目拟建场区厂界四周及敏感点</w:t>
      </w:r>
      <w:r>
        <w:rPr>
          <w:rFonts w:hint="default" w:ascii="Times New Roman" w:hAnsi="Times New Roman" w:eastAsia="宋体" w:cs="Times New Roman"/>
          <w:color w:val="0000FF"/>
          <w:highlight w:val="none"/>
        </w:rPr>
        <w:t>昼间声环境现状</w:t>
      </w:r>
      <w:r>
        <w:rPr>
          <w:rFonts w:hint="default" w:ascii="Times New Roman" w:hAnsi="Times New Roman" w:eastAsia="宋体" w:cs="Times New Roman"/>
          <w:color w:val="0000FF"/>
          <w:highlight w:val="none"/>
          <w:lang w:eastAsia="zh-CN"/>
        </w:rPr>
        <w:t>监测值为</w:t>
      </w:r>
      <w:r>
        <w:rPr>
          <w:rFonts w:hint="default" w:ascii="Times New Roman" w:hAnsi="Times New Roman" w:eastAsia="宋体" w:cs="Times New Roman"/>
          <w:color w:val="0000FF"/>
          <w:highlight w:val="none"/>
          <w:lang w:val="en-US" w:eastAsia="zh-CN"/>
        </w:rPr>
        <w:t>50</w:t>
      </w:r>
      <w:r>
        <w:rPr>
          <w:rFonts w:hint="default" w:ascii="Times New Roman" w:hAnsi="Times New Roman" w:eastAsia="宋体" w:cs="Times New Roman"/>
          <w:color w:val="0000FF"/>
          <w:highlight w:val="none"/>
        </w:rPr>
        <w:t>~5</w:t>
      </w:r>
      <w:r>
        <w:rPr>
          <w:rFonts w:hint="default" w:ascii="Times New Roman" w:hAnsi="Times New Roman" w:eastAsia="宋体" w:cs="Times New Roman"/>
          <w:color w:val="0000FF"/>
          <w:highlight w:val="none"/>
          <w:lang w:val="en-US" w:eastAsia="zh-CN"/>
        </w:rPr>
        <w:t>4</w:t>
      </w:r>
      <w:r>
        <w:rPr>
          <w:rFonts w:hint="default" w:ascii="Times New Roman" w:hAnsi="Times New Roman" w:eastAsia="宋体" w:cs="Times New Roman"/>
          <w:color w:val="0000FF"/>
          <w:highlight w:val="none"/>
        </w:rPr>
        <w:t>dB</w:t>
      </w:r>
      <w:r>
        <w:rPr>
          <w:rFonts w:hint="default" w:ascii="Times New Roman" w:hAnsi="Times New Roman" w:eastAsia="宋体" w:cs="Times New Roman"/>
          <w:color w:val="0000FF"/>
          <w:highlight w:val="none"/>
          <w:lang w:eastAsia="zh-CN"/>
        </w:rPr>
        <w:t>（A）</w:t>
      </w:r>
      <w:r>
        <w:rPr>
          <w:rFonts w:hint="default" w:ascii="Times New Roman" w:hAnsi="Times New Roman" w:eastAsia="宋体" w:cs="Times New Roman"/>
          <w:color w:val="0000FF"/>
          <w:highlight w:val="none"/>
        </w:rPr>
        <w:t>、夜间声环境现状</w:t>
      </w:r>
      <w:r>
        <w:rPr>
          <w:rFonts w:hint="default" w:ascii="Times New Roman" w:hAnsi="Times New Roman" w:eastAsia="宋体" w:cs="Times New Roman"/>
          <w:color w:val="0000FF"/>
          <w:highlight w:val="none"/>
          <w:lang w:eastAsia="zh-CN"/>
        </w:rPr>
        <w:t>监测值为</w:t>
      </w:r>
      <w:r>
        <w:rPr>
          <w:rFonts w:hint="default" w:ascii="Times New Roman" w:hAnsi="Times New Roman" w:eastAsia="宋体" w:cs="Times New Roman"/>
          <w:color w:val="0000FF"/>
          <w:highlight w:val="none"/>
          <w:lang w:val="en-US" w:eastAsia="zh-CN"/>
        </w:rPr>
        <w:t>40</w:t>
      </w:r>
      <w:r>
        <w:rPr>
          <w:rFonts w:hint="default" w:ascii="Times New Roman" w:hAnsi="Times New Roman" w:eastAsia="宋体" w:cs="Times New Roman"/>
          <w:color w:val="0000FF"/>
          <w:highlight w:val="none"/>
        </w:rPr>
        <w:t>~4</w:t>
      </w:r>
      <w:r>
        <w:rPr>
          <w:rFonts w:hint="default" w:ascii="Times New Roman" w:hAnsi="Times New Roman" w:eastAsia="宋体" w:cs="Times New Roman"/>
          <w:color w:val="0000FF"/>
          <w:highlight w:val="none"/>
          <w:lang w:val="en-US" w:eastAsia="zh-CN"/>
        </w:rPr>
        <w:t>5</w:t>
      </w:r>
      <w:r>
        <w:rPr>
          <w:rFonts w:hint="default" w:ascii="Times New Roman" w:hAnsi="Times New Roman" w:eastAsia="宋体" w:cs="Times New Roman"/>
          <w:color w:val="0000FF"/>
          <w:highlight w:val="none"/>
        </w:rPr>
        <w:t>dB</w:t>
      </w:r>
      <w:r>
        <w:rPr>
          <w:rFonts w:hint="default" w:ascii="Times New Roman" w:hAnsi="Times New Roman" w:eastAsia="宋体" w:cs="Times New Roman"/>
          <w:color w:val="0000FF"/>
          <w:highlight w:val="none"/>
          <w:lang w:eastAsia="zh-CN"/>
        </w:rPr>
        <w:t>（A）</w:t>
      </w:r>
      <w:r>
        <w:rPr>
          <w:rFonts w:hint="default" w:ascii="Times New Roman" w:hAnsi="Times New Roman" w:eastAsia="宋体" w:cs="Times New Roman"/>
          <w:color w:val="0000FF"/>
          <w:highlight w:val="none"/>
        </w:rPr>
        <w:t>，均满足《声环境质量标准》</w:t>
      </w:r>
      <w:r>
        <w:rPr>
          <w:rFonts w:hint="default" w:ascii="Times New Roman" w:hAnsi="Times New Roman" w:eastAsia="宋体" w:cs="Times New Roman"/>
          <w:color w:val="0000FF"/>
          <w:highlight w:val="none"/>
          <w:lang w:eastAsia="zh-CN"/>
        </w:rPr>
        <w:t>（</w:t>
      </w:r>
      <w:r>
        <w:rPr>
          <w:rFonts w:hint="default" w:ascii="Times New Roman" w:hAnsi="Times New Roman" w:eastAsia="宋体" w:cs="Times New Roman"/>
          <w:color w:val="0000FF"/>
          <w:highlight w:val="none"/>
        </w:rPr>
        <w:t>GB3096-2008</w:t>
      </w:r>
      <w:r>
        <w:rPr>
          <w:rFonts w:hint="default" w:ascii="Times New Roman" w:hAnsi="Times New Roman" w:eastAsia="宋体" w:cs="Times New Roman"/>
          <w:color w:val="0000FF"/>
          <w:highlight w:val="none"/>
          <w:lang w:eastAsia="zh-CN"/>
        </w:rPr>
        <w:t>）</w:t>
      </w:r>
      <w:r>
        <w:rPr>
          <w:rFonts w:hint="default" w:ascii="Times New Roman" w:hAnsi="Times New Roman" w:eastAsia="宋体" w:cs="Times New Roman"/>
          <w:color w:val="0000FF"/>
          <w:highlight w:val="none"/>
        </w:rPr>
        <w:t>中</w:t>
      </w:r>
      <w:r>
        <w:rPr>
          <w:rFonts w:hint="default" w:ascii="Times New Roman" w:hAnsi="Times New Roman" w:eastAsia="宋体" w:cs="Times New Roman"/>
          <w:color w:val="0000FF"/>
          <w:highlight w:val="none"/>
          <w:lang w:val="en-US" w:eastAsia="zh-CN"/>
        </w:rPr>
        <w:t>2</w:t>
      </w:r>
      <w:r>
        <w:rPr>
          <w:rFonts w:hint="default" w:ascii="Times New Roman" w:hAnsi="Times New Roman" w:eastAsia="宋体" w:cs="Times New Roman"/>
          <w:color w:val="0000FF"/>
          <w:highlight w:val="none"/>
        </w:rPr>
        <w:t>类标准限值要求</w:t>
      </w:r>
      <w:r>
        <w:rPr>
          <w:rFonts w:hint="default" w:ascii="Times New Roman" w:hAnsi="Times New Roman" w:eastAsia="宋体" w:cs="Times New Roman"/>
          <w:color w:val="0000FF"/>
          <w:highlight w:val="none"/>
          <w:lang w:eastAsia="zh-CN"/>
        </w:rPr>
        <w:t>。</w:t>
      </w:r>
    </w:p>
    <w:p w14:paraId="01BBF54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00C14B1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p>
    <w:p w14:paraId="7776D56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p>
    <w:p w14:paraId="715A98E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pPr>
    </w:p>
    <w:p w14:paraId="5A95D291">
      <w:pPr>
        <w:pageBreakBefore w:val="0"/>
        <w:shd w:val="clear"/>
        <w:kinsoku/>
        <w:wordWrap/>
        <w:bidi w:val="0"/>
        <w:spacing w:line="360" w:lineRule="auto"/>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6608" behindDoc="0" locked="0" layoutInCell="1" allowOverlap="1">
                <wp:simplePos x="0" y="0"/>
                <wp:positionH relativeFrom="column">
                  <wp:posOffset>5141595</wp:posOffset>
                </wp:positionH>
                <wp:positionV relativeFrom="paragraph">
                  <wp:posOffset>3223895</wp:posOffset>
                </wp:positionV>
                <wp:extent cx="107950" cy="179705"/>
                <wp:effectExtent l="12700" t="12700" r="12700" b="17145"/>
                <wp:wrapNone/>
                <wp:docPr id="68" name="菱形 68"/>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04.85pt;margin-top:253.85pt;height:14.15pt;width:8.5pt;z-index:251716608;v-text-anchor:middle;mso-width-relative:page;mso-height-relative:page;" fillcolor="#000000 [3213]" filled="t" stroked="t" coordsize="21600,21600" o:gfxdata="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B4sZy1wAAAAsBAAAPAAAAAAAAAAEAIAAAACIAAABkcnMvZG93bnJldi54bWxQ&#10;SwECFAAUAAAACACHTuJAr8mqbmoCAADhBAAADgAAAAAAAAABACAAAAAmAQAAZHJzL2Uyb0RvYy54&#10;bWxQSwUGAAAAAAYABgBZAQAAAgY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25824" behindDoc="0" locked="0" layoutInCell="1" allowOverlap="1">
                <wp:simplePos x="0" y="0"/>
                <wp:positionH relativeFrom="column">
                  <wp:posOffset>4253865</wp:posOffset>
                </wp:positionH>
                <wp:positionV relativeFrom="paragraph">
                  <wp:posOffset>3874135</wp:posOffset>
                </wp:positionV>
                <wp:extent cx="107950" cy="179705"/>
                <wp:effectExtent l="12700" t="12700" r="12700" b="17145"/>
                <wp:wrapNone/>
                <wp:docPr id="66" name="菱形 66"/>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34.95pt;margin-top:305.05pt;height:14.15pt;width:8.5pt;z-index:251725824;v-text-anchor:middle;mso-width-relative:page;mso-height-relative:page;" fillcolor="#000000 [3213]" filled="t" stroked="t" coordsize="21600,21600" o:gfxdata="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fXVFO1wAAAAsBAAAPAAAAAAAAAAEAIAAAACIAAABkcnMvZG93bnJldi54bWxQ&#10;SwECFAAUAAAACACHTuJALaVrIGoCAADhBAAADgAAAAAAAAABACAAAAAmAQAAZHJzL2Uyb0RvYy54&#10;bWxQSwUGAAAAAAYABgBZAQAAAgY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27872" behindDoc="0" locked="0" layoutInCell="1" allowOverlap="1">
                <wp:simplePos x="0" y="0"/>
                <wp:positionH relativeFrom="column">
                  <wp:posOffset>4140835</wp:posOffset>
                </wp:positionH>
                <wp:positionV relativeFrom="paragraph">
                  <wp:posOffset>2647950</wp:posOffset>
                </wp:positionV>
                <wp:extent cx="107950" cy="179705"/>
                <wp:effectExtent l="12700" t="12700" r="12700" b="17145"/>
                <wp:wrapNone/>
                <wp:docPr id="50" name="菱形 50"/>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26.05pt;margin-top:208.5pt;height:14.15pt;width:8.5pt;z-index:251727872;v-text-anchor:middle;mso-width-relative:page;mso-height-relative:page;" fillcolor="#000000 [3213]" filled="t" stroked="t" coordsize="21600,21600" o:gfxdata="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IglTtcAAAALAQAADwAAAAAAAAABACAAAAAiAAAAZHJzL2Rvd25yZXYueG1sUEsB&#10;AhQAFAAAAAgAh07iQJyTYU5oAgAA4QQAAA4AAAAAAAAAAQAgAAAAJgEAAGRycy9lMm9Eb2MueG1s&#10;UEsFBgAAAAAGAAYAWQEAAAAGA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24800" behindDoc="0" locked="0" layoutInCell="1" allowOverlap="1">
                <wp:simplePos x="0" y="0"/>
                <wp:positionH relativeFrom="column">
                  <wp:posOffset>4434205</wp:posOffset>
                </wp:positionH>
                <wp:positionV relativeFrom="paragraph">
                  <wp:posOffset>2692400</wp:posOffset>
                </wp:positionV>
                <wp:extent cx="107950" cy="179705"/>
                <wp:effectExtent l="12700" t="12700" r="12700" b="17145"/>
                <wp:wrapNone/>
                <wp:docPr id="69" name="菱形 69"/>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49.15pt;margin-top:212pt;height:14.15pt;width:8.5pt;z-index:251724800;v-text-anchor:middle;mso-width-relative:page;mso-height-relative:page;" fillcolor="#000000 [3213]" filled="t" stroked="t" coordsize="21600,21600" o:gfxdata="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GCKb/1wAAAAsBAAAPAAAAAAAAAAEAIAAAACIAAABkcnMvZG93bnJldi54bWxQ&#10;SwECFAAUAAAACACHTuJAr5kaJ2oCAADhBAAADgAAAAAAAAABACAAAAAmAQAAZHJzL2Uyb0RvYy54&#10;bWxQSwUGAAAAAAYABgBZAQAAAgY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23776" behindDoc="0" locked="0" layoutInCell="1" allowOverlap="1">
                <wp:simplePos x="0" y="0"/>
                <wp:positionH relativeFrom="column">
                  <wp:posOffset>4370705</wp:posOffset>
                </wp:positionH>
                <wp:positionV relativeFrom="paragraph">
                  <wp:posOffset>2379345</wp:posOffset>
                </wp:positionV>
                <wp:extent cx="107950" cy="179705"/>
                <wp:effectExtent l="12700" t="12700" r="12700" b="17145"/>
                <wp:wrapNone/>
                <wp:docPr id="49" name="菱形 49"/>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44.15pt;margin-top:187.35pt;height:14.15pt;width:8.5pt;z-index:251723776;v-text-anchor:middle;mso-width-relative:page;mso-height-relative:page;" fillcolor="#000000 [3213]" filled="t" stroked="t" coordsize="21600,21600" o:gfxdata="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chLbU2AAAAAsBAAAPAAAAAAAAAAEAIAAAACIAAABkcnMvZG93bnJldi54bWxQ&#10;SwECFAAUAAAACACHTuJAD/mJJ2kCAADhBAAADgAAAAAAAAABACAAAAAnAQAAZHJzL2Uyb0RvYy54&#10;bWxQSwUGAAAAAAYABgBZAQAAAgY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26848" behindDoc="0" locked="0" layoutInCell="1" allowOverlap="1">
                <wp:simplePos x="0" y="0"/>
                <wp:positionH relativeFrom="column">
                  <wp:posOffset>4156710</wp:posOffset>
                </wp:positionH>
                <wp:positionV relativeFrom="paragraph">
                  <wp:posOffset>2905760</wp:posOffset>
                </wp:positionV>
                <wp:extent cx="107950" cy="179705"/>
                <wp:effectExtent l="12700" t="12700" r="12700" b="17145"/>
                <wp:wrapNone/>
                <wp:docPr id="65" name="菱形 65"/>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27.3pt;margin-top:228.8pt;height:14.15pt;width:8.5pt;z-index:251726848;v-text-anchor:middle;mso-width-relative:page;mso-height-relative:page;" fillcolor="#000000 [3213]" filled="t" stroked="t" coordsize="21600,21600" o:gfxdata="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ouRzz9gAAAALAQAADwAAAAAAAAABACAAAAAiAAAAZHJzL2Rvd25yZXYueG1s&#10;UEsBAhQAFAAAAAgAh07iQC1Vu/pqAgAA4QQAAA4AAAAAAAAAAQAgAAAAJwEAAGRycy9lMm9Eb2Mu&#10;eG1sUEsFBgAAAAAGAAYAWQEAAAMGA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5584" behindDoc="0" locked="0" layoutInCell="1" allowOverlap="1">
                <wp:simplePos x="0" y="0"/>
                <wp:positionH relativeFrom="column">
                  <wp:posOffset>1219835</wp:posOffset>
                </wp:positionH>
                <wp:positionV relativeFrom="paragraph">
                  <wp:posOffset>4944745</wp:posOffset>
                </wp:positionV>
                <wp:extent cx="107950" cy="179705"/>
                <wp:effectExtent l="12700" t="12700" r="12700" b="17145"/>
                <wp:wrapNone/>
                <wp:docPr id="82" name="菱形 82"/>
                <wp:cNvGraphicFramePr/>
                <a:graphic xmlns:a="http://schemas.openxmlformats.org/drawingml/2006/main">
                  <a:graphicData uri="http://schemas.microsoft.com/office/word/2010/wordprocessingShape">
                    <wps:wsp>
                      <wps:cNvSpPr/>
                      <wps:spPr>
                        <a:xfrm>
                          <a:off x="3806825" y="3043555"/>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96.05pt;margin-top:389.35pt;height:14.15pt;width:8.5pt;z-index:251715584;v-text-anchor:middle;mso-width-relative:page;mso-height-relative:page;" fillcolor="#000000 [3213]" filled="t" stroked="t" coordsize="21600,21600" o:gfxdata="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rT2HvXAAAACwEAAA8AAAAAAAAAAQAgAAAAIgAAAGRy&#10;cy9kb3ducmV2LnhtbFBLAQIUABQAAAAIAIdO4kA5R000eAIAAO0EAAAOAAAAAAAAAAEAIAAAACYB&#10;AABkcnMvZTJvRG9jLnhtbFBLBQYAAAAABgAGAFkBAAAQBgAAAAA=&#10;">
                <v:fill on="t" focussize="0,0"/>
                <v:stroke weight="2pt" color="#00B0F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3536" behindDoc="0" locked="0" layoutInCell="1" allowOverlap="1">
                <wp:simplePos x="0" y="0"/>
                <wp:positionH relativeFrom="column">
                  <wp:posOffset>1151890</wp:posOffset>
                </wp:positionH>
                <wp:positionV relativeFrom="paragraph">
                  <wp:posOffset>4759960</wp:posOffset>
                </wp:positionV>
                <wp:extent cx="288290" cy="107950"/>
                <wp:effectExtent l="12700" t="12700" r="22860" b="12700"/>
                <wp:wrapNone/>
                <wp:docPr id="88" name="矩形 88"/>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7pt;margin-top:374.8pt;height:8.5pt;width:22.7pt;z-index:251713536;v-text-anchor:middle;mso-width-relative:page;mso-height-relative:page;" filled="f" stroked="t" coordsize="21600,21600" o:gfxdata="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wEGu9gAAAALAQAADwAAAAAAAAABACAAAAAiAAAAZHJzL2Rvd25yZXYueG1sUEsBAhQAFAAAAAgA&#10;h07iQKWu2yNeAgAAtQQAAA4AAAAAAAAAAQAgAAAAJwEAAGRycy9lMm9Eb2MueG1sUEsFBgAAAAAG&#10;AAYAWQEAAPcFAAAAAA==&#10;">
                <v:fill on="f" focussize="0,0"/>
                <v:stroke weight="2pt" color="#00B0F0 [3204]" joinstyle="round"/>
                <v:imagedata o:title=""/>
                <o:lock v:ext="edit" aspectratio="f"/>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4560" behindDoc="0" locked="0" layoutInCell="1" allowOverlap="1">
                <wp:simplePos x="0" y="0"/>
                <wp:positionH relativeFrom="column">
                  <wp:posOffset>1053465</wp:posOffset>
                </wp:positionH>
                <wp:positionV relativeFrom="paragraph">
                  <wp:posOffset>4549775</wp:posOffset>
                </wp:positionV>
                <wp:extent cx="107950" cy="107950"/>
                <wp:effectExtent l="12700" t="12700" r="12700" b="12700"/>
                <wp:wrapNone/>
                <wp:docPr id="101" name="椭圆 10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2.95pt;margin-top:358.25pt;height:8.5pt;width:8.5pt;z-index:251714560;v-text-anchor:middle;mso-width-relative:page;mso-height-relative:page;" fillcolor="#000000 [3213]" filled="t" stroked="t" coordsize="21600,21600" o:gfxdata="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z9G72QAAAAsBAAAPAAAAAAAAAAEAIAAAACIAAABkcnMvZG93bnJldi54bWxQSwECFAAU&#10;AAAACACHTuJA+apRCmICAADjBAAADgAAAAAAAAABACAAAAAoAQAAZHJzL2Uyb0RvYy54bWxQSwUG&#10;AAAAAAYABgBZAQAA/AUAAAAA&#10;">
                <v:fill on="t" focussize="0,0"/>
                <v:stroke weight="2pt" color="#FF0000 [3204]" joinstyle="round"/>
                <v:imagedata o:title=""/>
                <o:lock v:ext="edit" aspectratio="f"/>
              </v:shape>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2512" behindDoc="0" locked="0" layoutInCell="1" allowOverlap="1">
                <wp:simplePos x="0" y="0"/>
                <wp:positionH relativeFrom="column">
                  <wp:posOffset>1049020</wp:posOffset>
                </wp:positionH>
                <wp:positionV relativeFrom="paragraph">
                  <wp:posOffset>4367530</wp:posOffset>
                </wp:positionV>
                <wp:extent cx="288290" cy="107950"/>
                <wp:effectExtent l="12700" t="12700" r="22860" b="12700"/>
                <wp:wrapNone/>
                <wp:docPr id="104" name="矩形 104"/>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6pt;margin-top:343.9pt;height:8.5pt;width:22.7pt;z-index:251712512;v-text-anchor:middle;mso-width-relative:page;mso-height-relative:page;" filled="f" stroked="t" coordsize="21600,21600" o:gfxdata="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SKs23ZAAAACwEAAA8AAAAAAAAAAQAgAAAAIgAAAGRycy9kb3ducmV2LnhtbFBLAQIUABQAAAAI&#10;AIdO4kATUR7cXgIAALcEAAAOAAAAAAAAAAEAIAAAACgBAABkcnMvZTJvRG9jLnhtbFBLBQYAAAAA&#10;BgAGAFkBAAD4BQAAAAA=&#10;">
                <v:fill on="f" focussize="0,0"/>
                <v:stroke weight="2pt" color="#FF0000 [3204]" joinstyle="round"/>
                <v:imagedata o:title=""/>
                <o:lock v:ext="edit" aspectratio="f"/>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11488" behindDoc="0" locked="0" layoutInCell="1" allowOverlap="1">
                <wp:simplePos x="0" y="0"/>
                <wp:positionH relativeFrom="column">
                  <wp:posOffset>207645</wp:posOffset>
                </wp:positionH>
                <wp:positionV relativeFrom="paragraph">
                  <wp:posOffset>4163695</wp:posOffset>
                </wp:positionV>
                <wp:extent cx="288290" cy="107950"/>
                <wp:effectExtent l="12700" t="12700" r="22860" b="12700"/>
                <wp:wrapNone/>
                <wp:docPr id="112" name="矩形 112"/>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35pt;margin-top:327.85pt;height:8.5pt;width:22.7pt;z-index:251711488;v-text-anchor:middle;mso-width-relative:page;mso-height-relative:page;" filled="f" stroked="t" coordsize="21600,21600" o:gfxdata="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S4XYAAAACQEAAA8AAAAAAAAAAQAgAAAAIgAAAGRycy9kb3ducmV2LnhtbFBLAQIUABQAAAAIAIdO&#10;4kD7C7QVXAIAALcEAAAOAAAAAAAAAAEAIAAAACcBAABkcnMvZTJvRG9jLnhtbFBLBQYAAAAABgAG&#10;AFkBAAD1BQAAAAA=&#10;">
                <v:fill on="f" focussize="0,0"/>
                <v:stroke weight="2pt" color="#000000 [3213]" joinstyle="round"/>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10464" behindDoc="0" locked="0" layoutInCell="1" allowOverlap="1">
                <wp:simplePos x="0" y="0"/>
                <wp:positionH relativeFrom="column">
                  <wp:posOffset>-243205</wp:posOffset>
                </wp:positionH>
                <wp:positionV relativeFrom="paragraph">
                  <wp:posOffset>3838575</wp:posOffset>
                </wp:positionV>
                <wp:extent cx="1951990" cy="1359535"/>
                <wp:effectExtent l="12700" t="12700" r="16510" b="18415"/>
                <wp:wrapNone/>
                <wp:docPr id="113" name="矩形 113"/>
                <wp:cNvGraphicFramePr/>
                <a:graphic xmlns:a="http://schemas.openxmlformats.org/drawingml/2006/main">
                  <a:graphicData uri="http://schemas.microsoft.com/office/word/2010/wordprocessingShape">
                    <wps:wsp>
                      <wps:cNvSpPr/>
                      <wps:spPr>
                        <a:xfrm>
                          <a:off x="0" y="0"/>
                          <a:ext cx="1951990" cy="1359535"/>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DC0F83">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44D84EB6">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57BC117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14:paraId="003FB072">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w:t>
                            </w:r>
                            <w:r>
                              <w:rPr>
                                <w:rFonts w:hint="eastAsia"/>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点位</w:t>
                            </w:r>
                          </w:p>
                          <w:p w14:paraId="4B1B314E">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14:paraId="44677561">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default"/>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w:t>
                            </w:r>
                            <w:r>
                              <w:rPr>
                                <w:rFonts w:hint="eastAsia"/>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点位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15pt;margin-top:302.25pt;height:107.05pt;width:153.7pt;z-index:251710464;v-text-anchor:middle;mso-width-relative:page;mso-height-relative:page;" fillcolor="#D7E4BD [1302]" filled="t" stroked="t" coordsize="21600,21600" o:gfxdata="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PEyKfHaAAAA&#10;CwEAAA8AAAAAAAAAAQAgAAAAIgAAAGRycy9kb3ducmV2LnhtbFBLAQIUABQAAAAIAIdO4kBtTpq8&#10;jQIAACYFAAAOAAAAAAAAAAEAIAAAACkBAABkcnMvZTJvRG9jLnhtbFBLBQYAAAAABgAGAFkBAAAo&#10;BgAAAAA=&#10;">
                <v:fill on="t" focussize="0,0"/>
                <v:stroke weight="2pt" color="#000000 [3213]" joinstyle="round"/>
                <v:imagedata o:title=""/>
                <o:lock v:ext="edit" aspectratio="f"/>
                <v:textbox>
                  <w:txbxContent>
                    <w:p w14:paraId="03DC0F83">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center"/>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44D84EB6">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57BC117F">
                      <w:pPr>
                        <w:keepNext w:val="0"/>
                        <w:keepLines w:val="0"/>
                        <w:pageBreakBefore w:val="0"/>
                        <w:widowControl w:val="0"/>
                        <w:kinsoku/>
                        <w:wordWrap/>
                        <w:overflowPunct/>
                        <w:topLinePunct/>
                        <w:autoSpaceDE w:val="0"/>
                        <w:autoSpaceDN/>
                        <w:bidi w:val="0"/>
                        <w:adjustRightInd/>
                        <w:snapToGrid/>
                        <w:spacing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14:paraId="003FB072">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w:t>
                      </w:r>
                      <w:r>
                        <w:rPr>
                          <w:rFonts w:hint="eastAsia"/>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点位</w:t>
                      </w:r>
                    </w:p>
                    <w:p w14:paraId="4B1B314E">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14:paraId="44677561">
                      <w:pPr>
                        <w:pStyle w:val="19"/>
                        <w:keepNext w:val="0"/>
                        <w:keepLines w:val="0"/>
                        <w:pageBreakBefore w:val="0"/>
                        <w:widowControl w:val="0"/>
                        <w:kinsoku/>
                        <w:wordWrap/>
                        <w:overflowPunct/>
                        <w:topLinePunct/>
                        <w:autoSpaceDE w:val="0"/>
                        <w:autoSpaceDN/>
                        <w:bidi w:val="0"/>
                        <w:adjustRightInd/>
                        <w:snapToGrid/>
                        <w:spacing w:after="0" w:line="240" w:lineRule="auto"/>
                        <w:ind w:left="0" w:leftChars="0" w:firstLine="0" w:firstLineChars="0"/>
                        <w:jc w:val="left"/>
                        <w:textAlignment w:val="auto"/>
                        <w:rPr>
                          <w:rFonts w:hint="default"/>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w:t>
                      </w:r>
                      <w:r>
                        <w:rPr>
                          <w:rFonts w:hint="eastAsia"/>
                          <w:color w:val="000000" w:themeColor="text1"/>
                          <w:sz w:val="22"/>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点位</w:t>
                      </w:r>
                    </w:p>
                  </w:txbxContent>
                </v:textbox>
              </v:rect>
            </w:pict>
          </mc:Fallback>
        </mc:AlternateContent>
      </w:r>
      <w:r>
        <w:rPr>
          <w:rFonts w:hint="default" w:ascii="Times New Roman" w:hAnsi="Times New Roman" w:eastAsia="宋体" w:cs="Times New Roman"/>
          <w:color w:val="auto"/>
          <w:highlight w:val="none"/>
        </w:rPr>
        <w:drawing>
          <wp:anchor distT="0" distB="0" distL="114300" distR="114300" simplePos="0" relativeHeight="251722752" behindDoc="0" locked="0" layoutInCell="1" allowOverlap="1">
            <wp:simplePos x="0" y="0"/>
            <wp:positionH relativeFrom="column">
              <wp:posOffset>7406640</wp:posOffset>
            </wp:positionH>
            <wp:positionV relativeFrom="page">
              <wp:posOffset>898525</wp:posOffset>
            </wp:positionV>
            <wp:extent cx="984250" cy="1080135"/>
            <wp:effectExtent l="0" t="0" r="6350" b="5715"/>
            <wp:wrapNone/>
            <wp:docPr id="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
                    <pic:cNvPicPr>
                      <a:picLocks noChangeAspect="1"/>
                    </pic:cNvPicPr>
                  </pic:nvPicPr>
                  <pic:blipFill>
                    <a:blip r:embed="rId17"/>
                    <a:srcRect l="3538" r="4555"/>
                    <a:stretch>
                      <a:fillRect/>
                    </a:stretch>
                  </pic:blipFill>
                  <pic:spPr>
                    <a:xfrm>
                      <a:off x="0" y="0"/>
                      <a:ext cx="984250" cy="1080135"/>
                    </a:xfrm>
                    <a:prstGeom prst="rect">
                      <a:avLst/>
                    </a:prstGeom>
                    <a:noFill/>
                    <a:ln>
                      <a:noFill/>
                    </a:ln>
                  </pic:spPr>
                </pic:pic>
              </a:graphicData>
            </a:graphic>
          </wp:anchor>
        </w:drawing>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40160" behindDoc="0" locked="0" layoutInCell="1" allowOverlap="1">
                <wp:simplePos x="0" y="0"/>
                <wp:positionH relativeFrom="column">
                  <wp:posOffset>3122930</wp:posOffset>
                </wp:positionH>
                <wp:positionV relativeFrom="paragraph">
                  <wp:posOffset>1515110</wp:posOffset>
                </wp:positionV>
                <wp:extent cx="1479550" cy="339725"/>
                <wp:effectExtent l="0" t="0" r="0" b="0"/>
                <wp:wrapNone/>
                <wp:docPr id="136" name="矩形 136"/>
                <wp:cNvGraphicFramePr/>
                <a:graphic xmlns:a="http://schemas.openxmlformats.org/drawingml/2006/main">
                  <a:graphicData uri="http://schemas.microsoft.com/office/word/2010/wordprocessingShape">
                    <wps:wsp>
                      <wps:cNvSpPr/>
                      <wps:spPr>
                        <a:xfrm>
                          <a:off x="0" y="0"/>
                          <a:ext cx="1479550" cy="3397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550C56">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eastAsia="宋体"/>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9pt;margin-top:119.3pt;height:26.75pt;width:116.5pt;z-index:251740160;v-text-anchor:middle;mso-width-relative:page;mso-height-relative:page;" filled="f" stroked="f" coordsize="21600,21600" o:gfxdata="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xMvh9kAAAAL&#10;AQAADwAAAAAAAAABACAAAAAiAAAAZHJzL2Rvd25yZXYueG1sUEsBAhQAFAAAAAgAh07iQOKoDpFU&#10;AgAAmgQAAA4AAAAAAAAAAQAgAAAAKAEAAGRycy9lMm9Eb2MueG1sUEsFBgAAAAAGAAYAWQEAAO4F&#10;AAAAAA==&#10;">
                <v:fill on="f" focussize="0,0"/>
                <v:stroke on="f" weight="2pt"/>
                <v:imagedata o:title=""/>
                <o:lock v:ext="edit" aspectratio="f"/>
                <v:textbox>
                  <w:txbxContent>
                    <w:p w14:paraId="41550C56">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eastAsia="宋体"/>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B0F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v:textbox>
              </v:rect>
            </w:pict>
          </mc:Fallback>
        </mc:AlternateContent>
      </w:r>
      <w:r>
        <w:rPr>
          <w:rFonts w:hint="default" w:ascii="Times New Roman" w:hAnsi="Times New Roman" w:eastAsia="宋体" w:cs="Times New Roman"/>
          <w:b/>
          <w:bCs/>
          <w:color w:val="auto"/>
          <w:highlight w:val="none"/>
        </w:rPr>
        <mc:AlternateContent>
          <mc:Choice Requires="wps">
            <w:drawing>
              <wp:anchor distT="0" distB="0" distL="114300" distR="114300" simplePos="0" relativeHeight="251741184" behindDoc="0" locked="0" layoutInCell="1" allowOverlap="1">
                <wp:simplePos x="0" y="0"/>
                <wp:positionH relativeFrom="column">
                  <wp:posOffset>3871595</wp:posOffset>
                </wp:positionH>
                <wp:positionV relativeFrom="paragraph">
                  <wp:posOffset>1611630</wp:posOffset>
                </wp:positionV>
                <wp:extent cx="142240" cy="488950"/>
                <wp:effectExtent l="0" t="106045" r="0" b="132715"/>
                <wp:wrapNone/>
                <wp:docPr id="137" name="下箭头 137"/>
                <wp:cNvGraphicFramePr/>
                <a:graphic xmlns:a="http://schemas.openxmlformats.org/drawingml/2006/main">
                  <a:graphicData uri="http://schemas.microsoft.com/office/word/2010/wordprocessingShape">
                    <wps:wsp>
                      <wps:cNvSpPr/>
                      <wps:spPr>
                        <a:xfrm rot="13860000">
                          <a:off x="0" y="0"/>
                          <a:ext cx="142240" cy="488950"/>
                        </a:xfrm>
                        <a:prstGeom prst="downArrow">
                          <a:avLst/>
                        </a:prstGeom>
                        <a:solidFill>
                          <a:schemeClr val="tx1"/>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304.85pt;margin-top:126.9pt;height:38.5pt;width:11.2pt;rotation:-8454144f;z-index:251741184;v-text-anchor:middle;mso-width-relative:page;mso-height-relative:page;" fillcolor="#000000 [3213]" filled="t" stroked="t" coordsize="21600,21600" o:gfxdata="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oqUEItkAAAALAQAADwAAAAAAAAABACAAAAAi&#10;AAAAZHJzL2Rvd25yZXYueG1sUEsBAhQAFAAAAAgAh07iQLWKBXR7AgAA9wQAAA4AAAAAAAAAAQAg&#10;AAAAKAEAAGRycy9lMm9Eb2MueG1sUEsFBgAAAAAGAAYAWQEAABUGAAAAAA==&#10;" adj="18459,5400">
                <v:fill on="t" focussize="0,0"/>
                <v:stroke weight="2pt" color="#00B0F0 [2404]" joinstyle="round"/>
                <v:imagedata o:title=""/>
                <o:lock v:ext="edit" aspectratio="f"/>
              </v:shape>
            </w:pict>
          </mc:Fallback>
        </mc:AlternateContent>
      </w:r>
      <w:r>
        <w:rPr>
          <w:rFonts w:hint="default" w:ascii="Times New Roman" w:hAnsi="Times New Roman" w:eastAsia="宋体" w:cs="Times New Roman"/>
          <w:color w:val="auto"/>
          <w:highlight w:val="none"/>
        </w:rPr>
        <w:object>
          <v:shape id="_x0000_i1032" o:spt="75" type="#_x0000_t75" style="height:413.85pt;width:530.55pt;" o:ole="t" filled="f" o:preferrelative="t" stroked="f" coordsize="21600,21600">
            <v:path/>
            <v:fill on="f" focussize="0,0"/>
            <v:stroke on="f"/>
            <v:imagedata r:id="rId19" o:title=""/>
            <o:lock v:ext="edit" aspectratio="t"/>
            <w10:wrap type="none"/>
            <w10:anchorlock/>
          </v:shape>
          <o:OLEObject Type="Embed" ProgID="Visio.Drawing.11" ShapeID="_x0000_i1032" DrawAspect="Content" ObjectID="_1468075732" r:id="rId37">
            <o:LockedField>false</o:LockedField>
          </o:OLEObject>
        </w:object>
      </w:r>
    </w:p>
    <w:p w14:paraId="199BB7B4">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图2.6-1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项目环境</w:t>
      </w:r>
      <w:r>
        <w:rPr>
          <w:rFonts w:hint="default" w:ascii="Times New Roman" w:hAnsi="Times New Roman" w:eastAsia="宋体" w:cs="Times New Roman"/>
          <w:b/>
          <w:bCs/>
          <w:color w:val="auto"/>
          <w:highlight w:val="none"/>
          <w:lang w:eastAsia="zh-CN"/>
        </w:rPr>
        <w:t>空气和地下水环境</w:t>
      </w:r>
      <w:r>
        <w:rPr>
          <w:rFonts w:hint="default" w:ascii="Times New Roman" w:hAnsi="Times New Roman" w:eastAsia="宋体" w:cs="Times New Roman"/>
          <w:b/>
          <w:bCs/>
          <w:color w:val="auto"/>
          <w:highlight w:val="none"/>
          <w:lang w:val="en-US" w:eastAsia="zh-CN"/>
        </w:rPr>
        <w:t>现状监测</w:t>
      </w:r>
      <w:r>
        <w:rPr>
          <w:rFonts w:hint="default" w:ascii="Times New Roman" w:hAnsi="Times New Roman" w:eastAsia="宋体" w:cs="Times New Roman"/>
          <w:b/>
          <w:bCs/>
          <w:color w:val="auto"/>
          <w:highlight w:val="none"/>
        </w:rPr>
        <w:t>图</w: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6064" behindDoc="0" locked="0" layoutInCell="1" allowOverlap="1">
                <wp:simplePos x="0" y="0"/>
                <wp:positionH relativeFrom="column">
                  <wp:posOffset>2980055</wp:posOffset>
                </wp:positionH>
                <wp:positionV relativeFrom="paragraph">
                  <wp:posOffset>3262630</wp:posOffset>
                </wp:positionV>
                <wp:extent cx="107950" cy="215900"/>
                <wp:effectExtent l="12700" t="12700" r="12700" b="19050"/>
                <wp:wrapNone/>
                <wp:docPr id="131" name="等腰三角形 131"/>
                <wp:cNvGraphicFramePr/>
                <a:graphic xmlns:a="http://schemas.openxmlformats.org/drawingml/2006/main">
                  <a:graphicData uri="http://schemas.microsoft.com/office/word/2010/wordprocessingShape">
                    <wps:wsp>
                      <wps:cNvSpPr/>
                      <wps:spPr>
                        <a:xfrm>
                          <a:off x="0" y="0"/>
                          <a:ext cx="107950" cy="215900"/>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34.65pt;margin-top:256.9pt;height:17pt;width:8.5pt;z-index:251736064;v-text-anchor:middle;mso-width-relative:page;mso-height-relative:page;" fillcolor="#FFFF00" filled="t" stroked="t" coordsize="21600,21600" o:gfxdata="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&#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5xzuI2AAAAAsBAAAPAAAAAAAAAAEAIAAAACIAAABk&#10;cnMvZG93bnJldi54bWxQSwECFAAUAAAACACHTuJAeZkKIHgCAADtBAAADgAAAAAAAAABACAAAAAn&#10;AQAAZHJzL2Uyb0RvYy54bWxQSwUGAAAAAAYABgBZAQAAEQYAAAAA&#10;" adj="1080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5040" behindDoc="0" locked="0" layoutInCell="1" allowOverlap="1">
                <wp:simplePos x="0" y="0"/>
                <wp:positionH relativeFrom="column">
                  <wp:posOffset>3503930</wp:posOffset>
                </wp:positionH>
                <wp:positionV relativeFrom="paragraph">
                  <wp:posOffset>3005455</wp:posOffset>
                </wp:positionV>
                <wp:extent cx="107950" cy="215900"/>
                <wp:effectExtent l="12700" t="12700" r="12700" b="19050"/>
                <wp:wrapNone/>
                <wp:docPr id="130" name="等腰三角形 130"/>
                <wp:cNvGraphicFramePr/>
                <a:graphic xmlns:a="http://schemas.openxmlformats.org/drawingml/2006/main">
                  <a:graphicData uri="http://schemas.microsoft.com/office/word/2010/wordprocessingShape">
                    <wps:wsp>
                      <wps:cNvSpPr/>
                      <wps:spPr>
                        <a:xfrm>
                          <a:off x="0" y="0"/>
                          <a:ext cx="107950" cy="215900"/>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75.9pt;margin-top:236.65pt;height:17pt;width:8.5pt;z-index:251735040;v-text-anchor:middle;mso-width-relative:page;mso-height-relative:page;" fillcolor="#FFFF00" filled="t" stroked="t" coordsize="21600,21600" o:gfxdata="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hC6FtkAAAALAQAADwAAAAAAAAABACAAAAAiAAAA&#10;ZHJzL2Rvd25yZXYueG1sUEsBAhQAFAAAAAgAh07iQPNB7jx4AgAA7QQAAA4AAAAAAAAAAQAgAAAA&#10;KAEAAGRycy9lMm9Eb2MueG1sUEsFBgAAAAAGAAYAWQEAABIGAAAAAA==&#10;" adj="1080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4016" behindDoc="0" locked="0" layoutInCell="1" allowOverlap="1">
                <wp:simplePos x="0" y="0"/>
                <wp:positionH relativeFrom="column">
                  <wp:posOffset>4265930</wp:posOffset>
                </wp:positionH>
                <wp:positionV relativeFrom="paragraph">
                  <wp:posOffset>3081655</wp:posOffset>
                </wp:positionV>
                <wp:extent cx="107950" cy="215900"/>
                <wp:effectExtent l="12700" t="12700" r="12700" b="19050"/>
                <wp:wrapNone/>
                <wp:docPr id="129" name="等腰三角形 129"/>
                <wp:cNvGraphicFramePr/>
                <a:graphic xmlns:a="http://schemas.openxmlformats.org/drawingml/2006/main">
                  <a:graphicData uri="http://schemas.microsoft.com/office/word/2010/wordprocessingShape">
                    <wps:wsp>
                      <wps:cNvSpPr/>
                      <wps:spPr>
                        <a:xfrm>
                          <a:off x="0" y="0"/>
                          <a:ext cx="107950" cy="215900"/>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35.9pt;margin-top:242.65pt;height:17pt;width:8.5pt;z-index:251734016;v-text-anchor:middle;mso-width-relative:page;mso-height-relative:page;" fillcolor="#FFFF00" filled="t" stroked="t" coordsize="21600,21600" o:gfxdata="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KeLuz2gAAAAsBAAAPAAAAAAAAAAEAIAAAACIA&#10;AABkcnMvZG93bnJldi54bWxQSwECFAAUAAAACACHTuJAz9NdynkCAADtBAAADgAAAAAAAAABACAA&#10;AAApAQAAZHJzL2Uyb0RvYy54bWxQSwUGAAAAAAYABgBZAQAAFAYAAAAA&#10;" adj="1080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2992" behindDoc="0" locked="0" layoutInCell="1" allowOverlap="1">
                <wp:simplePos x="0" y="0"/>
                <wp:positionH relativeFrom="column">
                  <wp:posOffset>4799330</wp:posOffset>
                </wp:positionH>
                <wp:positionV relativeFrom="paragraph">
                  <wp:posOffset>2414905</wp:posOffset>
                </wp:positionV>
                <wp:extent cx="107950" cy="215900"/>
                <wp:effectExtent l="12700" t="12700" r="12700" b="19050"/>
                <wp:wrapNone/>
                <wp:docPr id="128" name="等腰三角形 128"/>
                <wp:cNvGraphicFramePr/>
                <a:graphic xmlns:a="http://schemas.openxmlformats.org/drawingml/2006/main">
                  <a:graphicData uri="http://schemas.microsoft.com/office/word/2010/wordprocessingShape">
                    <wps:wsp>
                      <wps:cNvSpPr/>
                      <wps:spPr>
                        <a:xfrm>
                          <a:off x="0" y="0"/>
                          <a:ext cx="107950" cy="215900"/>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77.9pt;margin-top:190.15pt;height:17pt;width:8.5pt;z-index:251732992;v-text-anchor:middle;mso-width-relative:page;mso-height-relative:page;" fillcolor="#FFFF00" filled="t" stroked="t" coordsize="21600,21600" o:gfxdata="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lHAlf2gAAAAsBAAAPAAAAAAAAAAEAIAAAACIA&#10;AABkcnMvZG93bnJldi54bWxQSwECFAAUAAAACACHTuJARQu51nkCAADtBAAADgAAAAAAAAABACAA&#10;AAApAQAAZHJzL2Uyb0RvYy54bWxQSwUGAAAAAAYABgBZAQAAFAYAAAAA&#10;" adj="1080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1968" behindDoc="0" locked="0" layoutInCell="1" allowOverlap="1">
                <wp:simplePos x="0" y="0"/>
                <wp:positionH relativeFrom="column">
                  <wp:posOffset>3923030</wp:posOffset>
                </wp:positionH>
                <wp:positionV relativeFrom="paragraph">
                  <wp:posOffset>2233930</wp:posOffset>
                </wp:positionV>
                <wp:extent cx="107950" cy="215900"/>
                <wp:effectExtent l="12700" t="12700" r="12700" b="19050"/>
                <wp:wrapNone/>
                <wp:docPr id="127" name="等腰三角形 127"/>
                <wp:cNvGraphicFramePr/>
                <a:graphic xmlns:a="http://schemas.openxmlformats.org/drawingml/2006/main">
                  <a:graphicData uri="http://schemas.microsoft.com/office/word/2010/wordprocessingShape">
                    <wps:wsp>
                      <wps:cNvSpPr/>
                      <wps:spPr>
                        <a:xfrm>
                          <a:off x="3303905" y="1519555"/>
                          <a:ext cx="107950" cy="215900"/>
                        </a:xfrm>
                        <a:prstGeom prst="triangl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08.9pt;margin-top:175.9pt;height:17pt;width:8.5pt;z-index:251731968;v-text-anchor:middle;mso-width-relative:page;mso-height-relative:page;" fillcolor="#FFFF00" filled="t" stroked="t" coordsize="21600,21600" o:gfxdata="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N0tSDfZAAAACwEAAA8A&#10;AAAAAAAAAQAgAAAAIgAAAGRycy9kb3ducmV2LnhtbFBLAQIUABQAAAAIAIdO4kCfG5Z3iAIAAPkE&#10;AAAOAAAAAAAAAAEAIAAAACgBAABkcnMvZTJvRG9jLnhtbFBLBQYAAAAABgAGAFkBAAAiBgAAAAA=&#10;" adj="1080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28896" behindDoc="0" locked="0" layoutInCell="1" allowOverlap="1">
                <wp:simplePos x="0" y="0"/>
                <wp:positionH relativeFrom="column">
                  <wp:posOffset>3618230</wp:posOffset>
                </wp:positionH>
                <wp:positionV relativeFrom="paragraph">
                  <wp:posOffset>2780030</wp:posOffset>
                </wp:positionV>
                <wp:extent cx="180975" cy="107950"/>
                <wp:effectExtent l="12700" t="12700" r="15875" b="12700"/>
                <wp:wrapNone/>
                <wp:docPr id="124" name="矩形 124"/>
                <wp:cNvGraphicFramePr/>
                <a:graphic xmlns:a="http://schemas.openxmlformats.org/drawingml/2006/main">
                  <a:graphicData uri="http://schemas.microsoft.com/office/word/2010/wordprocessingShape">
                    <wps:wsp>
                      <wps:cNvSpPr/>
                      <wps:spPr>
                        <a:xfrm>
                          <a:off x="4037330" y="1284605"/>
                          <a:ext cx="180975" cy="107950"/>
                        </a:xfrm>
                        <a:prstGeom prst="rect">
                          <a:avLst/>
                        </a:prstGeom>
                        <a:solidFill>
                          <a:srgbClr val="00B05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4.9pt;margin-top:218.9pt;height:8.5pt;width:14.25pt;z-index:251728896;v-text-anchor:middle;mso-width-relative:page;mso-height-relative:page;" fillcolor="#00B050" filled="t" stroked="t" coordsize="21600,21600" o:gfxdata="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sH+oTYAAAACwEAAA8AAAAAAAAAAQAgAAAAIgAAAGRycy9k&#10;b3ducmV2LnhtbFBLAQIUABQAAAAIAIdO4kBMEJQ0dAIAAOwEAAAOAAAAAAAAAAEAIAAAACcBAABk&#10;cnMvZTJvRG9jLnhtbFBLBQYAAAAABgAGAFkBAAANBgAAAAA=&#10;">
                <v:fill on="t" focussize="0,0"/>
                <v:stroke weight="2pt" color="#000000 [3213]"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29920" behindDoc="0" locked="0" layoutInCell="1" allowOverlap="1">
                <wp:simplePos x="0" y="0"/>
                <wp:positionH relativeFrom="column">
                  <wp:posOffset>4104005</wp:posOffset>
                </wp:positionH>
                <wp:positionV relativeFrom="paragraph">
                  <wp:posOffset>2627630</wp:posOffset>
                </wp:positionV>
                <wp:extent cx="180975" cy="107950"/>
                <wp:effectExtent l="12700" t="12700" r="15875" b="12700"/>
                <wp:wrapNone/>
                <wp:docPr id="125" name="矩形 125"/>
                <wp:cNvGraphicFramePr/>
                <a:graphic xmlns:a="http://schemas.openxmlformats.org/drawingml/2006/main">
                  <a:graphicData uri="http://schemas.microsoft.com/office/word/2010/wordprocessingShape">
                    <wps:wsp>
                      <wps:cNvSpPr/>
                      <wps:spPr>
                        <a:xfrm>
                          <a:off x="0" y="0"/>
                          <a:ext cx="180975" cy="107950"/>
                        </a:xfrm>
                        <a:prstGeom prst="rect">
                          <a:avLst/>
                        </a:prstGeom>
                        <a:solidFill>
                          <a:srgbClr val="00B05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3.15pt;margin-top:206.9pt;height:8.5pt;width:14.25pt;z-index:251729920;v-text-anchor:middle;mso-width-relative:page;mso-height-relative:page;" fillcolor="#00B050" filled="t" stroked="t" coordsize="21600,21600" o:gfxdata="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JVtb9gAAAALAQAADwAAAAAAAAABACAAAAAiAAAAZHJzL2Rvd25yZXYueG1sUEsB&#10;AhQAFAAAAAgAh07iQGItg99nAgAA4AQAAA4AAAAAAAAAAQAgAAAAJwEAAGRycy9lMm9Eb2MueG1s&#10;UEsFBgAAAAAGAAYAWQEAAAAGAAAAAA==&#10;">
                <v:fill on="t" focussize="0,0"/>
                <v:stroke weight="2pt" color="#000000 [3213]"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30944" behindDoc="0" locked="0" layoutInCell="1" allowOverlap="1">
                <wp:simplePos x="0" y="0"/>
                <wp:positionH relativeFrom="column">
                  <wp:posOffset>4427855</wp:posOffset>
                </wp:positionH>
                <wp:positionV relativeFrom="paragraph">
                  <wp:posOffset>2656205</wp:posOffset>
                </wp:positionV>
                <wp:extent cx="180975" cy="107950"/>
                <wp:effectExtent l="12700" t="12700" r="15875" b="12700"/>
                <wp:wrapNone/>
                <wp:docPr id="126" name="矩形 126"/>
                <wp:cNvGraphicFramePr/>
                <a:graphic xmlns:a="http://schemas.openxmlformats.org/drawingml/2006/main">
                  <a:graphicData uri="http://schemas.microsoft.com/office/word/2010/wordprocessingShape">
                    <wps:wsp>
                      <wps:cNvSpPr/>
                      <wps:spPr>
                        <a:xfrm>
                          <a:off x="0" y="0"/>
                          <a:ext cx="180975" cy="107950"/>
                        </a:xfrm>
                        <a:prstGeom prst="rect">
                          <a:avLst/>
                        </a:prstGeom>
                        <a:solidFill>
                          <a:srgbClr val="00B05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8.65pt;margin-top:209.15pt;height:8.5pt;width:14.25pt;z-index:251730944;v-text-anchor:middle;mso-width-relative:page;mso-height-relative:page;" fillcolor="#00B050" filled="t" stroked="t" coordsize="21600,21600" o:gfxdata="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ncrKbZAAAACwEAAA8AAAAAAAAAAQAgAAAAIgAAAGRycy9kb3ducmV2LnhtbFBL&#10;AQIUABQAAAAIAIdO4kCU7NF6ZwIAAOAEAAAOAAAAAAAAAAEAIAAAACgBAABkcnMvZTJvRG9jLnht&#10;bFBLBQYAAAAABgAGAFkBAAABBgAAAAA=&#10;">
                <v:fill on="t" focussize="0,0"/>
                <v:stroke weight="2pt" color="#000000 [3213]"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19680" behindDoc="0" locked="0" layoutInCell="1" allowOverlap="1">
                <wp:simplePos x="0" y="0"/>
                <wp:positionH relativeFrom="column">
                  <wp:posOffset>1656080</wp:posOffset>
                </wp:positionH>
                <wp:positionV relativeFrom="paragraph">
                  <wp:posOffset>4622165</wp:posOffset>
                </wp:positionV>
                <wp:extent cx="288290" cy="107950"/>
                <wp:effectExtent l="12700" t="12700" r="22860" b="12700"/>
                <wp:wrapNone/>
                <wp:docPr id="119" name="矩形 119"/>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0.4pt;margin-top:363.95pt;height:8.5pt;width:22.7pt;z-index:251719680;v-text-anchor:middle;mso-width-relative:page;mso-height-relative:page;" filled="f" stroked="t" coordsize="21600,21600" o:gfxdata="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JklOMdsAAAALAQAADwAAAAAAAAABACAAAAAiAAAAZHJzL2Rvd25yZXYueG1sUEsBAhQAFAAA&#10;AAgAh07iQLSbQbheAgAAtwQAAA4AAAAAAAAAAQAgAAAAKgEAAGRycy9lMm9Eb2MueG1sUEsFBgAA&#10;AAAGAAYAWQEAAPoFAAAAAA==&#10;">
                <v:fill on="f" focussize="0,0"/>
                <v:stroke weight="2pt" color="#00B050 [32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20704" behindDoc="0" locked="0" layoutInCell="1" allowOverlap="1">
                <wp:simplePos x="0" y="0"/>
                <wp:positionH relativeFrom="column">
                  <wp:posOffset>1524635</wp:posOffset>
                </wp:positionH>
                <wp:positionV relativeFrom="paragraph">
                  <wp:posOffset>4957445</wp:posOffset>
                </wp:positionV>
                <wp:extent cx="288290" cy="107950"/>
                <wp:effectExtent l="12700" t="12700" r="22860" b="12700"/>
                <wp:wrapNone/>
                <wp:docPr id="120" name="矩形 120"/>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0.05pt;margin-top:390.35pt;height:8.5pt;width:22.7pt;z-index:251720704;v-text-anchor:middle;mso-width-relative:page;mso-height-relative:page;" filled="f" stroked="t" coordsize="21600,21600" o:gfxdata="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uqv/doAAAALAQAADwAAAAAAAAABACAAAAAiAAAAZHJzL2Rvd25yZXYueG1sUEsBAhQAFAAAAAgA&#10;h07iQMvCw9RcAgAAtwQAAA4AAAAAAAAAAQAgAAAAKQEAAGRycy9lMm9Eb2MueG1sUEsFBgAAAAAG&#10;AAYAWQEAAPcFAAAAAA==&#10;">
                <v:fill on="f" focussize="0,0"/>
                <v:stroke weight="2pt" color="#FFFF00 [32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18656" behindDoc="0" locked="0" layoutInCell="1" allowOverlap="1">
                <wp:simplePos x="0" y="0"/>
                <wp:positionH relativeFrom="column">
                  <wp:posOffset>732790</wp:posOffset>
                </wp:positionH>
                <wp:positionV relativeFrom="paragraph">
                  <wp:posOffset>4295775</wp:posOffset>
                </wp:positionV>
                <wp:extent cx="288290" cy="107950"/>
                <wp:effectExtent l="12700" t="12700" r="22860" b="12700"/>
                <wp:wrapNone/>
                <wp:docPr id="121" name="矩形 121"/>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7pt;margin-top:338.25pt;height:8.5pt;width:22.7pt;z-index:251718656;v-text-anchor:middle;mso-width-relative:page;mso-height-relative:page;" filled="f" stroked="t" coordsize="21600,21600" o:gfxdata="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xz&#10;S2bYAAAACwEAAA8AAAAAAAAAAQAgAAAAIgAAAGRycy9kb3ducmV2LnhtbFBLAQIUABQAAAAIAIdO&#10;4kBfeoTyXAIAALcEAAAOAAAAAAAAAAEAIAAAACcBAABkcnMvZTJvRG9jLnhtbFBLBQYAAAAABgAG&#10;AFkBAAD1BQAAAAA=&#10;">
                <v:fill on="f" focussize="0,0"/>
                <v:stroke weight="2pt" color="#000000 [3213]"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17632" behindDoc="0" locked="0" layoutInCell="1" allowOverlap="1">
                <wp:simplePos x="0" y="0"/>
                <wp:positionH relativeFrom="column">
                  <wp:posOffset>286385</wp:posOffset>
                </wp:positionH>
                <wp:positionV relativeFrom="paragraph">
                  <wp:posOffset>3867150</wp:posOffset>
                </wp:positionV>
                <wp:extent cx="1806575" cy="1334135"/>
                <wp:effectExtent l="12700" t="12700" r="28575" b="24765"/>
                <wp:wrapNone/>
                <wp:docPr id="122" name="矩形 122"/>
                <wp:cNvGraphicFramePr/>
                <a:graphic xmlns:a="http://schemas.openxmlformats.org/drawingml/2006/main">
                  <a:graphicData uri="http://schemas.microsoft.com/office/word/2010/wordprocessingShape">
                    <wps:wsp>
                      <wps:cNvSpPr/>
                      <wps:spPr>
                        <a:xfrm>
                          <a:off x="0" y="0"/>
                          <a:ext cx="1806575" cy="1334135"/>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16A3A7">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39530E47">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5CAF2FF4">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土壤环境评价范围</w:t>
                            </w:r>
                          </w:p>
                          <w:p w14:paraId="58EFAEAB">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5pt;margin-top:304.5pt;height:105.05pt;width:142.25pt;z-index:251717632;v-text-anchor:middle;mso-width-relative:page;mso-height-relative:page;" fillcolor="#D7E4BD [1302]" filled="t" stroked="t" coordsize="21600,21600" o:gfxdata="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XuD1/tkAAAAK&#10;AQAADwAAAAAAAAABACAAAAAiAAAAZHJzL2Rvd25yZXYueG1sUEsBAhQAFAAAAAgAh07iQFonFuqN&#10;AgAAJgUAAA4AAAAAAAAAAQAgAAAAKAEAAGRycy9lMm9Eb2MueG1sUEsFBgAAAAAGAAYAWQEAACcG&#10;AAAAAA==&#10;">
                <v:fill on="t" focussize="0,0"/>
                <v:stroke weight="2pt" color="#000000 [3213]" joinstyle="round"/>
                <v:imagedata o:title=""/>
                <o:lock v:ext="edit" aspectratio="f"/>
                <v:textbox>
                  <w:txbxContent>
                    <w:p w14:paraId="0816A3A7">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14:paraId="39530E47">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14:paraId="5CAF2FF4">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土壤环境评价范围</w:t>
                      </w:r>
                    </w:p>
                    <w:p w14:paraId="58EFAEAB">
                      <w:pPr>
                        <w:pStyle w:val="19"/>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v:textbox>
              </v:rect>
            </w:pict>
          </mc:Fallback>
        </mc:AlternateContent>
      </w:r>
      <w:r>
        <w:rPr>
          <w:rFonts w:hint="default" w:ascii="Times New Roman" w:hAnsi="Times New Roman" w:eastAsia="宋体" w:cs="Times New Roman"/>
          <w:color w:val="auto"/>
          <w:highlight w:val="none"/>
        </w:rPr>
        <w:drawing>
          <wp:anchor distT="0" distB="0" distL="114300" distR="114300" simplePos="0" relativeHeight="251721728" behindDoc="0" locked="0" layoutInCell="1" allowOverlap="1">
            <wp:simplePos x="0" y="0"/>
            <wp:positionH relativeFrom="column">
              <wp:posOffset>6746240</wp:posOffset>
            </wp:positionH>
            <wp:positionV relativeFrom="paragraph">
              <wp:posOffset>29845</wp:posOffset>
            </wp:positionV>
            <wp:extent cx="654050" cy="720090"/>
            <wp:effectExtent l="0" t="0" r="12700" b="3810"/>
            <wp:wrapNone/>
            <wp:docPr id="1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
                    <pic:cNvPicPr>
                      <a:picLocks noChangeAspect="1"/>
                    </pic:cNvPicPr>
                  </pic:nvPicPr>
                  <pic:blipFill>
                    <a:blip r:embed="rId20"/>
                    <a:stretch>
                      <a:fillRect/>
                    </a:stretch>
                  </pic:blipFill>
                  <pic:spPr>
                    <a:xfrm>
                      <a:off x="0" y="0"/>
                      <a:ext cx="654050" cy="720090"/>
                    </a:xfrm>
                    <a:prstGeom prst="rect">
                      <a:avLst/>
                    </a:prstGeom>
                    <a:noFill/>
                    <a:ln>
                      <a:noFill/>
                    </a:ln>
                  </pic:spPr>
                </pic:pic>
              </a:graphicData>
            </a:graphic>
          </wp:anchor>
        </w:drawing>
      </w:r>
      <w:r>
        <w:rPr>
          <w:rFonts w:hint="default" w:ascii="Times New Roman" w:hAnsi="Times New Roman" w:eastAsia="宋体" w:cs="Times New Roman"/>
          <w:color w:val="auto"/>
          <w:highlight w:val="none"/>
          <w:lang w:eastAsia="zh-CN"/>
        </w:rPr>
        <w:object>
          <v:shape id="_x0000_i1033" o:spt="75" type="#_x0000_t75" style="height:413.85pt;width:513.2pt;" o:ole="t" filled="f" o:preferrelative="t" stroked="f" coordsize="21600,21600">
            <v:path/>
            <v:fill on="f" focussize="0,0"/>
            <v:stroke on="f"/>
            <v:imagedata r:id="rId39" o:title=""/>
            <o:lock v:ext="edit" aspectratio="t"/>
            <w10:wrap type="none"/>
            <w10:anchorlock/>
          </v:shape>
          <o:OLEObject Type="Embed" ProgID="Visio.Drawing.11" ShapeID="_x0000_i1033" DrawAspect="Content" ObjectID="_1468075733" r:id="rId38">
            <o:LockedField>false</o:LockedField>
          </o:OLEObject>
        </w:object>
      </w:r>
    </w:p>
    <w:p w14:paraId="52249A3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图2.6-</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项目</w:t>
      </w:r>
      <w:r>
        <w:rPr>
          <w:rFonts w:hint="default" w:ascii="Times New Roman" w:hAnsi="Times New Roman" w:eastAsia="宋体" w:cs="Times New Roman"/>
          <w:b/>
          <w:bCs/>
          <w:color w:val="auto"/>
          <w:sz w:val="24"/>
          <w:szCs w:val="24"/>
          <w:highlight w:val="none"/>
          <w:lang w:val="en-US" w:eastAsia="zh-CN"/>
        </w:rPr>
        <w:t>土壤</w:t>
      </w:r>
      <w:r>
        <w:rPr>
          <w:rFonts w:hint="default" w:ascii="Times New Roman" w:hAnsi="Times New Roman" w:eastAsia="宋体" w:cs="Times New Roman"/>
          <w:b/>
          <w:bCs/>
          <w:color w:val="auto"/>
          <w:sz w:val="24"/>
          <w:szCs w:val="24"/>
          <w:highlight w:val="none"/>
        </w:rPr>
        <w:t>环境</w:t>
      </w:r>
      <w:r>
        <w:rPr>
          <w:rFonts w:hint="default" w:ascii="Times New Roman" w:hAnsi="Times New Roman" w:eastAsia="宋体" w:cs="Times New Roman"/>
          <w:b/>
          <w:bCs/>
          <w:color w:val="auto"/>
          <w:sz w:val="24"/>
          <w:szCs w:val="24"/>
          <w:highlight w:val="none"/>
          <w:lang w:eastAsia="zh-CN"/>
        </w:rPr>
        <w:t>和</w:t>
      </w:r>
      <w:r>
        <w:rPr>
          <w:rFonts w:hint="default" w:ascii="Times New Roman" w:hAnsi="Times New Roman" w:eastAsia="宋体" w:cs="Times New Roman"/>
          <w:b/>
          <w:bCs/>
          <w:color w:val="auto"/>
          <w:sz w:val="24"/>
          <w:szCs w:val="24"/>
          <w:highlight w:val="none"/>
          <w:lang w:val="en-US" w:eastAsia="zh-CN"/>
        </w:rPr>
        <w:t>声</w:t>
      </w:r>
      <w:r>
        <w:rPr>
          <w:rFonts w:hint="default" w:ascii="Times New Roman" w:hAnsi="Times New Roman" w:eastAsia="宋体" w:cs="Times New Roman"/>
          <w:b/>
          <w:bCs/>
          <w:color w:val="auto"/>
          <w:sz w:val="24"/>
          <w:szCs w:val="24"/>
          <w:highlight w:val="none"/>
          <w:lang w:eastAsia="zh-CN"/>
        </w:rPr>
        <w:t>环境</w:t>
      </w:r>
      <w:r>
        <w:rPr>
          <w:rFonts w:hint="default" w:ascii="Times New Roman" w:hAnsi="Times New Roman" w:eastAsia="宋体" w:cs="Times New Roman"/>
          <w:color w:val="auto"/>
          <w:sz w:val="24"/>
          <w:szCs w:val="24"/>
          <w:highlight w:val="none"/>
        </w:rPr>
        <w:t>现状监测布点图</w:t>
      </w:r>
    </w:p>
    <w:p w14:paraId="0F85D81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sectPr>
          <w:pgSz w:w="16838" w:h="11906" w:orient="landscape"/>
          <w:pgMar w:top="1440" w:right="1800" w:bottom="1440" w:left="1800" w:header="737" w:footer="1134" w:gutter="0"/>
          <w:pgBorders>
            <w:top w:val="none" w:sz="0" w:space="0"/>
            <w:left w:val="none" w:sz="0" w:space="0"/>
            <w:bottom w:val="none" w:sz="0" w:space="0"/>
            <w:right w:val="none" w:sz="0" w:space="0"/>
          </w:pgBorders>
          <w:pgNumType w:fmt="decimal"/>
          <w:cols w:space="425" w:num="1"/>
          <w:docGrid w:linePitch="326" w:charSpace="0"/>
        </w:sectPr>
      </w:pPr>
    </w:p>
    <w:p w14:paraId="1341147D">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384" w:name="_Toc5615"/>
      <w:bookmarkStart w:id="385" w:name="_Toc46421122"/>
      <w:r>
        <w:rPr>
          <w:rFonts w:hint="default" w:ascii="Times New Roman" w:hAnsi="Times New Roman" w:eastAsia="宋体" w:cs="Times New Roman"/>
          <w:color w:val="auto"/>
          <w:highlight w:val="none"/>
        </w:rPr>
        <w:t>4.2.5生态环境现状调查与评价</w:t>
      </w:r>
      <w:bookmarkEnd w:id="384"/>
      <w:bookmarkEnd w:id="385"/>
    </w:p>
    <w:p w14:paraId="0876095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价在遥感资料的基础上，根据遥感技术和GIS技术确定土地利用、植被类型及土壤类型、面积、分布状况、斑块数等内容。地块一占地27593.42m²，地块二占地8852.28m²，地块三占地15119.48m²，评价区为项目区外扩1000m范围区域，评价区面积约为2551314.03m²。</w:t>
      </w:r>
    </w:p>
    <w:p w14:paraId="588A263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本次遥感影像数据来源于“中国科学院计算机网络信息中心地理空间数据云平台”采用公开数据中Landsat8OLI_TIRS卫星数字产品中2021年</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多光谱遥感卫星影像，云层为2.21，云层及阴影覆盖区域很小，本次遥感解译采用多光谱遥感卫星影像为夏季，植被生长状况较好易于分类，具有代表性，云层及阴影覆盖区域很小，影像清晰可见，本次多光谱遥感卫星影像选取合理可行，经ERDAS2010软件选取3、4、5波段合并影像后为分辨率30m的假彩色影像，3、4、5波段合并后的影像经与8波段融合后，分辨率达为15m的假彩色影像，以15m的假彩色</w:t>
      </w:r>
      <w:r>
        <w:rPr>
          <w:rFonts w:hint="default" w:ascii="Times New Roman" w:hAnsi="Times New Roman" w:eastAsia="宋体" w:cs="Times New Roman"/>
          <w:color w:val="auto"/>
          <w:sz w:val="24"/>
          <w:szCs w:val="24"/>
          <w:highlight w:val="none"/>
          <w:lang w:eastAsia="zh-CN"/>
        </w:rPr>
        <w:t>影像</w:t>
      </w:r>
      <w:r>
        <w:rPr>
          <w:rFonts w:hint="default" w:ascii="Times New Roman" w:hAnsi="Times New Roman" w:eastAsia="宋体" w:cs="Times New Roman"/>
          <w:color w:val="auto"/>
          <w:sz w:val="24"/>
          <w:szCs w:val="24"/>
          <w:highlight w:val="none"/>
        </w:rPr>
        <w:t>作为解译和矢量化标准</w:t>
      </w:r>
      <w:r>
        <w:rPr>
          <w:rFonts w:hint="default" w:ascii="Times New Roman" w:hAnsi="Times New Roman" w:eastAsia="宋体" w:cs="Times New Roman"/>
          <w:color w:val="auto"/>
          <w:sz w:val="24"/>
          <w:highlight w:val="none"/>
        </w:rPr>
        <w:t>。</w:t>
      </w:r>
    </w:p>
    <w:p w14:paraId="60E392F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highlight w:val="none"/>
        </w:rPr>
        <w:t>以项目区边界外扩1.0km，作为本次生态现状的评价范围</w:t>
      </w:r>
      <w:r>
        <w:rPr>
          <w:rFonts w:hint="default" w:ascii="Times New Roman" w:hAnsi="Times New Roman" w:eastAsia="宋体" w:cs="Times New Roman"/>
          <w:color w:val="auto"/>
          <w:sz w:val="24"/>
          <w:highlight w:val="none"/>
          <w:lang w:eastAsia="zh-CN"/>
        </w:rPr>
        <w:t>。</w:t>
      </w:r>
    </w:p>
    <w:p w14:paraId="13AF377A">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86" w:name="_Toc11622"/>
      <w:bookmarkStart w:id="387" w:name="_Toc9101"/>
      <w:bookmarkStart w:id="388" w:name="_Toc14047"/>
      <w:r>
        <w:rPr>
          <w:rFonts w:hint="default" w:ascii="Times New Roman" w:hAnsi="Times New Roman" w:eastAsia="宋体" w:cs="Times New Roman"/>
          <w:color w:val="auto"/>
          <w:highlight w:val="none"/>
        </w:rPr>
        <w:t>4.2.</w:t>
      </w:r>
      <w:r>
        <w:rPr>
          <w:rStyle w:val="56"/>
          <w:rFonts w:hint="default" w:ascii="Times New Roman" w:hAnsi="Times New Roman" w:eastAsia="宋体" w:cs="Times New Roman"/>
          <w:b/>
          <w:bCs/>
          <w:color w:val="auto"/>
          <w:highlight w:val="none"/>
          <w:lang w:val="en-US" w:eastAsia="zh-CN"/>
        </w:rPr>
        <w:t>5</w:t>
      </w:r>
      <w:r>
        <w:rPr>
          <w:rFonts w:hint="default" w:ascii="Times New Roman" w:hAnsi="Times New Roman" w:eastAsia="宋体" w:cs="Times New Roman"/>
          <w:color w:val="auto"/>
          <w:highlight w:val="none"/>
        </w:rPr>
        <w:t>.1土地利用现状</w:t>
      </w:r>
      <w:bookmarkEnd w:id="386"/>
      <w:bookmarkEnd w:id="387"/>
      <w:bookmarkEnd w:id="388"/>
    </w:p>
    <w:p w14:paraId="205972F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项目土地利用现状图如图4.2-</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所示。</w:t>
      </w:r>
    </w:p>
    <w:p w14:paraId="5D1A590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评价区</w:t>
      </w:r>
      <w:r>
        <w:rPr>
          <w:rFonts w:hint="default" w:ascii="Times New Roman" w:hAnsi="Times New Roman" w:eastAsia="宋体" w:cs="Times New Roman"/>
          <w:color w:val="auto"/>
          <w:sz w:val="24"/>
          <w:szCs w:val="24"/>
          <w:highlight w:val="none"/>
        </w:rPr>
        <w:t>土地利用类型统计表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2454"/>
        <w:gridCol w:w="2528"/>
        <w:gridCol w:w="1734"/>
      </w:tblGrid>
      <w:tr w14:paraId="0E82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5" w:type="pct"/>
            <w:gridSpan w:val="2"/>
            <w:noWrap w:val="0"/>
            <w:vAlign w:val="center"/>
          </w:tcPr>
          <w:p w14:paraId="3CE858F5">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土地利用类型</w:t>
            </w:r>
          </w:p>
        </w:tc>
        <w:tc>
          <w:tcPr>
            <w:tcW w:w="2574" w:type="pct"/>
            <w:gridSpan w:val="2"/>
            <w:noWrap w:val="0"/>
            <w:vAlign w:val="center"/>
          </w:tcPr>
          <w:p w14:paraId="67D434E0">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评价范围</w:t>
            </w:r>
          </w:p>
        </w:tc>
      </w:tr>
      <w:tr w14:paraId="7082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7680288D">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一级</w:t>
            </w:r>
          </w:p>
        </w:tc>
        <w:tc>
          <w:tcPr>
            <w:tcW w:w="1482" w:type="pct"/>
            <w:noWrap w:val="0"/>
            <w:vAlign w:val="center"/>
          </w:tcPr>
          <w:p w14:paraId="53896D35">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二级</w:t>
            </w:r>
          </w:p>
        </w:tc>
        <w:tc>
          <w:tcPr>
            <w:tcW w:w="1527" w:type="pct"/>
            <w:noWrap w:val="0"/>
            <w:vAlign w:val="center"/>
          </w:tcPr>
          <w:p w14:paraId="155A6FF6">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1047" w:type="pct"/>
            <w:noWrap w:val="0"/>
            <w:vAlign w:val="center"/>
          </w:tcPr>
          <w:p w14:paraId="0CE683CA">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比例（%）</w:t>
            </w:r>
          </w:p>
        </w:tc>
      </w:tr>
      <w:tr w14:paraId="0E9E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41BCA092">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01耕地</w:t>
            </w:r>
          </w:p>
        </w:tc>
        <w:tc>
          <w:tcPr>
            <w:tcW w:w="1482" w:type="pct"/>
            <w:noWrap w:val="0"/>
            <w:vAlign w:val="center"/>
          </w:tcPr>
          <w:p w14:paraId="5FB50890">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0102水浇地</w:t>
            </w:r>
          </w:p>
        </w:tc>
        <w:tc>
          <w:tcPr>
            <w:tcW w:w="1527" w:type="pct"/>
            <w:noWrap w:val="0"/>
            <w:vAlign w:val="center"/>
          </w:tcPr>
          <w:p w14:paraId="6AAA5D5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2232794.50</w:t>
            </w:r>
          </w:p>
        </w:tc>
        <w:tc>
          <w:tcPr>
            <w:tcW w:w="1047" w:type="pct"/>
            <w:noWrap w:val="0"/>
            <w:vAlign w:val="center"/>
          </w:tcPr>
          <w:p w14:paraId="75538465">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87.52</w:t>
            </w:r>
          </w:p>
        </w:tc>
      </w:tr>
      <w:tr w14:paraId="2300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345FC060">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03林地</w:t>
            </w:r>
          </w:p>
        </w:tc>
        <w:tc>
          <w:tcPr>
            <w:tcW w:w="1482" w:type="pct"/>
            <w:noWrap w:val="0"/>
            <w:vAlign w:val="center"/>
          </w:tcPr>
          <w:p w14:paraId="65673C33">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0307其他林地</w:t>
            </w:r>
          </w:p>
        </w:tc>
        <w:tc>
          <w:tcPr>
            <w:tcW w:w="1527" w:type="pct"/>
            <w:noWrap w:val="0"/>
            <w:vAlign w:val="center"/>
          </w:tcPr>
          <w:p w14:paraId="35EA56CD">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74818.10</w:t>
            </w:r>
          </w:p>
        </w:tc>
        <w:tc>
          <w:tcPr>
            <w:tcW w:w="1047" w:type="pct"/>
            <w:noWrap w:val="0"/>
            <w:vAlign w:val="center"/>
          </w:tcPr>
          <w:p w14:paraId="7B6E825B">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2.93</w:t>
            </w:r>
          </w:p>
        </w:tc>
      </w:tr>
      <w:tr w14:paraId="22A1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13334A9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07住宅用地</w:t>
            </w:r>
          </w:p>
        </w:tc>
        <w:tc>
          <w:tcPr>
            <w:tcW w:w="1482" w:type="pct"/>
            <w:noWrap w:val="0"/>
            <w:vAlign w:val="center"/>
          </w:tcPr>
          <w:p w14:paraId="78EA7A52">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0702农村宅基地</w:t>
            </w:r>
          </w:p>
        </w:tc>
        <w:tc>
          <w:tcPr>
            <w:tcW w:w="1527" w:type="pct"/>
            <w:noWrap w:val="0"/>
            <w:vAlign w:val="center"/>
          </w:tcPr>
          <w:p w14:paraId="5BF03FD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116535.90</w:t>
            </w:r>
          </w:p>
        </w:tc>
        <w:tc>
          <w:tcPr>
            <w:tcW w:w="1047" w:type="pct"/>
            <w:noWrap w:val="0"/>
            <w:vAlign w:val="center"/>
          </w:tcPr>
          <w:p w14:paraId="5D88A8F4">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4.57</w:t>
            </w:r>
          </w:p>
        </w:tc>
      </w:tr>
      <w:tr w14:paraId="3057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2BF77699">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10交通运输用地</w:t>
            </w:r>
          </w:p>
        </w:tc>
        <w:tc>
          <w:tcPr>
            <w:tcW w:w="1482" w:type="pct"/>
            <w:noWrap w:val="0"/>
            <w:vAlign w:val="center"/>
          </w:tcPr>
          <w:p w14:paraId="32F722BD">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1006农村道路</w:t>
            </w:r>
          </w:p>
        </w:tc>
        <w:tc>
          <w:tcPr>
            <w:tcW w:w="1527" w:type="pct"/>
            <w:noWrap w:val="0"/>
            <w:vAlign w:val="center"/>
          </w:tcPr>
          <w:p w14:paraId="1908015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24265.82</w:t>
            </w:r>
          </w:p>
        </w:tc>
        <w:tc>
          <w:tcPr>
            <w:tcW w:w="1047" w:type="pct"/>
            <w:noWrap w:val="0"/>
            <w:vAlign w:val="center"/>
          </w:tcPr>
          <w:p w14:paraId="31D72C7A">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0.95</w:t>
            </w:r>
          </w:p>
        </w:tc>
      </w:tr>
      <w:tr w14:paraId="2E62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00BBBFB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lang w:val="en-US" w:eastAsia="zh-CN"/>
              </w:rPr>
              <w:t>11水域及水利设施用地</w:t>
            </w:r>
          </w:p>
        </w:tc>
        <w:tc>
          <w:tcPr>
            <w:tcW w:w="1482" w:type="pct"/>
            <w:noWrap w:val="0"/>
            <w:vAlign w:val="center"/>
          </w:tcPr>
          <w:p w14:paraId="08FA4233">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1107沟渠</w:t>
            </w:r>
          </w:p>
        </w:tc>
        <w:tc>
          <w:tcPr>
            <w:tcW w:w="1527" w:type="pct"/>
            <w:noWrap w:val="0"/>
            <w:vAlign w:val="center"/>
          </w:tcPr>
          <w:p w14:paraId="4365F60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51334.53</w:t>
            </w:r>
          </w:p>
        </w:tc>
        <w:tc>
          <w:tcPr>
            <w:tcW w:w="1047" w:type="pct"/>
            <w:noWrap w:val="0"/>
            <w:vAlign w:val="center"/>
          </w:tcPr>
          <w:p w14:paraId="4FB65FF0">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2.01</w:t>
            </w:r>
          </w:p>
        </w:tc>
      </w:tr>
      <w:tr w14:paraId="5207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noWrap w:val="0"/>
            <w:vAlign w:val="center"/>
          </w:tcPr>
          <w:p w14:paraId="39098685">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12其他</w:t>
            </w:r>
            <w:r>
              <w:rPr>
                <w:rFonts w:hint="default" w:ascii="Times New Roman" w:hAnsi="Times New Roman" w:eastAsia="宋体" w:cs="Times New Roman"/>
                <w:b w:val="0"/>
                <w:bCs w:val="0"/>
                <w:color w:val="auto"/>
                <w:sz w:val="21"/>
                <w:szCs w:val="21"/>
                <w:highlight w:val="none"/>
              </w:rPr>
              <w:t>用地</w:t>
            </w:r>
          </w:p>
        </w:tc>
        <w:tc>
          <w:tcPr>
            <w:tcW w:w="1482" w:type="pct"/>
            <w:noWrap w:val="0"/>
            <w:vAlign w:val="center"/>
          </w:tcPr>
          <w:p w14:paraId="358E8DB5">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1202设施农用地</w:t>
            </w:r>
          </w:p>
        </w:tc>
        <w:tc>
          <w:tcPr>
            <w:tcW w:w="1527" w:type="pct"/>
            <w:noWrap w:val="0"/>
            <w:vAlign w:val="center"/>
          </w:tcPr>
          <w:p w14:paraId="0266D410">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51565.18</w:t>
            </w:r>
          </w:p>
        </w:tc>
        <w:tc>
          <w:tcPr>
            <w:tcW w:w="1047" w:type="pct"/>
            <w:noWrap w:val="0"/>
            <w:vAlign w:val="center"/>
          </w:tcPr>
          <w:p w14:paraId="6AD3AE9D">
            <w:pPr>
              <w:keepNext w:val="0"/>
              <w:keepLines w:val="0"/>
              <w:pageBreakBefore w:val="0"/>
              <w:widowControl/>
              <w:suppressLineNumbers w:val="0"/>
              <w:shd w:val="clear"/>
              <w:kinsoku/>
              <w:wordWrap/>
              <w:overflowPunct/>
              <w:autoSpaceDN/>
              <w:bidi w:val="0"/>
              <w:adjustRightInd/>
              <w:snapToGrid/>
              <w:spacing w:line="240" w:lineRule="auto"/>
              <w:ind w:left="0" w:leftChars="0" w:firstLine="0" w:firstLineChars="0"/>
              <w:jc w:val="center"/>
              <w:textAlignment w:val="bottom"/>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2.02</w:t>
            </w:r>
          </w:p>
        </w:tc>
      </w:tr>
      <w:tr w14:paraId="07BC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5" w:type="pct"/>
            <w:gridSpan w:val="2"/>
            <w:noWrap w:val="0"/>
            <w:vAlign w:val="center"/>
          </w:tcPr>
          <w:p w14:paraId="2365B6EB">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1527" w:type="pct"/>
            <w:noWrap w:val="0"/>
            <w:vAlign w:val="center"/>
          </w:tcPr>
          <w:p w14:paraId="14EFAE72">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2551314.03</w:t>
            </w:r>
          </w:p>
        </w:tc>
        <w:tc>
          <w:tcPr>
            <w:tcW w:w="1047" w:type="pct"/>
            <w:noWrap w:val="0"/>
            <w:vAlign w:val="center"/>
          </w:tcPr>
          <w:p w14:paraId="7932C903">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100.00</w:t>
            </w:r>
          </w:p>
        </w:tc>
      </w:tr>
    </w:tbl>
    <w:p w14:paraId="1A208B5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区</w:t>
      </w:r>
      <w:r>
        <w:rPr>
          <w:rFonts w:hint="default" w:ascii="Times New Roman" w:hAnsi="Times New Roman" w:eastAsia="宋体" w:cs="Times New Roman"/>
          <w:color w:val="auto"/>
          <w:sz w:val="24"/>
          <w:szCs w:val="24"/>
          <w:highlight w:val="none"/>
        </w:rPr>
        <w:t>土地利用类型统计表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68"/>
        <w:gridCol w:w="2069"/>
        <w:gridCol w:w="2070"/>
        <w:gridCol w:w="2070"/>
      </w:tblGrid>
      <w:tr w14:paraId="497F50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E193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一级类型</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4685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二级类型</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A64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面积（m</w:t>
            </w:r>
            <w:r>
              <w:rPr>
                <w:rFonts w:hint="default" w:ascii="Times New Roman" w:hAnsi="Times New Roman" w:eastAsia="宋体" w:cs="Times New Roman"/>
                <w:color w:val="auto"/>
                <w:sz w:val="21"/>
                <w:szCs w:val="21"/>
                <w:highlight w:val="none"/>
                <w:vertAlign w:val="superscript"/>
                <w:lang w:eastAsia="zh-CN"/>
              </w:rPr>
              <w:t>2</w:t>
            </w:r>
            <w:r>
              <w:rPr>
                <w:rFonts w:hint="default" w:ascii="Times New Roman" w:hAnsi="Times New Roman" w:eastAsia="宋体" w:cs="Times New Roman"/>
                <w:color w:val="auto"/>
                <w:sz w:val="21"/>
                <w:szCs w:val="21"/>
                <w:highlight w:val="none"/>
                <w:lang w:eastAsia="zh-CN"/>
              </w:rPr>
              <w:t>）</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9C7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占总面积比例（%）</w:t>
            </w:r>
          </w:p>
        </w:tc>
      </w:tr>
      <w:tr w14:paraId="6CB557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38D06">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12其他用地</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A164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1202设施农用地</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09DC0">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51565.18</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E6299">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100.00</w:t>
            </w:r>
          </w:p>
        </w:tc>
      </w:tr>
      <w:tr w14:paraId="70AF3E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E57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总计</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A97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9FDE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51565.18</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2A4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100.00</w:t>
            </w:r>
          </w:p>
        </w:tc>
      </w:tr>
    </w:tbl>
    <w:p w14:paraId="583B7D6F">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89" w:name="_Toc1553"/>
      <w:bookmarkStart w:id="390" w:name="_Toc14934"/>
      <w:bookmarkStart w:id="391" w:name="_Toc26219"/>
      <w:r>
        <w:rPr>
          <w:rFonts w:hint="default" w:ascii="Times New Roman" w:hAnsi="Times New Roman" w:eastAsia="宋体" w:cs="Times New Roman"/>
          <w:color w:val="auto"/>
          <w:highlight w:val="none"/>
        </w:rPr>
        <w:t>4.2.</w:t>
      </w:r>
      <w:r>
        <w:rPr>
          <w:rStyle w:val="56"/>
          <w:rFonts w:hint="default" w:ascii="Times New Roman" w:hAnsi="Times New Roman" w:eastAsia="宋体" w:cs="Times New Roman"/>
          <w:b/>
          <w:bCs/>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2植被类型</w:t>
      </w:r>
      <w:r>
        <w:rPr>
          <w:rFonts w:hint="default" w:ascii="Times New Roman" w:hAnsi="Times New Roman" w:eastAsia="宋体" w:cs="Times New Roman"/>
          <w:color w:val="auto"/>
          <w:highlight w:val="none"/>
        </w:rPr>
        <w:t>现状</w:t>
      </w:r>
      <w:bookmarkEnd w:id="389"/>
    </w:p>
    <w:p w14:paraId="0A56131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项目植被类型现状图如图4.2-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所示。</w:t>
      </w:r>
    </w:p>
    <w:p w14:paraId="261E53A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评价区植被类型</w:t>
      </w:r>
      <w:r>
        <w:rPr>
          <w:rFonts w:hint="default" w:ascii="Times New Roman" w:hAnsi="Times New Roman" w:eastAsia="宋体" w:cs="Times New Roman"/>
          <w:color w:val="auto"/>
          <w:sz w:val="24"/>
          <w:szCs w:val="24"/>
          <w:highlight w:val="none"/>
        </w:rPr>
        <w:t>统计表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3207"/>
        <w:gridCol w:w="2201"/>
      </w:tblGrid>
      <w:tr w14:paraId="3409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restart"/>
            <w:noWrap w:val="0"/>
            <w:vAlign w:val="center"/>
          </w:tcPr>
          <w:p w14:paraId="45D1A69C">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植被</w:t>
            </w:r>
            <w:r>
              <w:rPr>
                <w:rFonts w:hint="default" w:ascii="Times New Roman" w:hAnsi="Times New Roman" w:eastAsia="宋体" w:cs="Times New Roman"/>
                <w:b/>
                <w:bCs/>
                <w:color w:val="auto"/>
                <w:sz w:val="21"/>
                <w:szCs w:val="21"/>
                <w:highlight w:val="none"/>
              </w:rPr>
              <w:t>类型</w:t>
            </w:r>
          </w:p>
        </w:tc>
        <w:tc>
          <w:tcPr>
            <w:tcW w:w="3266" w:type="pct"/>
            <w:gridSpan w:val="2"/>
            <w:noWrap w:val="0"/>
            <w:vAlign w:val="center"/>
          </w:tcPr>
          <w:p w14:paraId="30A3F5A4">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评价范围</w:t>
            </w:r>
          </w:p>
        </w:tc>
      </w:tr>
      <w:tr w14:paraId="02B0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continue"/>
            <w:noWrap w:val="0"/>
            <w:vAlign w:val="center"/>
          </w:tcPr>
          <w:p w14:paraId="08D2D5F9">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937" w:type="pct"/>
            <w:noWrap w:val="0"/>
            <w:vAlign w:val="center"/>
          </w:tcPr>
          <w:p w14:paraId="610C1B62">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1328" w:type="pct"/>
            <w:noWrap w:val="0"/>
            <w:vAlign w:val="center"/>
          </w:tcPr>
          <w:p w14:paraId="5145E28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比例（%）</w:t>
            </w:r>
          </w:p>
        </w:tc>
      </w:tr>
      <w:tr w14:paraId="5BA3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13C85166">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杨树、柳树等</w:t>
            </w:r>
          </w:p>
        </w:tc>
        <w:tc>
          <w:tcPr>
            <w:tcW w:w="1937" w:type="pct"/>
            <w:noWrap w:val="0"/>
            <w:vAlign w:val="center"/>
          </w:tcPr>
          <w:p w14:paraId="22F4AFF2">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74818.10</w:t>
            </w:r>
          </w:p>
        </w:tc>
        <w:tc>
          <w:tcPr>
            <w:tcW w:w="1328" w:type="pct"/>
            <w:noWrap w:val="0"/>
            <w:vAlign w:val="center"/>
          </w:tcPr>
          <w:p w14:paraId="7EB5886D">
            <w:pPr>
              <w:keepNext w:val="0"/>
              <w:keepLines w:val="0"/>
              <w:pageBreakBefore w:val="0"/>
              <w:widowControl/>
              <w:suppressLineNumbers w:val="0"/>
              <w:shd w:val="clear"/>
              <w:kinsoku/>
              <w:wordWrap/>
              <w:overflowPunct/>
              <w:topLinePunct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2.93</w:t>
            </w:r>
          </w:p>
        </w:tc>
      </w:tr>
      <w:tr w14:paraId="43AB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36949A8D">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玉米、向日葵等</w:t>
            </w:r>
          </w:p>
        </w:tc>
        <w:tc>
          <w:tcPr>
            <w:tcW w:w="1937" w:type="pct"/>
            <w:noWrap w:val="0"/>
            <w:vAlign w:val="center"/>
          </w:tcPr>
          <w:p w14:paraId="0FADFA53">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2232794.50</w:t>
            </w:r>
          </w:p>
        </w:tc>
        <w:tc>
          <w:tcPr>
            <w:tcW w:w="1328" w:type="pct"/>
            <w:noWrap w:val="0"/>
            <w:vAlign w:val="center"/>
          </w:tcPr>
          <w:p w14:paraId="50621475">
            <w:pPr>
              <w:keepNext w:val="0"/>
              <w:keepLines w:val="0"/>
              <w:pageBreakBefore w:val="0"/>
              <w:widowControl/>
              <w:suppressLineNumbers w:val="0"/>
              <w:shd w:val="clear"/>
              <w:kinsoku/>
              <w:wordWrap/>
              <w:overflowPunct/>
              <w:topLinePunct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87.52</w:t>
            </w:r>
          </w:p>
        </w:tc>
      </w:tr>
      <w:tr w14:paraId="3B23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0C86152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其他</w:t>
            </w:r>
          </w:p>
        </w:tc>
        <w:tc>
          <w:tcPr>
            <w:tcW w:w="1937" w:type="pct"/>
            <w:noWrap w:val="0"/>
            <w:vAlign w:val="center"/>
          </w:tcPr>
          <w:p w14:paraId="6A822C9B">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243701.43</w:t>
            </w:r>
          </w:p>
        </w:tc>
        <w:tc>
          <w:tcPr>
            <w:tcW w:w="1328" w:type="pct"/>
            <w:noWrap w:val="0"/>
            <w:vAlign w:val="center"/>
          </w:tcPr>
          <w:p w14:paraId="7E2AC98C">
            <w:pPr>
              <w:keepNext w:val="0"/>
              <w:keepLines w:val="0"/>
              <w:pageBreakBefore w:val="0"/>
              <w:widowControl/>
              <w:suppressLineNumbers w:val="0"/>
              <w:shd w:val="clear"/>
              <w:kinsoku/>
              <w:wordWrap/>
              <w:overflowPunct/>
              <w:topLinePunct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9.55</w:t>
            </w:r>
          </w:p>
        </w:tc>
      </w:tr>
      <w:tr w14:paraId="3D87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7C4E2FA7">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1937" w:type="pct"/>
            <w:noWrap w:val="0"/>
            <w:vAlign w:val="center"/>
          </w:tcPr>
          <w:p w14:paraId="431720FE">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2551314.03</w:t>
            </w:r>
          </w:p>
        </w:tc>
        <w:tc>
          <w:tcPr>
            <w:tcW w:w="1328" w:type="pct"/>
            <w:noWrap w:val="0"/>
            <w:vAlign w:val="center"/>
          </w:tcPr>
          <w:p w14:paraId="523CDB2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100.00</w:t>
            </w:r>
          </w:p>
        </w:tc>
      </w:tr>
    </w:tbl>
    <w:p w14:paraId="0677E5E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区植被类型</w:t>
      </w:r>
      <w:r>
        <w:rPr>
          <w:rFonts w:hint="default" w:ascii="Times New Roman" w:hAnsi="Times New Roman" w:eastAsia="宋体" w:cs="Times New Roman"/>
          <w:color w:val="auto"/>
          <w:sz w:val="24"/>
          <w:szCs w:val="24"/>
          <w:highlight w:val="none"/>
        </w:rPr>
        <w:t>统计表</w:t>
      </w:r>
    </w:p>
    <w:tbl>
      <w:tblPr>
        <w:tblStyle w:val="42"/>
        <w:tblW w:w="48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3207"/>
        <w:gridCol w:w="2201"/>
      </w:tblGrid>
      <w:tr w14:paraId="7843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restart"/>
            <w:noWrap w:val="0"/>
            <w:vAlign w:val="center"/>
          </w:tcPr>
          <w:p w14:paraId="7B9E2B8E">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植被</w:t>
            </w:r>
            <w:r>
              <w:rPr>
                <w:rFonts w:hint="default" w:ascii="Times New Roman" w:hAnsi="Times New Roman" w:eastAsia="宋体" w:cs="Times New Roman"/>
                <w:b/>
                <w:bCs/>
                <w:color w:val="auto"/>
                <w:sz w:val="21"/>
                <w:szCs w:val="21"/>
                <w:highlight w:val="none"/>
              </w:rPr>
              <w:t>类型</w:t>
            </w:r>
          </w:p>
        </w:tc>
        <w:tc>
          <w:tcPr>
            <w:tcW w:w="3266" w:type="pct"/>
            <w:gridSpan w:val="2"/>
            <w:noWrap w:val="0"/>
            <w:vAlign w:val="center"/>
          </w:tcPr>
          <w:p w14:paraId="6448CCC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评价范围</w:t>
            </w:r>
          </w:p>
        </w:tc>
      </w:tr>
      <w:tr w14:paraId="6C5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continue"/>
            <w:noWrap w:val="0"/>
            <w:vAlign w:val="center"/>
          </w:tcPr>
          <w:p w14:paraId="5CD4CE6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937" w:type="pct"/>
            <w:noWrap w:val="0"/>
            <w:vAlign w:val="center"/>
          </w:tcPr>
          <w:p w14:paraId="72DEE199">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1329" w:type="pct"/>
            <w:noWrap w:val="0"/>
            <w:vAlign w:val="center"/>
          </w:tcPr>
          <w:p w14:paraId="06F1BB4C">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比例（%）</w:t>
            </w:r>
          </w:p>
        </w:tc>
      </w:tr>
      <w:tr w14:paraId="2297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336B9794">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其他</w:t>
            </w:r>
          </w:p>
        </w:tc>
        <w:tc>
          <w:tcPr>
            <w:tcW w:w="3207" w:type="dxa"/>
            <w:noWrap w:val="0"/>
            <w:vAlign w:val="center"/>
          </w:tcPr>
          <w:p w14:paraId="2ED7A5E6">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51565.18</w:t>
            </w:r>
          </w:p>
        </w:tc>
        <w:tc>
          <w:tcPr>
            <w:tcW w:w="2201" w:type="dxa"/>
            <w:noWrap w:val="0"/>
            <w:vAlign w:val="center"/>
          </w:tcPr>
          <w:p w14:paraId="17CF5FD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100.00</w:t>
            </w:r>
          </w:p>
        </w:tc>
      </w:tr>
      <w:tr w14:paraId="66A4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2FCC809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3207" w:type="dxa"/>
            <w:noWrap w:val="0"/>
            <w:vAlign w:val="center"/>
          </w:tcPr>
          <w:p w14:paraId="0F696554">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51565.18</w:t>
            </w:r>
          </w:p>
        </w:tc>
        <w:tc>
          <w:tcPr>
            <w:tcW w:w="2201" w:type="dxa"/>
            <w:noWrap w:val="0"/>
            <w:vAlign w:val="center"/>
          </w:tcPr>
          <w:p w14:paraId="4DA37EEE">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100.00</w:t>
            </w:r>
          </w:p>
        </w:tc>
      </w:tr>
    </w:tbl>
    <w:p w14:paraId="193EFC4B">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392" w:name="_Toc8088"/>
      <w:r>
        <w:rPr>
          <w:rFonts w:hint="default" w:ascii="Times New Roman" w:hAnsi="Times New Roman" w:eastAsia="宋体" w:cs="Times New Roman"/>
          <w:color w:val="auto"/>
          <w:highlight w:val="none"/>
        </w:rPr>
        <w:t>4.2.</w:t>
      </w:r>
      <w:r>
        <w:rPr>
          <w:rStyle w:val="56"/>
          <w:rFonts w:hint="default" w:ascii="Times New Roman" w:hAnsi="Times New Roman" w:eastAsia="宋体" w:cs="Times New Roman"/>
          <w:b/>
          <w:bCs/>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3土壤类型</w:t>
      </w:r>
      <w:r>
        <w:rPr>
          <w:rFonts w:hint="default" w:ascii="Times New Roman" w:hAnsi="Times New Roman" w:eastAsia="宋体" w:cs="Times New Roman"/>
          <w:color w:val="auto"/>
          <w:highlight w:val="none"/>
        </w:rPr>
        <w:t>现状</w:t>
      </w:r>
      <w:bookmarkEnd w:id="390"/>
      <w:bookmarkEnd w:id="391"/>
      <w:bookmarkEnd w:id="392"/>
    </w:p>
    <w:p w14:paraId="360C7CD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土壤</w:t>
      </w:r>
      <w:r>
        <w:rPr>
          <w:rFonts w:hint="default" w:ascii="Times New Roman" w:hAnsi="Times New Roman" w:eastAsia="宋体" w:cs="Times New Roman"/>
          <w:color w:val="auto"/>
          <w:highlight w:val="none"/>
        </w:rPr>
        <w:t>类型现状图如图4.2-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所示。</w:t>
      </w:r>
    </w:p>
    <w:p w14:paraId="33671FD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评价区植被类型</w:t>
      </w:r>
      <w:r>
        <w:rPr>
          <w:rFonts w:hint="default" w:ascii="Times New Roman" w:hAnsi="Times New Roman" w:eastAsia="宋体" w:cs="Times New Roman"/>
          <w:color w:val="auto"/>
          <w:sz w:val="24"/>
          <w:szCs w:val="24"/>
          <w:highlight w:val="none"/>
        </w:rPr>
        <w:t>统计表</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3207"/>
        <w:gridCol w:w="2201"/>
      </w:tblGrid>
      <w:tr w14:paraId="0D9F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restart"/>
            <w:noWrap w:val="0"/>
            <w:vAlign w:val="center"/>
          </w:tcPr>
          <w:p w14:paraId="6ED0CAC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土壤类型</w:t>
            </w:r>
          </w:p>
        </w:tc>
        <w:tc>
          <w:tcPr>
            <w:tcW w:w="3266" w:type="pct"/>
            <w:gridSpan w:val="2"/>
            <w:noWrap w:val="0"/>
            <w:vAlign w:val="center"/>
          </w:tcPr>
          <w:p w14:paraId="2597506E">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评价范围</w:t>
            </w:r>
          </w:p>
        </w:tc>
      </w:tr>
      <w:tr w14:paraId="7595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continue"/>
            <w:noWrap w:val="0"/>
            <w:vAlign w:val="center"/>
          </w:tcPr>
          <w:p w14:paraId="267E272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937" w:type="pct"/>
            <w:noWrap w:val="0"/>
            <w:vAlign w:val="center"/>
          </w:tcPr>
          <w:p w14:paraId="7BA2CB2A">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1328" w:type="pct"/>
            <w:noWrap w:val="0"/>
            <w:vAlign w:val="center"/>
          </w:tcPr>
          <w:p w14:paraId="2C088CF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比例（%）</w:t>
            </w:r>
          </w:p>
        </w:tc>
      </w:tr>
      <w:tr w14:paraId="1AEA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1E75F39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盐化灌淤土</w:t>
            </w:r>
          </w:p>
        </w:tc>
        <w:tc>
          <w:tcPr>
            <w:tcW w:w="1937" w:type="pct"/>
            <w:noWrap w:val="0"/>
            <w:vAlign w:val="center"/>
          </w:tcPr>
          <w:p w14:paraId="3997D647">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2071530.01</w:t>
            </w:r>
          </w:p>
        </w:tc>
        <w:tc>
          <w:tcPr>
            <w:tcW w:w="1328" w:type="pct"/>
            <w:noWrap w:val="0"/>
            <w:vAlign w:val="center"/>
          </w:tcPr>
          <w:p w14:paraId="74191777">
            <w:pPr>
              <w:keepNext w:val="0"/>
              <w:keepLines w:val="0"/>
              <w:pageBreakBefore w:val="0"/>
              <w:widowControl/>
              <w:suppressLineNumbers w:val="0"/>
              <w:shd w:val="clear"/>
              <w:kinsoku/>
              <w:wordWrap/>
              <w:overflowPunct/>
              <w:topLinePunct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81.19</w:t>
            </w:r>
          </w:p>
        </w:tc>
      </w:tr>
      <w:tr w14:paraId="1743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7D6AC2D4">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草甸盐土</w:t>
            </w:r>
          </w:p>
        </w:tc>
        <w:tc>
          <w:tcPr>
            <w:tcW w:w="1937" w:type="pct"/>
            <w:noWrap w:val="0"/>
            <w:vAlign w:val="center"/>
          </w:tcPr>
          <w:p w14:paraId="3EA52844">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479784.02</w:t>
            </w:r>
          </w:p>
        </w:tc>
        <w:tc>
          <w:tcPr>
            <w:tcW w:w="1328" w:type="pct"/>
            <w:noWrap w:val="0"/>
            <w:vAlign w:val="center"/>
          </w:tcPr>
          <w:p w14:paraId="03EDE515">
            <w:pPr>
              <w:keepNext w:val="0"/>
              <w:keepLines w:val="0"/>
              <w:pageBreakBefore w:val="0"/>
              <w:widowControl/>
              <w:suppressLineNumbers w:val="0"/>
              <w:shd w:val="clear"/>
              <w:kinsoku/>
              <w:wordWrap/>
              <w:overflowPunct/>
              <w:topLinePunct w:val="0"/>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18.81</w:t>
            </w:r>
          </w:p>
        </w:tc>
      </w:tr>
      <w:tr w14:paraId="37CE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6DA62438">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1937" w:type="pct"/>
            <w:noWrap w:val="0"/>
            <w:vAlign w:val="center"/>
          </w:tcPr>
          <w:p w14:paraId="3B9A4625">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2551314.03</w:t>
            </w:r>
          </w:p>
        </w:tc>
        <w:tc>
          <w:tcPr>
            <w:tcW w:w="1328" w:type="pct"/>
            <w:noWrap w:val="0"/>
            <w:vAlign w:val="center"/>
          </w:tcPr>
          <w:p w14:paraId="46BE74BA">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100.00</w:t>
            </w:r>
          </w:p>
        </w:tc>
      </w:tr>
    </w:tbl>
    <w:p w14:paraId="3B14B6E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表4.2-1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区植被类型</w:t>
      </w:r>
      <w:r>
        <w:rPr>
          <w:rFonts w:hint="default" w:ascii="Times New Roman" w:hAnsi="Times New Roman" w:eastAsia="宋体" w:cs="Times New Roman"/>
          <w:color w:val="auto"/>
          <w:sz w:val="24"/>
          <w:szCs w:val="24"/>
          <w:highlight w:val="none"/>
        </w:rPr>
        <w:t>统计表</w:t>
      </w:r>
    </w:p>
    <w:tbl>
      <w:tblPr>
        <w:tblStyle w:val="42"/>
        <w:tblW w:w="48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3207"/>
        <w:gridCol w:w="2201"/>
      </w:tblGrid>
      <w:tr w14:paraId="3425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restart"/>
            <w:noWrap w:val="0"/>
            <w:vAlign w:val="center"/>
          </w:tcPr>
          <w:p w14:paraId="75F60B6E">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植被</w:t>
            </w:r>
            <w:r>
              <w:rPr>
                <w:rFonts w:hint="default" w:ascii="Times New Roman" w:hAnsi="Times New Roman" w:eastAsia="宋体" w:cs="Times New Roman"/>
                <w:b/>
                <w:bCs/>
                <w:color w:val="auto"/>
                <w:sz w:val="21"/>
                <w:szCs w:val="21"/>
                <w:highlight w:val="none"/>
              </w:rPr>
              <w:t>类型</w:t>
            </w:r>
          </w:p>
        </w:tc>
        <w:tc>
          <w:tcPr>
            <w:tcW w:w="3266" w:type="pct"/>
            <w:gridSpan w:val="2"/>
            <w:noWrap w:val="0"/>
            <w:vAlign w:val="center"/>
          </w:tcPr>
          <w:p w14:paraId="020E81E7">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评价范围</w:t>
            </w:r>
          </w:p>
        </w:tc>
      </w:tr>
      <w:tr w14:paraId="06B2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vMerge w:val="continue"/>
            <w:noWrap w:val="0"/>
            <w:vAlign w:val="center"/>
          </w:tcPr>
          <w:p w14:paraId="6CC457BA">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p>
        </w:tc>
        <w:tc>
          <w:tcPr>
            <w:tcW w:w="1937" w:type="pct"/>
            <w:noWrap w:val="0"/>
            <w:vAlign w:val="center"/>
          </w:tcPr>
          <w:p w14:paraId="1382E2D1">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1329" w:type="pct"/>
            <w:noWrap w:val="0"/>
            <w:vAlign w:val="center"/>
          </w:tcPr>
          <w:p w14:paraId="10E3D9E0">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比例（%）</w:t>
            </w:r>
          </w:p>
        </w:tc>
      </w:tr>
      <w:tr w14:paraId="1A11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5269E756">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其他</w:t>
            </w:r>
          </w:p>
        </w:tc>
        <w:tc>
          <w:tcPr>
            <w:tcW w:w="3207" w:type="dxa"/>
            <w:noWrap w:val="0"/>
            <w:vAlign w:val="center"/>
          </w:tcPr>
          <w:p w14:paraId="5CEC76FB">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51565.18</w:t>
            </w:r>
          </w:p>
        </w:tc>
        <w:tc>
          <w:tcPr>
            <w:tcW w:w="2201" w:type="dxa"/>
            <w:noWrap w:val="0"/>
            <w:vAlign w:val="center"/>
          </w:tcPr>
          <w:p w14:paraId="6ED94B4C">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100.00</w:t>
            </w:r>
          </w:p>
        </w:tc>
      </w:tr>
      <w:tr w14:paraId="6BE2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3" w:type="pct"/>
            <w:noWrap w:val="0"/>
            <w:vAlign w:val="center"/>
          </w:tcPr>
          <w:p w14:paraId="5A61EB94">
            <w:pPr>
              <w:pStyle w:val="37"/>
              <w:keepNext w:val="0"/>
              <w:keepLines w:val="0"/>
              <w:pageBreakBefore w:val="0"/>
              <w:widowControl/>
              <w:shd w:val="clear"/>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3207" w:type="dxa"/>
            <w:noWrap w:val="0"/>
            <w:vAlign w:val="center"/>
          </w:tcPr>
          <w:p w14:paraId="290AEF88">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51565.18</w:t>
            </w:r>
          </w:p>
        </w:tc>
        <w:tc>
          <w:tcPr>
            <w:tcW w:w="2201" w:type="dxa"/>
            <w:noWrap w:val="0"/>
            <w:vAlign w:val="center"/>
          </w:tcPr>
          <w:p w14:paraId="43D385A7">
            <w:pPr>
              <w:keepNext w:val="0"/>
              <w:keepLines w:val="0"/>
              <w:pageBreakBefore w:val="0"/>
              <w:widowControl/>
              <w:suppressLineNumbers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100.00</w:t>
            </w:r>
          </w:p>
        </w:tc>
      </w:tr>
    </w:tbl>
    <w:p w14:paraId="3287A2DE">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4.2.5</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生态系统功能区划</w:t>
      </w:r>
    </w:p>
    <w:p w14:paraId="2F7C645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经过现场踏勘，评价范围内无国家级和地方重点保护野生动植物集中分布区或栖息地、国家级和自治区级自然保护区、生态功能保护区</w:t>
      </w:r>
      <w:r>
        <w:rPr>
          <w:rFonts w:hint="default" w:ascii="Times New Roman" w:hAnsi="Times New Roman" w:eastAsia="宋体" w:cs="Times New Roman"/>
          <w:color w:val="auto"/>
          <w:highlight w:val="none"/>
          <w:lang w:eastAsia="zh-CN"/>
        </w:rPr>
        <w:t>以及其他</w:t>
      </w:r>
      <w:r>
        <w:rPr>
          <w:rFonts w:hint="default" w:ascii="Times New Roman" w:hAnsi="Times New Roman" w:eastAsia="宋体" w:cs="Times New Roman"/>
          <w:color w:val="auto"/>
          <w:highlight w:val="none"/>
        </w:rPr>
        <w:t>类型的保护区域。</w:t>
      </w:r>
    </w:p>
    <w:p w14:paraId="4BBB5D4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项目在巴彦淖尔市的生态功能区划位置如图4.2-</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所示。</w:t>
      </w:r>
    </w:p>
    <w:p w14:paraId="7B1FDAC6">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植被类型</w:t>
      </w:r>
    </w:p>
    <w:p w14:paraId="0B6FCBF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植被类型以沙生、旱生、盐生类灌木和小灌木为主。林地植被以松树为主。乔木物种单一，分布范围较为集中，多为落叶乔木种类，种类少。草本层种类少，受当地气候的影响，草本植物更趋旱生和中旱生。草种主要有蒿类、禾草杂类、隐子草等。</w:t>
      </w:r>
    </w:p>
    <w:p w14:paraId="0753405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6967645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6A9EE7E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sectPr>
          <w:pgSz w:w="11906" w:h="16838"/>
          <w:pgMar w:top="1440" w:right="1800" w:bottom="1440" w:left="1800" w:header="737" w:footer="1134" w:gutter="0"/>
          <w:pgBorders>
            <w:top w:val="none" w:sz="0" w:space="0"/>
            <w:left w:val="none" w:sz="0" w:space="0"/>
            <w:bottom w:val="none" w:sz="0" w:space="0"/>
            <w:right w:val="none" w:sz="0" w:space="0"/>
          </w:pgBorders>
          <w:pgNumType w:fmt="decimal"/>
          <w:cols w:space="425" w:num="1"/>
          <w:docGrid w:linePitch="326" w:charSpace="0"/>
        </w:sectPr>
      </w:pPr>
    </w:p>
    <w:p w14:paraId="08614877">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lang w:val="en-US" w:eastAsia="zh-CN"/>
        </w:rPr>
        <w:drawing>
          <wp:inline distT="0" distB="0" distL="114300" distR="114300">
            <wp:extent cx="7434580" cy="5255895"/>
            <wp:effectExtent l="0" t="0" r="13970" b="1905"/>
            <wp:docPr id="107" name="图片 107" descr="遥感影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遥感影像"/>
                    <pic:cNvPicPr>
                      <a:picLocks noChangeAspect="1"/>
                    </pic:cNvPicPr>
                  </pic:nvPicPr>
                  <pic:blipFill>
                    <a:blip r:embed="rId40"/>
                    <a:stretch>
                      <a:fillRect/>
                    </a:stretch>
                  </pic:blipFill>
                  <pic:spPr>
                    <a:xfrm>
                      <a:off x="0" y="0"/>
                      <a:ext cx="7434580" cy="5255895"/>
                    </a:xfrm>
                    <a:prstGeom prst="rect">
                      <a:avLst/>
                    </a:prstGeom>
                  </pic:spPr>
                </pic:pic>
              </a:graphicData>
            </a:graphic>
          </wp:inline>
        </w:drawing>
      </w:r>
    </w:p>
    <w:p w14:paraId="3F868F76">
      <w:pPr>
        <w:pageBreakBefore w:val="0"/>
        <w:numPr>
          <w:ilvl w:val="0"/>
          <w:numId w:val="0"/>
        </w:numPr>
        <w:shd w:val="clear"/>
        <w:tabs>
          <w:tab w:val="left" w:pos="0"/>
        </w:tabs>
        <w:kinsoku/>
        <w:wordWrap/>
        <w:bidi w:val="0"/>
        <w:snapToGrid w:val="0"/>
        <w:spacing w:line="360" w:lineRule="auto"/>
        <w:ind w:left="0" w:leftChars="0" w:right="0" w:right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图4.2-</w:t>
      </w: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项目土地利用现状图</w:t>
      </w:r>
    </w:p>
    <w:p w14:paraId="6A83B879">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sz w:val="24"/>
          <w:szCs w:val="24"/>
          <w:highlight w:val="none"/>
          <w:lang w:eastAsia="zh-CN"/>
        </w:rPr>
        <w:drawing>
          <wp:inline distT="0" distB="0" distL="114300" distR="114300">
            <wp:extent cx="7434580" cy="5255895"/>
            <wp:effectExtent l="0" t="0" r="13970" b="1905"/>
            <wp:docPr id="115" name="图片 115" descr="土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土地"/>
                    <pic:cNvPicPr>
                      <a:picLocks noChangeAspect="1"/>
                    </pic:cNvPicPr>
                  </pic:nvPicPr>
                  <pic:blipFill>
                    <a:blip r:embed="rId41"/>
                    <a:stretch>
                      <a:fillRect/>
                    </a:stretch>
                  </pic:blipFill>
                  <pic:spPr>
                    <a:xfrm>
                      <a:off x="0" y="0"/>
                      <a:ext cx="7434580" cy="5255895"/>
                    </a:xfrm>
                    <a:prstGeom prst="rect">
                      <a:avLst/>
                    </a:prstGeom>
                  </pic:spPr>
                </pic:pic>
              </a:graphicData>
            </a:graphic>
          </wp:inline>
        </w:drawing>
      </w:r>
    </w:p>
    <w:p w14:paraId="62B9BDE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rPr>
        <w:t>图4.2-</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项目土地利用现状图</w:t>
      </w:r>
    </w:p>
    <w:p w14:paraId="46B76860">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sz w:val="24"/>
          <w:szCs w:val="24"/>
          <w:highlight w:val="none"/>
          <w:lang w:eastAsia="zh-CN"/>
        </w:rPr>
        <w:drawing>
          <wp:inline distT="0" distB="0" distL="114300" distR="114300">
            <wp:extent cx="7434580" cy="5255895"/>
            <wp:effectExtent l="0" t="0" r="13970" b="1905"/>
            <wp:docPr id="117" name="图片 117" descr="植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植被"/>
                    <pic:cNvPicPr>
                      <a:picLocks noChangeAspect="1"/>
                    </pic:cNvPicPr>
                  </pic:nvPicPr>
                  <pic:blipFill>
                    <a:blip r:embed="rId42"/>
                    <a:stretch>
                      <a:fillRect/>
                    </a:stretch>
                  </pic:blipFill>
                  <pic:spPr>
                    <a:xfrm>
                      <a:off x="0" y="0"/>
                      <a:ext cx="7434580" cy="5255895"/>
                    </a:xfrm>
                    <a:prstGeom prst="rect">
                      <a:avLst/>
                    </a:prstGeom>
                  </pic:spPr>
                </pic:pic>
              </a:graphicData>
            </a:graphic>
          </wp:inline>
        </w:drawing>
      </w:r>
    </w:p>
    <w:p w14:paraId="553422A7">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图4.2-</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项目土地利用现状图</w:t>
      </w:r>
    </w:p>
    <w:p w14:paraId="442691DD">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sz w:val="24"/>
          <w:szCs w:val="24"/>
          <w:highlight w:val="none"/>
          <w:lang w:eastAsia="zh-CN"/>
        </w:rPr>
        <w:drawing>
          <wp:inline distT="0" distB="0" distL="114300" distR="114300">
            <wp:extent cx="7434580" cy="5255895"/>
            <wp:effectExtent l="0" t="0" r="13970" b="1905"/>
            <wp:docPr id="118" name="图片 118" descr="土壤类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土壤类型"/>
                    <pic:cNvPicPr>
                      <a:picLocks noChangeAspect="1"/>
                    </pic:cNvPicPr>
                  </pic:nvPicPr>
                  <pic:blipFill>
                    <a:blip r:embed="rId43"/>
                    <a:stretch>
                      <a:fillRect/>
                    </a:stretch>
                  </pic:blipFill>
                  <pic:spPr>
                    <a:xfrm>
                      <a:off x="0" y="0"/>
                      <a:ext cx="7434580" cy="5255895"/>
                    </a:xfrm>
                    <a:prstGeom prst="rect">
                      <a:avLst/>
                    </a:prstGeom>
                  </pic:spPr>
                </pic:pic>
              </a:graphicData>
            </a:graphic>
          </wp:inline>
        </w:drawing>
      </w:r>
    </w:p>
    <w:p w14:paraId="0F91EBDD">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sectPr>
          <w:pgSz w:w="16838" w:h="11906" w:orient="landscape"/>
          <w:pgMar w:top="1440" w:right="1800" w:bottom="1440" w:left="1800" w:header="737" w:footer="1134" w:gutter="0"/>
          <w:pgBorders>
            <w:top w:val="none" w:sz="0" w:space="0"/>
            <w:left w:val="none" w:sz="0" w:space="0"/>
            <w:bottom w:val="none" w:sz="0" w:space="0"/>
            <w:right w:val="none" w:sz="0" w:space="0"/>
          </w:pgBorders>
          <w:pgNumType w:fmt="decimal"/>
          <w:cols w:space="425" w:num="1"/>
          <w:docGrid w:linePitch="326" w:charSpace="0"/>
        </w:sectPr>
      </w:pPr>
      <w:r>
        <w:rPr>
          <w:rFonts w:hint="default" w:ascii="Times New Roman" w:hAnsi="Times New Roman" w:eastAsia="宋体" w:cs="Times New Roman"/>
          <w:b/>
          <w:bCs/>
          <w:color w:val="auto"/>
          <w:highlight w:val="none"/>
        </w:rPr>
        <w:t>图4.2-</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项目土地利用现状图</w:t>
      </w:r>
    </w:p>
    <w:p w14:paraId="752453B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sectPr>
          <w:pgSz w:w="16838" w:h="11906" w:orient="landscape"/>
          <w:pgMar w:top="1440" w:right="1800" w:bottom="1440" w:left="1800" w:header="737" w:footer="1134" w:gutter="0"/>
          <w:pgBorders>
            <w:top w:val="none" w:sz="0" w:space="0"/>
            <w:left w:val="none" w:sz="0" w:space="0"/>
            <w:bottom w:val="none" w:sz="0" w:space="0"/>
            <w:right w:val="none" w:sz="0" w:space="0"/>
          </w:pgBorders>
          <w:pgNumType w:fmt="decimal"/>
          <w:cols w:space="425" w:num="1"/>
          <w:docGrid w:linePitch="326" w:charSpace="0"/>
        </w:sectPr>
      </w:pPr>
      <w:r>
        <w:rPr>
          <w:rFonts w:hint="default" w:ascii="Times New Roman" w:hAnsi="Times New Roman" w:eastAsia="宋体" w:cs="Times New Roman"/>
          <w:color w:val="auto"/>
          <w:sz w:val="24"/>
          <w:szCs w:val="24"/>
          <w:highlight w:val="none"/>
        </w:rPr>
        <mc:AlternateContent>
          <mc:Choice Requires="wps">
            <w:drawing>
              <wp:anchor distT="0" distB="0" distL="114300" distR="114300" simplePos="0" relativeHeight="251662336" behindDoc="0" locked="0" layoutInCell="1" allowOverlap="1">
                <wp:simplePos x="0" y="0"/>
                <wp:positionH relativeFrom="column">
                  <wp:posOffset>4903470</wp:posOffset>
                </wp:positionH>
                <wp:positionV relativeFrom="paragraph">
                  <wp:posOffset>3576320</wp:posOffset>
                </wp:positionV>
                <wp:extent cx="1176020" cy="436880"/>
                <wp:effectExtent l="4445" t="1051560" r="248285" b="16510"/>
                <wp:wrapNone/>
                <wp:docPr id="62" name="自选图形 335"/>
                <wp:cNvGraphicFramePr/>
                <a:graphic xmlns:a="http://schemas.openxmlformats.org/drawingml/2006/main">
                  <a:graphicData uri="http://schemas.microsoft.com/office/word/2010/wordprocessingShape">
                    <wps:wsp>
                      <wps:cNvSpPr/>
                      <wps:spPr>
                        <a:xfrm>
                          <a:off x="0" y="0"/>
                          <a:ext cx="1176020" cy="436880"/>
                        </a:xfrm>
                        <a:prstGeom prst="wedgeRectCallout">
                          <a:avLst>
                            <a:gd name="adj1" fmla="val 68790"/>
                            <a:gd name="adj2" fmla="val -282994"/>
                          </a:avLst>
                        </a:prstGeom>
                        <a:solidFill>
                          <a:srgbClr val="FFFFFF"/>
                        </a:solidFill>
                        <a:ln w="9525" cap="flat" cmpd="sng">
                          <a:solidFill>
                            <a:srgbClr val="000000"/>
                          </a:solidFill>
                          <a:prstDash val="solid"/>
                          <a:miter/>
                          <a:headEnd type="none" w="med" len="med"/>
                          <a:tailEnd type="none" w="med" len="med"/>
                        </a:ln>
                      </wps:spPr>
                      <wps:txbx>
                        <w:txbxContent>
                          <w:p w14:paraId="3F9E4871">
                            <w:pPr>
                              <w:ind w:firstLine="0" w:firstLineChars="0"/>
                              <w:jc w:val="center"/>
                              <w:rPr>
                                <w:b/>
                                <w:bCs/>
                                <w:sz w:val="28"/>
                                <w:szCs w:val="24"/>
                              </w:rPr>
                            </w:pPr>
                            <w:r>
                              <w:rPr>
                                <w:rFonts w:hint="eastAsia"/>
                                <w:b/>
                                <w:bCs/>
                                <w:sz w:val="28"/>
                                <w:szCs w:val="24"/>
                              </w:rPr>
                              <w:t>项目所在地</w:t>
                            </w:r>
                          </w:p>
                        </w:txbxContent>
                      </wps:txbx>
                      <wps:bodyPr upright="1"/>
                    </wps:wsp>
                  </a:graphicData>
                </a:graphic>
              </wp:anchor>
            </w:drawing>
          </mc:Choice>
          <mc:Fallback>
            <w:pict>
              <v:shape id="自选图形 335" o:spid="_x0000_s1026" o:spt="61" type="#_x0000_t61" style="position:absolute;left:0pt;margin-left:386.1pt;margin-top:281.6pt;height:34.4pt;width:92.6pt;z-index:251662336;mso-width-relative:page;mso-height-relative:page;" fillcolor="#FFFFFF" filled="t" stroked="t" coordsize="21600,21600" o:gfxdata="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6mdsrNcAAAALAQAADwAAAAAAAAABACAAAAAiAAAA&#10;ZHJzL2Rvd25yZXYueG1sUEsBAhQAFAAAAAgAh07iQIZudbxBAgAAkQQAAA4AAAAAAAAAAQAgAAAA&#10;JgEAAGRycy9lMm9Eb2MueG1sUEsFBgAAAAAGAAYAWQEAANkFAAAAAA==&#10;" adj="25659,-50327">
                <v:fill on="t" focussize="0,0"/>
                <v:stroke color="#000000" joinstyle="miter"/>
                <v:imagedata o:title=""/>
                <o:lock v:ext="edit" aspectratio="f"/>
                <v:textbox>
                  <w:txbxContent>
                    <w:p w14:paraId="3F9E4871">
                      <w:pPr>
                        <w:ind w:firstLine="0" w:firstLineChars="0"/>
                        <w:jc w:val="center"/>
                        <w:rPr>
                          <w:b/>
                          <w:bCs/>
                          <w:sz w:val="28"/>
                          <w:szCs w:val="24"/>
                        </w:rPr>
                      </w:pPr>
                      <w:r>
                        <w:rPr>
                          <w:rFonts w:hint="eastAsia"/>
                          <w:b/>
                          <w:bCs/>
                          <w:sz w:val="28"/>
                          <w:szCs w:val="24"/>
                        </w:rPr>
                        <w:t>项目所在地</w:t>
                      </w:r>
                    </w:p>
                  </w:txbxContent>
                </v:textbox>
              </v:shape>
            </w:pict>
          </mc:Fallback>
        </mc:AlternateContent>
      </w:r>
      <w:r>
        <w:rPr>
          <w:rFonts w:hint="default" w:ascii="Times New Roman" w:hAnsi="Times New Roman" w:eastAsia="宋体" w:cs="Times New Roman"/>
          <w:color w:val="auto"/>
          <w:sz w:val="24"/>
          <w:szCs w:val="24"/>
          <w:highlight w:val="none"/>
        </w:rPr>
        <w:drawing>
          <wp:anchor distT="0" distB="0" distL="114300" distR="114300" simplePos="0" relativeHeight="251660288" behindDoc="0" locked="0" layoutInCell="1" allowOverlap="1">
            <wp:simplePos x="0" y="0"/>
            <wp:positionH relativeFrom="margin">
              <wp:posOffset>0</wp:posOffset>
            </wp:positionH>
            <wp:positionV relativeFrom="paragraph">
              <wp:posOffset>-635</wp:posOffset>
            </wp:positionV>
            <wp:extent cx="8279765" cy="4983480"/>
            <wp:effectExtent l="0" t="0" r="6985" b="762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8279765" cy="4983480"/>
                    </a:xfrm>
                    <a:prstGeom prst="rect">
                      <a:avLst/>
                    </a:prstGeom>
                    <a:noFill/>
                    <a:ln>
                      <a:noFill/>
                    </a:ln>
                  </pic:spPr>
                </pic:pic>
              </a:graphicData>
            </a:graphic>
          </wp:anchor>
        </w:drawing>
      </w:r>
      <w:r>
        <w:rPr>
          <w:rFonts w:hint="default" w:ascii="Times New Roman" w:hAnsi="Times New Roman" w:eastAsia="宋体" w:cs="Times New Roman"/>
          <w:color w:val="auto"/>
          <w:sz w:val="24"/>
          <w:szCs w:val="24"/>
          <w:highlight w:val="none"/>
        </w:rPr>
        <w:t>图4.2-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巴彦淖尔生态功能图</w:t>
      </w:r>
    </w:p>
    <w:p w14:paraId="2E551A17">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393" w:name="_Toc9787"/>
      <w:r>
        <w:rPr>
          <w:rFonts w:hint="default" w:ascii="Times New Roman" w:hAnsi="Times New Roman" w:eastAsia="宋体" w:cs="Times New Roman"/>
          <w:color w:val="auto"/>
          <w:highlight w:val="none"/>
        </w:rPr>
        <w:t>5环境影响预测与评价</w:t>
      </w:r>
      <w:bookmarkEnd w:id="393"/>
    </w:p>
    <w:p w14:paraId="76E92A1A">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394" w:name="_Toc5467"/>
      <w:r>
        <w:rPr>
          <w:rFonts w:hint="default" w:ascii="Times New Roman" w:hAnsi="Times New Roman" w:eastAsia="宋体" w:cs="Times New Roman"/>
          <w:color w:val="auto"/>
          <w:highlight w:val="none"/>
        </w:rPr>
        <w:t>5.1施工期环境影响分析</w:t>
      </w:r>
      <w:bookmarkEnd w:id="394"/>
    </w:p>
    <w:p w14:paraId="2E715D3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于建筑施工的每个施工阶段所进行的项目内容和采用的机械设备不同，对周围环境要素在不同程度上将产生一定影响。建筑施工对周围环境的影响主要表现在生态破坏、水土流失、扬尘、噪声、固体废物及废水等方面，其中以扬尘</w:t>
      </w:r>
      <w:r>
        <w:rPr>
          <w:rFonts w:hint="default" w:ascii="Times New Roman" w:hAnsi="Times New Roman" w:eastAsia="宋体" w:cs="Times New Roman"/>
          <w:color w:val="auto"/>
          <w:highlight w:val="none"/>
          <w:lang w:eastAsia="zh-CN"/>
        </w:rPr>
        <w:t>和生态破坏</w:t>
      </w:r>
      <w:r>
        <w:rPr>
          <w:rFonts w:hint="default" w:ascii="Times New Roman" w:hAnsi="Times New Roman" w:eastAsia="宋体" w:cs="Times New Roman"/>
          <w:color w:val="auto"/>
          <w:highlight w:val="none"/>
        </w:rPr>
        <w:t>对环境的影响较为显著。施工期的环境影响属短期的、可恢复和局部的。</w:t>
      </w:r>
    </w:p>
    <w:p w14:paraId="50DE764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本项目施工期共</w:t>
      </w:r>
      <w:r>
        <w:rPr>
          <w:rFonts w:hint="default" w:ascii="Times New Roman" w:hAnsi="Times New Roman" w:eastAsia="宋体" w:cs="Times New Roman"/>
          <w:color w:val="auto"/>
          <w:highlight w:val="none"/>
          <w:lang w:val="en-US" w:eastAsia="zh-CN"/>
        </w:rPr>
        <w:t>8个月，</w:t>
      </w:r>
      <w:r>
        <w:rPr>
          <w:rFonts w:hint="default" w:ascii="Times New Roman" w:hAnsi="Times New Roman" w:eastAsia="宋体" w:cs="Times New Roman"/>
          <w:color w:val="auto"/>
          <w:highlight w:val="none"/>
        </w:rPr>
        <w:t>施工期间应加强管理，严格执行国家的有关规定，减少对周围环境的影响。下面将结合本工程的特征和当地的环境状况，就项目施工过程中对环境的影响进行分析，并在此基础上提出减少影响的措施和建议。</w:t>
      </w:r>
    </w:p>
    <w:p w14:paraId="50F1A65E">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395" w:name="_Toc2255"/>
      <w:r>
        <w:rPr>
          <w:rFonts w:hint="default" w:ascii="Times New Roman" w:hAnsi="Times New Roman" w:eastAsia="宋体" w:cs="Times New Roman"/>
          <w:color w:val="auto"/>
          <w:highlight w:val="none"/>
        </w:rPr>
        <w:t>5.1.1大气环境影响分析</w:t>
      </w:r>
      <w:bookmarkEnd w:id="395"/>
    </w:p>
    <w:p w14:paraId="7AEC7222">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5.1.1.1施工扬尘的影响</w:t>
      </w:r>
    </w:p>
    <w:p w14:paraId="5AB2D8F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施工场区</w:t>
      </w:r>
      <w:r>
        <w:rPr>
          <w:rFonts w:hint="default" w:ascii="Times New Roman" w:hAnsi="Times New Roman" w:eastAsia="宋体" w:cs="Times New Roman"/>
          <w:color w:val="auto"/>
          <w:highlight w:val="none"/>
          <w:lang w:eastAsia="zh-CN"/>
        </w:rPr>
        <w:t>和管道铺设产生的</w:t>
      </w:r>
      <w:r>
        <w:rPr>
          <w:rFonts w:hint="default" w:ascii="Times New Roman" w:hAnsi="Times New Roman" w:eastAsia="宋体" w:cs="Times New Roman"/>
          <w:color w:val="auto"/>
          <w:highlight w:val="none"/>
        </w:rPr>
        <w:t>扬尘的主要来源是施工场地清理及平整、施工建筑材料（石灰、砂石料）</w:t>
      </w:r>
      <w:r>
        <w:rPr>
          <w:rFonts w:hint="default" w:ascii="Times New Roman" w:hAnsi="Times New Roman" w:eastAsia="宋体" w:cs="Times New Roman"/>
          <w:color w:val="auto"/>
          <w:highlight w:val="none"/>
          <w:lang w:eastAsia="zh-CN"/>
        </w:rPr>
        <w:t>和</w:t>
      </w:r>
      <w:r>
        <w:rPr>
          <w:rFonts w:hint="default" w:ascii="Times New Roman" w:hAnsi="Times New Roman" w:eastAsia="宋体" w:cs="Times New Roman"/>
          <w:color w:val="auto"/>
          <w:highlight w:val="none"/>
        </w:rPr>
        <w:t>开挖</w:t>
      </w:r>
      <w:r>
        <w:rPr>
          <w:rFonts w:hint="default" w:ascii="Times New Roman" w:hAnsi="Times New Roman" w:eastAsia="宋体" w:cs="Times New Roman"/>
          <w:color w:val="auto"/>
          <w:highlight w:val="none"/>
          <w:lang w:eastAsia="zh-CN"/>
        </w:rPr>
        <w:t>土方在</w:t>
      </w:r>
      <w:r>
        <w:rPr>
          <w:rFonts w:hint="default" w:ascii="Times New Roman" w:hAnsi="Times New Roman" w:eastAsia="宋体" w:cs="Times New Roman"/>
          <w:color w:val="auto"/>
          <w:highlight w:val="none"/>
        </w:rPr>
        <w:t>装卸</w:t>
      </w:r>
      <w:r>
        <w:rPr>
          <w:rFonts w:hint="default" w:ascii="Times New Roman" w:hAnsi="Times New Roman" w:eastAsia="宋体" w:cs="Times New Roman"/>
          <w:color w:val="auto"/>
          <w:highlight w:val="none"/>
          <w:lang w:eastAsia="zh-CN"/>
        </w:rPr>
        <w:t>、堆存</w:t>
      </w:r>
      <w:r>
        <w:rPr>
          <w:rFonts w:hint="default" w:ascii="Times New Roman" w:hAnsi="Times New Roman" w:eastAsia="宋体" w:cs="Times New Roman"/>
          <w:color w:val="auto"/>
          <w:highlight w:val="none"/>
        </w:rPr>
        <w:t>、运输过程中造成的扬尘，</w:t>
      </w:r>
      <w:r>
        <w:rPr>
          <w:rFonts w:hint="default" w:ascii="Times New Roman" w:hAnsi="Times New Roman" w:eastAsia="宋体" w:cs="Times New Roman"/>
          <w:color w:val="auto"/>
          <w:highlight w:val="none"/>
          <w:lang w:eastAsia="zh-CN"/>
        </w:rPr>
        <w:t>以及</w:t>
      </w:r>
      <w:r>
        <w:rPr>
          <w:rFonts w:hint="default" w:ascii="Times New Roman" w:hAnsi="Times New Roman" w:eastAsia="宋体" w:cs="Times New Roman"/>
          <w:color w:val="auto"/>
          <w:highlight w:val="none"/>
        </w:rPr>
        <w:t>道路扬尘</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另外运输汽车、施工机械等燃油会排放少量尾气，对空气环境也有一定的影响。</w:t>
      </w:r>
    </w:p>
    <w:p w14:paraId="0626E33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（1）施工场区扬尘</w:t>
      </w:r>
    </w:p>
    <w:p w14:paraId="3FC25FA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场区扬尘的主要来源是工程建设产生的扬尘，主要集中在土建施工阶段，土地平整、表土剥离、开挖、回填、建材运输、露天堆放、装卸和搅拌等过程。扬尘的排放与施工场地的面积和施工活动频率成比例，还与风速与粒径和含水率有关，因此</w:t>
      </w:r>
      <w:r>
        <w:rPr>
          <w:rFonts w:hint="default" w:ascii="Times New Roman" w:hAnsi="Times New Roman" w:eastAsia="宋体" w:cs="Times New Roman"/>
          <w:color w:val="auto"/>
          <w:highlight w:val="none"/>
          <w:lang w:eastAsia="zh-CN"/>
        </w:rPr>
        <w:t>减少</w:t>
      </w:r>
      <w:r>
        <w:rPr>
          <w:rFonts w:hint="default" w:ascii="Times New Roman" w:hAnsi="Times New Roman" w:eastAsia="宋体" w:cs="Times New Roman"/>
          <w:color w:val="auto"/>
          <w:highlight w:val="none"/>
        </w:rPr>
        <w:t>露天堆场和保证一定的含水率及减少裸露地面是减少风力起尘的有效手段。粉尘在空气中的扩散稀散与风速等气象条件有关，也与粉尘的沉降速度有关。不同粒径的沉降速度见下表。</w:t>
      </w:r>
    </w:p>
    <w:p w14:paraId="1826A83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表5.1-1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不同粒径尘粒的沉降速度一览表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609"/>
        <w:gridCol w:w="811"/>
        <w:gridCol w:w="811"/>
        <w:gridCol w:w="811"/>
        <w:gridCol w:w="811"/>
        <w:gridCol w:w="811"/>
        <w:gridCol w:w="811"/>
        <w:gridCol w:w="802"/>
      </w:tblGrid>
      <w:tr w14:paraId="7C7520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2BE02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粉尘粒径（μm）</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B0CAF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7A20D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29CB9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8ABAD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EF0BD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9C5B8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60</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62719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70</w:t>
            </w:r>
          </w:p>
        </w:tc>
      </w:tr>
      <w:tr w14:paraId="73667F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34D27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沉降速度（m/s）</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FCCDC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0.003</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BA3C9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0.012</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271AF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0.027</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F57C8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0.048</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694CF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0.075</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3CA3D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0108</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182F5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0.147</w:t>
            </w:r>
          </w:p>
        </w:tc>
      </w:tr>
      <w:tr w14:paraId="69966F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41E8E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粉尘粒径（μm）</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6142A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80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A0664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90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EFDF6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B1548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CC38F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200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83FEB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250</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4480B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350</w:t>
            </w:r>
          </w:p>
        </w:tc>
      </w:tr>
      <w:tr w14:paraId="263D42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CCB9B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沉降速度（m/s）</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A38AA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0.158</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0E59B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0.170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4F29A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0.182</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E9591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0.239</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B0AE4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0.804</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FB7BF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1.005</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9231F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1.829</w:t>
            </w:r>
          </w:p>
        </w:tc>
      </w:tr>
      <w:tr w14:paraId="3B4FDB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1E61B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粉尘粒径（μm）</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1C0F9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DDE6C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0FF57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650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B66AE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750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2C9E7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850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C305B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950</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C6367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1050</w:t>
            </w:r>
          </w:p>
        </w:tc>
      </w:tr>
      <w:tr w14:paraId="30ED29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EE8CA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沉降速度（m/s）</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92C4F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2.211</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5A192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2.614</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0CBBA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3.016</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5FAED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3.418</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AD08D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3.820</w:t>
            </w:r>
          </w:p>
        </w:tc>
        <w:tc>
          <w:tcPr>
            <w:tcW w:w="88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197E9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4.222</w:t>
            </w:r>
          </w:p>
        </w:tc>
        <w:tc>
          <w:tcPr>
            <w:tcW w:w="871"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B1DF9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4.624</w:t>
            </w:r>
          </w:p>
        </w:tc>
      </w:tr>
    </w:tbl>
    <w:p w14:paraId="3BF960C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从上表中可知，粉尘的沉降速度随着粒径的增大而迅速增大，当粒径大于250μm时，主要影响范围在扬尘产生点下风向近距离范围内，而对外环境影响较大的是一些粒径微小的粉尘。</w:t>
      </w:r>
    </w:p>
    <w:p w14:paraId="7B9EB15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根据有关资料，施工扬尘的影响范围一般在下风向50m范围内为重污染带、50m～100m为中污染带、100m～150m为轻污染带、150m以外基本不受影响。施工扬尘对周边人群聚集点的影响很小。</w:t>
      </w:r>
    </w:p>
    <w:p w14:paraId="73890E8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常施工扬尘中粒径大于10μm的颗粒物（降尘）会降落在植物叶片上，使植物叶片表面积尘成层而抑制植物的光合作用、呼吸作用和蒸腾作用，不利于植物的生长。根据类比，施工扬尘对周围植物的影响范围为扬尘点下风向100m范围内，但在施工场地采取勤洒水等防尘抑尘措施后，施工扬尘对周围植物的影响范围可以被控制在20～50m范围内，且施工对植物造成的这种影响是局部和暂时的，施工结束，这些影响也随即消失。</w:t>
      </w:r>
    </w:p>
    <w:p w14:paraId="1359208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如果施工阶段对汽车行驶路面勤洒水（4～5次/天），可以使空气中扬尘产生量减少70%左右，收到很好的降尘效果，施工扬尘造成的TSP污染距离可缩小到20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50m范围内。施工阶段洒水的试验资料见下表。</w:t>
      </w:r>
    </w:p>
    <w:p w14:paraId="274FEBA6">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表5.1-2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施工阶段使用洒水降尘试验结果一览表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165"/>
        <w:gridCol w:w="1602"/>
        <w:gridCol w:w="1078"/>
        <w:gridCol w:w="858"/>
        <w:gridCol w:w="858"/>
        <w:gridCol w:w="858"/>
        <w:gridCol w:w="858"/>
      </w:tblGrid>
      <w:tr w14:paraId="078F87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4099" w:type="dxa"/>
            <w:gridSpan w:val="2"/>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31463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距路边距离（m）</w:t>
            </w:r>
          </w:p>
        </w:tc>
        <w:tc>
          <w:tcPr>
            <w:tcW w:w="117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3FCEB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94925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85FC4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BBACB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CDCE7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200</w:t>
            </w:r>
          </w:p>
        </w:tc>
      </w:tr>
      <w:tr w14:paraId="008BB4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356" w:type="dxa"/>
            <w:vMerge w:val="restart"/>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A2E86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TSP浓度</w:t>
            </w:r>
          </w:p>
        </w:tc>
        <w:tc>
          <w:tcPr>
            <w:tcW w:w="174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1234E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不洒水</w:t>
            </w:r>
          </w:p>
        </w:tc>
        <w:tc>
          <w:tcPr>
            <w:tcW w:w="117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2D23A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11.03</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B534C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2.89</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9C6E3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1.15</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883C3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0.86</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0D92FA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0.56</w:t>
            </w:r>
          </w:p>
        </w:tc>
      </w:tr>
      <w:tr w14:paraId="2BB8A7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356" w:type="dxa"/>
            <w:vMerge w:val="continue"/>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D332C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p>
        </w:tc>
        <w:tc>
          <w:tcPr>
            <w:tcW w:w="174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20872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洒水</w:t>
            </w:r>
          </w:p>
        </w:tc>
        <w:tc>
          <w:tcPr>
            <w:tcW w:w="117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23FF3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2.11</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53041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3CC34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0.68</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FB99E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0.60</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FA354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0.29</w:t>
            </w:r>
          </w:p>
        </w:tc>
      </w:tr>
      <w:tr w14:paraId="78FCFF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4099" w:type="dxa"/>
            <w:gridSpan w:val="2"/>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EFCC8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降尘效果（%）</w:t>
            </w:r>
          </w:p>
        </w:tc>
        <w:tc>
          <w:tcPr>
            <w:tcW w:w="1172"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42A917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80.2</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3CC80A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51.6</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58CFD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41.7</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1A8C75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30.2</w:t>
            </w:r>
          </w:p>
        </w:tc>
        <w:tc>
          <w:tcPr>
            <w:tcW w:w="933" w:type="dxa"/>
            <w:tcBorders>
              <w:top w:val="single" w:color="auto" w:sz="4" w:space="0"/>
              <w:left w:val="single" w:color="auto" w:sz="4" w:space="0"/>
              <w:bottom w:val="single" w:color="auto" w:sz="4" w:space="0"/>
              <w:right w:val="single" w:color="auto" w:sz="4" w:space="0"/>
            </w:tcBorders>
            <w:tcMar>
              <w:top w:w="0" w:type="dxa"/>
              <w:bottom w:w="0" w:type="dxa"/>
            </w:tcMar>
            <w:vAlign w:val="center"/>
          </w:tcPr>
          <w:p w14:paraId="2F7682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48.2</w:t>
            </w:r>
          </w:p>
        </w:tc>
      </w:tr>
    </w:tbl>
    <w:p w14:paraId="17B55110">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从上表可知，洒水抑尘可以使扬尘在20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50m的距离内达到《大气污染物综合排放标准》（GB16297-1996）表2新污染源大气污染物排放限值</w:t>
      </w:r>
      <w:r>
        <w:rPr>
          <w:rFonts w:hint="default" w:ascii="Times New Roman" w:hAnsi="Times New Roman" w:eastAsia="宋体" w:cs="Times New Roman"/>
          <w:color w:val="auto"/>
          <w:highlight w:val="none"/>
          <w:lang w:eastAsia="zh-CN"/>
        </w:rPr>
        <w:t>中无组织排放监控浓度限值</w:t>
      </w:r>
      <w:r>
        <w:rPr>
          <w:rFonts w:hint="default" w:ascii="Times New Roman" w:hAnsi="Times New Roman" w:eastAsia="宋体" w:cs="Times New Roman"/>
          <w:color w:val="auto"/>
          <w:highlight w:val="none"/>
        </w:rPr>
        <w:t>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（周界外浓度最高点）</w:t>
      </w:r>
      <w:r>
        <w:rPr>
          <w:rFonts w:hint="default" w:ascii="Times New Roman" w:hAnsi="Times New Roman" w:eastAsia="宋体" w:cs="Times New Roman"/>
          <w:color w:val="auto"/>
          <w:highlight w:val="none"/>
          <w:lang w:eastAsia="zh-CN"/>
        </w:rPr>
        <w:t>的</w:t>
      </w:r>
      <w:r>
        <w:rPr>
          <w:rFonts w:hint="default" w:ascii="Times New Roman" w:hAnsi="Times New Roman" w:eastAsia="宋体" w:cs="Times New Roman"/>
          <w:color w:val="auto"/>
          <w:highlight w:val="none"/>
        </w:rPr>
        <w:t>限值要求。</w:t>
      </w:r>
    </w:p>
    <w:p w14:paraId="56A9093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（2）车辆行驶扬尘</w:t>
      </w:r>
    </w:p>
    <w:p w14:paraId="3C31B7A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根据有关文献资料介绍，施工过程中，车辆行驶产生的扬尘占总扬尘的60%以上。</w:t>
      </w:r>
    </w:p>
    <w:p w14:paraId="5025D04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车辆行驶产生的扬尘，在完全干燥的情况下，可按以下经验公式计算：</w:t>
      </w:r>
    </w:p>
    <w:p w14:paraId="3BEBA94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28"/>
          <w:highlight w:val="none"/>
        </w:rPr>
        <w:object>
          <v:shape id="_x0000_i1034" o:spt="75" type="#_x0000_t75" style="height:35.3pt;width:153.5pt;" o:ole="t" filled="f" o:preferrelative="t" stroked="f" coordsize="21600,21600">
            <v:path/>
            <v:fill on="f" focussize="0,0"/>
            <v:stroke on="f" joinstyle="miter"/>
            <v:imagedata r:id="rId46" o:title=""/>
            <o:lock v:ext="edit" aspectratio="t"/>
            <w10:wrap type="none"/>
            <w10:anchorlock/>
          </v:shape>
          <o:OLEObject Type="Embed" ProgID="Equation.3" ShapeID="_x0000_i1034" DrawAspect="Content" ObjectID="_1468075734" r:id="rId45">
            <o:LockedField>false</o:LockedField>
          </o:OLEObject>
        </w:object>
      </w:r>
    </w:p>
    <w:p w14:paraId="408E4EC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554D875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Q—汽车行驶的扬尘量，kg/km·辆；</w:t>
      </w:r>
    </w:p>
    <w:p w14:paraId="5B8A771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V—汽车速度，km/h；</w:t>
      </w:r>
    </w:p>
    <w:p w14:paraId="518B35F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W—汽车载重量，T；</w:t>
      </w:r>
    </w:p>
    <w:p w14:paraId="6D1C09D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P—道路表面粉尘量，kg/m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p>
    <w:p w14:paraId="178677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下表为一辆10t卡车，通过一段长为1km的路面时，不同路面清洁程度，不同行驶速度情况下的扬尘量。</w:t>
      </w:r>
    </w:p>
    <w:p w14:paraId="530A4D26">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表5.1-3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在不同车速和地面清洁程度的汽车扬尘量单位：kg/km·辆</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002"/>
        <w:gridCol w:w="1046"/>
        <w:gridCol w:w="1046"/>
        <w:gridCol w:w="1046"/>
        <w:gridCol w:w="1046"/>
        <w:gridCol w:w="1047"/>
        <w:gridCol w:w="1044"/>
      </w:tblGrid>
      <w:tr w14:paraId="2760CE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Borders>
              <w:top w:val="single" w:color="auto" w:sz="4" w:space="0"/>
              <w:left w:val="single" w:color="auto" w:sz="4" w:space="0"/>
              <w:bottom w:val="single" w:color="auto" w:sz="4" w:space="0"/>
              <w:right w:val="single" w:color="auto" w:sz="4" w:space="0"/>
              <w:tl2br w:val="single" w:color="auto" w:sz="4" w:space="0"/>
            </w:tcBorders>
            <w:tcMar>
              <w:top w:w="0" w:type="dxa"/>
              <w:left w:w="0" w:type="dxa"/>
              <w:bottom w:w="0" w:type="dxa"/>
              <w:right w:w="0" w:type="dxa"/>
            </w:tcMar>
            <w:vAlign w:val="center"/>
          </w:tcPr>
          <w:p w14:paraId="76DA2A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P（</w:t>
            </w:r>
            <w:r>
              <w:rPr>
                <w:rFonts w:hint="default" w:ascii="Times New Roman" w:hAnsi="Times New Roman" w:eastAsia="宋体" w:cs="Times New Roman"/>
                <w:color w:val="auto"/>
                <w:sz w:val="21"/>
                <w:szCs w:val="20"/>
                <w:highlight w:val="none"/>
              </w:rPr>
              <w:t>kg/m</w:t>
            </w:r>
            <w:r>
              <w:rPr>
                <w:rFonts w:hint="default" w:ascii="Times New Roman" w:hAnsi="Times New Roman" w:eastAsia="宋体" w:cs="Times New Roman"/>
                <w:color w:val="auto"/>
                <w:sz w:val="21"/>
                <w:szCs w:val="20"/>
                <w:highlight w:val="none"/>
                <w:vertAlign w:val="superscript"/>
              </w:rPr>
              <w:t>2</w:t>
            </w:r>
            <w:r>
              <w:rPr>
                <w:rFonts w:hint="default" w:ascii="Times New Roman" w:hAnsi="Times New Roman" w:eastAsia="宋体" w:cs="Times New Roman"/>
                <w:color w:val="auto"/>
                <w:sz w:val="21"/>
                <w:szCs w:val="20"/>
                <w:highlight w:val="none"/>
                <w:lang w:val="en-GB"/>
              </w:rPr>
              <w:t>）</w:t>
            </w:r>
          </w:p>
          <w:p w14:paraId="0CA2BC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车速（km/h）</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DC15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0.1</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38B84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0.2</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AC287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0.3</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A109E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0.4</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E8A38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0.5</w:t>
            </w:r>
          </w:p>
        </w:tc>
        <w:tc>
          <w:tcPr>
            <w:tcW w:w="11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7F6D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1.0</w:t>
            </w:r>
          </w:p>
        </w:tc>
      </w:tr>
      <w:tr w14:paraId="42B637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28D37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F6C2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eastAsia="zh-CN"/>
              </w:rPr>
            </w:pPr>
            <w:r>
              <w:rPr>
                <w:rFonts w:hint="default" w:ascii="Times New Roman" w:hAnsi="Times New Roman" w:eastAsia="宋体" w:cs="Times New Roman"/>
                <w:color w:val="auto"/>
                <w:sz w:val="21"/>
                <w:szCs w:val="20"/>
                <w:highlight w:val="none"/>
                <w:lang w:val="en-GB" w:eastAsia="zh-CN"/>
              </w:rPr>
              <w:t>0.224</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445E1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0.086</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330B0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GB"/>
              </w:rPr>
            </w:pPr>
            <w:r>
              <w:rPr>
                <w:rFonts w:hint="default" w:ascii="Times New Roman" w:hAnsi="Times New Roman" w:eastAsia="宋体" w:cs="Times New Roman"/>
                <w:color w:val="auto"/>
                <w:sz w:val="21"/>
                <w:szCs w:val="20"/>
                <w:highlight w:val="none"/>
                <w:lang w:val="en-GB"/>
              </w:rPr>
              <w:t>0.116</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C6376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0.144</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1A83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0.171</w:t>
            </w:r>
          </w:p>
        </w:tc>
        <w:tc>
          <w:tcPr>
            <w:tcW w:w="11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78C67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0.287</w:t>
            </w:r>
          </w:p>
        </w:tc>
      </w:tr>
      <w:tr w14:paraId="039BD1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34316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8A11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0.102</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16CB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0.171</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B723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0.232</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AA0A8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0.289</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6413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0.341</w:t>
            </w:r>
          </w:p>
        </w:tc>
        <w:tc>
          <w:tcPr>
            <w:tcW w:w="11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9B86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0.574</w:t>
            </w:r>
          </w:p>
        </w:tc>
      </w:tr>
      <w:tr w14:paraId="720B3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84E5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15</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1130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0.153</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C673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0.257</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011EE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0.349</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3FA3D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0.433</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2075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0.512</w:t>
            </w:r>
          </w:p>
        </w:tc>
        <w:tc>
          <w:tcPr>
            <w:tcW w:w="11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04B3B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0.861</w:t>
            </w:r>
          </w:p>
        </w:tc>
      </w:tr>
      <w:tr w14:paraId="23CC04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81B6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20</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27436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0.255</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B8C30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0.429</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C857C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0.582</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9AE1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0.722</w:t>
            </w:r>
          </w:p>
        </w:tc>
        <w:tc>
          <w:tcPr>
            <w:tcW w:w="113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F479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0.853</w:t>
            </w:r>
          </w:p>
        </w:tc>
        <w:tc>
          <w:tcPr>
            <w:tcW w:w="11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3329B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1.435</w:t>
            </w:r>
          </w:p>
        </w:tc>
      </w:tr>
    </w:tbl>
    <w:p w14:paraId="422B39D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从上表可见，在同样的路面条件下，车速越快，扬尘量越大，在同样的车速情况下，路面粉尘越大，扬尘量越大。因此，限制施工车辆速度和保持路面清洁是</w:t>
      </w:r>
      <w:r>
        <w:rPr>
          <w:rFonts w:hint="default" w:ascii="Times New Roman" w:hAnsi="Times New Roman" w:eastAsia="宋体" w:cs="Times New Roman"/>
          <w:color w:val="auto"/>
          <w:highlight w:val="none"/>
          <w:lang w:eastAsia="zh-CN"/>
        </w:rPr>
        <w:t>减少</w:t>
      </w:r>
      <w:r>
        <w:rPr>
          <w:rFonts w:hint="default" w:ascii="Times New Roman" w:hAnsi="Times New Roman" w:eastAsia="宋体" w:cs="Times New Roman"/>
          <w:color w:val="auto"/>
          <w:highlight w:val="none"/>
        </w:rPr>
        <w:t>扬尘的有效手段。</w:t>
      </w:r>
    </w:p>
    <w:p w14:paraId="454C693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项目在施工过程中对车辆加盖苫布及减速慢行之后，对运输道路两侧环境空气影响较小。</w:t>
      </w:r>
    </w:p>
    <w:p w14:paraId="72A05FF0">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5.1.1.2施工期焊接烟尘的影响</w:t>
      </w:r>
    </w:p>
    <w:p w14:paraId="5A09F09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在进行设备固定、辅助设施建设过程会采取焊接工艺，焊接过程中会有少量焊接烟尘和烟气产生。焊接烟尘是由金属及非金属物质在过热条件下产生的蒸气经氧化和冷凝而形成的，其成分主要取决于焊接材料（焊丝、焊条、焊剂）成分及其</w:t>
      </w:r>
      <w:r>
        <w:rPr>
          <w:rFonts w:hint="default" w:ascii="Times New Roman" w:hAnsi="Times New Roman" w:eastAsia="宋体" w:cs="Times New Roman"/>
          <w:color w:val="auto"/>
          <w:highlight w:val="none"/>
          <w:lang w:eastAsia="zh-CN"/>
        </w:rPr>
        <w:t>蒸发的难易</w:t>
      </w:r>
      <w:r>
        <w:rPr>
          <w:rFonts w:hint="default" w:ascii="Times New Roman" w:hAnsi="Times New Roman" w:eastAsia="宋体" w:cs="Times New Roman"/>
          <w:color w:val="auto"/>
          <w:highlight w:val="none"/>
        </w:rPr>
        <w:t>，焊接烟尘的产生量主要取决于焊料的材质和焊接方式。项目焊接工艺主要为二氧化碳焊，对焊接场所加强通风，产生的焊接烟尘对大气环境影响较小。</w:t>
      </w:r>
    </w:p>
    <w:p w14:paraId="0CD6F2B3">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5.1.1.3施工机械废气</w:t>
      </w:r>
    </w:p>
    <w:p w14:paraId="7A91FD5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NO</w:t>
      </w:r>
      <w:r>
        <w:rPr>
          <w:rFonts w:hint="default" w:ascii="Times New Roman" w:hAnsi="Times New Roman" w:eastAsia="宋体" w:cs="Times New Roman"/>
          <w:color w:val="auto"/>
          <w:highlight w:val="none"/>
          <w:lang w:val="en-US" w:eastAsia="zh-CN"/>
        </w:rPr>
        <w:t>x</w:t>
      </w:r>
      <w:r>
        <w:rPr>
          <w:rFonts w:hint="default" w:ascii="Times New Roman" w:hAnsi="Times New Roman" w:eastAsia="宋体" w:cs="Times New Roman"/>
          <w:color w:val="auto"/>
          <w:highlight w:val="none"/>
        </w:rPr>
        <w:t>、CO、C</w:t>
      </w:r>
      <w:r>
        <w:rPr>
          <w:rFonts w:hint="default" w:ascii="Times New Roman" w:hAnsi="Times New Roman" w:eastAsia="宋体" w:cs="Times New Roman"/>
          <w:color w:val="auto"/>
          <w:highlight w:val="none"/>
          <w:vertAlign w:val="subscript"/>
        </w:rPr>
        <w:t>m</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n</w:t>
      </w:r>
      <w:r>
        <w:rPr>
          <w:rFonts w:hint="default" w:ascii="Times New Roman" w:hAnsi="Times New Roman" w:eastAsia="宋体" w:cs="Times New Roman"/>
          <w:color w:val="auto"/>
          <w:highlight w:val="none"/>
        </w:rPr>
        <w:t>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小。</w:t>
      </w:r>
    </w:p>
    <w:p w14:paraId="4ECAA91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机械尾气防治措施：</w:t>
      </w:r>
    </w:p>
    <w:p w14:paraId="7568779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）加强机动车的检测与维修，使在用车经常保持在良好的状态，以减少尾气污染物的排放</w:t>
      </w:r>
      <w:r>
        <w:rPr>
          <w:rFonts w:hint="default" w:ascii="Times New Roman" w:hAnsi="Times New Roman" w:eastAsia="宋体" w:cs="Times New Roman"/>
          <w:color w:val="auto"/>
          <w:highlight w:val="none"/>
          <w:lang w:eastAsia="zh-CN"/>
        </w:rPr>
        <w:t>。</w:t>
      </w:r>
    </w:p>
    <w:p w14:paraId="1942037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根据同类工程的施工资料，燃油废气对大气影响很小，施工对环境空气质量的影响是临时的，只限于施工期内，施工结束后，影响随之消失</w:t>
      </w:r>
      <w:r>
        <w:rPr>
          <w:rFonts w:hint="default" w:ascii="Times New Roman" w:hAnsi="Times New Roman" w:eastAsia="宋体" w:cs="Times New Roman"/>
          <w:color w:val="auto"/>
          <w:highlight w:val="none"/>
          <w:lang w:eastAsia="zh-CN"/>
        </w:rPr>
        <w:t>。</w:t>
      </w:r>
    </w:p>
    <w:p w14:paraId="2ADF375F">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396" w:name="_Toc20011"/>
      <w:r>
        <w:rPr>
          <w:rFonts w:hint="default" w:ascii="Times New Roman" w:hAnsi="Times New Roman" w:eastAsia="宋体" w:cs="Times New Roman"/>
          <w:color w:val="auto"/>
          <w:highlight w:val="none"/>
        </w:rPr>
        <w:t>5.1.2水环境影响分析</w:t>
      </w:r>
      <w:bookmarkEnd w:id="396"/>
    </w:p>
    <w:p w14:paraId="7733ADC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项目施工期</w:t>
      </w:r>
      <w:r>
        <w:rPr>
          <w:rFonts w:hint="default" w:ascii="Times New Roman" w:hAnsi="Times New Roman" w:eastAsia="宋体" w:cs="Times New Roman"/>
          <w:color w:val="auto"/>
          <w:highlight w:val="none"/>
          <w:lang w:eastAsia="zh-CN"/>
        </w:rPr>
        <w:t>废</w:t>
      </w:r>
      <w:r>
        <w:rPr>
          <w:rFonts w:hint="default" w:ascii="Times New Roman" w:hAnsi="Times New Roman" w:eastAsia="宋体" w:cs="Times New Roman"/>
          <w:color w:val="auto"/>
          <w:highlight w:val="none"/>
        </w:rPr>
        <w:t>水主要为生活污水和</w:t>
      </w:r>
      <w:r>
        <w:rPr>
          <w:rFonts w:hint="default" w:ascii="Times New Roman" w:hAnsi="Times New Roman" w:eastAsia="宋体" w:cs="Times New Roman"/>
          <w:color w:val="auto"/>
          <w:highlight w:val="none"/>
          <w:lang w:eastAsia="zh-CN"/>
        </w:rPr>
        <w:t>施工</w:t>
      </w:r>
      <w:r>
        <w:rPr>
          <w:rFonts w:hint="default" w:ascii="Times New Roman" w:hAnsi="Times New Roman" w:eastAsia="宋体" w:cs="Times New Roman"/>
          <w:color w:val="auto"/>
          <w:highlight w:val="none"/>
        </w:rPr>
        <w:t>废水。</w:t>
      </w:r>
    </w:p>
    <w:p w14:paraId="5527DE81">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5.1.2.1生活污水</w:t>
      </w:r>
    </w:p>
    <w:p w14:paraId="670EC8C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经估算施工期施工人员最多可达30人。职工生活用水按</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0L/人·d计，施工期按</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0天计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生活用水</w:t>
      </w:r>
      <w:r>
        <w:rPr>
          <w:rFonts w:hint="default" w:ascii="Times New Roman" w:hAnsi="Times New Roman" w:eastAsia="宋体" w:cs="Times New Roman"/>
          <w:color w:val="auto"/>
          <w:highlight w:val="none"/>
          <w:lang w:val="en-US" w:eastAsia="zh-CN"/>
        </w:rPr>
        <w:t>1.8</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default" w:ascii="Times New Roman" w:hAnsi="Times New Roman" w:eastAsia="宋体" w:cs="Times New Roman"/>
          <w:color w:val="auto"/>
          <w:highlight w:val="none"/>
          <w:lang w:val="en-US" w:eastAsia="zh-CN"/>
        </w:rPr>
        <w:t>432</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生活污水排放按用水量的80%计，排水量</w:t>
      </w:r>
      <w:r>
        <w:rPr>
          <w:rFonts w:hint="default" w:ascii="Times New Roman" w:hAnsi="Times New Roman" w:eastAsia="宋体" w:cs="Times New Roman"/>
          <w:color w:val="auto"/>
          <w:highlight w:val="none"/>
          <w:lang w:val="en-US" w:eastAsia="zh-CN"/>
        </w:rPr>
        <w:t>1.44</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345.6</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p>
    <w:p w14:paraId="4B92590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类比同类型生活污水排放浓度，生活污水中污染物浓度为：COD350mg/L，BOD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250mg/L，SS300mg/L，NH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-N30mg/L。本项目施工期排放生活污水中主要污染物的排放量见表5.1-4。</w:t>
      </w:r>
    </w:p>
    <w:p w14:paraId="045F5E89">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表5.1-4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施工期生活污水排放的污染物高峰负荷</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79"/>
        <w:gridCol w:w="1379"/>
        <w:gridCol w:w="1379"/>
        <w:gridCol w:w="1380"/>
        <w:gridCol w:w="1380"/>
        <w:gridCol w:w="1380"/>
      </w:tblGrid>
      <w:tr w14:paraId="019CBD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Merge w:val="restart"/>
            <w:tcBorders>
              <w:top w:val="single" w:color="auto" w:sz="4" w:space="0"/>
              <w:left w:val="single" w:color="auto" w:sz="4" w:space="0"/>
              <w:bottom w:val="single" w:color="auto" w:sz="4" w:space="0"/>
              <w:right w:val="single" w:color="auto" w:sz="4" w:space="0"/>
            </w:tcBorders>
            <w:vAlign w:val="center"/>
          </w:tcPr>
          <w:p w14:paraId="1F6C2B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14C72B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污水量（m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p>
        </w:tc>
        <w:tc>
          <w:tcPr>
            <w:tcW w:w="567" w:type="dxa"/>
            <w:gridSpan w:val="4"/>
            <w:tcBorders>
              <w:top w:val="single" w:color="auto" w:sz="4" w:space="0"/>
              <w:left w:val="single" w:color="auto" w:sz="4" w:space="0"/>
              <w:bottom w:val="single" w:color="auto" w:sz="4" w:space="0"/>
              <w:right w:val="single" w:color="auto" w:sz="4" w:space="0"/>
            </w:tcBorders>
            <w:vAlign w:val="center"/>
          </w:tcPr>
          <w:p w14:paraId="51FEC2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污染物污染负荷（kg/d）</w:t>
            </w:r>
          </w:p>
        </w:tc>
      </w:tr>
      <w:tr w14:paraId="510F89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Merge w:val="continue"/>
            <w:tcBorders>
              <w:top w:val="single" w:color="auto" w:sz="4" w:space="0"/>
              <w:left w:val="single" w:color="auto" w:sz="4" w:space="0"/>
              <w:bottom w:val="single" w:color="auto" w:sz="4" w:space="0"/>
              <w:right w:val="single" w:color="auto" w:sz="4" w:space="0"/>
            </w:tcBorders>
            <w:vAlign w:val="center"/>
          </w:tcPr>
          <w:p w14:paraId="58B957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14:paraId="312EBF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67" w:type="dxa"/>
            <w:tcBorders>
              <w:top w:val="single" w:color="auto" w:sz="4" w:space="0"/>
              <w:left w:val="single" w:color="auto" w:sz="4" w:space="0"/>
              <w:bottom w:val="single" w:color="auto" w:sz="4" w:space="0"/>
              <w:right w:val="single" w:color="auto" w:sz="4" w:space="0"/>
            </w:tcBorders>
            <w:vAlign w:val="center"/>
          </w:tcPr>
          <w:p w14:paraId="0A158C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567" w:type="dxa"/>
            <w:tcBorders>
              <w:top w:val="single" w:color="auto" w:sz="4" w:space="0"/>
              <w:left w:val="single" w:color="auto" w:sz="4" w:space="0"/>
              <w:bottom w:val="single" w:color="auto" w:sz="4" w:space="0"/>
              <w:right w:val="single" w:color="auto" w:sz="4" w:space="0"/>
            </w:tcBorders>
            <w:vAlign w:val="center"/>
          </w:tcPr>
          <w:p w14:paraId="13C341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tc>
        <w:tc>
          <w:tcPr>
            <w:tcW w:w="567" w:type="dxa"/>
            <w:tcBorders>
              <w:top w:val="single" w:color="auto" w:sz="4" w:space="0"/>
              <w:left w:val="single" w:color="auto" w:sz="4" w:space="0"/>
              <w:bottom w:val="single" w:color="auto" w:sz="4" w:space="0"/>
              <w:right w:val="single" w:color="auto" w:sz="4" w:space="0"/>
            </w:tcBorders>
            <w:vAlign w:val="center"/>
          </w:tcPr>
          <w:p w14:paraId="222B2A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567" w:type="dxa"/>
            <w:tcBorders>
              <w:top w:val="single" w:color="auto" w:sz="4" w:space="0"/>
              <w:left w:val="single" w:color="auto" w:sz="4" w:space="0"/>
              <w:bottom w:val="single" w:color="auto" w:sz="4" w:space="0"/>
              <w:right w:val="single" w:color="auto" w:sz="4" w:space="0"/>
            </w:tcBorders>
            <w:vAlign w:val="center"/>
          </w:tcPr>
          <w:p w14:paraId="6D0A2E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r>
      <w:tr w14:paraId="75A606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14:paraId="0B97BF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w:t>
            </w:r>
          </w:p>
        </w:tc>
        <w:tc>
          <w:tcPr>
            <w:tcW w:w="567" w:type="dxa"/>
            <w:tcBorders>
              <w:top w:val="single" w:color="auto" w:sz="4" w:space="0"/>
              <w:left w:val="single" w:color="auto" w:sz="4" w:space="0"/>
              <w:bottom w:val="single" w:color="auto" w:sz="4" w:space="0"/>
              <w:right w:val="single" w:color="auto" w:sz="4" w:space="0"/>
            </w:tcBorders>
            <w:vAlign w:val="center"/>
          </w:tcPr>
          <w:p w14:paraId="33D7A1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1.44</w:t>
            </w:r>
          </w:p>
        </w:tc>
        <w:tc>
          <w:tcPr>
            <w:tcW w:w="567" w:type="dxa"/>
            <w:tcBorders>
              <w:top w:val="single" w:color="auto" w:sz="4" w:space="0"/>
              <w:left w:val="single" w:color="auto" w:sz="4" w:space="0"/>
              <w:bottom w:val="single" w:color="auto" w:sz="4" w:space="0"/>
              <w:right w:val="single" w:color="auto" w:sz="4" w:space="0"/>
            </w:tcBorders>
            <w:vAlign w:val="center"/>
          </w:tcPr>
          <w:p w14:paraId="0882C5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504</w:t>
            </w:r>
          </w:p>
        </w:tc>
        <w:tc>
          <w:tcPr>
            <w:tcW w:w="567" w:type="dxa"/>
            <w:tcBorders>
              <w:top w:val="single" w:color="auto" w:sz="4" w:space="0"/>
              <w:left w:val="single" w:color="auto" w:sz="4" w:space="0"/>
              <w:bottom w:val="single" w:color="auto" w:sz="4" w:space="0"/>
              <w:right w:val="single" w:color="auto" w:sz="4" w:space="0"/>
            </w:tcBorders>
            <w:vAlign w:val="center"/>
          </w:tcPr>
          <w:p w14:paraId="2EB6B2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360</w:t>
            </w:r>
          </w:p>
        </w:tc>
        <w:tc>
          <w:tcPr>
            <w:tcW w:w="567" w:type="dxa"/>
            <w:tcBorders>
              <w:top w:val="single" w:color="auto" w:sz="4" w:space="0"/>
              <w:left w:val="single" w:color="auto" w:sz="4" w:space="0"/>
              <w:bottom w:val="single" w:color="auto" w:sz="4" w:space="0"/>
              <w:right w:val="single" w:color="auto" w:sz="4" w:space="0"/>
            </w:tcBorders>
            <w:vAlign w:val="center"/>
          </w:tcPr>
          <w:p w14:paraId="6F30F4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432</w:t>
            </w:r>
          </w:p>
        </w:tc>
        <w:tc>
          <w:tcPr>
            <w:tcW w:w="567" w:type="dxa"/>
            <w:tcBorders>
              <w:top w:val="single" w:color="auto" w:sz="4" w:space="0"/>
              <w:left w:val="single" w:color="auto" w:sz="4" w:space="0"/>
              <w:bottom w:val="single" w:color="auto" w:sz="4" w:space="0"/>
              <w:right w:val="single" w:color="auto" w:sz="4" w:space="0"/>
            </w:tcBorders>
            <w:vAlign w:val="center"/>
          </w:tcPr>
          <w:p w14:paraId="50DAC0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043</w:t>
            </w:r>
          </w:p>
        </w:tc>
      </w:tr>
    </w:tbl>
    <w:p w14:paraId="2BF69F3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kern w:val="0"/>
          <w:szCs w:val="24"/>
          <w:highlight w:val="none"/>
        </w:rPr>
      </w:pPr>
      <w:r>
        <w:rPr>
          <w:rFonts w:hint="default" w:ascii="Times New Roman" w:hAnsi="Times New Roman" w:eastAsia="宋体" w:cs="Times New Roman"/>
          <w:color w:val="auto"/>
          <w:highlight w:val="none"/>
        </w:rPr>
        <w:t>施工人员的生活污水中各污染物负荷量较小，</w:t>
      </w:r>
      <w:r>
        <w:rPr>
          <w:rFonts w:hint="default" w:ascii="Times New Roman" w:hAnsi="Times New Roman" w:eastAsia="宋体" w:cs="Times New Roman"/>
          <w:color w:val="auto"/>
          <w:highlight w:val="none"/>
          <w:lang w:val="en-US" w:eastAsia="zh-CN"/>
        </w:rPr>
        <w:t>排入移动厕所，定期由当地环卫部门清运处置，</w:t>
      </w:r>
      <w:r>
        <w:rPr>
          <w:rFonts w:hint="default" w:ascii="Times New Roman" w:hAnsi="Times New Roman" w:eastAsia="宋体" w:cs="Times New Roman"/>
          <w:color w:val="auto"/>
          <w:highlight w:val="none"/>
        </w:rPr>
        <w:t>施工</w:t>
      </w:r>
      <w:r>
        <w:rPr>
          <w:rFonts w:hint="default" w:ascii="Times New Roman" w:hAnsi="Times New Roman" w:eastAsia="宋体" w:cs="Times New Roman"/>
          <w:color w:val="auto"/>
          <w:kern w:val="0"/>
          <w:szCs w:val="24"/>
          <w:highlight w:val="none"/>
        </w:rPr>
        <w:t>结束后其影响也就随之消除，对水环境影响很小。</w:t>
      </w:r>
    </w:p>
    <w:p w14:paraId="318DA776">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5.1.2.2施工废水</w:t>
      </w:r>
    </w:p>
    <w:p w14:paraId="0F1A1C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施工废水包括砂石料加工</w:t>
      </w:r>
      <w:r>
        <w:rPr>
          <w:rFonts w:hint="default" w:ascii="Times New Roman" w:hAnsi="Times New Roman" w:eastAsia="宋体" w:cs="Times New Roman"/>
          <w:color w:val="auto"/>
          <w:highlight w:val="none"/>
          <w:lang w:eastAsia="zh-CN"/>
        </w:rPr>
        <w:t>冲洗用水</w:t>
      </w:r>
      <w:r>
        <w:rPr>
          <w:rFonts w:hint="default" w:ascii="Times New Roman" w:hAnsi="Times New Roman" w:eastAsia="宋体" w:cs="Times New Roman"/>
          <w:color w:val="auto"/>
          <w:highlight w:val="none"/>
        </w:rPr>
        <w:t>、机械维修养护废水。</w:t>
      </w:r>
    </w:p>
    <w:p w14:paraId="2C2E77D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砂石料加工废水污染物以SS为主，浓度预计约10000mg/L，经集中收集并沉淀处理后可重新回用作为砂石料加工</w:t>
      </w:r>
      <w:r>
        <w:rPr>
          <w:rFonts w:hint="default" w:ascii="Times New Roman" w:hAnsi="Times New Roman" w:eastAsia="宋体" w:cs="Times New Roman"/>
          <w:color w:val="auto"/>
          <w:highlight w:val="none"/>
          <w:lang w:eastAsia="zh-CN"/>
        </w:rPr>
        <w:t>冲洗用水</w:t>
      </w:r>
      <w:r>
        <w:rPr>
          <w:rFonts w:hint="default" w:ascii="Times New Roman" w:hAnsi="Times New Roman" w:eastAsia="宋体" w:cs="Times New Roman"/>
          <w:color w:val="auto"/>
          <w:highlight w:val="none"/>
        </w:rPr>
        <w:t>。车辆和设备冲洗废水，经隔油、沉淀处理后回用。</w:t>
      </w:r>
    </w:p>
    <w:p w14:paraId="17FDB57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因此，施工废水均在施工场地循环利用，不外排，对水环境影响较小。</w:t>
      </w:r>
    </w:p>
    <w:p w14:paraId="0DEB2E4B">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397" w:name="_Toc260834729"/>
      <w:bookmarkStart w:id="398" w:name="_Toc512871591"/>
      <w:bookmarkStart w:id="399" w:name="_Toc184993590"/>
      <w:bookmarkStart w:id="400" w:name="_Toc185683624"/>
      <w:bookmarkStart w:id="401" w:name="_Toc184993738"/>
      <w:bookmarkStart w:id="402" w:name="_Toc282346951"/>
      <w:bookmarkStart w:id="403" w:name="_Toc14433"/>
      <w:bookmarkStart w:id="404" w:name="_Toc93407291"/>
      <w:bookmarkStart w:id="405" w:name="_Toc93408001"/>
      <w:bookmarkStart w:id="406" w:name="_Toc295196608"/>
      <w:bookmarkStart w:id="407" w:name="_Toc185001177"/>
      <w:bookmarkStart w:id="408" w:name="_Toc494206324"/>
      <w:bookmarkStart w:id="409" w:name="_Toc184999116"/>
      <w:bookmarkStart w:id="410" w:name="_Toc93407419"/>
      <w:bookmarkStart w:id="411" w:name="_Toc90083402"/>
      <w:bookmarkStart w:id="412" w:name="_Toc93407651"/>
      <w:bookmarkStart w:id="413" w:name="_Toc93410272"/>
      <w:bookmarkStart w:id="414" w:name="_Toc93407874"/>
      <w:r>
        <w:rPr>
          <w:rFonts w:hint="default" w:ascii="Times New Roman" w:hAnsi="Times New Roman" w:eastAsia="宋体" w:cs="Times New Roman"/>
          <w:color w:val="auto"/>
          <w:highlight w:val="none"/>
        </w:rPr>
        <w:t>5.1.3施工期声环境影响分析</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29C5177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施工期噪声主要指建筑施工噪声和交通运输噪声两类。</w:t>
      </w:r>
    </w:p>
    <w:p w14:paraId="5BF9A1E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施工过程中，各种施工机械设备的运转以及各类车辆的运行将不可避免地产生噪声污染，各种施工机械、运输车辆等均属噪声源。常使用的施工机械有挖掘机、装载机、混凝土搅拌机、振捣棒、吊车、电锯、运输车辆等设备，在正常情况下这些设备产生的声压级在80～95dB</w:t>
      </w:r>
      <w:r>
        <w:rPr>
          <w:rFonts w:hint="default" w:ascii="Times New Roman" w:hAnsi="Times New Roman" w:eastAsia="宋体" w:cs="Times New Roman"/>
          <w:color w:val="auto"/>
          <w:highlight w:val="none"/>
          <w:lang w:eastAsia="zh-CN"/>
        </w:rPr>
        <w:t>（A）之间</w:t>
      </w:r>
      <w:r>
        <w:rPr>
          <w:rFonts w:hint="default" w:ascii="Times New Roman" w:hAnsi="Times New Roman" w:eastAsia="宋体" w:cs="Times New Roman"/>
          <w:color w:val="auto"/>
          <w:highlight w:val="none"/>
        </w:rPr>
        <w:t>，且施工期间噪声源都处于露天状态，按声源距离衰减公式计算，以不利状态95dB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施工噪声计算，施工期间噪声影响范围见表5.1-5。</w:t>
      </w:r>
    </w:p>
    <w:p w14:paraId="31EC505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表5.1-5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施工噪声影响范围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单位：dB</w:t>
      </w:r>
      <w:r>
        <w:rPr>
          <w:rFonts w:hint="default" w:ascii="Times New Roman" w:hAnsi="Times New Roman" w:eastAsia="宋体" w:cs="Times New Roman"/>
          <w:color w:val="auto"/>
          <w:sz w:val="24"/>
          <w:szCs w:val="24"/>
          <w:highlight w:val="none"/>
          <w:lang w:eastAsia="zh-CN"/>
        </w:rPr>
        <w:t>（A）</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59"/>
        <w:gridCol w:w="745"/>
        <w:gridCol w:w="745"/>
        <w:gridCol w:w="745"/>
        <w:gridCol w:w="745"/>
        <w:gridCol w:w="745"/>
        <w:gridCol w:w="873"/>
        <w:gridCol w:w="873"/>
        <w:gridCol w:w="873"/>
        <w:gridCol w:w="874"/>
      </w:tblGrid>
      <w:tr w14:paraId="20308F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59" w:type="dxa"/>
            <w:tcBorders>
              <w:top w:val="single" w:color="auto" w:sz="4" w:space="0"/>
              <w:left w:val="single" w:color="auto" w:sz="4" w:space="0"/>
              <w:bottom w:val="single" w:color="auto" w:sz="4" w:space="0"/>
              <w:right w:val="single" w:color="auto" w:sz="4" w:space="0"/>
            </w:tcBorders>
            <w:vAlign w:val="center"/>
          </w:tcPr>
          <w:p w14:paraId="1A3F2A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预测点</w:t>
            </w:r>
          </w:p>
        </w:tc>
        <w:tc>
          <w:tcPr>
            <w:tcW w:w="808" w:type="dxa"/>
            <w:tcBorders>
              <w:top w:val="single" w:color="auto" w:sz="4" w:space="0"/>
              <w:left w:val="single" w:color="auto" w:sz="4" w:space="0"/>
              <w:bottom w:val="single" w:color="auto" w:sz="4" w:space="0"/>
              <w:right w:val="single" w:color="auto" w:sz="4" w:space="0"/>
            </w:tcBorders>
            <w:vAlign w:val="center"/>
          </w:tcPr>
          <w:p w14:paraId="798943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30m</w:t>
            </w:r>
          </w:p>
        </w:tc>
        <w:tc>
          <w:tcPr>
            <w:tcW w:w="808" w:type="dxa"/>
            <w:tcBorders>
              <w:top w:val="single" w:color="auto" w:sz="4" w:space="0"/>
              <w:left w:val="single" w:color="auto" w:sz="4" w:space="0"/>
              <w:bottom w:val="single" w:color="auto" w:sz="4" w:space="0"/>
              <w:right w:val="single" w:color="auto" w:sz="4" w:space="0"/>
            </w:tcBorders>
            <w:vAlign w:val="center"/>
          </w:tcPr>
          <w:p w14:paraId="7A1411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50m</w:t>
            </w:r>
          </w:p>
        </w:tc>
        <w:tc>
          <w:tcPr>
            <w:tcW w:w="808" w:type="dxa"/>
            <w:tcBorders>
              <w:top w:val="single" w:color="auto" w:sz="4" w:space="0"/>
              <w:left w:val="single" w:color="auto" w:sz="4" w:space="0"/>
              <w:bottom w:val="single" w:color="auto" w:sz="4" w:space="0"/>
              <w:right w:val="single" w:color="auto" w:sz="4" w:space="0"/>
            </w:tcBorders>
            <w:vAlign w:val="center"/>
          </w:tcPr>
          <w:p w14:paraId="1240B1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60m</w:t>
            </w:r>
          </w:p>
        </w:tc>
        <w:tc>
          <w:tcPr>
            <w:tcW w:w="808" w:type="dxa"/>
            <w:tcBorders>
              <w:top w:val="single" w:color="auto" w:sz="4" w:space="0"/>
              <w:left w:val="single" w:color="auto" w:sz="4" w:space="0"/>
              <w:bottom w:val="single" w:color="auto" w:sz="4" w:space="0"/>
              <w:right w:val="single" w:color="auto" w:sz="4" w:space="0"/>
            </w:tcBorders>
            <w:vAlign w:val="center"/>
          </w:tcPr>
          <w:p w14:paraId="354CCB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70m</w:t>
            </w:r>
          </w:p>
        </w:tc>
        <w:tc>
          <w:tcPr>
            <w:tcW w:w="808" w:type="dxa"/>
            <w:tcBorders>
              <w:top w:val="single" w:color="auto" w:sz="4" w:space="0"/>
              <w:left w:val="single" w:color="auto" w:sz="4" w:space="0"/>
              <w:bottom w:val="single" w:color="auto" w:sz="4" w:space="0"/>
              <w:right w:val="single" w:color="auto" w:sz="4" w:space="0"/>
            </w:tcBorders>
            <w:vAlign w:val="center"/>
          </w:tcPr>
          <w:p w14:paraId="00C5B6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80m</w:t>
            </w:r>
          </w:p>
        </w:tc>
        <w:tc>
          <w:tcPr>
            <w:tcW w:w="951" w:type="dxa"/>
            <w:tcBorders>
              <w:top w:val="single" w:color="auto" w:sz="4" w:space="0"/>
              <w:left w:val="single" w:color="auto" w:sz="4" w:space="0"/>
              <w:bottom w:val="single" w:color="auto" w:sz="4" w:space="0"/>
              <w:right w:val="single" w:color="auto" w:sz="4" w:space="0"/>
            </w:tcBorders>
            <w:vAlign w:val="center"/>
          </w:tcPr>
          <w:p w14:paraId="2D20CD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100m</w:t>
            </w:r>
          </w:p>
        </w:tc>
        <w:tc>
          <w:tcPr>
            <w:tcW w:w="951" w:type="dxa"/>
            <w:tcBorders>
              <w:top w:val="single" w:color="auto" w:sz="4" w:space="0"/>
              <w:left w:val="single" w:color="auto" w:sz="4" w:space="0"/>
              <w:bottom w:val="single" w:color="auto" w:sz="4" w:space="0"/>
              <w:right w:val="single" w:color="auto" w:sz="4" w:space="0"/>
            </w:tcBorders>
            <w:vAlign w:val="center"/>
          </w:tcPr>
          <w:p w14:paraId="2D88A5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120m</w:t>
            </w:r>
          </w:p>
        </w:tc>
        <w:tc>
          <w:tcPr>
            <w:tcW w:w="951" w:type="dxa"/>
            <w:tcBorders>
              <w:top w:val="single" w:color="auto" w:sz="4" w:space="0"/>
              <w:left w:val="single" w:color="auto" w:sz="4" w:space="0"/>
              <w:bottom w:val="single" w:color="auto" w:sz="4" w:space="0"/>
              <w:right w:val="single" w:color="auto" w:sz="4" w:space="0"/>
            </w:tcBorders>
            <w:vAlign w:val="center"/>
          </w:tcPr>
          <w:p w14:paraId="2C40B7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140m</w:t>
            </w:r>
          </w:p>
        </w:tc>
        <w:tc>
          <w:tcPr>
            <w:tcW w:w="951" w:type="dxa"/>
            <w:tcBorders>
              <w:top w:val="single" w:color="auto" w:sz="4" w:space="0"/>
              <w:left w:val="single" w:color="auto" w:sz="4" w:space="0"/>
              <w:bottom w:val="single" w:color="auto" w:sz="4" w:space="0"/>
              <w:right w:val="single" w:color="auto" w:sz="4" w:space="0"/>
            </w:tcBorders>
            <w:vAlign w:val="center"/>
          </w:tcPr>
          <w:p w14:paraId="15C147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180m</w:t>
            </w:r>
          </w:p>
        </w:tc>
      </w:tr>
      <w:tr w14:paraId="725053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59" w:type="dxa"/>
            <w:tcBorders>
              <w:top w:val="single" w:color="auto" w:sz="4" w:space="0"/>
              <w:left w:val="single" w:color="auto" w:sz="4" w:space="0"/>
              <w:bottom w:val="single" w:color="auto" w:sz="4" w:space="0"/>
              <w:right w:val="single" w:color="auto" w:sz="4" w:space="0"/>
            </w:tcBorders>
            <w:vAlign w:val="center"/>
          </w:tcPr>
          <w:p w14:paraId="219FD2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预测值</w:t>
            </w:r>
          </w:p>
        </w:tc>
        <w:tc>
          <w:tcPr>
            <w:tcW w:w="808" w:type="dxa"/>
            <w:tcBorders>
              <w:top w:val="single" w:color="auto" w:sz="4" w:space="0"/>
              <w:left w:val="single" w:color="auto" w:sz="4" w:space="0"/>
              <w:bottom w:val="single" w:color="auto" w:sz="4" w:space="0"/>
              <w:right w:val="single" w:color="auto" w:sz="4" w:space="0"/>
            </w:tcBorders>
            <w:vAlign w:val="center"/>
          </w:tcPr>
          <w:p w14:paraId="4940A2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65.5</w:t>
            </w:r>
          </w:p>
        </w:tc>
        <w:tc>
          <w:tcPr>
            <w:tcW w:w="808" w:type="dxa"/>
            <w:tcBorders>
              <w:top w:val="single" w:color="auto" w:sz="4" w:space="0"/>
              <w:left w:val="single" w:color="auto" w:sz="4" w:space="0"/>
              <w:bottom w:val="single" w:color="auto" w:sz="4" w:space="0"/>
              <w:right w:val="single" w:color="auto" w:sz="4" w:space="0"/>
            </w:tcBorders>
            <w:vAlign w:val="center"/>
          </w:tcPr>
          <w:p w14:paraId="78DBBD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61.0</w:t>
            </w:r>
          </w:p>
        </w:tc>
        <w:tc>
          <w:tcPr>
            <w:tcW w:w="808" w:type="dxa"/>
            <w:tcBorders>
              <w:top w:val="single" w:color="auto" w:sz="4" w:space="0"/>
              <w:left w:val="single" w:color="auto" w:sz="4" w:space="0"/>
              <w:bottom w:val="single" w:color="auto" w:sz="4" w:space="0"/>
              <w:right w:val="single" w:color="auto" w:sz="4" w:space="0"/>
            </w:tcBorders>
            <w:vAlign w:val="center"/>
          </w:tcPr>
          <w:p w14:paraId="583A7B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59.4</w:t>
            </w:r>
          </w:p>
        </w:tc>
        <w:tc>
          <w:tcPr>
            <w:tcW w:w="808" w:type="dxa"/>
            <w:tcBorders>
              <w:top w:val="single" w:color="auto" w:sz="4" w:space="0"/>
              <w:left w:val="single" w:color="auto" w:sz="4" w:space="0"/>
              <w:bottom w:val="single" w:color="auto" w:sz="4" w:space="0"/>
              <w:right w:val="single" w:color="auto" w:sz="4" w:space="0"/>
            </w:tcBorders>
            <w:vAlign w:val="center"/>
          </w:tcPr>
          <w:p w14:paraId="04180CD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58.1</w:t>
            </w:r>
          </w:p>
        </w:tc>
        <w:tc>
          <w:tcPr>
            <w:tcW w:w="808" w:type="dxa"/>
            <w:tcBorders>
              <w:top w:val="single" w:color="auto" w:sz="4" w:space="0"/>
              <w:left w:val="single" w:color="auto" w:sz="4" w:space="0"/>
              <w:bottom w:val="single" w:color="auto" w:sz="4" w:space="0"/>
              <w:right w:val="single" w:color="auto" w:sz="4" w:space="0"/>
            </w:tcBorders>
            <w:vAlign w:val="center"/>
          </w:tcPr>
          <w:p w14:paraId="688A48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56.9</w:t>
            </w:r>
          </w:p>
        </w:tc>
        <w:tc>
          <w:tcPr>
            <w:tcW w:w="951" w:type="dxa"/>
            <w:tcBorders>
              <w:top w:val="single" w:color="auto" w:sz="4" w:space="0"/>
              <w:left w:val="single" w:color="auto" w:sz="4" w:space="0"/>
              <w:bottom w:val="single" w:color="auto" w:sz="4" w:space="0"/>
              <w:right w:val="single" w:color="auto" w:sz="4" w:space="0"/>
            </w:tcBorders>
            <w:vAlign w:val="center"/>
          </w:tcPr>
          <w:p w14:paraId="0D1E88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c>
          <w:tcPr>
            <w:tcW w:w="951" w:type="dxa"/>
            <w:tcBorders>
              <w:top w:val="single" w:color="auto" w:sz="4" w:space="0"/>
              <w:left w:val="single" w:color="auto" w:sz="4" w:space="0"/>
              <w:bottom w:val="single" w:color="auto" w:sz="4" w:space="0"/>
              <w:right w:val="single" w:color="auto" w:sz="4" w:space="0"/>
            </w:tcBorders>
            <w:vAlign w:val="center"/>
          </w:tcPr>
          <w:p w14:paraId="041BF5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53.4</w:t>
            </w:r>
          </w:p>
        </w:tc>
        <w:tc>
          <w:tcPr>
            <w:tcW w:w="951" w:type="dxa"/>
            <w:tcBorders>
              <w:top w:val="single" w:color="auto" w:sz="4" w:space="0"/>
              <w:left w:val="single" w:color="auto" w:sz="4" w:space="0"/>
              <w:bottom w:val="single" w:color="auto" w:sz="4" w:space="0"/>
              <w:right w:val="single" w:color="auto" w:sz="4" w:space="0"/>
            </w:tcBorders>
            <w:vAlign w:val="center"/>
          </w:tcPr>
          <w:p w14:paraId="63532B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52.1</w:t>
            </w:r>
          </w:p>
        </w:tc>
        <w:tc>
          <w:tcPr>
            <w:tcW w:w="951" w:type="dxa"/>
            <w:tcBorders>
              <w:top w:val="single" w:color="auto" w:sz="4" w:space="0"/>
              <w:left w:val="single" w:color="auto" w:sz="4" w:space="0"/>
              <w:bottom w:val="single" w:color="auto" w:sz="4" w:space="0"/>
              <w:right w:val="single" w:color="auto" w:sz="4" w:space="0"/>
            </w:tcBorders>
            <w:vAlign w:val="center"/>
          </w:tcPr>
          <w:p w14:paraId="0F513A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49.9</w:t>
            </w:r>
          </w:p>
        </w:tc>
      </w:tr>
    </w:tbl>
    <w:p w14:paraId="71CD4F51">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由表可见，在距</w:t>
      </w:r>
      <w:r>
        <w:rPr>
          <w:rFonts w:hint="default" w:ascii="Times New Roman" w:hAnsi="Times New Roman" w:eastAsia="宋体" w:cs="Times New Roman"/>
          <w:color w:val="auto"/>
          <w:highlight w:val="none"/>
          <w:lang w:val="en-US" w:eastAsia="zh-CN"/>
        </w:rPr>
        <w:t>噪声</w:t>
      </w:r>
      <w:r>
        <w:rPr>
          <w:rFonts w:hint="default" w:ascii="Times New Roman" w:hAnsi="Times New Roman" w:eastAsia="宋体" w:cs="Times New Roman"/>
          <w:color w:val="auto"/>
          <w:highlight w:val="none"/>
        </w:rPr>
        <w:t>源</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0m以外即可低于《建筑施工场界环境噪声排放标准》（GB12523-2011）表1建筑施工场界环境噪声排放限值</w:t>
      </w:r>
      <w:r>
        <w:rPr>
          <w:rFonts w:hint="default" w:ascii="Times New Roman" w:hAnsi="Times New Roman" w:eastAsia="宋体" w:cs="Times New Roman"/>
          <w:color w:val="auto"/>
          <w:highlight w:val="none"/>
          <w:lang w:eastAsia="zh-CN"/>
        </w:rPr>
        <w:t>中</w:t>
      </w:r>
      <w:r>
        <w:rPr>
          <w:rFonts w:hint="default" w:ascii="Times New Roman" w:hAnsi="Times New Roman" w:eastAsia="宋体" w:cs="Times New Roman"/>
          <w:color w:val="auto"/>
          <w:highlight w:val="none"/>
        </w:rPr>
        <w:t>昼间</w:t>
      </w:r>
      <w:r>
        <w:rPr>
          <w:rFonts w:hint="default" w:ascii="Times New Roman" w:hAnsi="Times New Roman" w:eastAsia="宋体" w:cs="Times New Roman"/>
          <w:color w:val="auto"/>
          <w:highlight w:val="none"/>
          <w:lang w:val="en-US" w:eastAsia="zh-CN"/>
        </w:rPr>
        <w:t>70</w:t>
      </w:r>
      <w:r>
        <w:rPr>
          <w:rFonts w:hint="default" w:ascii="Times New Roman" w:hAnsi="Times New Roman" w:eastAsia="宋体" w:cs="Times New Roman"/>
          <w:color w:val="auto"/>
          <w:highlight w:val="none"/>
        </w:rPr>
        <w:t>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的标准限值，距</w:t>
      </w:r>
      <w:r>
        <w:rPr>
          <w:rFonts w:hint="default" w:ascii="Times New Roman" w:hAnsi="Times New Roman" w:eastAsia="宋体" w:cs="Times New Roman"/>
          <w:color w:val="auto"/>
          <w:highlight w:val="none"/>
          <w:lang w:val="en-US" w:eastAsia="zh-CN"/>
        </w:rPr>
        <w:t>噪声</w:t>
      </w:r>
      <w:r>
        <w:rPr>
          <w:rFonts w:hint="default" w:ascii="Times New Roman" w:hAnsi="Times New Roman" w:eastAsia="宋体" w:cs="Times New Roman"/>
          <w:color w:val="auto"/>
          <w:highlight w:val="none"/>
        </w:rPr>
        <w:t>源120m以外即可低于《建筑施工场界环境噪声排放标准》（GB12523-2011）表1建筑施工场界环境噪声排放限值</w:t>
      </w:r>
      <w:r>
        <w:rPr>
          <w:rFonts w:hint="default" w:ascii="Times New Roman" w:hAnsi="Times New Roman" w:eastAsia="宋体" w:cs="Times New Roman"/>
          <w:color w:val="auto"/>
          <w:highlight w:val="none"/>
          <w:lang w:eastAsia="zh-CN"/>
        </w:rPr>
        <w:t>中</w:t>
      </w:r>
      <w:r>
        <w:rPr>
          <w:rFonts w:hint="default" w:ascii="Times New Roman" w:hAnsi="Times New Roman" w:eastAsia="宋体" w:cs="Times New Roman"/>
          <w:color w:val="auto"/>
          <w:highlight w:val="none"/>
        </w:rPr>
        <w:t>夜间55dB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的标准限值。</w:t>
      </w:r>
    </w:p>
    <w:p w14:paraId="53429409">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本工程建设施工过程中噪声的影响主要在厂界内，对外环境造成影响比较小，属于可以接受水平。</w:t>
      </w:r>
    </w:p>
    <w:p w14:paraId="4CA54A26">
      <w:pPr>
        <w:pStyle w:val="6"/>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415" w:name="_Toc16020"/>
      <w:r>
        <w:rPr>
          <w:rFonts w:hint="default" w:ascii="Times New Roman" w:hAnsi="Times New Roman" w:eastAsia="宋体" w:cs="Times New Roman"/>
          <w:color w:val="auto"/>
          <w:highlight w:val="none"/>
        </w:rPr>
        <w:t>5.1.4固废环境影响分析</w:t>
      </w:r>
      <w:bookmarkEnd w:id="415"/>
    </w:p>
    <w:p w14:paraId="3716286E">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spacing w:val="-2"/>
          <w:highlight w:val="none"/>
        </w:rPr>
      </w:pPr>
      <w:r>
        <w:rPr>
          <w:rFonts w:hint="default" w:ascii="Times New Roman" w:hAnsi="Times New Roman" w:eastAsia="宋体" w:cs="Times New Roman"/>
          <w:color w:val="auto"/>
          <w:highlight w:val="none"/>
        </w:rPr>
        <w:t>施工期的固体废物包括开挖弃土、建筑废料以及施工人员生活垃圾。项目开挖弃土部分用于回填，不产生弃土。建筑弃渣尽量回收利用，不可利用的少量建筑垃圾往政府指定的渣场处理；</w:t>
      </w:r>
      <w:r>
        <w:rPr>
          <w:rFonts w:hint="default" w:ascii="Times New Roman" w:hAnsi="Times New Roman" w:eastAsia="宋体" w:cs="Times New Roman"/>
          <w:color w:val="auto"/>
          <w:spacing w:val="-2"/>
          <w:highlight w:val="none"/>
        </w:rPr>
        <w:t>生活垃圾经垃圾桶收集后定期自行运送至垃圾填埋场填埋处置。</w:t>
      </w:r>
    </w:p>
    <w:p w14:paraId="3159DED7">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针对施工期固废，本次评价要求采取如下污染防治措施：</w:t>
      </w:r>
    </w:p>
    <w:p w14:paraId="50417B53">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①根据施工产生的工程垃圾和渣土的量，分类管理，可利用的渣土尽量在场内周转，就地利用，不可利用的及时清运，以防污染周围水体水质和影响周围环境卫生；</w:t>
      </w:r>
    </w:p>
    <w:p w14:paraId="24BC9598">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②车辆运输散体物料和废物时，必须密闭、包扎、覆盖，不得沿途漏撒；运载土方的车辆必须在规定时间内，按指定路段行驶；</w:t>
      </w:r>
    </w:p>
    <w:p w14:paraId="72AB077D">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③生活垃圾按照30人估算，生活垃圾按每人每天</w:t>
      </w:r>
      <w:r>
        <w:rPr>
          <w:rFonts w:hint="default" w:ascii="Times New Roman" w:hAnsi="Times New Roman" w:eastAsia="宋体" w:cs="Times New Roman"/>
          <w:color w:val="auto"/>
          <w:highlight w:val="none"/>
          <w:lang w:val="en-US" w:eastAsia="zh-CN"/>
        </w:rPr>
        <w:t>0.5</w:t>
      </w:r>
      <w:r>
        <w:rPr>
          <w:rFonts w:hint="default" w:ascii="Times New Roman" w:hAnsi="Times New Roman" w:eastAsia="宋体" w:cs="Times New Roman"/>
          <w:color w:val="auto"/>
          <w:highlight w:val="none"/>
        </w:rPr>
        <w:t>kg计，施工期每天生活垃圾发生量约为</w:t>
      </w:r>
      <w:r>
        <w:rPr>
          <w:rFonts w:hint="default" w:ascii="Times New Roman" w:hAnsi="Times New Roman" w:eastAsia="宋体" w:cs="Times New Roman"/>
          <w:color w:val="auto"/>
          <w:highlight w:val="none"/>
          <w:lang w:val="en-US" w:eastAsia="zh-CN"/>
        </w:rPr>
        <w:t>15kg</w:t>
      </w:r>
      <w:r>
        <w:rPr>
          <w:rFonts w:hint="default" w:ascii="Times New Roman" w:hAnsi="Times New Roman" w:eastAsia="宋体" w:cs="Times New Roman"/>
          <w:color w:val="auto"/>
          <w:highlight w:val="none"/>
        </w:rPr>
        <w:t>，施工期按</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0天计，整个施工期生活垃圾发生量约为3.6t。施工现场应设垃圾回收箱，将产生的生活垃圾和施工垃圾分别收集，并委托环卫部门定期清运。</w:t>
      </w:r>
    </w:p>
    <w:p w14:paraId="5C702617">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④在工程竣工以后，施工单位应立即拆除各种临时施工设施，并负责将工地的剩余建筑垃圾、工程渣土处理干净。</w:t>
      </w:r>
    </w:p>
    <w:p w14:paraId="69AE0742">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采取以上措施后，施工期固废均能得到合理处置，对周围环境的影响较小。</w:t>
      </w:r>
    </w:p>
    <w:p w14:paraId="6179BECF">
      <w:pPr>
        <w:pStyle w:val="6"/>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416" w:name="_Toc17005"/>
      <w:r>
        <w:rPr>
          <w:rFonts w:hint="default" w:ascii="Times New Roman" w:hAnsi="Times New Roman" w:eastAsia="宋体" w:cs="Times New Roman"/>
          <w:color w:val="auto"/>
          <w:highlight w:val="none"/>
        </w:rPr>
        <w:t>5.1.5施工期生态影响分析</w:t>
      </w:r>
      <w:bookmarkEnd w:id="416"/>
    </w:p>
    <w:p w14:paraId="3D215232">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施工期生态影响主要是占地影响，植被破坏影响，现场水土流失影响，景观影响。</w:t>
      </w:r>
    </w:p>
    <w:p w14:paraId="5BE4AA8F">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该区域植被稀疏，群落结构简单，生态环境景观以自然生态为主。项目所在</w:t>
      </w:r>
      <w:r>
        <w:rPr>
          <w:rFonts w:hint="default" w:ascii="Times New Roman" w:hAnsi="Times New Roman" w:eastAsia="宋体" w:cs="Times New Roman"/>
          <w:color w:val="auto"/>
          <w:highlight w:val="none"/>
          <w:lang w:eastAsia="zh-CN"/>
        </w:rPr>
        <w:t>区域</w:t>
      </w:r>
      <w:r>
        <w:rPr>
          <w:rFonts w:hint="default" w:ascii="Times New Roman" w:hAnsi="Times New Roman" w:eastAsia="宋体" w:cs="Times New Roman"/>
          <w:color w:val="auto"/>
          <w:highlight w:val="none"/>
        </w:rPr>
        <w:t>植被以</w:t>
      </w:r>
      <w:r>
        <w:rPr>
          <w:rFonts w:hint="default" w:ascii="Times New Roman" w:hAnsi="Times New Roman" w:eastAsia="宋体" w:cs="Times New Roman"/>
          <w:color w:val="auto"/>
          <w:highlight w:val="none"/>
          <w:lang w:eastAsia="zh-CN"/>
        </w:rPr>
        <w:t>其他草地</w:t>
      </w:r>
      <w:r>
        <w:rPr>
          <w:rFonts w:hint="default" w:ascii="Times New Roman" w:hAnsi="Times New Roman" w:eastAsia="宋体" w:cs="Times New Roman"/>
          <w:color w:val="auto"/>
          <w:highlight w:val="none"/>
        </w:rPr>
        <w:t>为主，主要植物有沙蒿、沙柳等，均为乡间土种，无国家保护的珍稀濒危植物，动物有少量哺乳动物主要有黄鼠、野兔等；爬行动物主要为麻蜥、壁虎等；鸟类主要有喜鹊、啄木鸟、麻雀等，还有种类和数量众多的昆虫。</w:t>
      </w:r>
    </w:p>
    <w:p w14:paraId="115D39A8">
      <w:pPr>
        <w:pStyle w:val="7"/>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417" w:name="_Toc1209"/>
      <w:bookmarkStart w:id="418" w:name="_Toc5074"/>
      <w:bookmarkStart w:id="419" w:name="_Toc18550"/>
      <w:bookmarkStart w:id="420" w:name="_Toc20098"/>
      <w:r>
        <w:rPr>
          <w:rFonts w:hint="default" w:ascii="Times New Roman" w:hAnsi="Times New Roman" w:eastAsia="宋体" w:cs="Times New Roman"/>
          <w:color w:val="auto"/>
          <w:highlight w:val="none"/>
        </w:rPr>
        <w:t>5.1.5.1占地影响</w:t>
      </w:r>
      <w:bookmarkEnd w:id="417"/>
      <w:bookmarkEnd w:id="418"/>
      <w:bookmarkEnd w:id="419"/>
      <w:bookmarkEnd w:id="420"/>
    </w:p>
    <w:p w14:paraId="48CED62D">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占</w:t>
      </w:r>
      <w:r>
        <w:rPr>
          <w:rFonts w:hint="default" w:ascii="Times New Roman" w:hAnsi="Times New Roman" w:eastAsia="宋体" w:cs="Times New Roman"/>
          <w:color w:val="auto"/>
          <w:highlight w:val="none"/>
        </w:rPr>
        <w:t>地面积</w:t>
      </w:r>
      <w:r>
        <w:rPr>
          <w:rFonts w:hint="default"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lang w:eastAsia="zh-CN"/>
        </w:rPr>
        <w:t>5.16</w:t>
      </w:r>
      <w:r>
        <w:rPr>
          <w:rFonts w:hint="default" w:ascii="Times New Roman" w:hAnsi="Times New Roman" w:eastAsia="宋体" w:cs="Times New Roman"/>
          <w:color w:val="auto"/>
          <w:highlight w:val="none"/>
          <w:lang w:val="en-GB"/>
        </w:rPr>
        <w:t>hm</w:t>
      </w:r>
      <w:r>
        <w:rPr>
          <w:rFonts w:hint="default" w:ascii="Times New Roman" w:hAnsi="Times New Roman" w:eastAsia="宋体" w:cs="Times New Roman"/>
          <w:color w:val="auto"/>
          <w:highlight w:val="none"/>
          <w:vertAlign w:val="superscript"/>
          <w:lang w:val="en-GB"/>
        </w:rPr>
        <w:t>2</w:t>
      </w:r>
      <w:r>
        <w:rPr>
          <w:rFonts w:hint="default" w:ascii="Times New Roman" w:hAnsi="Times New Roman" w:eastAsia="宋体" w:cs="Times New Roman"/>
          <w:color w:val="auto"/>
          <w:highlight w:val="none"/>
        </w:rPr>
        <w:t>，占用土地类型为</w:t>
      </w:r>
      <w:r>
        <w:rPr>
          <w:rFonts w:hint="default" w:ascii="Times New Roman" w:hAnsi="Times New Roman" w:eastAsia="宋体" w:cs="Times New Roman"/>
          <w:color w:val="auto"/>
          <w:highlight w:val="none"/>
          <w:lang w:eastAsia="zh-CN"/>
        </w:rPr>
        <w:t>设施农用地</w:t>
      </w:r>
      <w:r>
        <w:rPr>
          <w:rFonts w:hint="default" w:ascii="Times New Roman" w:hAnsi="Times New Roman" w:eastAsia="宋体" w:cs="Times New Roman"/>
          <w:color w:val="auto"/>
          <w:highlight w:val="none"/>
        </w:rPr>
        <w:t>，项目建设将会改变土地的利用性质。</w:t>
      </w:r>
    </w:p>
    <w:p w14:paraId="739F26EF">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施工过程中各种机具车辆碾压和施工人员的践踏及土石的堆放，也会对该区域植被造成较为严重的破坏和影响。管沟、道路两侧5m范围外由于车辆和人员活动较少，对植被的破坏程度较轻。</w:t>
      </w:r>
    </w:p>
    <w:p w14:paraId="2567E498">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保护生态环境降低项目建设对场地产生干扰影响，本次评价要求建设单位做到如下几点：</w:t>
      </w:r>
    </w:p>
    <w:p w14:paraId="046E7D61">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①避免高填深挖，做到少取土，少弃土，少占地，搞好挖填土方平衡，</w:t>
      </w:r>
      <w:r>
        <w:rPr>
          <w:rFonts w:hint="default" w:ascii="Times New Roman" w:hAnsi="Times New Roman" w:eastAsia="宋体" w:cs="Times New Roman"/>
          <w:color w:val="auto"/>
          <w:highlight w:val="none"/>
          <w:lang w:eastAsia="zh-CN"/>
        </w:rPr>
        <w:t>最大限度地减少</w:t>
      </w:r>
      <w:r>
        <w:rPr>
          <w:rFonts w:hint="default" w:ascii="Times New Roman" w:hAnsi="Times New Roman" w:eastAsia="宋体" w:cs="Times New Roman"/>
          <w:color w:val="auto"/>
          <w:highlight w:val="none"/>
        </w:rPr>
        <w:t>临时用地。</w:t>
      </w:r>
    </w:p>
    <w:p w14:paraId="0450DEFB">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②在项目建</w:t>
      </w:r>
      <w:r>
        <w:rPr>
          <w:rFonts w:hint="default" w:ascii="Times New Roman" w:hAnsi="Times New Roman" w:eastAsia="宋体" w:cs="Times New Roman"/>
          <w:color w:val="auto"/>
          <w:highlight w:val="none"/>
          <w:lang w:eastAsia="zh-CN"/>
        </w:rPr>
        <w:t>设中</w:t>
      </w:r>
      <w:r>
        <w:rPr>
          <w:rFonts w:hint="default" w:ascii="Times New Roman" w:hAnsi="Times New Roman" w:eastAsia="宋体" w:cs="Times New Roman"/>
          <w:color w:val="auto"/>
          <w:highlight w:val="none"/>
        </w:rPr>
        <w:t>充分利用地块内原有的地形地貌，依山就势进行规划设计，在尽量少破坏原有生态的基础上营造优美的园区环境。</w:t>
      </w:r>
    </w:p>
    <w:p w14:paraId="2F9A906E">
      <w:pPr>
        <w:pStyle w:val="7"/>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421" w:name="_Toc24764"/>
      <w:bookmarkStart w:id="422" w:name="_Toc12634"/>
      <w:bookmarkStart w:id="423" w:name="_Toc23093"/>
      <w:bookmarkStart w:id="424" w:name="_Toc22558"/>
      <w:r>
        <w:rPr>
          <w:rFonts w:hint="default" w:ascii="Times New Roman" w:hAnsi="Times New Roman" w:eastAsia="宋体" w:cs="Times New Roman"/>
          <w:color w:val="auto"/>
          <w:highlight w:val="none"/>
        </w:rPr>
        <w:t>5.1.5.2植被破坏影响</w:t>
      </w:r>
      <w:bookmarkEnd w:id="421"/>
      <w:bookmarkEnd w:id="422"/>
      <w:bookmarkEnd w:id="423"/>
      <w:bookmarkEnd w:id="424"/>
    </w:p>
    <w:p w14:paraId="224DF16D">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所在地的植被结构以野生草丛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14:paraId="0546F87C">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工程填挖方均占压和清除一定数量的地表植物，使填挖区被生土覆盖或出露生土，植物恢复</w:t>
      </w:r>
      <w:r>
        <w:rPr>
          <w:rFonts w:hint="default" w:ascii="Times New Roman" w:hAnsi="Times New Roman" w:eastAsia="宋体" w:cs="Times New Roman"/>
          <w:color w:val="auto"/>
          <w:highlight w:val="none"/>
          <w:lang w:eastAsia="zh-CN"/>
        </w:rPr>
        <w:t>需</w:t>
      </w:r>
      <w:r>
        <w:rPr>
          <w:rFonts w:hint="default" w:ascii="Times New Roman" w:hAnsi="Times New Roman" w:eastAsia="宋体" w:cs="Times New Roman"/>
          <w:color w:val="auto"/>
          <w:highlight w:val="none"/>
        </w:rPr>
        <w:t>经过较长时间。此外，石灰、砂石料的堆放也需占压一定的植物，尤其是</w:t>
      </w:r>
      <w:r>
        <w:rPr>
          <w:rFonts w:hint="default" w:ascii="Times New Roman" w:hAnsi="Times New Roman" w:eastAsia="宋体" w:cs="Times New Roman"/>
          <w:color w:val="auto"/>
          <w:highlight w:val="none"/>
          <w:lang w:eastAsia="zh-CN"/>
        </w:rPr>
        <w:t>混凝</w:t>
      </w:r>
      <w:r>
        <w:rPr>
          <w:rFonts w:hint="default" w:ascii="Times New Roman" w:hAnsi="Times New Roman" w:eastAsia="宋体" w:cs="Times New Roman"/>
          <w:color w:val="auto"/>
          <w:highlight w:val="none"/>
        </w:rPr>
        <w:t>土的抛撒，可造成附近土壤板结，影响植物生长。</w:t>
      </w:r>
    </w:p>
    <w:p w14:paraId="057655B6">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由于项目区沿线群落植物种类均为区域常见和广布种，因此工程施工对沿线生物多样性的影响相对较小。</w:t>
      </w:r>
    </w:p>
    <w:p w14:paraId="55329D57">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所在地无自然保护区、风景名胜区等。项目在此建设，会使场地植被覆盖率降低，动物栖息地受到破坏，在被占土地上生长的陆生生物也将受到不可逆影响。由于该区域内受影响的植被中无珍稀濒危种类，受影响的植被为评价区域内常见的植被，因此，本项目工程占地对植被的影响较小。</w:t>
      </w:r>
    </w:p>
    <w:p w14:paraId="7FA1D594">
      <w:pPr>
        <w:pStyle w:val="7"/>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425" w:name="_Toc16523"/>
      <w:bookmarkStart w:id="426" w:name="_Toc29817"/>
      <w:bookmarkStart w:id="427" w:name="_Toc32429"/>
      <w:bookmarkStart w:id="428" w:name="_Toc11289"/>
      <w:r>
        <w:rPr>
          <w:rFonts w:hint="default" w:ascii="Times New Roman" w:hAnsi="Times New Roman" w:eastAsia="宋体" w:cs="Times New Roman"/>
          <w:color w:val="auto"/>
          <w:highlight w:val="none"/>
        </w:rPr>
        <w:t>5.1.5.3水土流失影响分析</w:t>
      </w:r>
      <w:bookmarkEnd w:id="425"/>
      <w:bookmarkEnd w:id="426"/>
      <w:bookmarkEnd w:id="427"/>
      <w:bookmarkEnd w:id="428"/>
    </w:p>
    <w:p w14:paraId="76338DB9">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本项目施工期土方包括</w:t>
      </w:r>
      <w:r>
        <w:rPr>
          <w:rFonts w:hint="default" w:ascii="Times New Roman" w:hAnsi="Times New Roman" w:eastAsia="宋体" w:cs="Times New Roman"/>
          <w:color w:val="auto"/>
          <w:highlight w:val="none"/>
          <w:lang w:eastAsia="zh-CN"/>
        </w:rPr>
        <w:t>主体工程</w:t>
      </w:r>
      <w:r>
        <w:rPr>
          <w:rFonts w:hint="default" w:ascii="Times New Roman" w:hAnsi="Times New Roman" w:eastAsia="宋体" w:cs="Times New Roman"/>
          <w:color w:val="auto"/>
          <w:highlight w:val="none"/>
        </w:rPr>
        <w:t>表土</w:t>
      </w:r>
      <w:r>
        <w:rPr>
          <w:rFonts w:hint="default" w:ascii="Times New Roman" w:hAnsi="Times New Roman" w:eastAsia="宋体" w:cs="Times New Roman"/>
          <w:color w:val="auto"/>
          <w:highlight w:val="none"/>
          <w:lang w:eastAsia="zh-CN"/>
        </w:rPr>
        <w:t>剥离</w:t>
      </w:r>
      <w:r>
        <w:rPr>
          <w:rFonts w:hint="default" w:ascii="Times New Roman" w:hAnsi="Times New Roman" w:eastAsia="宋体" w:cs="Times New Roman"/>
          <w:color w:val="auto"/>
          <w:highlight w:val="none"/>
        </w:rPr>
        <w:t>及基础开挖等产生的土方，以及表土剥离时产生的土方，本项目施工期无弃土，不设置弃土场。</w:t>
      </w:r>
    </w:p>
    <w:p w14:paraId="1E570475">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建设土石方工程量较小，施工过程中通过设临时排洪沟等必要的防护措施，可以有效减少水土流失量，并且随着施工后期各类建筑物的竣工，地面硬化，植被的恢复，各类建筑物的竣工，裸露地面将大大减少，水土流失量较建设前将大为减轻。因此，只要在施工过程中切实落实绿化等环保措施，该项目水土流失的影响很轻</w:t>
      </w:r>
      <w:r>
        <w:rPr>
          <w:rFonts w:hint="default" w:ascii="Times New Roman" w:hAnsi="Times New Roman" w:eastAsia="宋体" w:cs="Times New Roman"/>
          <w:color w:val="auto"/>
          <w:highlight w:val="none"/>
          <w:lang w:eastAsia="zh-CN"/>
        </w:rPr>
        <w:t>。</w:t>
      </w:r>
    </w:p>
    <w:p w14:paraId="0A650B1A">
      <w:pPr>
        <w:pStyle w:val="7"/>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429" w:name="_Toc3620"/>
      <w:bookmarkStart w:id="430" w:name="_Toc32473"/>
      <w:bookmarkStart w:id="431" w:name="_Toc12743"/>
      <w:bookmarkStart w:id="432" w:name="_Toc16998"/>
      <w:r>
        <w:rPr>
          <w:rFonts w:hint="default" w:ascii="Times New Roman" w:hAnsi="Times New Roman" w:eastAsia="宋体" w:cs="Times New Roman"/>
          <w:color w:val="auto"/>
          <w:highlight w:val="none"/>
        </w:rPr>
        <w:t>5.1.5.4对陆生动物的影响</w:t>
      </w:r>
      <w:bookmarkEnd w:id="429"/>
      <w:bookmarkEnd w:id="430"/>
      <w:bookmarkEnd w:id="431"/>
      <w:bookmarkEnd w:id="432"/>
    </w:p>
    <w:p w14:paraId="62326922">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间，对两栖动物和爬行动物的活动有一定的影响，但它们会迁移到非施工区，但对其生存不会造成威胁。施工期间，临时征地区域的鸟类和兽类将被迫离开原来的领域，邻近领域的鸟类和兽类，由于受到施工噪声的惊吓，也将远离原来的栖息地，当临时占地的植被恢复后，它们仍可回到原来的领域。</w:t>
      </w:r>
    </w:p>
    <w:p w14:paraId="0D11A0ED">
      <w:pPr>
        <w:pageBreakBefore w:val="0"/>
        <w:widowControl w:val="0"/>
        <w:shd w:val="clear"/>
        <w:kinsoku/>
        <w:wordWrap/>
        <w:overflowPunct/>
        <w:autoSpaceDE w:val="0"/>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本项目施工范围大多选择在永久占地范围内，在周围区域是同一个植被类型，因此，在永久占地</w:t>
      </w:r>
      <w:r>
        <w:rPr>
          <w:rFonts w:hint="default" w:ascii="Times New Roman" w:hAnsi="Times New Roman" w:eastAsia="宋体" w:cs="Times New Roman"/>
          <w:color w:val="auto"/>
          <w:highlight w:val="none"/>
          <w:lang w:eastAsia="zh-CN"/>
        </w:rPr>
        <w:t>范围</w:t>
      </w:r>
      <w:r>
        <w:rPr>
          <w:rFonts w:hint="default" w:ascii="Times New Roman" w:hAnsi="Times New Roman" w:eastAsia="宋体" w:cs="Times New Roman"/>
          <w:color w:val="auto"/>
          <w:highlight w:val="none"/>
        </w:rPr>
        <w:t>上有许多动物的替代生境，动物比较容易找到新的栖息场所。由于项目施工范围小，工程建设对野生动物影响的范围不大且影响时间较短，因此对动物不会造成大的影响。同时可随植被的恢复而缓解、消失。拟建管线经过的区域，当植被恢复后，它们仍可回到原来的领域。</w:t>
      </w:r>
    </w:p>
    <w:p w14:paraId="36BB09E2">
      <w:pPr>
        <w:pStyle w:val="7"/>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433" w:name="_Toc31951"/>
      <w:bookmarkStart w:id="434" w:name="_Toc24715"/>
      <w:bookmarkStart w:id="435" w:name="_Toc4982"/>
      <w:bookmarkStart w:id="436" w:name="_Toc19579"/>
      <w:r>
        <w:rPr>
          <w:rFonts w:hint="default" w:ascii="Times New Roman" w:hAnsi="Times New Roman" w:eastAsia="宋体" w:cs="Times New Roman"/>
          <w:color w:val="auto"/>
          <w:highlight w:val="none"/>
        </w:rPr>
        <w:t>5.1.5.5景观影响</w:t>
      </w:r>
      <w:bookmarkEnd w:id="433"/>
      <w:bookmarkEnd w:id="434"/>
      <w:bookmarkEnd w:id="435"/>
      <w:bookmarkEnd w:id="436"/>
    </w:p>
    <w:p w14:paraId="68B60506">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w:t>
      </w:r>
      <w:r>
        <w:rPr>
          <w:rFonts w:hint="default" w:ascii="Times New Roman" w:hAnsi="Times New Roman" w:eastAsia="宋体" w:cs="Times New Roman"/>
          <w:color w:val="auto"/>
          <w:highlight w:val="none"/>
          <w:lang w:eastAsia="zh-CN"/>
        </w:rPr>
        <w:t>过程中将</w:t>
      </w:r>
      <w:r>
        <w:rPr>
          <w:rFonts w:hint="default" w:ascii="Times New Roman" w:hAnsi="Times New Roman" w:eastAsia="宋体" w:cs="Times New Roman"/>
          <w:color w:val="auto"/>
          <w:highlight w:val="none"/>
        </w:rPr>
        <w:t>会存在裸露地表，造成原有自然地形破坏、杂乱，造成裸露山坡和凌乱的土堆；施工中尚未竣工部分和工地内运转的建筑机械、无序堆放的建筑材料和建筑垃圾，也将造成杂乱现象，有些还会持续到运营初期；项目在施工期内将增加周围地区的扬尘量，给人空气污浊的感觉，也会严重影响美感。环评要求建设单位尽量规范建筑施工材料的堆放，避开植被密集区，保护好现有环境。</w:t>
      </w:r>
    </w:p>
    <w:p w14:paraId="26D0423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w:t>
      </w:r>
      <w:r>
        <w:rPr>
          <w:rFonts w:hint="default" w:ascii="Times New Roman" w:hAnsi="Times New Roman" w:eastAsia="宋体" w:cs="Times New Roman"/>
          <w:color w:val="auto"/>
          <w:highlight w:val="none"/>
          <w:lang w:eastAsia="zh-CN"/>
        </w:rPr>
        <w:t>影响区</w:t>
      </w:r>
      <w:r>
        <w:rPr>
          <w:rFonts w:hint="default" w:ascii="Times New Roman" w:hAnsi="Times New Roman" w:eastAsia="宋体" w:cs="Times New Roman"/>
          <w:color w:val="auto"/>
          <w:highlight w:val="none"/>
        </w:rPr>
        <w:t>的植被在自然状态下，2～3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14:paraId="2C7A9CC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总体而言，项目建设对其所在</w:t>
      </w:r>
      <w:r>
        <w:rPr>
          <w:rFonts w:hint="default"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区域生物多样性的影响甚微，本项目对生态环境影响是可以接受的。</w:t>
      </w:r>
    </w:p>
    <w:p w14:paraId="7EFA66B5">
      <w:pPr>
        <w:pStyle w:val="4"/>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437" w:name="_Toc1092"/>
      <w:r>
        <w:rPr>
          <w:rFonts w:hint="default" w:ascii="Times New Roman" w:hAnsi="Times New Roman" w:eastAsia="宋体" w:cs="Times New Roman"/>
          <w:color w:val="auto"/>
          <w:highlight w:val="none"/>
        </w:rPr>
        <w:t>5.2运营期大气环境影响分析</w:t>
      </w:r>
      <w:bookmarkEnd w:id="437"/>
    </w:p>
    <w:p w14:paraId="50CFEC8B">
      <w:pPr>
        <w:pStyle w:val="6"/>
        <w:pageBreakBefore w:val="0"/>
        <w:widowControl w:val="0"/>
        <w:shd w:val="clear"/>
        <w:kinsoku/>
        <w:wordWrap/>
        <w:overflowPunct/>
        <w:autoSpaceDE w:val="0"/>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FF0000"/>
          <w:highlight w:val="none"/>
        </w:rPr>
      </w:pPr>
      <w:bookmarkStart w:id="438" w:name="_Toc46421131"/>
      <w:bookmarkStart w:id="439" w:name="_Toc12377"/>
      <w:r>
        <w:rPr>
          <w:rFonts w:hint="default" w:ascii="Times New Roman" w:hAnsi="Times New Roman" w:eastAsia="宋体" w:cs="Times New Roman"/>
          <w:color w:val="FF0000"/>
          <w:highlight w:val="none"/>
        </w:rPr>
        <w:t>5.2.1区域气象资料</w:t>
      </w:r>
      <w:bookmarkEnd w:id="438"/>
      <w:bookmarkEnd w:id="439"/>
    </w:p>
    <w:p w14:paraId="4F9FAEC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bookmarkStart w:id="440" w:name="_Toc8938"/>
      <w:bookmarkStart w:id="441" w:name="_Toc15478"/>
      <w:bookmarkStart w:id="442" w:name="_Toc10555"/>
      <w:r>
        <w:rPr>
          <w:rFonts w:hint="default" w:ascii="Times New Roman" w:hAnsi="Times New Roman" w:eastAsia="宋体" w:cs="Times New Roman"/>
          <w:color w:val="FF0000"/>
          <w:sz w:val="24"/>
          <w:szCs w:val="24"/>
          <w:highlight w:val="none"/>
        </w:rPr>
        <w:t>本次评价气象资料采用巴彦淖尔市五原县气象站数据，五原县气象站地理坐标为北纬108.16°，东经41.06°，观测场海拔高度1023.7m。该地区属于中温带大陆性气候区。其气候特征主要表现为冬季漫长寒冷、春季干旱多风、夏季短促温凉、秋季气温剧降。具有日照充足，降水量少，干燥多风的特点。</w:t>
      </w:r>
    </w:p>
    <w:p w14:paraId="3B6F25F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1、地面气象要素</w:t>
      </w:r>
    </w:p>
    <w:p w14:paraId="2512B70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各气象要素统计见下表。</w:t>
      </w:r>
    </w:p>
    <w:p w14:paraId="06780264">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表</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rPr>
        <w:t>-1</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rPr>
        <w:t>五原县近二十年（2004-2023年）气象要素特征表</w:t>
      </w:r>
    </w:p>
    <w:tbl>
      <w:tblPr>
        <w:tblStyle w:val="4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2080"/>
        <w:gridCol w:w="2056"/>
        <w:gridCol w:w="2086"/>
      </w:tblGrid>
      <w:tr w14:paraId="0013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47497C8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vertAlign w:val="baseline"/>
              </w:rPr>
            </w:pPr>
            <w:r>
              <w:rPr>
                <w:rFonts w:hint="default" w:ascii="Times New Roman" w:hAnsi="Times New Roman" w:eastAsia="宋体" w:cs="Times New Roman"/>
                <w:b/>
                <w:bCs/>
                <w:color w:val="FF0000"/>
                <w:sz w:val="21"/>
                <w:szCs w:val="21"/>
                <w:highlight w:val="none"/>
                <w:vertAlign w:val="baseline"/>
              </w:rPr>
              <w:t>项目</w:t>
            </w:r>
          </w:p>
        </w:tc>
        <w:tc>
          <w:tcPr>
            <w:tcW w:w="2130" w:type="dxa"/>
            <w:vAlign w:val="center"/>
          </w:tcPr>
          <w:p w14:paraId="778274D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vertAlign w:val="baseline"/>
              </w:rPr>
            </w:pPr>
            <w:r>
              <w:rPr>
                <w:rFonts w:hint="default" w:ascii="Times New Roman" w:hAnsi="Times New Roman" w:eastAsia="宋体" w:cs="Times New Roman"/>
                <w:b/>
                <w:bCs/>
                <w:color w:val="FF0000"/>
                <w:sz w:val="21"/>
                <w:szCs w:val="21"/>
                <w:highlight w:val="none"/>
                <w:vertAlign w:val="baseline"/>
              </w:rPr>
              <w:t>数值</w:t>
            </w:r>
          </w:p>
        </w:tc>
        <w:tc>
          <w:tcPr>
            <w:tcW w:w="2131" w:type="dxa"/>
            <w:vAlign w:val="center"/>
          </w:tcPr>
          <w:p w14:paraId="1B24E6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vertAlign w:val="baseline"/>
              </w:rPr>
            </w:pPr>
            <w:r>
              <w:rPr>
                <w:rFonts w:hint="default" w:ascii="Times New Roman" w:hAnsi="Times New Roman" w:eastAsia="宋体" w:cs="Times New Roman"/>
                <w:b/>
                <w:bCs/>
                <w:color w:val="FF0000"/>
                <w:sz w:val="21"/>
                <w:szCs w:val="21"/>
                <w:highlight w:val="none"/>
                <w:vertAlign w:val="baseline"/>
              </w:rPr>
              <w:t>项目</w:t>
            </w:r>
          </w:p>
        </w:tc>
        <w:tc>
          <w:tcPr>
            <w:tcW w:w="2131" w:type="dxa"/>
            <w:vAlign w:val="center"/>
          </w:tcPr>
          <w:p w14:paraId="3F93519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FF0000"/>
                <w:sz w:val="21"/>
                <w:szCs w:val="21"/>
                <w:highlight w:val="none"/>
                <w:vertAlign w:val="baseline"/>
              </w:rPr>
            </w:pPr>
            <w:r>
              <w:rPr>
                <w:rFonts w:hint="default" w:ascii="Times New Roman" w:hAnsi="Times New Roman" w:eastAsia="宋体" w:cs="Times New Roman"/>
                <w:b/>
                <w:bCs/>
                <w:color w:val="FF0000"/>
                <w:sz w:val="21"/>
                <w:szCs w:val="21"/>
                <w:highlight w:val="none"/>
                <w:vertAlign w:val="baseline"/>
              </w:rPr>
              <w:t>数值</w:t>
            </w:r>
          </w:p>
        </w:tc>
      </w:tr>
      <w:tr w14:paraId="04AB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10A55F1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年平均气温</w:t>
            </w:r>
          </w:p>
        </w:tc>
        <w:tc>
          <w:tcPr>
            <w:tcW w:w="2130" w:type="dxa"/>
            <w:vAlign w:val="center"/>
          </w:tcPr>
          <w:p w14:paraId="084781D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8.1℃</w:t>
            </w:r>
          </w:p>
        </w:tc>
        <w:tc>
          <w:tcPr>
            <w:tcW w:w="2131" w:type="dxa"/>
            <w:vAlign w:val="center"/>
          </w:tcPr>
          <w:p w14:paraId="0BE5DB1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年平均降水量</w:t>
            </w:r>
          </w:p>
        </w:tc>
        <w:tc>
          <w:tcPr>
            <w:tcW w:w="2131" w:type="dxa"/>
            <w:vAlign w:val="center"/>
          </w:tcPr>
          <w:p w14:paraId="7B0C3B9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170.3mm</w:t>
            </w:r>
          </w:p>
        </w:tc>
      </w:tr>
      <w:tr w14:paraId="6B11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7625D8B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年极端最高气温</w:t>
            </w:r>
          </w:p>
        </w:tc>
        <w:tc>
          <w:tcPr>
            <w:tcW w:w="2130" w:type="dxa"/>
            <w:vAlign w:val="center"/>
          </w:tcPr>
          <w:p w14:paraId="4201685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36℃</w:t>
            </w:r>
          </w:p>
        </w:tc>
        <w:tc>
          <w:tcPr>
            <w:tcW w:w="2131" w:type="dxa"/>
            <w:vAlign w:val="center"/>
          </w:tcPr>
          <w:p w14:paraId="5853863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年极端最高降水量</w:t>
            </w:r>
          </w:p>
        </w:tc>
        <w:tc>
          <w:tcPr>
            <w:tcW w:w="2131" w:type="dxa"/>
            <w:vAlign w:val="center"/>
          </w:tcPr>
          <w:p w14:paraId="176D823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503.9mm</w:t>
            </w:r>
          </w:p>
        </w:tc>
      </w:tr>
      <w:tr w14:paraId="1680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6CBFACB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年极端最低气温</w:t>
            </w:r>
          </w:p>
        </w:tc>
        <w:tc>
          <w:tcPr>
            <w:tcW w:w="2130" w:type="dxa"/>
            <w:vAlign w:val="center"/>
          </w:tcPr>
          <w:p w14:paraId="46FF719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-23.7℃</w:t>
            </w:r>
          </w:p>
        </w:tc>
        <w:tc>
          <w:tcPr>
            <w:tcW w:w="2131" w:type="dxa"/>
            <w:vAlign w:val="center"/>
          </w:tcPr>
          <w:p w14:paraId="7C10794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年最大风速</w:t>
            </w:r>
          </w:p>
        </w:tc>
        <w:tc>
          <w:tcPr>
            <w:tcW w:w="2131" w:type="dxa"/>
            <w:vAlign w:val="center"/>
          </w:tcPr>
          <w:p w14:paraId="33D57A3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21.7m/s</w:t>
            </w:r>
          </w:p>
        </w:tc>
      </w:tr>
      <w:tr w14:paraId="3C5A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493F25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年平均气压</w:t>
            </w:r>
          </w:p>
        </w:tc>
        <w:tc>
          <w:tcPr>
            <w:tcW w:w="2130" w:type="dxa"/>
            <w:vAlign w:val="center"/>
          </w:tcPr>
          <w:p w14:paraId="724A921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899.8hPa</w:t>
            </w:r>
          </w:p>
        </w:tc>
        <w:tc>
          <w:tcPr>
            <w:tcW w:w="2131" w:type="dxa"/>
            <w:vAlign w:val="center"/>
          </w:tcPr>
          <w:p w14:paraId="6254ED5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年最大冻土深度</w:t>
            </w:r>
          </w:p>
        </w:tc>
        <w:tc>
          <w:tcPr>
            <w:tcW w:w="2131" w:type="dxa"/>
            <w:vAlign w:val="center"/>
          </w:tcPr>
          <w:p w14:paraId="1C2D0A7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1274cm</w:t>
            </w:r>
          </w:p>
        </w:tc>
      </w:tr>
      <w:tr w14:paraId="6600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3ADC188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年平均相对湿度</w:t>
            </w:r>
          </w:p>
        </w:tc>
        <w:tc>
          <w:tcPr>
            <w:tcW w:w="2130" w:type="dxa"/>
            <w:vAlign w:val="center"/>
          </w:tcPr>
          <w:p w14:paraId="285BAF5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50.4%</w:t>
            </w:r>
          </w:p>
        </w:tc>
        <w:tc>
          <w:tcPr>
            <w:tcW w:w="2131" w:type="dxa"/>
            <w:vAlign w:val="center"/>
          </w:tcPr>
          <w:p w14:paraId="5B389E2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年平均蒸发量</w:t>
            </w:r>
          </w:p>
        </w:tc>
        <w:tc>
          <w:tcPr>
            <w:tcW w:w="2131" w:type="dxa"/>
            <w:vAlign w:val="center"/>
          </w:tcPr>
          <w:p w14:paraId="7ECCC63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2093.2mm</w:t>
            </w:r>
          </w:p>
        </w:tc>
      </w:tr>
      <w:tr w14:paraId="524C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vAlign w:val="center"/>
          </w:tcPr>
          <w:p w14:paraId="1A42E55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年平均风速</w:t>
            </w:r>
          </w:p>
        </w:tc>
        <w:tc>
          <w:tcPr>
            <w:tcW w:w="2130" w:type="dxa"/>
            <w:vAlign w:val="center"/>
          </w:tcPr>
          <w:p w14:paraId="698CA99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2.0m/s</w:t>
            </w:r>
          </w:p>
        </w:tc>
        <w:tc>
          <w:tcPr>
            <w:tcW w:w="2131" w:type="dxa"/>
            <w:vAlign w:val="center"/>
          </w:tcPr>
          <w:p w14:paraId="3B24D90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p>
        </w:tc>
        <w:tc>
          <w:tcPr>
            <w:tcW w:w="2131" w:type="dxa"/>
            <w:vAlign w:val="center"/>
          </w:tcPr>
          <w:p w14:paraId="5557BC0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vertAlign w:val="baseline"/>
              </w:rPr>
            </w:pPr>
          </w:p>
        </w:tc>
      </w:tr>
    </w:tbl>
    <w:p w14:paraId="0ACD3862">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2、地面气温的变化特征</w:t>
      </w:r>
    </w:p>
    <w:p w14:paraId="531C18C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2004-2023年五原气象站07月气温最高（24.3℃），01月气温最低（-11.1℃），近20年极端最高气温出现在2009-06-25（38.0℃），近20年极端最低气温出现在2008-01-24（-29.0℃）。</w:t>
      </w:r>
    </w:p>
    <w:p w14:paraId="59926BD7">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668395"/>
            <wp:effectExtent l="0" t="0" r="1905"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7"/>
                    <a:stretch>
                      <a:fillRect/>
                    </a:stretch>
                  </pic:blipFill>
                  <pic:spPr>
                    <a:xfrm>
                      <a:off x="0" y="0"/>
                      <a:ext cx="5255895" cy="3668395"/>
                    </a:xfrm>
                    <a:prstGeom prst="rect">
                      <a:avLst/>
                    </a:prstGeom>
                    <a:noFill/>
                    <a:ln>
                      <a:noFill/>
                    </a:ln>
                  </pic:spPr>
                </pic:pic>
              </a:graphicData>
            </a:graphic>
          </wp:inline>
        </w:drawing>
      </w:r>
    </w:p>
    <w:p w14:paraId="35BF2C33">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sz w:val="24"/>
          <w:szCs w:val="24"/>
          <w:highlight w:val="none"/>
          <w:lang w:eastAsia="zh-CN"/>
        </w:rPr>
        <w:t>图</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lang w:eastAsia="zh-CN"/>
        </w:rPr>
        <w:t>-1</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lang w:eastAsia="zh-CN"/>
        </w:rPr>
        <w:t>2004-2023年五原站平均气温月际变化</w:t>
      </w:r>
    </w:p>
    <w:p w14:paraId="0DCC7766">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408045"/>
            <wp:effectExtent l="0" t="0" r="1905"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8"/>
                    <a:stretch>
                      <a:fillRect/>
                    </a:stretch>
                  </pic:blipFill>
                  <pic:spPr>
                    <a:xfrm>
                      <a:off x="0" y="0"/>
                      <a:ext cx="5255895" cy="3408045"/>
                    </a:xfrm>
                    <a:prstGeom prst="rect">
                      <a:avLst/>
                    </a:prstGeom>
                    <a:noFill/>
                    <a:ln>
                      <a:noFill/>
                    </a:ln>
                  </pic:spPr>
                </pic:pic>
              </a:graphicData>
            </a:graphic>
          </wp:inline>
        </w:drawing>
      </w:r>
    </w:p>
    <w:p w14:paraId="2B34B75B">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sz w:val="24"/>
          <w:szCs w:val="24"/>
          <w:highlight w:val="none"/>
          <w:lang w:eastAsia="zh-CN"/>
        </w:rPr>
        <w:t>图</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lang w:eastAsia="zh-CN"/>
        </w:rPr>
        <w:t>-2</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lang w:eastAsia="zh-CN"/>
        </w:rPr>
        <w:t>五原（2004-2023）年平均气温（单位：℃，虚线为趋势线）</w:t>
      </w:r>
    </w:p>
    <w:p w14:paraId="09EFA09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lang w:eastAsia="zh-CN"/>
        </w:rPr>
        <w:t>3、地面风向、风速的统计特征</w:t>
      </w:r>
    </w:p>
    <w:p w14:paraId="73A5866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lang w:eastAsia="zh-CN"/>
        </w:rPr>
        <w:t>五原县气象站地处内蒙古中部，该地地面风的变化规律：春季由于冷暖气团交绥，气旋活动频繁，地表覆盖度较差，故多风沙天气；夏季由于降水相对集中，当锋面过境可伴有雷雨和大风天气，瞬时风速较大；秋季虽为冷暖气团的交替时期，但此时气团活动远不如春季活动频繁，因此风沙天气较少；冬季常处于稳定的大气层结，风速较小。</w:t>
      </w:r>
    </w:p>
    <w:p w14:paraId="19E4B8C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lang w:eastAsia="zh-CN"/>
        </w:rPr>
        <w:t>（1）地面风向的基本特征</w:t>
      </w:r>
    </w:p>
    <w:p w14:paraId="312C1B4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lang w:eastAsia="zh-CN"/>
        </w:rPr>
        <w:t>2004</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eastAsia="zh-CN"/>
        </w:rPr>
        <w:t>2023年五原气象站累年最多风向为NE和ENE风，风向频率为19.754%，其中以ENE为主风向，占到全年的9.974%左右。</w:t>
      </w:r>
    </w:p>
    <w:p w14:paraId="7C9E6987">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FF0000"/>
          <w:sz w:val="24"/>
          <w:szCs w:val="24"/>
          <w:highlight w:val="none"/>
          <w:lang w:eastAsia="zh-CN"/>
        </w:rPr>
      </w:pPr>
      <w:r>
        <w:rPr>
          <w:rFonts w:hint="default" w:ascii="Times New Roman" w:hAnsi="Times New Roman" w:eastAsia="宋体" w:cs="Times New Roman"/>
          <w:b/>
          <w:bCs/>
          <w:color w:val="FF0000"/>
          <w:sz w:val="24"/>
          <w:szCs w:val="24"/>
          <w:highlight w:val="none"/>
          <w:lang w:eastAsia="zh-CN"/>
        </w:rPr>
        <w:t>表</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lang w:eastAsia="zh-CN"/>
        </w:rPr>
        <w:t>-2</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lang w:eastAsia="zh-CN"/>
        </w:rPr>
        <w:t>五原气象站月风向频率统计（单位%）</w:t>
      </w:r>
    </w:p>
    <w:tbl>
      <w:tblPr>
        <w:tblStyle w:val="4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472"/>
        <w:gridCol w:w="472"/>
        <w:gridCol w:w="472"/>
        <w:gridCol w:w="472"/>
        <w:gridCol w:w="472"/>
        <w:gridCol w:w="472"/>
        <w:gridCol w:w="472"/>
        <w:gridCol w:w="472"/>
        <w:gridCol w:w="472"/>
        <w:gridCol w:w="473"/>
        <w:gridCol w:w="473"/>
        <w:gridCol w:w="473"/>
        <w:gridCol w:w="473"/>
        <w:gridCol w:w="473"/>
        <w:gridCol w:w="473"/>
        <w:gridCol w:w="473"/>
        <w:gridCol w:w="473"/>
      </w:tblGrid>
      <w:tr w14:paraId="5A83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7B4D77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风向</w:t>
            </w:r>
          </w:p>
          <w:p w14:paraId="7F2257D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频率</w:t>
            </w:r>
          </w:p>
          <w:p w14:paraId="4FE80B8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月份</w:t>
            </w:r>
          </w:p>
        </w:tc>
        <w:tc>
          <w:tcPr>
            <w:tcW w:w="250" w:type="pct"/>
            <w:vAlign w:val="center"/>
          </w:tcPr>
          <w:p w14:paraId="5FC565F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N</w:t>
            </w:r>
          </w:p>
        </w:tc>
        <w:tc>
          <w:tcPr>
            <w:tcW w:w="250" w:type="pct"/>
            <w:vAlign w:val="center"/>
          </w:tcPr>
          <w:p w14:paraId="35B826A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NNE</w:t>
            </w:r>
          </w:p>
        </w:tc>
        <w:tc>
          <w:tcPr>
            <w:tcW w:w="250" w:type="pct"/>
            <w:vAlign w:val="center"/>
          </w:tcPr>
          <w:p w14:paraId="69815B1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NE</w:t>
            </w:r>
          </w:p>
        </w:tc>
        <w:tc>
          <w:tcPr>
            <w:tcW w:w="250" w:type="pct"/>
            <w:vAlign w:val="center"/>
          </w:tcPr>
          <w:p w14:paraId="035CCC1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ENE</w:t>
            </w:r>
          </w:p>
        </w:tc>
        <w:tc>
          <w:tcPr>
            <w:tcW w:w="250" w:type="pct"/>
            <w:vAlign w:val="center"/>
          </w:tcPr>
          <w:p w14:paraId="33BFB61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E</w:t>
            </w:r>
          </w:p>
        </w:tc>
        <w:tc>
          <w:tcPr>
            <w:tcW w:w="250" w:type="pct"/>
            <w:vAlign w:val="center"/>
          </w:tcPr>
          <w:p w14:paraId="44D7ED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ESE</w:t>
            </w:r>
          </w:p>
        </w:tc>
        <w:tc>
          <w:tcPr>
            <w:tcW w:w="250" w:type="pct"/>
            <w:vAlign w:val="center"/>
          </w:tcPr>
          <w:p w14:paraId="20B1D55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SE</w:t>
            </w:r>
          </w:p>
        </w:tc>
        <w:tc>
          <w:tcPr>
            <w:tcW w:w="250" w:type="pct"/>
            <w:vAlign w:val="center"/>
          </w:tcPr>
          <w:p w14:paraId="517AEF7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SSE</w:t>
            </w:r>
          </w:p>
        </w:tc>
        <w:tc>
          <w:tcPr>
            <w:tcW w:w="250" w:type="pct"/>
            <w:vAlign w:val="center"/>
          </w:tcPr>
          <w:p w14:paraId="7E7F924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S</w:t>
            </w:r>
          </w:p>
        </w:tc>
        <w:tc>
          <w:tcPr>
            <w:tcW w:w="250" w:type="pct"/>
            <w:vAlign w:val="center"/>
          </w:tcPr>
          <w:p w14:paraId="587A71E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SSW</w:t>
            </w:r>
          </w:p>
        </w:tc>
        <w:tc>
          <w:tcPr>
            <w:tcW w:w="250" w:type="pct"/>
            <w:vAlign w:val="center"/>
          </w:tcPr>
          <w:p w14:paraId="4C25FBF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SW</w:t>
            </w:r>
          </w:p>
        </w:tc>
        <w:tc>
          <w:tcPr>
            <w:tcW w:w="250" w:type="pct"/>
            <w:vAlign w:val="center"/>
          </w:tcPr>
          <w:p w14:paraId="6766162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WSW</w:t>
            </w:r>
          </w:p>
        </w:tc>
        <w:tc>
          <w:tcPr>
            <w:tcW w:w="250" w:type="pct"/>
            <w:vAlign w:val="center"/>
          </w:tcPr>
          <w:p w14:paraId="22FB9AD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W</w:t>
            </w:r>
          </w:p>
        </w:tc>
        <w:tc>
          <w:tcPr>
            <w:tcW w:w="250" w:type="pct"/>
            <w:vAlign w:val="center"/>
          </w:tcPr>
          <w:p w14:paraId="7F935F1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WNW</w:t>
            </w:r>
          </w:p>
        </w:tc>
        <w:tc>
          <w:tcPr>
            <w:tcW w:w="250" w:type="pct"/>
            <w:vAlign w:val="center"/>
          </w:tcPr>
          <w:p w14:paraId="2C646AA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NW</w:t>
            </w:r>
          </w:p>
        </w:tc>
        <w:tc>
          <w:tcPr>
            <w:tcW w:w="250" w:type="pct"/>
            <w:vAlign w:val="center"/>
          </w:tcPr>
          <w:p w14:paraId="6725A15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NNW</w:t>
            </w:r>
          </w:p>
        </w:tc>
        <w:tc>
          <w:tcPr>
            <w:tcW w:w="250" w:type="pct"/>
            <w:vAlign w:val="center"/>
          </w:tcPr>
          <w:p w14:paraId="6C3B407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C</w:t>
            </w:r>
          </w:p>
        </w:tc>
      </w:tr>
      <w:tr w14:paraId="452F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79B8C8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01</w:t>
            </w:r>
          </w:p>
        </w:tc>
        <w:tc>
          <w:tcPr>
            <w:tcW w:w="250" w:type="pct"/>
            <w:vAlign w:val="center"/>
          </w:tcPr>
          <w:p w14:paraId="1F53CA9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eastAsia="zh-CN"/>
              </w:rPr>
            </w:pPr>
            <w:r>
              <w:rPr>
                <w:rFonts w:hint="default" w:ascii="Times New Roman" w:hAnsi="Times New Roman" w:eastAsia="宋体" w:cs="Times New Roman"/>
                <w:color w:val="FF0000"/>
                <w:sz w:val="13"/>
                <w:szCs w:val="13"/>
                <w:highlight w:val="none"/>
                <w:vertAlign w:val="baseline"/>
                <w:lang w:eastAsia="zh-CN"/>
              </w:rPr>
              <w:t>2</w:t>
            </w:r>
          </w:p>
        </w:tc>
        <w:tc>
          <w:tcPr>
            <w:tcW w:w="250" w:type="pct"/>
            <w:vAlign w:val="center"/>
          </w:tcPr>
          <w:p w14:paraId="492B8B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4.8</w:t>
            </w:r>
          </w:p>
        </w:tc>
        <w:tc>
          <w:tcPr>
            <w:tcW w:w="250" w:type="pct"/>
            <w:vAlign w:val="center"/>
          </w:tcPr>
          <w:p w14:paraId="50B7A80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8.9</w:t>
            </w:r>
          </w:p>
        </w:tc>
        <w:tc>
          <w:tcPr>
            <w:tcW w:w="250" w:type="pct"/>
            <w:vAlign w:val="center"/>
          </w:tcPr>
          <w:p w14:paraId="14B2CDB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13</w:t>
            </w:r>
          </w:p>
        </w:tc>
        <w:tc>
          <w:tcPr>
            <w:tcW w:w="250" w:type="pct"/>
            <w:vAlign w:val="center"/>
          </w:tcPr>
          <w:p w14:paraId="0F971C2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w:t>
            </w:r>
          </w:p>
        </w:tc>
        <w:tc>
          <w:tcPr>
            <w:tcW w:w="250" w:type="pct"/>
            <w:vAlign w:val="center"/>
          </w:tcPr>
          <w:p w14:paraId="47E6E7F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78FA8B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31A0457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3.2</w:t>
            </w:r>
          </w:p>
        </w:tc>
        <w:tc>
          <w:tcPr>
            <w:tcW w:w="250" w:type="pct"/>
            <w:vAlign w:val="center"/>
          </w:tcPr>
          <w:p w14:paraId="01DA6CB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w:t>
            </w:r>
          </w:p>
        </w:tc>
        <w:tc>
          <w:tcPr>
            <w:tcW w:w="250" w:type="pct"/>
            <w:vAlign w:val="center"/>
          </w:tcPr>
          <w:p w14:paraId="4CCFC86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4.2</w:t>
            </w:r>
          </w:p>
        </w:tc>
        <w:tc>
          <w:tcPr>
            <w:tcW w:w="250" w:type="pct"/>
            <w:vAlign w:val="center"/>
          </w:tcPr>
          <w:p w14:paraId="2F7D2E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5150F1B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5.4</w:t>
            </w:r>
          </w:p>
        </w:tc>
        <w:tc>
          <w:tcPr>
            <w:tcW w:w="250" w:type="pct"/>
            <w:vAlign w:val="center"/>
          </w:tcPr>
          <w:p w14:paraId="4A060D4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5.9</w:t>
            </w:r>
          </w:p>
        </w:tc>
        <w:tc>
          <w:tcPr>
            <w:tcW w:w="250" w:type="pct"/>
            <w:vAlign w:val="center"/>
          </w:tcPr>
          <w:p w14:paraId="7D536D6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4.1</w:t>
            </w:r>
          </w:p>
        </w:tc>
        <w:tc>
          <w:tcPr>
            <w:tcW w:w="250" w:type="pct"/>
            <w:vAlign w:val="center"/>
          </w:tcPr>
          <w:p w14:paraId="1553AA8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2.7</w:t>
            </w:r>
          </w:p>
        </w:tc>
        <w:tc>
          <w:tcPr>
            <w:tcW w:w="250" w:type="pct"/>
            <w:vAlign w:val="center"/>
          </w:tcPr>
          <w:p w14:paraId="6F40456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2.1</w:t>
            </w:r>
          </w:p>
        </w:tc>
        <w:tc>
          <w:tcPr>
            <w:tcW w:w="250" w:type="pct"/>
            <w:vAlign w:val="center"/>
          </w:tcPr>
          <w:p w14:paraId="6A142BC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14.5</w:t>
            </w:r>
          </w:p>
        </w:tc>
      </w:tr>
      <w:tr w14:paraId="13B2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5149EA7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02</w:t>
            </w:r>
          </w:p>
        </w:tc>
        <w:tc>
          <w:tcPr>
            <w:tcW w:w="250" w:type="pct"/>
            <w:vAlign w:val="center"/>
          </w:tcPr>
          <w:p w14:paraId="331A93B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2.9</w:t>
            </w:r>
          </w:p>
        </w:tc>
        <w:tc>
          <w:tcPr>
            <w:tcW w:w="250" w:type="pct"/>
            <w:vAlign w:val="center"/>
          </w:tcPr>
          <w:p w14:paraId="6896C75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4CFAD8F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11.4</w:t>
            </w:r>
          </w:p>
        </w:tc>
        <w:tc>
          <w:tcPr>
            <w:tcW w:w="250" w:type="pct"/>
            <w:vAlign w:val="center"/>
          </w:tcPr>
          <w:p w14:paraId="6A8C917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13.3</w:t>
            </w:r>
          </w:p>
        </w:tc>
        <w:tc>
          <w:tcPr>
            <w:tcW w:w="250" w:type="pct"/>
            <w:vAlign w:val="center"/>
          </w:tcPr>
          <w:p w14:paraId="656F890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8.8</w:t>
            </w:r>
          </w:p>
        </w:tc>
        <w:tc>
          <w:tcPr>
            <w:tcW w:w="250" w:type="pct"/>
            <w:vAlign w:val="center"/>
          </w:tcPr>
          <w:p w14:paraId="5894B8F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4.5</w:t>
            </w:r>
          </w:p>
        </w:tc>
        <w:tc>
          <w:tcPr>
            <w:tcW w:w="250" w:type="pct"/>
            <w:vAlign w:val="center"/>
          </w:tcPr>
          <w:p w14:paraId="30A3FFB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17BF739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2.9</w:t>
            </w:r>
          </w:p>
        </w:tc>
        <w:tc>
          <w:tcPr>
            <w:tcW w:w="250" w:type="pct"/>
            <w:vAlign w:val="center"/>
          </w:tcPr>
          <w:p w14:paraId="305E434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3.5</w:t>
            </w:r>
          </w:p>
        </w:tc>
        <w:tc>
          <w:tcPr>
            <w:tcW w:w="250" w:type="pct"/>
            <w:vAlign w:val="center"/>
          </w:tcPr>
          <w:p w14:paraId="510B519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577D251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51717D8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6.8</w:t>
            </w:r>
          </w:p>
        </w:tc>
        <w:tc>
          <w:tcPr>
            <w:tcW w:w="250" w:type="pct"/>
            <w:vAlign w:val="center"/>
          </w:tcPr>
          <w:p w14:paraId="21F071A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5.5</w:t>
            </w:r>
          </w:p>
        </w:tc>
        <w:tc>
          <w:tcPr>
            <w:tcW w:w="250" w:type="pct"/>
            <w:vAlign w:val="center"/>
          </w:tcPr>
          <w:p w14:paraId="2CA4E74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5.4</w:t>
            </w:r>
          </w:p>
        </w:tc>
        <w:tc>
          <w:tcPr>
            <w:tcW w:w="250" w:type="pct"/>
            <w:vAlign w:val="center"/>
          </w:tcPr>
          <w:p w14:paraId="4AE85B5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3.6</w:t>
            </w:r>
          </w:p>
        </w:tc>
        <w:tc>
          <w:tcPr>
            <w:tcW w:w="250" w:type="pct"/>
            <w:vAlign w:val="center"/>
          </w:tcPr>
          <w:p w14:paraId="18253B8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2.5</w:t>
            </w:r>
          </w:p>
        </w:tc>
        <w:tc>
          <w:tcPr>
            <w:tcW w:w="250" w:type="pct"/>
            <w:vAlign w:val="center"/>
          </w:tcPr>
          <w:p w14:paraId="4E267FA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9.7</w:t>
            </w:r>
          </w:p>
        </w:tc>
      </w:tr>
      <w:tr w14:paraId="24C3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1FD3AC1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03</w:t>
            </w:r>
          </w:p>
        </w:tc>
        <w:tc>
          <w:tcPr>
            <w:tcW w:w="250" w:type="pct"/>
            <w:vAlign w:val="center"/>
          </w:tcPr>
          <w:p w14:paraId="2F87C51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3.9</w:t>
            </w:r>
          </w:p>
        </w:tc>
        <w:tc>
          <w:tcPr>
            <w:tcW w:w="250" w:type="pct"/>
            <w:vAlign w:val="center"/>
          </w:tcPr>
          <w:p w14:paraId="6EF228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6.7</w:t>
            </w:r>
          </w:p>
        </w:tc>
        <w:tc>
          <w:tcPr>
            <w:tcW w:w="250" w:type="pct"/>
            <w:vAlign w:val="center"/>
          </w:tcPr>
          <w:p w14:paraId="4AA93C6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10.4</w:t>
            </w:r>
          </w:p>
        </w:tc>
        <w:tc>
          <w:tcPr>
            <w:tcW w:w="250" w:type="pct"/>
            <w:vAlign w:val="center"/>
          </w:tcPr>
          <w:p w14:paraId="63E696D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9.2</w:t>
            </w:r>
          </w:p>
        </w:tc>
        <w:tc>
          <w:tcPr>
            <w:tcW w:w="250" w:type="pct"/>
            <w:vAlign w:val="center"/>
          </w:tcPr>
          <w:p w14:paraId="082D56A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6.4</w:t>
            </w:r>
          </w:p>
        </w:tc>
        <w:tc>
          <w:tcPr>
            <w:tcW w:w="250" w:type="pct"/>
            <w:vAlign w:val="center"/>
          </w:tcPr>
          <w:p w14:paraId="6C279BF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4.2</w:t>
            </w:r>
          </w:p>
        </w:tc>
        <w:tc>
          <w:tcPr>
            <w:tcW w:w="250" w:type="pct"/>
            <w:vAlign w:val="center"/>
          </w:tcPr>
          <w:p w14:paraId="37EC885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4.2</w:t>
            </w:r>
          </w:p>
        </w:tc>
        <w:tc>
          <w:tcPr>
            <w:tcW w:w="250" w:type="pct"/>
            <w:vAlign w:val="center"/>
          </w:tcPr>
          <w:p w14:paraId="06603E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3.8</w:t>
            </w:r>
          </w:p>
        </w:tc>
        <w:tc>
          <w:tcPr>
            <w:tcW w:w="250" w:type="pct"/>
            <w:vAlign w:val="center"/>
          </w:tcPr>
          <w:p w14:paraId="76B27C0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3.1</w:t>
            </w:r>
          </w:p>
        </w:tc>
        <w:tc>
          <w:tcPr>
            <w:tcW w:w="250" w:type="pct"/>
            <w:vAlign w:val="center"/>
          </w:tcPr>
          <w:p w14:paraId="4011FF6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5.4</w:t>
            </w:r>
          </w:p>
        </w:tc>
        <w:tc>
          <w:tcPr>
            <w:tcW w:w="250" w:type="pct"/>
            <w:vAlign w:val="center"/>
          </w:tcPr>
          <w:p w14:paraId="255C26B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6.8</w:t>
            </w:r>
          </w:p>
        </w:tc>
        <w:tc>
          <w:tcPr>
            <w:tcW w:w="250" w:type="pct"/>
            <w:vAlign w:val="center"/>
          </w:tcPr>
          <w:p w14:paraId="5C13221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10.1</w:t>
            </w:r>
          </w:p>
        </w:tc>
        <w:tc>
          <w:tcPr>
            <w:tcW w:w="250" w:type="pct"/>
            <w:vAlign w:val="center"/>
          </w:tcPr>
          <w:p w14:paraId="704724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7.4</w:t>
            </w:r>
          </w:p>
        </w:tc>
        <w:tc>
          <w:tcPr>
            <w:tcW w:w="250" w:type="pct"/>
            <w:vAlign w:val="center"/>
          </w:tcPr>
          <w:p w14:paraId="09365CC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w:t>
            </w:r>
          </w:p>
        </w:tc>
        <w:tc>
          <w:tcPr>
            <w:tcW w:w="250" w:type="pct"/>
            <w:vAlign w:val="center"/>
          </w:tcPr>
          <w:p w14:paraId="682A50D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3.7</w:t>
            </w:r>
          </w:p>
        </w:tc>
        <w:tc>
          <w:tcPr>
            <w:tcW w:w="250" w:type="pct"/>
            <w:vAlign w:val="center"/>
          </w:tcPr>
          <w:p w14:paraId="16AADED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2.8</w:t>
            </w:r>
          </w:p>
        </w:tc>
        <w:tc>
          <w:tcPr>
            <w:tcW w:w="250" w:type="pct"/>
            <w:vAlign w:val="center"/>
          </w:tcPr>
          <w:p w14:paraId="7B54053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6.4</w:t>
            </w:r>
          </w:p>
        </w:tc>
      </w:tr>
      <w:tr w14:paraId="1CF8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64A2DD0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04</w:t>
            </w:r>
          </w:p>
        </w:tc>
        <w:tc>
          <w:tcPr>
            <w:tcW w:w="250" w:type="pct"/>
            <w:vAlign w:val="center"/>
          </w:tcPr>
          <w:p w14:paraId="344BCAC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4ECD873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6.5</w:t>
            </w:r>
          </w:p>
        </w:tc>
        <w:tc>
          <w:tcPr>
            <w:tcW w:w="250" w:type="pct"/>
            <w:vAlign w:val="center"/>
          </w:tcPr>
          <w:p w14:paraId="35C8500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10.2</w:t>
            </w:r>
          </w:p>
        </w:tc>
        <w:tc>
          <w:tcPr>
            <w:tcW w:w="250" w:type="pct"/>
            <w:vAlign w:val="center"/>
          </w:tcPr>
          <w:p w14:paraId="1B7435F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8.2</w:t>
            </w:r>
          </w:p>
        </w:tc>
        <w:tc>
          <w:tcPr>
            <w:tcW w:w="250" w:type="pct"/>
            <w:vAlign w:val="center"/>
          </w:tcPr>
          <w:p w14:paraId="72D8480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5.7</w:t>
            </w:r>
          </w:p>
        </w:tc>
        <w:tc>
          <w:tcPr>
            <w:tcW w:w="250" w:type="pct"/>
            <w:vAlign w:val="center"/>
          </w:tcPr>
          <w:p w14:paraId="7044E30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3.4</w:t>
            </w:r>
          </w:p>
        </w:tc>
        <w:tc>
          <w:tcPr>
            <w:tcW w:w="250" w:type="pct"/>
            <w:vAlign w:val="center"/>
          </w:tcPr>
          <w:p w14:paraId="6B800CC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3.8</w:t>
            </w:r>
          </w:p>
        </w:tc>
        <w:tc>
          <w:tcPr>
            <w:tcW w:w="250" w:type="pct"/>
            <w:vAlign w:val="center"/>
          </w:tcPr>
          <w:p w14:paraId="2CD6F53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08E005E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3.8</w:t>
            </w:r>
          </w:p>
        </w:tc>
        <w:tc>
          <w:tcPr>
            <w:tcW w:w="250" w:type="pct"/>
            <w:vAlign w:val="center"/>
          </w:tcPr>
          <w:p w14:paraId="5EFCACE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5.9</w:t>
            </w:r>
          </w:p>
        </w:tc>
        <w:tc>
          <w:tcPr>
            <w:tcW w:w="250" w:type="pct"/>
            <w:vAlign w:val="center"/>
          </w:tcPr>
          <w:p w14:paraId="46CDD1E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w:t>
            </w:r>
          </w:p>
        </w:tc>
        <w:tc>
          <w:tcPr>
            <w:tcW w:w="250" w:type="pct"/>
            <w:vAlign w:val="center"/>
          </w:tcPr>
          <w:p w14:paraId="34200B8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9.9</w:t>
            </w:r>
          </w:p>
        </w:tc>
        <w:tc>
          <w:tcPr>
            <w:tcW w:w="250" w:type="pct"/>
            <w:vAlign w:val="center"/>
          </w:tcPr>
          <w:p w14:paraId="5943454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8.2</w:t>
            </w:r>
          </w:p>
        </w:tc>
        <w:tc>
          <w:tcPr>
            <w:tcW w:w="250" w:type="pct"/>
            <w:vAlign w:val="center"/>
          </w:tcPr>
          <w:p w14:paraId="1582007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5.5</w:t>
            </w:r>
          </w:p>
        </w:tc>
        <w:tc>
          <w:tcPr>
            <w:tcW w:w="250" w:type="pct"/>
            <w:vAlign w:val="center"/>
          </w:tcPr>
          <w:p w14:paraId="525A4DE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0915ECB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6E32A5E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4.7</w:t>
            </w:r>
          </w:p>
        </w:tc>
      </w:tr>
      <w:tr w14:paraId="5B7A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5407593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05</w:t>
            </w:r>
          </w:p>
        </w:tc>
        <w:tc>
          <w:tcPr>
            <w:tcW w:w="250" w:type="pct"/>
            <w:vAlign w:val="center"/>
          </w:tcPr>
          <w:p w14:paraId="75CD33E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23AEA15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7.9</w:t>
            </w:r>
          </w:p>
        </w:tc>
        <w:tc>
          <w:tcPr>
            <w:tcW w:w="250" w:type="pct"/>
            <w:vAlign w:val="center"/>
          </w:tcPr>
          <w:p w14:paraId="78A66DF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8.1</w:t>
            </w:r>
          </w:p>
        </w:tc>
        <w:tc>
          <w:tcPr>
            <w:tcW w:w="250" w:type="pct"/>
            <w:vAlign w:val="center"/>
          </w:tcPr>
          <w:p w14:paraId="27E0BF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6.1</w:t>
            </w:r>
          </w:p>
        </w:tc>
        <w:tc>
          <w:tcPr>
            <w:tcW w:w="250" w:type="pct"/>
            <w:vAlign w:val="center"/>
          </w:tcPr>
          <w:p w14:paraId="4EE4EC2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4.7</w:t>
            </w:r>
          </w:p>
        </w:tc>
        <w:tc>
          <w:tcPr>
            <w:tcW w:w="250" w:type="pct"/>
            <w:vAlign w:val="center"/>
          </w:tcPr>
          <w:p w14:paraId="4B37FF2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3.8</w:t>
            </w:r>
          </w:p>
        </w:tc>
        <w:tc>
          <w:tcPr>
            <w:tcW w:w="250" w:type="pct"/>
            <w:vAlign w:val="center"/>
          </w:tcPr>
          <w:p w14:paraId="7AD4575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6.4</w:t>
            </w:r>
          </w:p>
        </w:tc>
        <w:tc>
          <w:tcPr>
            <w:tcW w:w="250" w:type="pct"/>
            <w:vAlign w:val="center"/>
          </w:tcPr>
          <w:p w14:paraId="0691188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66C1737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4.8</w:t>
            </w:r>
          </w:p>
        </w:tc>
        <w:tc>
          <w:tcPr>
            <w:tcW w:w="250" w:type="pct"/>
            <w:vAlign w:val="center"/>
          </w:tcPr>
          <w:p w14:paraId="7D1EB56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6.5</w:t>
            </w:r>
          </w:p>
        </w:tc>
        <w:tc>
          <w:tcPr>
            <w:tcW w:w="250" w:type="pct"/>
            <w:vAlign w:val="center"/>
          </w:tcPr>
          <w:p w14:paraId="2F14C15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8.2</w:t>
            </w:r>
          </w:p>
        </w:tc>
        <w:tc>
          <w:tcPr>
            <w:tcW w:w="250" w:type="pct"/>
            <w:vAlign w:val="center"/>
          </w:tcPr>
          <w:p w14:paraId="55642AF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w:t>
            </w:r>
          </w:p>
        </w:tc>
        <w:tc>
          <w:tcPr>
            <w:tcW w:w="250" w:type="pct"/>
            <w:vAlign w:val="center"/>
          </w:tcPr>
          <w:p w14:paraId="7ECE994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6.5</w:t>
            </w:r>
          </w:p>
        </w:tc>
        <w:tc>
          <w:tcPr>
            <w:tcW w:w="250" w:type="pct"/>
            <w:vAlign w:val="center"/>
          </w:tcPr>
          <w:p w14:paraId="5A6E0AC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w:t>
            </w:r>
          </w:p>
        </w:tc>
        <w:tc>
          <w:tcPr>
            <w:tcW w:w="250" w:type="pct"/>
            <w:vAlign w:val="center"/>
          </w:tcPr>
          <w:p w14:paraId="73A7FA2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274B12E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3.7</w:t>
            </w:r>
          </w:p>
        </w:tc>
        <w:tc>
          <w:tcPr>
            <w:tcW w:w="250" w:type="pct"/>
            <w:vAlign w:val="center"/>
          </w:tcPr>
          <w:p w14:paraId="1716128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3.6</w:t>
            </w:r>
          </w:p>
        </w:tc>
      </w:tr>
      <w:tr w14:paraId="52A7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1AB0673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06</w:t>
            </w:r>
          </w:p>
        </w:tc>
        <w:tc>
          <w:tcPr>
            <w:tcW w:w="250" w:type="pct"/>
            <w:vAlign w:val="center"/>
          </w:tcPr>
          <w:p w14:paraId="1BEFD60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3.1</w:t>
            </w:r>
          </w:p>
        </w:tc>
        <w:tc>
          <w:tcPr>
            <w:tcW w:w="250" w:type="pct"/>
            <w:vAlign w:val="center"/>
          </w:tcPr>
          <w:p w14:paraId="393DF83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6.3</w:t>
            </w:r>
          </w:p>
        </w:tc>
        <w:tc>
          <w:tcPr>
            <w:tcW w:w="250" w:type="pct"/>
            <w:vAlign w:val="center"/>
          </w:tcPr>
          <w:p w14:paraId="25344D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w:t>
            </w:r>
          </w:p>
        </w:tc>
        <w:tc>
          <w:tcPr>
            <w:tcW w:w="250" w:type="pct"/>
            <w:vAlign w:val="center"/>
          </w:tcPr>
          <w:p w14:paraId="4761844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7.1</w:t>
            </w:r>
          </w:p>
        </w:tc>
        <w:tc>
          <w:tcPr>
            <w:tcW w:w="250" w:type="pct"/>
            <w:vAlign w:val="center"/>
          </w:tcPr>
          <w:p w14:paraId="16D1261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6.2</w:t>
            </w:r>
          </w:p>
        </w:tc>
        <w:tc>
          <w:tcPr>
            <w:tcW w:w="250" w:type="pct"/>
            <w:vAlign w:val="center"/>
          </w:tcPr>
          <w:p w14:paraId="30EF62E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6.2</w:t>
            </w:r>
          </w:p>
        </w:tc>
        <w:tc>
          <w:tcPr>
            <w:tcW w:w="250" w:type="pct"/>
            <w:vAlign w:val="center"/>
          </w:tcPr>
          <w:p w14:paraId="50F36E2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7.5</w:t>
            </w:r>
          </w:p>
        </w:tc>
        <w:tc>
          <w:tcPr>
            <w:tcW w:w="250" w:type="pct"/>
            <w:vAlign w:val="center"/>
          </w:tcPr>
          <w:p w14:paraId="09A9B7C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6.4</w:t>
            </w:r>
          </w:p>
        </w:tc>
        <w:tc>
          <w:tcPr>
            <w:tcW w:w="250" w:type="pct"/>
            <w:vAlign w:val="center"/>
          </w:tcPr>
          <w:p w14:paraId="16604B7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5.4</w:t>
            </w:r>
          </w:p>
        </w:tc>
        <w:tc>
          <w:tcPr>
            <w:tcW w:w="250" w:type="pct"/>
            <w:vAlign w:val="center"/>
          </w:tcPr>
          <w:p w14:paraId="0B25E50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6.2</w:t>
            </w:r>
          </w:p>
        </w:tc>
        <w:tc>
          <w:tcPr>
            <w:tcW w:w="250" w:type="pct"/>
            <w:vAlign w:val="center"/>
          </w:tcPr>
          <w:p w14:paraId="59A18EF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6.8</w:t>
            </w:r>
          </w:p>
        </w:tc>
        <w:tc>
          <w:tcPr>
            <w:tcW w:w="250" w:type="pct"/>
            <w:vAlign w:val="center"/>
          </w:tcPr>
          <w:p w14:paraId="025B706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6.9</w:t>
            </w:r>
          </w:p>
        </w:tc>
        <w:tc>
          <w:tcPr>
            <w:tcW w:w="250" w:type="pct"/>
            <w:vAlign w:val="center"/>
          </w:tcPr>
          <w:p w14:paraId="78E1569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5.7</w:t>
            </w:r>
          </w:p>
        </w:tc>
        <w:tc>
          <w:tcPr>
            <w:tcW w:w="250" w:type="pct"/>
            <w:vAlign w:val="center"/>
          </w:tcPr>
          <w:p w14:paraId="23776EB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7419C4D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3.5</w:t>
            </w:r>
          </w:p>
        </w:tc>
        <w:tc>
          <w:tcPr>
            <w:tcW w:w="250" w:type="pct"/>
            <w:vAlign w:val="center"/>
          </w:tcPr>
          <w:p w14:paraId="004F047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3.5</w:t>
            </w:r>
          </w:p>
        </w:tc>
        <w:tc>
          <w:tcPr>
            <w:tcW w:w="250" w:type="pct"/>
            <w:vAlign w:val="center"/>
          </w:tcPr>
          <w:p w14:paraId="468FFF5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4.6</w:t>
            </w:r>
          </w:p>
        </w:tc>
      </w:tr>
      <w:tr w14:paraId="345D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2647BDD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07</w:t>
            </w:r>
          </w:p>
        </w:tc>
        <w:tc>
          <w:tcPr>
            <w:tcW w:w="250" w:type="pct"/>
            <w:vAlign w:val="center"/>
          </w:tcPr>
          <w:p w14:paraId="75BDC1D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2.2</w:t>
            </w:r>
          </w:p>
        </w:tc>
        <w:tc>
          <w:tcPr>
            <w:tcW w:w="250" w:type="pct"/>
            <w:vAlign w:val="center"/>
          </w:tcPr>
          <w:p w14:paraId="4073C0F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6ADAD5C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8.9</w:t>
            </w:r>
          </w:p>
        </w:tc>
        <w:tc>
          <w:tcPr>
            <w:tcW w:w="250" w:type="pct"/>
            <w:vAlign w:val="center"/>
          </w:tcPr>
          <w:p w14:paraId="1F084EE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w:t>
            </w:r>
          </w:p>
        </w:tc>
        <w:tc>
          <w:tcPr>
            <w:tcW w:w="250" w:type="pct"/>
            <w:vAlign w:val="center"/>
          </w:tcPr>
          <w:p w14:paraId="21C01AF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6.9</w:t>
            </w:r>
          </w:p>
        </w:tc>
        <w:tc>
          <w:tcPr>
            <w:tcW w:w="250" w:type="pct"/>
            <w:vAlign w:val="center"/>
          </w:tcPr>
          <w:p w14:paraId="75F8B5D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7.3</w:t>
            </w:r>
          </w:p>
        </w:tc>
        <w:tc>
          <w:tcPr>
            <w:tcW w:w="250" w:type="pct"/>
            <w:vAlign w:val="center"/>
          </w:tcPr>
          <w:p w14:paraId="54C8944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10.1</w:t>
            </w:r>
          </w:p>
        </w:tc>
        <w:tc>
          <w:tcPr>
            <w:tcW w:w="250" w:type="pct"/>
            <w:vAlign w:val="center"/>
          </w:tcPr>
          <w:p w14:paraId="539C12E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10.3</w:t>
            </w:r>
          </w:p>
        </w:tc>
        <w:tc>
          <w:tcPr>
            <w:tcW w:w="250" w:type="pct"/>
            <w:vAlign w:val="center"/>
          </w:tcPr>
          <w:p w14:paraId="558678A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6.6</w:t>
            </w:r>
          </w:p>
        </w:tc>
        <w:tc>
          <w:tcPr>
            <w:tcW w:w="250" w:type="pct"/>
            <w:vAlign w:val="center"/>
          </w:tcPr>
          <w:p w14:paraId="4D6AEF0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c>
          <w:tcPr>
            <w:tcW w:w="250" w:type="pct"/>
            <w:vAlign w:val="center"/>
          </w:tcPr>
          <w:p w14:paraId="2D3006D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24EF99E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5.9</w:t>
            </w:r>
          </w:p>
        </w:tc>
        <w:tc>
          <w:tcPr>
            <w:tcW w:w="250" w:type="pct"/>
            <w:vAlign w:val="center"/>
          </w:tcPr>
          <w:p w14:paraId="33254BE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7054BB9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w:t>
            </w:r>
          </w:p>
        </w:tc>
        <w:tc>
          <w:tcPr>
            <w:tcW w:w="250" w:type="pct"/>
            <w:vAlign w:val="center"/>
          </w:tcPr>
          <w:p w14:paraId="3B59D00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2.2</w:t>
            </w:r>
          </w:p>
        </w:tc>
        <w:tc>
          <w:tcPr>
            <w:tcW w:w="250" w:type="pct"/>
            <w:vAlign w:val="center"/>
          </w:tcPr>
          <w:p w14:paraId="48A0553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2.3</w:t>
            </w:r>
          </w:p>
        </w:tc>
        <w:tc>
          <w:tcPr>
            <w:tcW w:w="250" w:type="pct"/>
            <w:vAlign w:val="center"/>
          </w:tcPr>
          <w:p w14:paraId="79A63C9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4.9</w:t>
            </w:r>
          </w:p>
        </w:tc>
      </w:tr>
      <w:tr w14:paraId="000E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582B7D6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08</w:t>
            </w:r>
          </w:p>
        </w:tc>
        <w:tc>
          <w:tcPr>
            <w:tcW w:w="250" w:type="pct"/>
            <w:vAlign w:val="center"/>
          </w:tcPr>
          <w:p w14:paraId="025066E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2.4</w:t>
            </w:r>
          </w:p>
        </w:tc>
        <w:tc>
          <w:tcPr>
            <w:tcW w:w="250" w:type="pct"/>
            <w:vAlign w:val="center"/>
          </w:tcPr>
          <w:p w14:paraId="6DF1A6F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5.2</w:t>
            </w:r>
          </w:p>
        </w:tc>
        <w:tc>
          <w:tcPr>
            <w:tcW w:w="250" w:type="pct"/>
            <w:vAlign w:val="center"/>
          </w:tcPr>
          <w:p w14:paraId="4668DCF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11.4</w:t>
            </w:r>
          </w:p>
        </w:tc>
        <w:tc>
          <w:tcPr>
            <w:tcW w:w="250" w:type="pct"/>
            <w:vAlign w:val="center"/>
          </w:tcPr>
          <w:p w14:paraId="405C17C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11.1</w:t>
            </w:r>
          </w:p>
        </w:tc>
        <w:tc>
          <w:tcPr>
            <w:tcW w:w="250" w:type="pct"/>
            <w:vAlign w:val="center"/>
          </w:tcPr>
          <w:p w14:paraId="08B378F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7.6</w:t>
            </w:r>
          </w:p>
        </w:tc>
        <w:tc>
          <w:tcPr>
            <w:tcW w:w="250" w:type="pct"/>
            <w:vAlign w:val="center"/>
          </w:tcPr>
          <w:p w14:paraId="43EB363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8.2</w:t>
            </w:r>
          </w:p>
        </w:tc>
        <w:tc>
          <w:tcPr>
            <w:tcW w:w="250" w:type="pct"/>
            <w:vAlign w:val="center"/>
          </w:tcPr>
          <w:p w14:paraId="2DF0334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8.8</w:t>
            </w:r>
          </w:p>
        </w:tc>
        <w:tc>
          <w:tcPr>
            <w:tcW w:w="250" w:type="pct"/>
            <w:vAlign w:val="center"/>
          </w:tcPr>
          <w:p w14:paraId="7A1764A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w:t>
            </w:r>
          </w:p>
        </w:tc>
        <w:tc>
          <w:tcPr>
            <w:tcW w:w="250" w:type="pct"/>
            <w:vAlign w:val="center"/>
          </w:tcPr>
          <w:p w14:paraId="5922DC3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463063E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5.8</w:t>
            </w:r>
          </w:p>
        </w:tc>
        <w:tc>
          <w:tcPr>
            <w:tcW w:w="250" w:type="pct"/>
            <w:vAlign w:val="center"/>
          </w:tcPr>
          <w:p w14:paraId="20E6479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w:t>
            </w:r>
          </w:p>
        </w:tc>
        <w:tc>
          <w:tcPr>
            <w:tcW w:w="250" w:type="pct"/>
            <w:vAlign w:val="center"/>
          </w:tcPr>
          <w:p w14:paraId="52E4B89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5.3</w:t>
            </w:r>
          </w:p>
        </w:tc>
        <w:tc>
          <w:tcPr>
            <w:tcW w:w="250" w:type="pct"/>
            <w:vAlign w:val="center"/>
          </w:tcPr>
          <w:p w14:paraId="4BDBD59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3.7</w:t>
            </w:r>
          </w:p>
        </w:tc>
        <w:tc>
          <w:tcPr>
            <w:tcW w:w="250" w:type="pct"/>
            <w:vAlign w:val="center"/>
          </w:tcPr>
          <w:p w14:paraId="79D914A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2.8</w:t>
            </w:r>
          </w:p>
        </w:tc>
        <w:tc>
          <w:tcPr>
            <w:tcW w:w="250" w:type="pct"/>
            <w:vAlign w:val="center"/>
          </w:tcPr>
          <w:p w14:paraId="22DB8C8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1.5</w:t>
            </w:r>
          </w:p>
        </w:tc>
        <w:tc>
          <w:tcPr>
            <w:tcW w:w="250" w:type="pct"/>
            <w:vAlign w:val="center"/>
          </w:tcPr>
          <w:p w14:paraId="23EA907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2.1</w:t>
            </w:r>
          </w:p>
        </w:tc>
        <w:tc>
          <w:tcPr>
            <w:tcW w:w="250" w:type="pct"/>
            <w:vAlign w:val="center"/>
          </w:tcPr>
          <w:p w14:paraId="73E4B5E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5.9</w:t>
            </w:r>
          </w:p>
        </w:tc>
      </w:tr>
      <w:tr w14:paraId="1671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1C41EF7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09</w:t>
            </w:r>
          </w:p>
        </w:tc>
        <w:tc>
          <w:tcPr>
            <w:tcW w:w="250" w:type="pct"/>
            <w:vAlign w:val="center"/>
          </w:tcPr>
          <w:p w14:paraId="04944FE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2.7</w:t>
            </w:r>
          </w:p>
        </w:tc>
        <w:tc>
          <w:tcPr>
            <w:tcW w:w="250" w:type="pct"/>
            <w:vAlign w:val="center"/>
          </w:tcPr>
          <w:p w14:paraId="7376F5A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015B1EA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10.3</w:t>
            </w:r>
          </w:p>
        </w:tc>
        <w:tc>
          <w:tcPr>
            <w:tcW w:w="250" w:type="pct"/>
            <w:vAlign w:val="center"/>
          </w:tcPr>
          <w:p w14:paraId="762CA25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10.5</w:t>
            </w:r>
          </w:p>
        </w:tc>
        <w:tc>
          <w:tcPr>
            <w:tcW w:w="250" w:type="pct"/>
            <w:vAlign w:val="center"/>
          </w:tcPr>
          <w:p w14:paraId="06F4715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8.1</w:t>
            </w:r>
          </w:p>
        </w:tc>
        <w:tc>
          <w:tcPr>
            <w:tcW w:w="250" w:type="pct"/>
            <w:vAlign w:val="center"/>
          </w:tcPr>
          <w:p w14:paraId="7D09101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7.4</w:t>
            </w:r>
          </w:p>
        </w:tc>
        <w:tc>
          <w:tcPr>
            <w:tcW w:w="250" w:type="pct"/>
            <w:vAlign w:val="center"/>
          </w:tcPr>
          <w:p w14:paraId="110354D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8.3</w:t>
            </w:r>
          </w:p>
        </w:tc>
        <w:tc>
          <w:tcPr>
            <w:tcW w:w="250" w:type="pct"/>
            <w:vAlign w:val="center"/>
          </w:tcPr>
          <w:p w14:paraId="6B0B4DE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6.5</w:t>
            </w:r>
          </w:p>
        </w:tc>
        <w:tc>
          <w:tcPr>
            <w:tcW w:w="250" w:type="pct"/>
            <w:vAlign w:val="center"/>
          </w:tcPr>
          <w:p w14:paraId="1467456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6.3</w:t>
            </w:r>
          </w:p>
        </w:tc>
        <w:tc>
          <w:tcPr>
            <w:tcW w:w="250" w:type="pct"/>
            <w:vAlign w:val="center"/>
          </w:tcPr>
          <w:p w14:paraId="5EF37FE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5.9</w:t>
            </w:r>
          </w:p>
        </w:tc>
        <w:tc>
          <w:tcPr>
            <w:tcW w:w="250" w:type="pct"/>
            <w:vAlign w:val="center"/>
          </w:tcPr>
          <w:p w14:paraId="48A49F0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5.4</w:t>
            </w:r>
          </w:p>
        </w:tc>
        <w:tc>
          <w:tcPr>
            <w:tcW w:w="250" w:type="pct"/>
            <w:vAlign w:val="center"/>
          </w:tcPr>
          <w:p w14:paraId="6DDBB69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w:t>
            </w:r>
          </w:p>
        </w:tc>
        <w:tc>
          <w:tcPr>
            <w:tcW w:w="250" w:type="pct"/>
            <w:vAlign w:val="center"/>
          </w:tcPr>
          <w:p w14:paraId="0FD8A42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3FFD409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2.9</w:t>
            </w:r>
          </w:p>
        </w:tc>
        <w:tc>
          <w:tcPr>
            <w:tcW w:w="250" w:type="pct"/>
            <w:vAlign w:val="center"/>
          </w:tcPr>
          <w:p w14:paraId="72874C4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2.5</w:t>
            </w:r>
          </w:p>
        </w:tc>
        <w:tc>
          <w:tcPr>
            <w:tcW w:w="250" w:type="pct"/>
            <w:vAlign w:val="center"/>
          </w:tcPr>
          <w:p w14:paraId="29FFE52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1.9</w:t>
            </w:r>
          </w:p>
        </w:tc>
        <w:tc>
          <w:tcPr>
            <w:tcW w:w="250" w:type="pct"/>
            <w:vAlign w:val="center"/>
          </w:tcPr>
          <w:p w14:paraId="2C92434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7.2</w:t>
            </w:r>
          </w:p>
        </w:tc>
      </w:tr>
      <w:tr w14:paraId="6DD3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5D92788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w:t>
            </w:r>
          </w:p>
        </w:tc>
        <w:tc>
          <w:tcPr>
            <w:tcW w:w="250" w:type="pct"/>
            <w:vAlign w:val="center"/>
          </w:tcPr>
          <w:p w14:paraId="399B23B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2.3</w:t>
            </w:r>
          </w:p>
        </w:tc>
        <w:tc>
          <w:tcPr>
            <w:tcW w:w="250" w:type="pct"/>
            <w:vAlign w:val="center"/>
          </w:tcPr>
          <w:p w14:paraId="75B7A5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4.6</w:t>
            </w:r>
          </w:p>
        </w:tc>
        <w:tc>
          <w:tcPr>
            <w:tcW w:w="250" w:type="pct"/>
            <w:vAlign w:val="center"/>
          </w:tcPr>
          <w:p w14:paraId="5DB0B10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9.1</w:t>
            </w:r>
          </w:p>
        </w:tc>
        <w:tc>
          <w:tcPr>
            <w:tcW w:w="250" w:type="pct"/>
            <w:vAlign w:val="center"/>
          </w:tcPr>
          <w:p w14:paraId="108BC2F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10.5</w:t>
            </w:r>
          </w:p>
        </w:tc>
        <w:tc>
          <w:tcPr>
            <w:tcW w:w="250" w:type="pct"/>
            <w:vAlign w:val="center"/>
          </w:tcPr>
          <w:p w14:paraId="3505046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6.3</w:t>
            </w:r>
          </w:p>
        </w:tc>
        <w:tc>
          <w:tcPr>
            <w:tcW w:w="250" w:type="pct"/>
            <w:vAlign w:val="center"/>
          </w:tcPr>
          <w:p w14:paraId="2C9BE6A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4.2</w:t>
            </w:r>
          </w:p>
        </w:tc>
        <w:tc>
          <w:tcPr>
            <w:tcW w:w="250" w:type="pct"/>
            <w:vAlign w:val="center"/>
          </w:tcPr>
          <w:p w14:paraId="18CA650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4.5</w:t>
            </w:r>
          </w:p>
        </w:tc>
        <w:tc>
          <w:tcPr>
            <w:tcW w:w="250" w:type="pct"/>
            <w:vAlign w:val="center"/>
          </w:tcPr>
          <w:p w14:paraId="5585422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5.2</w:t>
            </w:r>
          </w:p>
        </w:tc>
        <w:tc>
          <w:tcPr>
            <w:tcW w:w="250" w:type="pct"/>
            <w:vAlign w:val="center"/>
          </w:tcPr>
          <w:p w14:paraId="37B16FB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5.3</w:t>
            </w:r>
          </w:p>
        </w:tc>
        <w:tc>
          <w:tcPr>
            <w:tcW w:w="250" w:type="pct"/>
            <w:vAlign w:val="center"/>
          </w:tcPr>
          <w:p w14:paraId="2771C2C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5.7</w:t>
            </w:r>
          </w:p>
        </w:tc>
        <w:tc>
          <w:tcPr>
            <w:tcW w:w="250" w:type="pct"/>
            <w:vAlign w:val="center"/>
          </w:tcPr>
          <w:p w14:paraId="2C82971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34B089B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7.8</w:t>
            </w:r>
          </w:p>
        </w:tc>
        <w:tc>
          <w:tcPr>
            <w:tcW w:w="250" w:type="pct"/>
            <w:vAlign w:val="center"/>
          </w:tcPr>
          <w:p w14:paraId="264BEBF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6.3</w:t>
            </w:r>
          </w:p>
        </w:tc>
        <w:tc>
          <w:tcPr>
            <w:tcW w:w="250" w:type="pct"/>
            <w:vAlign w:val="center"/>
          </w:tcPr>
          <w:p w14:paraId="7C014B1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652958D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3.3</w:t>
            </w:r>
          </w:p>
        </w:tc>
        <w:tc>
          <w:tcPr>
            <w:tcW w:w="250" w:type="pct"/>
            <w:vAlign w:val="center"/>
          </w:tcPr>
          <w:p w14:paraId="20B38E6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2.6</w:t>
            </w:r>
          </w:p>
        </w:tc>
        <w:tc>
          <w:tcPr>
            <w:tcW w:w="250" w:type="pct"/>
            <w:vAlign w:val="center"/>
          </w:tcPr>
          <w:p w14:paraId="41E39D5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12.2</w:t>
            </w:r>
          </w:p>
        </w:tc>
      </w:tr>
      <w:tr w14:paraId="2840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5BF4DFD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w:t>
            </w:r>
          </w:p>
        </w:tc>
        <w:tc>
          <w:tcPr>
            <w:tcW w:w="250" w:type="pct"/>
            <w:vAlign w:val="center"/>
          </w:tcPr>
          <w:p w14:paraId="58FC7E4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2.1</w:t>
            </w:r>
          </w:p>
        </w:tc>
        <w:tc>
          <w:tcPr>
            <w:tcW w:w="250" w:type="pct"/>
            <w:vAlign w:val="center"/>
          </w:tcPr>
          <w:p w14:paraId="52A2C15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5.6</w:t>
            </w:r>
          </w:p>
        </w:tc>
        <w:tc>
          <w:tcPr>
            <w:tcW w:w="250" w:type="pct"/>
            <w:vAlign w:val="center"/>
          </w:tcPr>
          <w:p w14:paraId="0AACFC8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9.1</w:t>
            </w:r>
          </w:p>
        </w:tc>
        <w:tc>
          <w:tcPr>
            <w:tcW w:w="250" w:type="pct"/>
            <w:vAlign w:val="center"/>
          </w:tcPr>
          <w:p w14:paraId="1692DAB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10.7</w:t>
            </w:r>
          </w:p>
        </w:tc>
        <w:tc>
          <w:tcPr>
            <w:tcW w:w="250" w:type="pct"/>
            <w:vAlign w:val="center"/>
          </w:tcPr>
          <w:p w14:paraId="12B13A8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7.1</w:t>
            </w:r>
          </w:p>
        </w:tc>
        <w:tc>
          <w:tcPr>
            <w:tcW w:w="250" w:type="pct"/>
            <w:vAlign w:val="center"/>
          </w:tcPr>
          <w:p w14:paraId="7CB5275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4.1</w:t>
            </w:r>
          </w:p>
        </w:tc>
        <w:tc>
          <w:tcPr>
            <w:tcW w:w="250" w:type="pct"/>
            <w:vAlign w:val="center"/>
          </w:tcPr>
          <w:p w14:paraId="361A567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w:t>
            </w:r>
          </w:p>
        </w:tc>
        <w:tc>
          <w:tcPr>
            <w:tcW w:w="250" w:type="pct"/>
            <w:vAlign w:val="center"/>
          </w:tcPr>
          <w:p w14:paraId="0CEEC92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4.5</w:t>
            </w:r>
          </w:p>
        </w:tc>
        <w:tc>
          <w:tcPr>
            <w:tcW w:w="250" w:type="pct"/>
            <w:vAlign w:val="center"/>
          </w:tcPr>
          <w:p w14:paraId="2074AD0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3.8</w:t>
            </w:r>
          </w:p>
        </w:tc>
        <w:tc>
          <w:tcPr>
            <w:tcW w:w="250" w:type="pct"/>
            <w:vAlign w:val="center"/>
          </w:tcPr>
          <w:p w14:paraId="700D633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5.5</w:t>
            </w:r>
          </w:p>
        </w:tc>
        <w:tc>
          <w:tcPr>
            <w:tcW w:w="250" w:type="pct"/>
            <w:vAlign w:val="center"/>
          </w:tcPr>
          <w:p w14:paraId="4C53DA7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7.3</w:t>
            </w:r>
          </w:p>
        </w:tc>
        <w:tc>
          <w:tcPr>
            <w:tcW w:w="250" w:type="pct"/>
            <w:vAlign w:val="center"/>
          </w:tcPr>
          <w:p w14:paraId="46E9DAE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8.7</w:t>
            </w:r>
          </w:p>
        </w:tc>
        <w:tc>
          <w:tcPr>
            <w:tcW w:w="250" w:type="pct"/>
            <w:vAlign w:val="center"/>
          </w:tcPr>
          <w:p w14:paraId="69D092B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6.8</w:t>
            </w:r>
          </w:p>
        </w:tc>
        <w:tc>
          <w:tcPr>
            <w:tcW w:w="250" w:type="pct"/>
            <w:vAlign w:val="center"/>
          </w:tcPr>
          <w:p w14:paraId="7A8DECA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4.7</w:t>
            </w:r>
          </w:p>
        </w:tc>
        <w:tc>
          <w:tcPr>
            <w:tcW w:w="250" w:type="pct"/>
            <w:vAlign w:val="center"/>
          </w:tcPr>
          <w:p w14:paraId="4033F93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3.4</w:t>
            </w:r>
          </w:p>
        </w:tc>
        <w:tc>
          <w:tcPr>
            <w:tcW w:w="250" w:type="pct"/>
            <w:vAlign w:val="center"/>
          </w:tcPr>
          <w:p w14:paraId="35AB60E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2.7</w:t>
            </w:r>
          </w:p>
        </w:tc>
        <w:tc>
          <w:tcPr>
            <w:tcW w:w="250" w:type="pct"/>
            <w:vAlign w:val="center"/>
          </w:tcPr>
          <w:p w14:paraId="24DE360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11.1</w:t>
            </w:r>
          </w:p>
        </w:tc>
      </w:tr>
      <w:tr w14:paraId="29D2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Align w:val="center"/>
          </w:tcPr>
          <w:p w14:paraId="71A2CB7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12</w:t>
            </w:r>
          </w:p>
        </w:tc>
        <w:tc>
          <w:tcPr>
            <w:tcW w:w="250" w:type="pct"/>
            <w:vAlign w:val="center"/>
          </w:tcPr>
          <w:p w14:paraId="7C2C29E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2.1</w:t>
            </w:r>
          </w:p>
        </w:tc>
        <w:tc>
          <w:tcPr>
            <w:tcW w:w="250" w:type="pct"/>
            <w:vAlign w:val="center"/>
          </w:tcPr>
          <w:p w14:paraId="1306C39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2.6</w:t>
            </w:r>
          </w:p>
        </w:tc>
        <w:tc>
          <w:tcPr>
            <w:tcW w:w="250" w:type="pct"/>
            <w:vAlign w:val="center"/>
          </w:tcPr>
          <w:p w14:paraId="04220A1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9.1</w:t>
            </w:r>
          </w:p>
        </w:tc>
        <w:tc>
          <w:tcPr>
            <w:tcW w:w="250" w:type="pct"/>
            <w:vAlign w:val="center"/>
          </w:tcPr>
          <w:p w14:paraId="2016394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13.1</w:t>
            </w:r>
          </w:p>
        </w:tc>
        <w:tc>
          <w:tcPr>
            <w:tcW w:w="250" w:type="pct"/>
            <w:vAlign w:val="center"/>
          </w:tcPr>
          <w:p w14:paraId="70E0ADF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9.6</w:t>
            </w:r>
          </w:p>
        </w:tc>
        <w:tc>
          <w:tcPr>
            <w:tcW w:w="250" w:type="pct"/>
            <w:vAlign w:val="center"/>
          </w:tcPr>
          <w:p w14:paraId="4DB19B6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4.7</w:t>
            </w:r>
          </w:p>
        </w:tc>
        <w:tc>
          <w:tcPr>
            <w:tcW w:w="250" w:type="pct"/>
            <w:vAlign w:val="center"/>
          </w:tcPr>
          <w:p w14:paraId="5678DA7D">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3.2</w:t>
            </w:r>
          </w:p>
        </w:tc>
        <w:tc>
          <w:tcPr>
            <w:tcW w:w="250" w:type="pct"/>
            <w:vAlign w:val="center"/>
          </w:tcPr>
          <w:p w14:paraId="02DE9FD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2.7</w:t>
            </w:r>
          </w:p>
        </w:tc>
        <w:tc>
          <w:tcPr>
            <w:tcW w:w="250" w:type="pct"/>
            <w:vAlign w:val="center"/>
          </w:tcPr>
          <w:p w14:paraId="7EB6857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3.2</w:t>
            </w:r>
          </w:p>
        </w:tc>
        <w:tc>
          <w:tcPr>
            <w:tcW w:w="250" w:type="pct"/>
            <w:vAlign w:val="center"/>
          </w:tcPr>
          <w:p w14:paraId="0B8FCC68">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w:t>
            </w:r>
          </w:p>
        </w:tc>
        <w:tc>
          <w:tcPr>
            <w:tcW w:w="250" w:type="pct"/>
            <w:vAlign w:val="center"/>
          </w:tcPr>
          <w:p w14:paraId="4C9D221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5.8</w:t>
            </w:r>
          </w:p>
        </w:tc>
        <w:tc>
          <w:tcPr>
            <w:tcW w:w="250" w:type="pct"/>
            <w:vAlign w:val="center"/>
          </w:tcPr>
          <w:p w14:paraId="461D4551">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8.2</w:t>
            </w:r>
          </w:p>
        </w:tc>
        <w:tc>
          <w:tcPr>
            <w:tcW w:w="250" w:type="pct"/>
            <w:vAlign w:val="center"/>
          </w:tcPr>
          <w:p w14:paraId="0F14D62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7.5</w:t>
            </w:r>
          </w:p>
        </w:tc>
        <w:tc>
          <w:tcPr>
            <w:tcW w:w="250" w:type="pct"/>
            <w:vAlign w:val="center"/>
          </w:tcPr>
          <w:p w14:paraId="543EB9A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4.4</w:t>
            </w:r>
          </w:p>
        </w:tc>
        <w:tc>
          <w:tcPr>
            <w:tcW w:w="250" w:type="pct"/>
            <w:vAlign w:val="center"/>
          </w:tcPr>
          <w:p w14:paraId="1F6AA3D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4.1</w:t>
            </w:r>
          </w:p>
        </w:tc>
        <w:tc>
          <w:tcPr>
            <w:tcW w:w="250" w:type="pct"/>
            <w:vAlign w:val="center"/>
          </w:tcPr>
          <w:p w14:paraId="7109033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2.3</w:t>
            </w:r>
          </w:p>
        </w:tc>
        <w:tc>
          <w:tcPr>
            <w:tcW w:w="250" w:type="pct"/>
            <w:vAlign w:val="center"/>
          </w:tcPr>
          <w:p w14:paraId="3417108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13"/>
                <w:szCs w:val="13"/>
                <w:highlight w:val="none"/>
                <w:vertAlign w:val="baseline"/>
                <w:lang w:val="en-US" w:eastAsia="zh-CN"/>
              </w:rPr>
            </w:pPr>
            <w:r>
              <w:rPr>
                <w:rFonts w:hint="default" w:ascii="Times New Roman" w:hAnsi="Times New Roman" w:eastAsia="宋体" w:cs="Times New Roman"/>
                <w:color w:val="FF0000"/>
                <w:sz w:val="13"/>
                <w:szCs w:val="13"/>
                <w:highlight w:val="none"/>
                <w:vertAlign w:val="baseline"/>
                <w:lang w:val="en-US" w:eastAsia="zh-CN"/>
              </w:rPr>
              <w:t>13</w:t>
            </w:r>
          </w:p>
        </w:tc>
      </w:tr>
    </w:tbl>
    <w:p w14:paraId="3146C4E4">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52915203">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4319905" cy="4103370"/>
            <wp:effectExtent l="0" t="0" r="4445" b="1143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9"/>
                    <a:stretch>
                      <a:fillRect/>
                    </a:stretch>
                  </pic:blipFill>
                  <pic:spPr>
                    <a:xfrm>
                      <a:off x="0" y="0"/>
                      <a:ext cx="4319905" cy="4103370"/>
                    </a:xfrm>
                    <a:prstGeom prst="rect">
                      <a:avLst/>
                    </a:prstGeom>
                    <a:noFill/>
                    <a:ln>
                      <a:noFill/>
                    </a:ln>
                  </pic:spPr>
                </pic:pic>
              </a:graphicData>
            </a:graphic>
          </wp:inline>
        </w:drawing>
      </w:r>
    </w:p>
    <w:p w14:paraId="32D61BA9">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FF0000"/>
          <w:sz w:val="24"/>
          <w:szCs w:val="24"/>
          <w:highlight w:val="none"/>
          <w:lang w:eastAsia="zh-CN"/>
        </w:rPr>
      </w:pPr>
      <w:r>
        <w:rPr>
          <w:rFonts w:hint="default" w:ascii="Times New Roman" w:hAnsi="Times New Roman" w:eastAsia="宋体" w:cs="Times New Roman"/>
          <w:b/>
          <w:bCs/>
          <w:color w:val="FF0000"/>
          <w:sz w:val="24"/>
          <w:szCs w:val="24"/>
          <w:highlight w:val="none"/>
          <w:lang w:eastAsia="zh-CN"/>
        </w:rPr>
        <w:t>图</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lang w:eastAsia="zh-CN"/>
        </w:rPr>
        <w:t>-3</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lang w:eastAsia="zh-CN"/>
        </w:rPr>
        <w:t>五原风向玫瑰图（静风频率7.7%）</w:t>
      </w:r>
    </w:p>
    <w:p w14:paraId="230D216A">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039F2F8E">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02AF6F18">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6A61AC74">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462392E2">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025C1C04">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0C2D990D">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1E0FDDFE">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tbl>
      <w:tblPr>
        <w:tblStyle w:val="43"/>
        <w:tblW w:w="82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06"/>
        <w:gridCol w:w="4206"/>
      </w:tblGrid>
      <w:tr w14:paraId="1F10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298A7BD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40940"/>
                  <wp:effectExtent l="0" t="0" r="13335" b="165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0"/>
                          <a:stretch>
                            <a:fillRect/>
                          </a:stretch>
                        </pic:blipFill>
                        <pic:spPr>
                          <a:xfrm>
                            <a:off x="0" y="0"/>
                            <a:ext cx="2520315" cy="2440940"/>
                          </a:xfrm>
                          <a:prstGeom prst="rect">
                            <a:avLst/>
                          </a:prstGeom>
                          <a:noFill/>
                          <a:ln>
                            <a:noFill/>
                          </a:ln>
                        </pic:spPr>
                      </pic:pic>
                    </a:graphicData>
                  </a:graphic>
                </wp:inline>
              </w:drawing>
            </w:r>
          </w:p>
        </w:tc>
        <w:tc>
          <w:tcPr>
            <w:tcW w:w="4261" w:type="dxa"/>
            <w:vAlign w:val="center"/>
          </w:tcPr>
          <w:p w14:paraId="6C6DA41A">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30780"/>
                  <wp:effectExtent l="0" t="0" r="13335"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51"/>
                          <a:stretch>
                            <a:fillRect/>
                          </a:stretch>
                        </pic:blipFill>
                        <pic:spPr>
                          <a:xfrm>
                            <a:off x="0" y="0"/>
                            <a:ext cx="2520315" cy="2430780"/>
                          </a:xfrm>
                          <a:prstGeom prst="rect">
                            <a:avLst/>
                          </a:prstGeom>
                          <a:noFill/>
                          <a:ln>
                            <a:noFill/>
                          </a:ln>
                        </pic:spPr>
                      </pic:pic>
                    </a:graphicData>
                  </a:graphic>
                </wp:inline>
              </w:drawing>
            </w:r>
          </w:p>
        </w:tc>
      </w:tr>
      <w:tr w14:paraId="021AF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49896814">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lang w:eastAsia="zh-CN"/>
              </w:rPr>
              <w:t>1月静风14.5%</w:t>
            </w:r>
          </w:p>
        </w:tc>
        <w:tc>
          <w:tcPr>
            <w:tcW w:w="4261" w:type="dxa"/>
            <w:vAlign w:val="center"/>
          </w:tcPr>
          <w:p w14:paraId="1549BA4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2月静风9.7%</w:t>
            </w:r>
          </w:p>
        </w:tc>
      </w:tr>
      <w:tr w14:paraId="7BD44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143962B7">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509520"/>
                  <wp:effectExtent l="0" t="0" r="13335" b="508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2"/>
                          <a:stretch>
                            <a:fillRect/>
                          </a:stretch>
                        </pic:blipFill>
                        <pic:spPr>
                          <a:xfrm>
                            <a:off x="0" y="0"/>
                            <a:ext cx="2520315" cy="2509520"/>
                          </a:xfrm>
                          <a:prstGeom prst="rect">
                            <a:avLst/>
                          </a:prstGeom>
                          <a:noFill/>
                          <a:ln>
                            <a:noFill/>
                          </a:ln>
                        </pic:spPr>
                      </pic:pic>
                    </a:graphicData>
                  </a:graphic>
                </wp:inline>
              </w:drawing>
            </w:r>
          </w:p>
        </w:tc>
        <w:tc>
          <w:tcPr>
            <w:tcW w:w="4261" w:type="dxa"/>
            <w:vAlign w:val="center"/>
          </w:tcPr>
          <w:p w14:paraId="19E4D9B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46020"/>
                  <wp:effectExtent l="0" t="0" r="13335" b="1143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a:stretch>
                            <a:fillRect/>
                          </a:stretch>
                        </pic:blipFill>
                        <pic:spPr>
                          <a:xfrm>
                            <a:off x="0" y="0"/>
                            <a:ext cx="2520315" cy="2446020"/>
                          </a:xfrm>
                          <a:prstGeom prst="rect">
                            <a:avLst/>
                          </a:prstGeom>
                          <a:noFill/>
                          <a:ln>
                            <a:noFill/>
                          </a:ln>
                        </pic:spPr>
                      </pic:pic>
                    </a:graphicData>
                  </a:graphic>
                </wp:inline>
              </w:drawing>
            </w:r>
          </w:p>
        </w:tc>
      </w:tr>
      <w:tr w14:paraId="3E5D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0D3A360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lang w:eastAsia="zh-CN"/>
              </w:rPr>
              <w:t>3月静风6.4%</w:t>
            </w:r>
          </w:p>
        </w:tc>
        <w:tc>
          <w:tcPr>
            <w:tcW w:w="4261" w:type="dxa"/>
            <w:vAlign w:val="center"/>
          </w:tcPr>
          <w:p w14:paraId="2AB67BA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lang w:eastAsia="zh-CN"/>
              </w:rPr>
              <w:t>4月静风4.7%</w:t>
            </w:r>
          </w:p>
        </w:tc>
      </w:tr>
      <w:tr w14:paraId="29C5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54B0D372">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35860"/>
                  <wp:effectExtent l="0" t="0" r="13335" b="25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4"/>
                          <a:stretch>
                            <a:fillRect/>
                          </a:stretch>
                        </pic:blipFill>
                        <pic:spPr>
                          <a:xfrm>
                            <a:off x="0" y="0"/>
                            <a:ext cx="2520315" cy="2435860"/>
                          </a:xfrm>
                          <a:prstGeom prst="rect">
                            <a:avLst/>
                          </a:prstGeom>
                          <a:noFill/>
                          <a:ln>
                            <a:noFill/>
                          </a:ln>
                        </pic:spPr>
                      </pic:pic>
                    </a:graphicData>
                  </a:graphic>
                </wp:inline>
              </w:drawing>
            </w:r>
          </w:p>
        </w:tc>
        <w:tc>
          <w:tcPr>
            <w:tcW w:w="4261" w:type="dxa"/>
            <w:vAlign w:val="center"/>
          </w:tcPr>
          <w:p w14:paraId="5F07B4A3">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25700"/>
                  <wp:effectExtent l="0" t="0" r="13335" b="1270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5"/>
                          <a:stretch>
                            <a:fillRect/>
                          </a:stretch>
                        </pic:blipFill>
                        <pic:spPr>
                          <a:xfrm>
                            <a:off x="0" y="0"/>
                            <a:ext cx="2520315" cy="2425700"/>
                          </a:xfrm>
                          <a:prstGeom prst="rect">
                            <a:avLst/>
                          </a:prstGeom>
                          <a:noFill/>
                          <a:ln>
                            <a:noFill/>
                          </a:ln>
                        </pic:spPr>
                      </pic:pic>
                    </a:graphicData>
                  </a:graphic>
                </wp:inline>
              </w:drawing>
            </w:r>
          </w:p>
        </w:tc>
      </w:tr>
      <w:tr w14:paraId="1097F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0058FAA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5月静风3.6%</w:t>
            </w:r>
          </w:p>
        </w:tc>
        <w:tc>
          <w:tcPr>
            <w:tcW w:w="4261" w:type="dxa"/>
            <w:vAlign w:val="center"/>
          </w:tcPr>
          <w:p w14:paraId="16F31C2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6月静风4.6%</w:t>
            </w:r>
          </w:p>
        </w:tc>
      </w:tr>
      <w:tr w14:paraId="61E7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680A32E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40940"/>
                  <wp:effectExtent l="0" t="0" r="13335" b="1651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56"/>
                          <a:stretch>
                            <a:fillRect/>
                          </a:stretch>
                        </pic:blipFill>
                        <pic:spPr>
                          <a:xfrm>
                            <a:off x="0" y="0"/>
                            <a:ext cx="2520315" cy="2440940"/>
                          </a:xfrm>
                          <a:prstGeom prst="rect">
                            <a:avLst/>
                          </a:prstGeom>
                          <a:noFill/>
                          <a:ln>
                            <a:noFill/>
                          </a:ln>
                        </pic:spPr>
                      </pic:pic>
                    </a:graphicData>
                  </a:graphic>
                </wp:inline>
              </w:drawing>
            </w:r>
          </w:p>
        </w:tc>
        <w:tc>
          <w:tcPr>
            <w:tcW w:w="4261" w:type="dxa"/>
            <w:vAlign w:val="center"/>
          </w:tcPr>
          <w:p w14:paraId="69C813FC">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51735"/>
                  <wp:effectExtent l="0" t="0" r="13335"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57"/>
                          <a:stretch>
                            <a:fillRect/>
                          </a:stretch>
                        </pic:blipFill>
                        <pic:spPr>
                          <a:xfrm>
                            <a:off x="0" y="0"/>
                            <a:ext cx="2520315" cy="2451735"/>
                          </a:xfrm>
                          <a:prstGeom prst="rect">
                            <a:avLst/>
                          </a:prstGeom>
                          <a:noFill/>
                          <a:ln>
                            <a:noFill/>
                          </a:ln>
                        </pic:spPr>
                      </pic:pic>
                    </a:graphicData>
                  </a:graphic>
                </wp:inline>
              </w:drawing>
            </w:r>
          </w:p>
        </w:tc>
      </w:tr>
      <w:tr w14:paraId="64A06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6FC3AFBB">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7月静风4.9%</w:t>
            </w:r>
          </w:p>
        </w:tc>
        <w:tc>
          <w:tcPr>
            <w:tcW w:w="4261" w:type="dxa"/>
            <w:vAlign w:val="center"/>
          </w:tcPr>
          <w:p w14:paraId="3CC9C179">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8月静风5.9%</w:t>
            </w:r>
          </w:p>
        </w:tc>
      </w:tr>
      <w:tr w14:paraId="6294A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0C3BDB9E">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sz w:val="24"/>
                <w:szCs w:val="24"/>
                <w:highlight w:val="none"/>
              </w:rPr>
              <w:drawing>
                <wp:inline distT="0" distB="0" distL="114300" distR="114300">
                  <wp:extent cx="2520315" cy="2451735"/>
                  <wp:effectExtent l="0" t="0" r="13335"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58"/>
                          <a:stretch>
                            <a:fillRect/>
                          </a:stretch>
                        </pic:blipFill>
                        <pic:spPr>
                          <a:xfrm>
                            <a:off x="0" y="0"/>
                            <a:ext cx="2520315" cy="2451735"/>
                          </a:xfrm>
                          <a:prstGeom prst="rect">
                            <a:avLst/>
                          </a:prstGeom>
                          <a:noFill/>
                          <a:ln>
                            <a:noFill/>
                          </a:ln>
                        </pic:spPr>
                      </pic:pic>
                    </a:graphicData>
                  </a:graphic>
                </wp:inline>
              </w:drawing>
            </w:r>
          </w:p>
        </w:tc>
        <w:tc>
          <w:tcPr>
            <w:tcW w:w="4261" w:type="dxa"/>
            <w:vAlign w:val="center"/>
          </w:tcPr>
          <w:p w14:paraId="3F3A1DC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36495"/>
                  <wp:effectExtent l="0" t="0" r="13335"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59"/>
                          <a:stretch>
                            <a:fillRect/>
                          </a:stretch>
                        </pic:blipFill>
                        <pic:spPr>
                          <a:xfrm>
                            <a:off x="0" y="0"/>
                            <a:ext cx="2520315" cy="2436495"/>
                          </a:xfrm>
                          <a:prstGeom prst="rect">
                            <a:avLst/>
                          </a:prstGeom>
                          <a:noFill/>
                          <a:ln>
                            <a:noFill/>
                          </a:ln>
                        </pic:spPr>
                      </pic:pic>
                    </a:graphicData>
                  </a:graphic>
                </wp:inline>
              </w:drawing>
            </w:r>
          </w:p>
        </w:tc>
      </w:tr>
      <w:tr w14:paraId="1AB6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12028D8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kern w:val="0"/>
                <w:sz w:val="24"/>
                <w:szCs w:val="24"/>
                <w:highlight w:val="none"/>
                <w:lang w:val="en-US" w:eastAsia="zh-CN" w:bidi="ar"/>
              </w:rPr>
              <w:t>9月静风7.2%</w:t>
            </w:r>
          </w:p>
        </w:tc>
        <w:tc>
          <w:tcPr>
            <w:tcW w:w="4261" w:type="dxa"/>
            <w:vAlign w:val="center"/>
          </w:tcPr>
          <w:p w14:paraId="537C2D55">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10月静风12.2%</w:t>
            </w:r>
          </w:p>
        </w:tc>
      </w:tr>
      <w:tr w14:paraId="0E0D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3FBA1036">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sz w:val="24"/>
                <w:szCs w:val="24"/>
                <w:highlight w:val="none"/>
              </w:rPr>
              <w:drawing>
                <wp:inline distT="0" distB="0" distL="114300" distR="114300">
                  <wp:extent cx="2520315" cy="2425700"/>
                  <wp:effectExtent l="0" t="0" r="13335" b="1270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60"/>
                          <a:stretch>
                            <a:fillRect/>
                          </a:stretch>
                        </pic:blipFill>
                        <pic:spPr>
                          <a:xfrm>
                            <a:off x="0" y="0"/>
                            <a:ext cx="2520315" cy="2425700"/>
                          </a:xfrm>
                          <a:prstGeom prst="rect">
                            <a:avLst/>
                          </a:prstGeom>
                          <a:noFill/>
                          <a:ln>
                            <a:noFill/>
                          </a:ln>
                        </pic:spPr>
                      </pic:pic>
                    </a:graphicData>
                  </a:graphic>
                </wp:inline>
              </w:drawing>
            </w:r>
          </w:p>
        </w:tc>
        <w:tc>
          <w:tcPr>
            <w:tcW w:w="4261" w:type="dxa"/>
            <w:vAlign w:val="center"/>
          </w:tcPr>
          <w:p w14:paraId="024319B0">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sz w:val="24"/>
                <w:szCs w:val="24"/>
                <w:highlight w:val="none"/>
              </w:rPr>
              <w:drawing>
                <wp:inline distT="0" distB="0" distL="114300" distR="114300">
                  <wp:extent cx="2520315" cy="2440940"/>
                  <wp:effectExtent l="0" t="0" r="13335" b="1651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61"/>
                          <a:stretch>
                            <a:fillRect/>
                          </a:stretch>
                        </pic:blipFill>
                        <pic:spPr>
                          <a:xfrm>
                            <a:off x="0" y="0"/>
                            <a:ext cx="2520315" cy="2440940"/>
                          </a:xfrm>
                          <a:prstGeom prst="rect">
                            <a:avLst/>
                          </a:prstGeom>
                          <a:noFill/>
                          <a:ln>
                            <a:noFill/>
                          </a:ln>
                        </pic:spPr>
                      </pic:pic>
                    </a:graphicData>
                  </a:graphic>
                </wp:inline>
              </w:drawing>
            </w:r>
          </w:p>
        </w:tc>
      </w:tr>
      <w:tr w14:paraId="5A5AE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61" w:type="dxa"/>
            <w:vAlign w:val="center"/>
          </w:tcPr>
          <w:p w14:paraId="6F08752F">
            <w:pPr>
              <w:keepNext w:val="0"/>
              <w:keepLines w:val="0"/>
              <w:pageBreakBefore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kern w:val="0"/>
                <w:sz w:val="24"/>
                <w:szCs w:val="24"/>
                <w:highlight w:val="none"/>
                <w:lang w:val="en-US" w:eastAsia="zh-CN" w:bidi="ar"/>
              </w:rPr>
              <w:t>11月静风11.1%</w:t>
            </w:r>
          </w:p>
        </w:tc>
        <w:tc>
          <w:tcPr>
            <w:tcW w:w="4261" w:type="dxa"/>
            <w:vAlign w:val="center"/>
          </w:tcPr>
          <w:p w14:paraId="0610702C">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4"/>
                <w:szCs w:val="24"/>
                <w:highlight w:val="none"/>
                <w:vertAlign w:val="baseline"/>
                <w:lang w:eastAsia="zh-CN"/>
              </w:rPr>
            </w:pPr>
            <w:r>
              <w:rPr>
                <w:rFonts w:hint="default" w:ascii="Times New Roman" w:hAnsi="Times New Roman" w:eastAsia="宋体" w:cs="Times New Roman"/>
                <w:color w:val="FF0000"/>
                <w:kern w:val="0"/>
                <w:sz w:val="24"/>
                <w:szCs w:val="24"/>
                <w:highlight w:val="none"/>
                <w:lang w:val="en-US" w:eastAsia="zh-CN" w:bidi="ar"/>
              </w:rPr>
              <w:t>12月静风13%</w:t>
            </w:r>
          </w:p>
        </w:tc>
      </w:tr>
    </w:tbl>
    <w:p w14:paraId="77F5B8E2">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kern w:val="0"/>
          <w:sz w:val="24"/>
          <w:szCs w:val="24"/>
          <w:highlight w:val="none"/>
          <w:lang w:val="en-US" w:eastAsia="zh-CN" w:bidi="ar"/>
        </w:rPr>
        <w:t>图5.2-4  2004-2023年五原各月风向频率（%）</w:t>
      </w:r>
    </w:p>
    <w:p w14:paraId="29409FE2">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color w:val="FF0000"/>
          <w:kern w:val="0"/>
          <w:sz w:val="24"/>
          <w:szCs w:val="24"/>
          <w:highlight w:val="none"/>
          <w:lang w:val="en-US" w:eastAsia="zh-CN" w:bidi="ar"/>
        </w:rPr>
        <w:t>（2）地面风速变化</w:t>
      </w:r>
    </w:p>
    <w:p w14:paraId="38B62174">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kern w:val="0"/>
          <w:sz w:val="24"/>
          <w:szCs w:val="24"/>
          <w:highlight w:val="none"/>
          <w:lang w:val="en-US" w:eastAsia="zh-CN" w:bidi="ar"/>
        </w:rPr>
        <w:t>根据近20年资料分析，五原气象站风速呈现下降趋势，2015、2016和2018年年平均风速最大（2.4米/秒），2007、2014年年平均风速最小（1.7米/秒）。</w:t>
      </w:r>
    </w:p>
    <w:p w14:paraId="7A791A0F">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473450"/>
            <wp:effectExtent l="0" t="0" r="1905" b="1270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62"/>
                    <a:stretch>
                      <a:fillRect/>
                    </a:stretch>
                  </pic:blipFill>
                  <pic:spPr>
                    <a:xfrm>
                      <a:off x="0" y="0"/>
                      <a:ext cx="5255895" cy="3473450"/>
                    </a:xfrm>
                    <a:prstGeom prst="rect">
                      <a:avLst/>
                    </a:prstGeom>
                    <a:noFill/>
                    <a:ln>
                      <a:noFill/>
                    </a:ln>
                  </pic:spPr>
                </pic:pic>
              </a:graphicData>
            </a:graphic>
          </wp:inline>
        </w:drawing>
      </w:r>
    </w:p>
    <w:p w14:paraId="5705A672">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kern w:val="0"/>
          <w:sz w:val="24"/>
          <w:szCs w:val="24"/>
          <w:highlight w:val="none"/>
          <w:lang w:val="en-US" w:eastAsia="zh-CN" w:bidi="ar"/>
        </w:rPr>
        <w:t>图5.2-5  2004-2023年五原站平均风速变化</w:t>
      </w:r>
    </w:p>
    <w:p w14:paraId="5D41C40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4、气象站温度分析</w:t>
      </w:r>
    </w:p>
    <w:p w14:paraId="0F3AA695">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1</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月平均气温与极端气温</w:t>
      </w:r>
    </w:p>
    <w:p w14:paraId="286C07ED">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五原气象站07月气温最高（24.3℃），01月气温最低（-11.1℃），近20年极端最高气温出现在2009-06-25（38.0℃），近20年极端最低气温出现在2008-01-24（-29.0℃）。</w:t>
      </w:r>
    </w:p>
    <w:p w14:paraId="2FA47070">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2A2AAAE9">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668395"/>
            <wp:effectExtent l="0" t="0" r="1905" b="825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47"/>
                    <a:stretch>
                      <a:fillRect/>
                    </a:stretch>
                  </pic:blipFill>
                  <pic:spPr>
                    <a:xfrm>
                      <a:off x="0" y="0"/>
                      <a:ext cx="5255895" cy="3668395"/>
                    </a:xfrm>
                    <a:prstGeom prst="rect">
                      <a:avLst/>
                    </a:prstGeom>
                    <a:noFill/>
                    <a:ln>
                      <a:noFill/>
                    </a:ln>
                  </pic:spPr>
                </pic:pic>
              </a:graphicData>
            </a:graphic>
          </wp:inline>
        </w:drawing>
      </w:r>
    </w:p>
    <w:p w14:paraId="758AF28F">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kern w:val="0"/>
          <w:sz w:val="24"/>
          <w:szCs w:val="24"/>
          <w:highlight w:val="none"/>
          <w:lang w:val="en-US" w:eastAsia="zh-CN" w:bidi="ar"/>
        </w:rPr>
        <w:t>图5.2-6  五原月平均气温（单位：℃）</w:t>
      </w:r>
    </w:p>
    <w:p w14:paraId="467B6460">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2</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温度年际变化趋势与周期分析</w:t>
      </w:r>
    </w:p>
    <w:p w14:paraId="17A6BD3F">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五原气象站近20年气温无明显变化趋势，2014年年平均气温最高（9.3℃），2016年年平均气温最低（7.1℃）。</w:t>
      </w:r>
    </w:p>
    <w:p w14:paraId="1FB1A1E6">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408045"/>
            <wp:effectExtent l="0" t="0" r="1905" b="190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48"/>
                    <a:stretch>
                      <a:fillRect/>
                    </a:stretch>
                  </pic:blipFill>
                  <pic:spPr>
                    <a:xfrm>
                      <a:off x="0" y="0"/>
                      <a:ext cx="5255895" cy="3408045"/>
                    </a:xfrm>
                    <a:prstGeom prst="rect">
                      <a:avLst/>
                    </a:prstGeom>
                    <a:noFill/>
                    <a:ln>
                      <a:noFill/>
                    </a:ln>
                  </pic:spPr>
                </pic:pic>
              </a:graphicData>
            </a:graphic>
          </wp:inline>
        </w:drawing>
      </w:r>
    </w:p>
    <w:p w14:paraId="40F24650">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kern w:val="0"/>
          <w:sz w:val="24"/>
          <w:szCs w:val="24"/>
          <w:highlight w:val="none"/>
          <w:lang w:val="en-US" w:eastAsia="zh-CN" w:bidi="ar"/>
        </w:rPr>
        <w:t>图5.2-7  五原（2004-2023）年平均气温（单位：℃，虚线为趋势线）</w:t>
      </w:r>
    </w:p>
    <w:p w14:paraId="2805B24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5、气象站降水分析</w:t>
      </w:r>
    </w:p>
    <w:p w14:paraId="023EBE67">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1</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月平均降水与极端降水</w:t>
      </w:r>
    </w:p>
    <w:p w14:paraId="413332FC">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kern w:val="0"/>
          <w:sz w:val="24"/>
          <w:szCs w:val="24"/>
          <w:highlight w:val="none"/>
          <w:lang w:val="en-US" w:eastAsia="zh-CN" w:bidi="ar"/>
        </w:rPr>
        <w:t>五原气象站08月降水量最大（40.9毫米），12月降水量最小（1.1毫米），近20年极端最大日降水出现在2012-07-27（87.3毫米）。</w:t>
      </w:r>
    </w:p>
    <w:p w14:paraId="2B346CF8">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636010"/>
            <wp:effectExtent l="0" t="0" r="1905" b="254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63"/>
                    <a:stretch>
                      <a:fillRect/>
                    </a:stretch>
                  </pic:blipFill>
                  <pic:spPr>
                    <a:xfrm>
                      <a:off x="0" y="0"/>
                      <a:ext cx="5255895" cy="3636010"/>
                    </a:xfrm>
                    <a:prstGeom prst="rect">
                      <a:avLst/>
                    </a:prstGeom>
                    <a:noFill/>
                    <a:ln>
                      <a:noFill/>
                    </a:ln>
                  </pic:spPr>
                </pic:pic>
              </a:graphicData>
            </a:graphic>
          </wp:inline>
        </w:drawing>
      </w:r>
    </w:p>
    <w:p w14:paraId="63B569BA">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kern w:val="0"/>
          <w:sz w:val="24"/>
          <w:szCs w:val="24"/>
          <w:highlight w:val="none"/>
          <w:lang w:val="en-US" w:eastAsia="zh-CN" w:bidi="ar"/>
        </w:rPr>
        <w:t>图5.2-8  五原月平均降水量（单位：毫米）</w:t>
      </w:r>
    </w:p>
    <w:p w14:paraId="411F1013">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2</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降水年际变化趋势与周期分析</w:t>
      </w:r>
    </w:p>
    <w:p w14:paraId="2F88FE46">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五原气象站近20年年降水总量无明显变化趋势，2012年年总降水量最大（371毫米），2005年年总降水量最小（72.5毫米）。</w:t>
      </w:r>
    </w:p>
    <w:p w14:paraId="6601AE2D">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087160B7">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1B5D3C37">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47B96EBA">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7196B339">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473EC3AE">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5574F1A1">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p>
    <w:p w14:paraId="38E05E8F">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488690"/>
            <wp:effectExtent l="0" t="0" r="1905" b="1651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64"/>
                    <a:stretch>
                      <a:fillRect/>
                    </a:stretch>
                  </pic:blipFill>
                  <pic:spPr>
                    <a:xfrm>
                      <a:off x="0" y="0"/>
                      <a:ext cx="5255895" cy="3488690"/>
                    </a:xfrm>
                    <a:prstGeom prst="rect">
                      <a:avLst/>
                    </a:prstGeom>
                    <a:noFill/>
                    <a:ln>
                      <a:noFill/>
                    </a:ln>
                  </pic:spPr>
                </pic:pic>
              </a:graphicData>
            </a:graphic>
          </wp:inline>
        </w:drawing>
      </w:r>
    </w:p>
    <w:p w14:paraId="4B4A2DD5">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kern w:val="0"/>
          <w:sz w:val="24"/>
          <w:szCs w:val="24"/>
          <w:highlight w:val="none"/>
          <w:lang w:val="en-US" w:eastAsia="zh-CN" w:bidi="ar"/>
        </w:rPr>
        <w:t>图5.2-9  五原（2004-2023）年总降水量（单位：毫米，虚线为趋势线）</w:t>
      </w:r>
    </w:p>
    <w:p w14:paraId="3AEC3BC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6、气象站日照分析</w:t>
      </w:r>
    </w:p>
    <w:p w14:paraId="6158ED04">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1</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月日照时数</w:t>
      </w:r>
    </w:p>
    <w:p w14:paraId="231E2440">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kern w:val="0"/>
          <w:sz w:val="24"/>
          <w:szCs w:val="24"/>
          <w:highlight w:val="none"/>
          <w:lang w:val="en-US" w:eastAsia="zh-CN" w:bidi="ar"/>
        </w:rPr>
        <w:t>五原气象站05月日照最长（312.8小时），12月日照最短（201.4小时）。</w:t>
      </w:r>
    </w:p>
    <w:p w14:paraId="15D6365E">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665220"/>
            <wp:effectExtent l="0" t="0" r="1905" b="1143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65"/>
                    <a:stretch>
                      <a:fillRect/>
                    </a:stretch>
                  </pic:blipFill>
                  <pic:spPr>
                    <a:xfrm>
                      <a:off x="0" y="0"/>
                      <a:ext cx="5255895" cy="3665220"/>
                    </a:xfrm>
                    <a:prstGeom prst="rect">
                      <a:avLst/>
                    </a:prstGeom>
                    <a:noFill/>
                    <a:ln>
                      <a:noFill/>
                    </a:ln>
                  </pic:spPr>
                </pic:pic>
              </a:graphicData>
            </a:graphic>
          </wp:inline>
        </w:drawing>
      </w:r>
    </w:p>
    <w:p w14:paraId="3C47C9A1">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kern w:val="0"/>
          <w:sz w:val="24"/>
          <w:szCs w:val="24"/>
          <w:highlight w:val="none"/>
          <w:lang w:val="en-US" w:eastAsia="zh-CN" w:bidi="ar"/>
        </w:rPr>
        <w:t>图5.2-10  五原月日照时数（单位：小时）</w:t>
      </w:r>
    </w:p>
    <w:p w14:paraId="0AF583D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2</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日照时数年际变化趋势与周期分析</w:t>
      </w:r>
    </w:p>
    <w:p w14:paraId="399745E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五原气象站近20年年日照时数呈现下降趋势，2005年年日照时数最长（3352.3小时），2021年年日照时数最短（2801.2小时）。</w:t>
      </w:r>
    </w:p>
    <w:p w14:paraId="67299AC5">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528695"/>
            <wp:effectExtent l="0" t="0" r="1905" b="1460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66"/>
                    <a:stretch>
                      <a:fillRect/>
                    </a:stretch>
                  </pic:blipFill>
                  <pic:spPr>
                    <a:xfrm>
                      <a:off x="0" y="0"/>
                      <a:ext cx="5255895" cy="3528695"/>
                    </a:xfrm>
                    <a:prstGeom prst="rect">
                      <a:avLst/>
                    </a:prstGeom>
                    <a:noFill/>
                    <a:ln>
                      <a:noFill/>
                    </a:ln>
                  </pic:spPr>
                </pic:pic>
              </a:graphicData>
            </a:graphic>
          </wp:inline>
        </w:drawing>
      </w:r>
    </w:p>
    <w:p w14:paraId="415F5B7F">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kern w:val="0"/>
          <w:sz w:val="24"/>
          <w:szCs w:val="24"/>
          <w:highlight w:val="none"/>
          <w:lang w:val="en-US" w:eastAsia="zh-CN" w:bidi="ar"/>
        </w:rPr>
        <w:t>图5.2-11  五原（2004-2023）年日照时长（单位：小时，虚线为趋势线）</w:t>
      </w:r>
    </w:p>
    <w:p w14:paraId="0A5743C1">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7、气象站相对湿度分析</w:t>
      </w:r>
    </w:p>
    <w:p w14:paraId="40382BF6">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1</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月相对湿度分析</w:t>
      </w:r>
    </w:p>
    <w:p w14:paraId="6217205E">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五原气象站11月平均相对湿度最大（60.6%），04月平均相对湿度最小（35.4%）。</w:t>
      </w:r>
    </w:p>
    <w:p w14:paraId="2F8D2F30">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545205"/>
            <wp:effectExtent l="0" t="0" r="1905" b="1714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67"/>
                    <a:stretch>
                      <a:fillRect/>
                    </a:stretch>
                  </pic:blipFill>
                  <pic:spPr>
                    <a:xfrm>
                      <a:off x="0" y="0"/>
                      <a:ext cx="5255895" cy="3545205"/>
                    </a:xfrm>
                    <a:prstGeom prst="rect">
                      <a:avLst/>
                    </a:prstGeom>
                    <a:noFill/>
                    <a:ln>
                      <a:noFill/>
                    </a:ln>
                  </pic:spPr>
                </pic:pic>
              </a:graphicData>
            </a:graphic>
          </wp:inline>
        </w:drawing>
      </w:r>
    </w:p>
    <w:p w14:paraId="2B6A43DF">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kern w:val="0"/>
          <w:sz w:val="24"/>
          <w:szCs w:val="24"/>
          <w:highlight w:val="none"/>
          <w:lang w:val="en-US" w:eastAsia="zh-CN" w:bidi="ar"/>
        </w:rPr>
        <w:t>图5.2-12  五原月平均相对湿度（纵轴为百分比）</w:t>
      </w:r>
    </w:p>
    <w:p w14:paraId="777FE888">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2</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相对湿度年际变化趋势与周期分析</w:t>
      </w:r>
    </w:p>
    <w:p w14:paraId="34C2A9C0">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val="en-US" w:eastAsia="zh-CN" w:bidi="ar"/>
        </w:rPr>
        <w:t>五原气象站近20年年平均相对湿度呈现下降趋势</w:t>
      </w:r>
      <w:r>
        <w:rPr>
          <w:rFonts w:hint="default" w:ascii="Times New Roman" w:hAnsi="Times New Roman" w:eastAsia="宋体" w:cs="Times New Roman"/>
          <w:color w:val="FF0000"/>
          <w:kern w:val="0"/>
          <w:sz w:val="24"/>
          <w:szCs w:val="24"/>
          <w:highlight w:val="none"/>
          <w:lang w:val="en-US" w:eastAsia="zh-CN" w:bidi="ar"/>
        </w:rPr>
        <w:t>，</w:t>
      </w:r>
      <w:r>
        <w:rPr>
          <w:rFonts w:hint="default" w:ascii="Times New Roman" w:hAnsi="Times New Roman" w:eastAsia="宋体" w:cs="Times New Roman"/>
          <w:color w:val="FF0000"/>
          <w:kern w:val="0"/>
          <w:sz w:val="24"/>
          <w:szCs w:val="24"/>
          <w:highlight w:val="none"/>
          <w:lang w:val="en-US" w:eastAsia="zh-CN" w:bidi="ar"/>
        </w:rPr>
        <w:t>每年下降0.25%，2008年年平均相对湿度最大（56.0%），2011年年平均相对湿度最小（43.0%）。</w:t>
      </w:r>
    </w:p>
    <w:p w14:paraId="0A51B378">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drawing>
          <wp:inline distT="0" distB="0" distL="114300" distR="114300">
            <wp:extent cx="5255895" cy="3521710"/>
            <wp:effectExtent l="0" t="0" r="1905" b="254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68"/>
                    <a:stretch>
                      <a:fillRect/>
                    </a:stretch>
                  </pic:blipFill>
                  <pic:spPr>
                    <a:xfrm>
                      <a:off x="0" y="0"/>
                      <a:ext cx="5255895" cy="3521710"/>
                    </a:xfrm>
                    <a:prstGeom prst="rect">
                      <a:avLst/>
                    </a:prstGeom>
                    <a:noFill/>
                    <a:ln>
                      <a:noFill/>
                    </a:ln>
                  </pic:spPr>
                </pic:pic>
              </a:graphicData>
            </a:graphic>
          </wp:inline>
        </w:drawing>
      </w:r>
    </w:p>
    <w:p w14:paraId="591B40AB">
      <w:pPr>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b/>
          <w:bCs/>
          <w:color w:val="FF0000"/>
          <w:sz w:val="24"/>
          <w:szCs w:val="24"/>
          <w:highlight w:val="none"/>
          <w:lang w:eastAsia="zh-CN"/>
        </w:rPr>
        <w:t>图</w:t>
      </w:r>
      <w:r>
        <w:rPr>
          <w:rFonts w:hint="default" w:ascii="Times New Roman" w:hAnsi="Times New Roman" w:eastAsia="宋体" w:cs="Times New Roman"/>
          <w:b/>
          <w:bCs/>
          <w:color w:val="FF0000"/>
          <w:sz w:val="24"/>
          <w:szCs w:val="24"/>
          <w:highlight w:val="none"/>
          <w:lang w:val="en-US" w:eastAsia="zh-CN"/>
        </w:rPr>
        <w:t>5.2</w:t>
      </w:r>
      <w:r>
        <w:rPr>
          <w:rFonts w:hint="default" w:ascii="Times New Roman" w:hAnsi="Times New Roman" w:eastAsia="宋体" w:cs="Times New Roman"/>
          <w:b/>
          <w:bCs/>
          <w:color w:val="FF0000"/>
          <w:sz w:val="24"/>
          <w:szCs w:val="24"/>
          <w:highlight w:val="none"/>
          <w:lang w:eastAsia="zh-CN"/>
        </w:rPr>
        <w:t>-13</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lang w:eastAsia="zh-CN"/>
        </w:rPr>
        <w:t>五原（2004-2023）年平均相对湿度（纵轴为百分比，虚线为趋势线）</w:t>
      </w:r>
    </w:p>
    <w:bookmarkEnd w:id="440"/>
    <w:bookmarkEnd w:id="441"/>
    <w:bookmarkEnd w:id="442"/>
    <w:p w14:paraId="6AC70E36">
      <w:pPr>
        <w:pStyle w:val="6"/>
        <w:keepNext/>
        <w:keepLines/>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443" w:name="_Toc20816"/>
      <w:r>
        <w:rPr>
          <w:rFonts w:hint="default" w:ascii="Times New Roman" w:hAnsi="Times New Roman" w:eastAsia="宋体" w:cs="Times New Roman"/>
          <w:color w:val="auto"/>
          <w:highlight w:val="none"/>
        </w:rPr>
        <w:t>5.2.2大气环境影响预测</w:t>
      </w:r>
      <w:bookmarkEnd w:id="443"/>
    </w:p>
    <w:p w14:paraId="7182A7CD">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5.2.2.1评价等级及评价范围</w:t>
      </w:r>
    </w:p>
    <w:p w14:paraId="0C04559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本项目大气环境影响评价等级为二级，评价范围为以项目区为中心，边长5km的矩形为大气环境评价范围。项目各污染物最大落地浓度及最大占标率见表</w:t>
      </w:r>
      <w:r>
        <w:rPr>
          <w:rFonts w:hint="default" w:ascii="Times New Roman" w:hAnsi="Times New Roman" w:eastAsia="宋体" w:cs="Times New Roman"/>
          <w:color w:val="auto"/>
          <w:highlight w:val="none"/>
          <w:lang w:val="en-US" w:eastAsia="zh-CN"/>
        </w:rPr>
        <w:t>5.2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val="en-US" w:eastAsia="zh-CN"/>
        </w:rPr>
        <w:t>。</w:t>
      </w:r>
    </w:p>
    <w:p w14:paraId="6D8FBED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污染源估算模型计算结果列表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69"/>
        <w:gridCol w:w="733"/>
        <w:gridCol w:w="883"/>
        <w:gridCol w:w="884"/>
        <w:gridCol w:w="884"/>
        <w:gridCol w:w="884"/>
        <w:gridCol w:w="885"/>
        <w:gridCol w:w="885"/>
        <w:gridCol w:w="885"/>
        <w:gridCol w:w="885"/>
      </w:tblGrid>
      <w:tr w14:paraId="08D304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45FF5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序号</w:t>
            </w:r>
          </w:p>
        </w:tc>
        <w:tc>
          <w:tcPr>
            <w:tcW w:w="73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3ED72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离源</w:t>
            </w:r>
          </w:p>
          <w:p w14:paraId="559AC5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距离</w:t>
            </w:r>
          </w:p>
          <w:p w14:paraId="0CCA5F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eastAsia="zh-CN"/>
              </w:rPr>
              <w:t>（</w:t>
            </w:r>
            <w:r>
              <w:rPr>
                <w:rFonts w:hint="default" w:ascii="Times New Roman" w:hAnsi="Times New Roman" w:eastAsia="宋体" w:cs="Times New Roman"/>
                <w:i w:val="0"/>
                <w:iCs w:val="0"/>
                <w:color w:val="FF0000"/>
                <w:sz w:val="21"/>
                <w:szCs w:val="21"/>
                <w:highlight w:val="none"/>
              </w:rPr>
              <w:t>m</w:t>
            </w:r>
            <w:r>
              <w:rPr>
                <w:rFonts w:hint="default" w:ascii="Times New Roman" w:hAnsi="Times New Roman" w:eastAsia="宋体" w:cs="Times New Roman"/>
                <w:i w:val="0"/>
                <w:iCs w:val="0"/>
                <w:color w:val="FF0000"/>
                <w:sz w:val="21"/>
                <w:szCs w:val="21"/>
                <w:highlight w:val="none"/>
                <w:lang w:eastAsia="zh-CN"/>
              </w:rPr>
              <w:t>）</w:t>
            </w:r>
          </w:p>
        </w:tc>
        <w:tc>
          <w:tcPr>
            <w:tcW w:w="353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45D67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eastAsia="zh-CN"/>
              </w:rPr>
            </w:pPr>
            <w:r>
              <w:rPr>
                <w:rFonts w:hint="default" w:ascii="Times New Roman" w:hAnsi="Times New Roman" w:eastAsia="宋体" w:cs="Times New Roman"/>
                <w:i w:val="0"/>
                <w:iCs w:val="0"/>
                <w:color w:val="FF0000"/>
                <w:sz w:val="21"/>
                <w:szCs w:val="21"/>
                <w:highlight w:val="none"/>
                <w:lang w:eastAsia="zh-CN"/>
              </w:rPr>
              <w:t>羊圈</w:t>
            </w:r>
          </w:p>
        </w:tc>
        <w:tc>
          <w:tcPr>
            <w:tcW w:w="354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839E5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eastAsia="zh-CN"/>
              </w:rPr>
            </w:pPr>
            <w:r>
              <w:rPr>
                <w:rFonts w:hint="default" w:ascii="Times New Roman" w:hAnsi="Times New Roman" w:eastAsia="宋体" w:cs="Times New Roman"/>
                <w:i w:val="0"/>
                <w:iCs w:val="0"/>
                <w:color w:val="FF0000"/>
                <w:sz w:val="21"/>
                <w:szCs w:val="21"/>
                <w:highlight w:val="none"/>
                <w:lang w:eastAsia="zh-CN"/>
              </w:rPr>
              <w:t>堆肥场</w:t>
            </w:r>
          </w:p>
        </w:tc>
      </w:tr>
      <w:tr w14:paraId="3F2063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8CC94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p>
        </w:tc>
        <w:tc>
          <w:tcPr>
            <w:tcW w:w="73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37F3A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p>
        </w:tc>
        <w:tc>
          <w:tcPr>
            <w:tcW w:w="176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9F59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NH</w:t>
            </w:r>
            <w:r>
              <w:rPr>
                <w:rFonts w:hint="default" w:ascii="Times New Roman" w:hAnsi="Times New Roman" w:eastAsia="宋体" w:cs="Times New Roman"/>
                <w:i w:val="0"/>
                <w:iCs w:val="0"/>
                <w:color w:val="FF0000"/>
                <w:sz w:val="21"/>
                <w:szCs w:val="21"/>
                <w:highlight w:val="none"/>
                <w:vertAlign w:val="subscript"/>
              </w:rPr>
              <w:t>3</w:t>
            </w:r>
          </w:p>
        </w:tc>
        <w:tc>
          <w:tcPr>
            <w:tcW w:w="17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136D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H</w:t>
            </w:r>
            <w:r>
              <w:rPr>
                <w:rFonts w:hint="default" w:ascii="Times New Roman" w:hAnsi="Times New Roman" w:eastAsia="宋体" w:cs="Times New Roman"/>
                <w:i w:val="0"/>
                <w:iCs w:val="0"/>
                <w:color w:val="FF0000"/>
                <w:sz w:val="21"/>
                <w:szCs w:val="21"/>
                <w:highlight w:val="none"/>
                <w:vertAlign w:val="subscript"/>
              </w:rPr>
              <w:t>2</w:t>
            </w:r>
            <w:r>
              <w:rPr>
                <w:rFonts w:hint="default" w:ascii="Times New Roman" w:hAnsi="Times New Roman" w:eastAsia="宋体" w:cs="Times New Roman"/>
                <w:i w:val="0"/>
                <w:iCs w:val="0"/>
                <w:color w:val="FF0000"/>
                <w:sz w:val="21"/>
                <w:szCs w:val="21"/>
                <w:highlight w:val="none"/>
              </w:rPr>
              <w:t>S</w:t>
            </w:r>
          </w:p>
        </w:tc>
        <w:tc>
          <w:tcPr>
            <w:tcW w:w="17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3C1D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NH</w:t>
            </w:r>
            <w:r>
              <w:rPr>
                <w:rFonts w:hint="default" w:ascii="Times New Roman" w:hAnsi="Times New Roman" w:eastAsia="宋体" w:cs="Times New Roman"/>
                <w:i w:val="0"/>
                <w:iCs w:val="0"/>
                <w:color w:val="FF0000"/>
                <w:sz w:val="21"/>
                <w:szCs w:val="21"/>
                <w:highlight w:val="none"/>
                <w:vertAlign w:val="subscript"/>
              </w:rPr>
              <w:t>3</w:t>
            </w:r>
          </w:p>
        </w:tc>
        <w:tc>
          <w:tcPr>
            <w:tcW w:w="17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C0E2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H</w:t>
            </w:r>
            <w:r>
              <w:rPr>
                <w:rFonts w:hint="default" w:ascii="Times New Roman" w:hAnsi="Times New Roman" w:eastAsia="宋体" w:cs="Times New Roman"/>
                <w:i w:val="0"/>
                <w:iCs w:val="0"/>
                <w:color w:val="FF0000"/>
                <w:sz w:val="21"/>
                <w:szCs w:val="21"/>
                <w:highlight w:val="none"/>
                <w:vertAlign w:val="subscript"/>
              </w:rPr>
              <w:t>2</w:t>
            </w:r>
            <w:r>
              <w:rPr>
                <w:rFonts w:hint="default" w:ascii="Times New Roman" w:hAnsi="Times New Roman" w:eastAsia="宋体" w:cs="Times New Roman"/>
                <w:i w:val="0"/>
                <w:iCs w:val="0"/>
                <w:color w:val="FF0000"/>
                <w:sz w:val="21"/>
                <w:szCs w:val="21"/>
                <w:highlight w:val="none"/>
              </w:rPr>
              <w:t>S</w:t>
            </w:r>
          </w:p>
        </w:tc>
      </w:tr>
      <w:tr w14:paraId="74CAF1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84BC6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p>
        </w:tc>
        <w:tc>
          <w:tcPr>
            <w:tcW w:w="73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613B5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6F4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0ED597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μg/m</w:t>
            </w:r>
            <w:r>
              <w:rPr>
                <w:rFonts w:hint="default" w:ascii="Times New Roman" w:hAnsi="Times New Roman" w:eastAsia="宋体" w:cs="Times New Roman"/>
                <w:i w:val="0"/>
                <w:iCs w:val="0"/>
                <w:color w:val="FF0000"/>
                <w:sz w:val="21"/>
                <w:szCs w:val="21"/>
                <w:highlight w:val="none"/>
                <w:vertAlign w:val="superscript"/>
                <w:lang w:eastAsia="zh-CN"/>
              </w:rPr>
              <w:t>3</w:t>
            </w:r>
            <w:r>
              <w:rPr>
                <w:rFonts w:hint="default" w:ascii="Times New Roman" w:hAnsi="Times New Roman" w:eastAsia="宋体" w:cs="Times New Roman"/>
                <w:i w:val="0"/>
                <w:iCs w:val="0"/>
                <w:color w:val="FF0000"/>
                <w:sz w:val="21"/>
                <w:szCs w:val="21"/>
                <w:highlight w:val="none"/>
              </w:rPr>
              <w:t>）</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D4D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6FA547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EAD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1524D5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65C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1DDEF6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A62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0A4FCB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F35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64B4A0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32C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66D905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E69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251114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p>
        </w:tc>
      </w:tr>
      <w:tr w14:paraId="32C7BE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DAE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1</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847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10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EF3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1.857</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54F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9.28500E-001</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3D2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0.0260632</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A75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2.60632E-001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74E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8.8784</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E76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4.43920E+000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A4B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0.116821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1A0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1.16821E+000</w:t>
            </w:r>
          </w:p>
        </w:tc>
      </w:tr>
      <w:tr w14:paraId="286F19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898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2</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A6A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1</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DCB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2.9283</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529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1.46415E+000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759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0.0410989</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F0E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4.10989E-001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A39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12.472</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5F7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6.23600E+000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3E4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0.164105</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768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1.64105E+000</w:t>
            </w:r>
          </w:p>
        </w:tc>
      </w:tr>
      <w:tr w14:paraId="01208C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04C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3</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312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2</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AE6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4.442</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C28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2.22100E+000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609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0.0623439</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68A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6.23439E-001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AF06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15.121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4C7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7.56050E+000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D5E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0.198961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F31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1.98961E+000</w:t>
            </w:r>
          </w:p>
        </w:tc>
      </w:tr>
      <w:tr w14:paraId="0E8EEE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C57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4</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FD2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3</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F79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5.9995</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BC7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2.99975E+000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B35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0.0842035</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B0F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8.42035E-001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56C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16.584</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4E7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eastAsia="zh-CN"/>
              </w:rPr>
            </w:pPr>
            <w:r>
              <w:rPr>
                <w:rFonts w:hint="default" w:ascii="Times New Roman" w:hAnsi="Times New Roman" w:eastAsia="宋体" w:cs="Times New Roman"/>
                <w:color w:val="FF0000"/>
                <w:sz w:val="21"/>
                <w:szCs w:val="21"/>
                <w:highlight w:val="none"/>
              </w:rPr>
              <w:t>8.29200E+000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C51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0.218211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038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2.18211E+000</w:t>
            </w:r>
          </w:p>
        </w:tc>
      </w:tr>
      <w:tr w14:paraId="144191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35B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5</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578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4</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EB3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7.2922</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51B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3.64610E+000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FC7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0.102347</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9C3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1.02347E+000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FB9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15.505</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13A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7.75250E+000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777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0.204013</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F82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2.04013E+000</w:t>
            </w:r>
          </w:p>
        </w:tc>
      </w:tr>
      <w:tr w14:paraId="600777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86D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6</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F29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500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F24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color w:val="FF0000"/>
                <w:sz w:val="21"/>
                <w:szCs w:val="21"/>
                <w:highlight w:val="none"/>
              </w:rPr>
              <w:t>7.7974</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060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3.89870E+000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1DB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color w:val="FF0000"/>
                <w:sz w:val="21"/>
                <w:szCs w:val="21"/>
                <w:highlight w:val="none"/>
              </w:rPr>
              <w:t>0.109437</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A74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eastAsia="zh-CN"/>
              </w:rPr>
            </w:pPr>
            <w:r>
              <w:rPr>
                <w:rFonts w:hint="default" w:ascii="Times New Roman" w:hAnsi="Times New Roman" w:eastAsia="宋体" w:cs="Times New Roman"/>
                <w:color w:val="FF0000"/>
                <w:sz w:val="21"/>
                <w:szCs w:val="21"/>
                <w:highlight w:val="none"/>
              </w:rPr>
              <w:t>1.09437E+000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B41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13.961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AC6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6.98050E+000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364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0.183697</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99E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1.83697E+000</w:t>
            </w:r>
          </w:p>
        </w:tc>
      </w:tr>
      <w:tr w14:paraId="70630F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D94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7</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52F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6</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14D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7.8516</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4EE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3.92580E+000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B33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0.110198</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FFC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1.10198E+000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480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12.477</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641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6.23850E+000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B55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0.164171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E2C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1.64171E+000</w:t>
            </w:r>
          </w:p>
        </w:tc>
      </w:tr>
      <w:tr w14:paraId="15E323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C60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8</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0CA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700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5B2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7.7063</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18A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3.85315E+000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3EC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0.108159</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45A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1.08159E+000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BF7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11.176</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063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5.58800E+000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BE5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0.147053</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2BB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1.47053E+000</w:t>
            </w:r>
          </w:p>
        </w:tc>
      </w:tr>
      <w:tr w14:paraId="5D3D67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1D4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9</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F34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8</w:t>
            </w:r>
            <w:r>
              <w:rPr>
                <w:rFonts w:hint="default" w:ascii="Times New Roman" w:hAnsi="Times New Roman" w:eastAsia="宋体" w:cs="Times New Roman"/>
                <w:i w:val="0"/>
                <w:iCs w:val="0"/>
                <w:color w:val="FF0000"/>
                <w:sz w:val="21"/>
                <w:szCs w:val="21"/>
                <w:highlight w:val="none"/>
              </w:rPr>
              <w:t>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F92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7.468</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7EF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3.73400E+000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8D6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0.104814</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551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1.04814E+000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DAA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10.155</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599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5.07750E+000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24A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0.133618</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9D2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1.33618E+000</w:t>
            </w:r>
          </w:p>
        </w:tc>
      </w:tr>
      <w:tr w14:paraId="280F4A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191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10</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0F2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900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A66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7.1941</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5EB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3.59705E+000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E88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0.10097</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F36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1.00970E+000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438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9.3137</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2A1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4.65685E+000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108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0.122549</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0E3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1.22549E+000</w:t>
            </w:r>
          </w:p>
        </w:tc>
      </w:tr>
      <w:tr w14:paraId="165B12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A96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11</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746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1000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3E1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6.9433</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E0C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3.47165E+000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12A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0.0974498</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83E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9.74498E-001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24D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8.6067</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C22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4.30335E+000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096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0.113246</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144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1.13246E+000</w:t>
            </w:r>
          </w:p>
        </w:tc>
      </w:tr>
      <w:tr w14:paraId="22B010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BA2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12</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859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2000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784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5.3028</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9C1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2.65140E+000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BF7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0.0744253</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BC4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7.44253E-001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7B5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5.1675</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EC7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2.58375E+000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B3B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0.0679934</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EAB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6.79934E-001</w:t>
            </w:r>
          </w:p>
        </w:tc>
      </w:tr>
      <w:tr w14:paraId="02D1BA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AB3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2"/>
                <w:sz w:val="21"/>
                <w:szCs w:val="21"/>
                <w:highlight w:val="none"/>
                <w:lang w:val="en-US" w:eastAsia="zh-CN" w:bidi="ar-SA"/>
              </w:rPr>
              <w:t>1</w:t>
            </w:r>
            <w:r>
              <w:rPr>
                <w:rFonts w:hint="default" w:ascii="Times New Roman" w:hAnsi="Times New Roman" w:eastAsia="宋体" w:cs="Times New Roman"/>
                <w:i w:val="0"/>
                <w:iCs w:val="0"/>
                <w:color w:val="FF0000"/>
                <w:kern w:val="2"/>
                <w:sz w:val="21"/>
                <w:szCs w:val="21"/>
                <w:highlight w:val="none"/>
                <w:lang w:val="en-US" w:eastAsia="zh-CN" w:bidi="ar-SA"/>
              </w:rPr>
              <w:t>3</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B7E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rPr>
              <w:t>2</w:t>
            </w:r>
            <w:r>
              <w:rPr>
                <w:rFonts w:hint="default" w:ascii="Times New Roman" w:hAnsi="Times New Roman" w:eastAsia="宋体" w:cs="Times New Roman"/>
                <w:i w:val="0"/>
                <w:iCs w:val="0"/>
                <w:color w:val="FF0000"/>
                <w:sz w:val="21"/>
                <w:szCs w:val="21"/>
                <w:highlight w:val="none"/>
                <w:lang w:val="en-US" w:eastAsia="zh-CN"/>
              </w:rPr>
              <w:t>500</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945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4.8159</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409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2.40795E+000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4A4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0.0675916</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D4F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6.75916E-001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A7F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4.3312</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664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2.16560E+000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8C6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0.0569895</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6C0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5.69895E-001</w:t>
            </w:r>
          </w:p>
        </w:tc>
      </w:tr>
      <w:tr w14:paraId="43E415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5459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kern w:val="0"/>
                <w:sz w:val="21"/>
                <w:szCs w:val="21"/>
                <w:highlight w:val="none"/>
                <w:lang w:bidi="ar"/>
              </w:rPr>
              <w:t>下风向最大质量浓度及占标率%</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851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7.8643</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0CE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3.93215E+000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1E6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0.110376</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65B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1.10376E+000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E06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16.621</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538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8.31050E+000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28E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0.218697</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52A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2.18697E+000</w:t>
            </w:r>
          </w:p>
        </w:tc>
      </w:tr>
      <w:tr w14:paraId="730715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A168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0"/>
                <w:sz w:val="21"/>
                <w:szCs w:val="21"/>
                <w:highlight w:val="none"/>
                <w:lang w:bidi="ar"/>
              </w:rPr>
            </w:pPr>
            <w:r>
              <w:rPr>
                <w:rFonts w:hint="default" w:ascii="Times New Roman" w:hAnsi="Times New Roman" w:eastAsia="宋体" w:cs="Times New Roman"/>
                <w:i w:val="0"/>
                <w:iCs w:val="0"/>
                <w:color w:val="FF0000"/>
                <w:kern w:val="0"/>
                <w:sz w:val="21"/>
                <w:szCs w:val="21"/>
                <w:highlight w:val="none"/>
                <w:lang w:bidi="ar"/>
              </w:rPr>
              <w:t>下风向最大浓度落地距离</w:t>
            </w:r>
          </w:p>
        </w:tc>
        <w:tc>
          <w:tcPr>
            <w:tcW w:w="353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8B581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FF0000"/>
                <w:sz w:val="21"/>
                <w:szCs w:val="21"/>
                <w:highlight w:val="none"/>
                <w:lang w:val="en-US" w:eastAsia="zh-CN"/>
              </w:rPr>
            </w:pPr>
            <w:r>
              <w:rPr>
                <w:rFonts w:hint="default" w:ascii="Times New Roman" w:hAnsi="Times New Roman" w:eastAsia="宋体" w:cs="Times New Roman"/>
                <w:b/>
                <w:bCs/>
                <w:i w:val="0"/>
                <w:iCs w:val="0"/>
                <w:color w:val="FF0000"/>
                <w:sz w:val="21"/>
                <w:szCs w:val="21"/>
                <w:highlight w:val="none"/>
                <w:lang w:val="en-US" w:eastAsia="zh-CN"/>
              </w:rPr>
              <w:t>568</w:t>
            </w:r>
          </w:p>
        </w:tc>
        <w:tc>
          <w:tcPr>
            <w:tcW w:w="354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ACA13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FF0000"/>
                <w:sz w:val="21"/>
                <w:szCs w:val="21"/>
                <w:highlight w:val="none"/>
                <w:lang w:val="en-US" w:eastAsia="zh-CN"/>
              </w:rPr>
            </w:pPr>
            <w:r>
              <w:rPr>
                <w:rFonts w:hint="default" w:ascii="Times New Roman" w:hAnsi="Times New Roman" w:eastAsia="宋体" w:cs="Times New Roman"/>
                <w:b/>
                <w:bCs/>
                <w:i w:val="0"/>
                <w:iCs w:val="0"/>
                <w:color w:val="FF0000"/>
                <w:sz w:val="21"/>
                <w:szCs w:val="21"/>
                <w:highlight w:val="none"/>
                <w:lang w:val="en-US" w:eastAsia="zh-CN"/>
              </w:rPr>
              <w:t>283</w:t>
            </w:r>
          </w:p>
        </w:tc>
      </w:tr>
      <w:tr w14:paraId="2FCE84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F2954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D10%最远距离/m</w:t>
            </w:r>
          </w:p>
        </w:tc>
        <w:tc>
          <w:tcPr>
            <w:tcW w:w="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072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124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E7B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DFE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7AD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720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153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88C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r>
    </w:tbl>
    <w:p w14:paraId="4232FD4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据估算模式计算结果可知，</w:t>
      </w:r>
      <w:r>
        <w:rPr>
          <w:rFonts w:hint="default" w:ascii="Times New Roman" w:hAnsi="Times New Roman" w:eastAsia="宋体" w:cs="Times New Roman"/>
          <w:b w:val="0"/>
          <w:bCs w:val="0"/>
          <w:color w:val="auto"/>
          <w:sz w:val="24"/>
          <w:szCs w:val="24"/>
          <w:highlight w:val="none"/>
          <w:lang w:eastAsia="zh-CN"/>
        </w:rPr>
        <w:t>羊圈</w:t>
      </w:r>
      <w:r>
        <w:rPr>
          <w:rFonts w:hint="default" w:ascii="Times New Roman" w:hAnsi="Times New Roman" w:eastAsia="宋体" w:cs="Times New Roman"/>
          <w:b w:val="0"/>
          <w:bCs w:val="0"/>
          <w:color w:val="auto"/>
          <w:sz w:val="24"/>
          <w:szCs w:val="24"/>
          <w:highlight w:val="none"/>
        </w:rPr>
        <w:t>无组织排放的NH</w:t>
      </w:r>
      <w:r>
        <w:rPr>
          <w:rFonts w:hint="default" w:ascii="Times New Roman" w:hAnsi="Times New Roman" w:eastAsia="宋体" w:cs="Times New Roman"/>
          <w:b w:val="0"/>
          <w:bCs w:val="0"/>
          <w:color w:val="auto"/>
          <w:sz w:val="24"/>
          <w:szCs w:val="24"/>
          <w:highlight w:val="none"/>
          <w:vertAlign w:val="subscript"/>
        </w:rPr>
        <w:t>3</w:t>
      </w:r>
      <w:r>
        <w:rPr>
          <w:rFonts w:hint="default" w:ascii="Times New Roman" w:hAnsi="Times New Roman" w:eastAsia="宋体" w:cs="Times New Roman"/>
          <w:b w:val="0"/>
          <w:bCs w:val="0"/>
          <w:color w:val="auto"/>
          <w:sz w:val="24"/>
          <w:szCs w:val="24"/>
          <w:highlight w:val="none"/>
          <w:lang w:val="en-US" w:eastAsia="zh-CN"/>
        </w:rPr>
        <w:t>最大质量浓度为7.86</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、最大质量浓度占标率3.93%，H</w:t>
      </w:r>
      <w:r>
        <w:rPr>
          <w:rFonts w:hint="default" w:ascii="Times New Roman" w:hAnsi="Times New Roman" w:eastAsia="宋体" w:cs="Times New Roman"/>
          <w:b w:val="0"/>
          <w:bCs w:val="0"/>
          <w:color w:val="auto"/>
          <w:sz w:val="24"/>
          <w:szCs w:val="24"/>
          <w:highlight w:val="none"/>
          <w:vertAlign w:val="subscript"/>
          <w:lang w:eastAsia="zh-CN"/>
        </w:rPr>
        <w:t>2</w:t>
      </w:r>
      <w:r>
        <w:rPr>
          <w:rFonts w:hint="default" w:ascii="Times New Roman" w:hAnsi="Times New Roman" w:eastAsia="宋体" w:cs="Times New Roman"/>
          <w:b w:val="0"/>
          <w:bCs w:val="0"/>
          <w:color w:val="auto"/>
          <w:sz w:val="24"/>
          <w:szCs w:val="24"/>
          <w:highlight w:val="none"/>
          <w:lang w:eastAsia="zh-CN"/>
        </w:rPr>
        <w:t>S</w:t>
      </w:r>
      <w:r>
        <w:rPr>
          <w:rFonts w:hint="default" w:ascii="Times New Roman" w:hAnsi="Times New Roman" w:eastAsia="宋体" w:cs="Times New Roman"/>
          <w:b w:val="0"/>
          <w:bCs w:val="0"/>
          <w:color w:val="auto"/>
          <w:sz w:val="24"/>
          <w:szCs w:val="24"/>
          <w:highlight w:val="none"/>
          <w:lang w:val="en-US" w:eastAsia="zh-CN"/>
        </w:rPr>
        <w:t>最大质量浓度为</w:t>
      </w:r>
      <w:r>
        <w:rPr>
          <w:rFonts w:hint="default" w:ascii="Times New Roman" w:hAnsi="Times New Roman" w:eastAsia="宋体" w:cs="Times New Roman"/>
          <w:b w:val="0"/>
          <w:bCs w:val="0"/>
          <w:i w:val="0"/>
          <w:iCs w:val="0"/>
          <w:color w:val="auto"/>
          <w:kern w:val="2"/>
          <w:sz w:val="24"/>
          <w:szCs w:val="24"/>
          <w:highlight w:val="none"/>
          <w:lang w:val="en-US" w:eastAsia="zh-CN" w:bidi="ar-SA"/>
        </w:rPr>
        <w:t>0.11</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w:t>
      </w:r>
      <w:r>
        <w:rPr>
          <w:rFonts w:hint="default" w:ascii="Times New Roman" w:hAnsi="Times New Roman" w:eastAsia="宋体" w:cs="Times New Roman"/>
          <w:b w:val="0"/>
          <w:bCs w:val="0"/>
          <w:i w:val="0"/>
          <w:iCs w:val="0"/>
          <w:color w:val="auto"/>
          <w:kern w:val="2"/>
          <w:sz w:val="24"/>
          <w:szCs w:val="24"/>
          <w:highlight w:val="none"/>
          <w:lang w:val="en-US" w:eastAsia="zh-CN" w:bidi="ar-SA"/>
        </w:rPr>
        <w:t>1.10</w:t>
      </w:r>
      <w:r>
        <w:rPr>
          <w:rFonts w:hint="default" w:ascii="Times New Roman" w:hAnsi="Times New Roman" w:eastAsia="宋体" w:cs="Times New Roman"/>
          <w:b w:val="0"/>
          <w:bCs w:val="0"/>
          <w:color w:val="auto"/>
          <w:sz w:val="24"/>
          <w:szCs w:val="24"/>
          <w:highlight w:val="none"/>
          <w:lang w:eastAsia="zh-CN"/>
        </w:rPr>
        <w:t>%；堆肥场</w:t>
      </w:r>
      <w:r>
        <w:rPr>
          <w:rFonts w:hint="default" w:ascii="Times New Roman" w:hAnsi="Times New Roman" w:eastAsia="宋体" w:cs="Times New Roman"/>
          <w:b w:val="0"/>
          <w:bCs w:val="0"/>
          <w:color w:val="auto"/>
          <w:sz w:val="24"/>
          <w:szCs w:val="24"/>
          <w:highlight w:val="none"/>
        </w:rPr>
        <w:t>无组织排放的NH</w:t>
      </w:r>
      <w:r>
        <w:rPr>
          <w:rFonts w:hint="default" w:ascii="Times New Roman" w:hAnsi="Times New Roman" w:eastAsia="宋体" w:cs="Times New Roman"/>
          <w:b w:val="0"/>
          <w:bCs w:val="0"/>
          <w:color w:val="auto"/>
          <w:sz w:val="24"/>
          <w:szCs w:val="24"/>
          <w:highlight w:val="none"/>
          <w:vertAlign w:val="subscript"/>
        </w:rPr>
        <w:t>3</w:t>
      </w:r>
      <w:r>
        <w:rPr>
          <w:rFonts w:hint="default" w:ascii="Times New Roman" w:hAnsi="Times New Roman" w:eastAsia="宋体" w:cs="Times New Roman"/>
          <w:b w:val="0"/>
          <w:bCs w:val="0"/>
          <w:color w:val="auto"/>
          <w:sz w:val="24"/>
          <w:szCs w:val="24"/>
          <w:highlight w:val="none"/>
          <w:lang w:val="en-US" w:eastAsia="zh-CN"/>
        </w:rPr>
        <w:t>最大质量浓度为</w:t>
      </w:r>
      <w:r>
        <w:rPr>
          <w:rFonts w:hint="default" w:ascii="Times New Roman" w:hAnsi="Times New Roman" w:eastAsia="宋体" w:cs="Times New Roman"/>
          <w:b w:val="0"/>
          <w:bCs w:val="0"/>
          <w:i w:val="0"/>
          <w:iCs w:val="0"/>
          <w:color w:val="auto"/>
          <w:kern w:val="2"/>
          <w:sz w:val="24"/>
          <w:szCs w:val="24"/>
          <w:highlight w:val="none"/>
          <w:lang w:val="en-US" w:eastAsia="zh-CN" w:bidi="ar-SA"/>
        </w:rPr>
        <w:t>16.62</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w:t>
      </w:r>
      <w:r>
        <w:rPr>
          <w:rFonts w:hint="default" w:ascii="Times New Roman" w:hAnsi="Times New Roman" w:eastAsia="宋体" w:cs="Times New Roman"/>
          <w:b w:val="0"/>
          <w:bCs w:val="0"/>
          <w:i w:val="0"/>
          <w:iCs w:val="0"/>
          <w:color w:val="auto"/>
          <w:kern w:val="2"/>
          <w:sz w:val="24"/>
          <w:szCs w:val="24"/>
          <w:highlight w:val="none"/>
          <w:lang w:val="en-US" w:eastAsia="zh-CN" w:bidi="ar-SA"/>
        </w:rPr>
        <w:t>8.31</w:t>
      </w:r>
      <w:r>
        <w:rPr>
          <w:rFonts w:hint="default" w:ascii="Times New Roman" w:hAnsi="Times New Roman" w:eastAsia="宋体" w:cs="Times New Roman"/>
          <w:b w:val="0"/>
          <w:bCs w:val="0"/>
          <w:color w:val="auto"/>
          <w:sz w:val="24"/>
          <w:szCs w:val="24"/>
          <w:highlight w:val="none"/>
          <w:lang w:eastAsia="zh-CN"/>
        </w:rPr>
        <w:t>%，H</w:t>
      </w:r>
      <w:r>
        <w:rPr>
          <w:rFonts w:hint="default" w:ascii="Times New Roman" w:hAnsi="Times New Roman" w:eastAsia="宋体" w:cs="Times New Roman"/>
          <w:b w:val="0"/>
          <w:bCs w:val="0"/>
          <w:color w:val="auto"/>
          <w:sz w:val="24"/>
          <w:szCs w:val="24"/>
          <w:highlight w:val="none"/>
          <w:vertAlign w:val="subscript"/>
          <w:lang w:eastAsia="zh-CN"/>
        </w:rPr>
        <w:t>2</w:t>
      </w:r>
      <w:r>
        <w:rPr>
          <w:rFonts w:hint="default" w:ascii="Times New Roman" w:hAnsi="Times New Roman" w:eastAsia="宋体" w:cs="Times New Roman"/>
          <w:b w:val="0"/>
          <w:bCs w:val="0"/>
          <w:color w:val="auto"/>
          <w:sz w:val="24"/>
          <w:szCs w:val="24"/>
          <w:highlight w:val="none"/>
          <w:lang w:eastAsia="zh-CN"/>
        </w:rPr>
        <w:t>S</w:t>
      </w:r>
      <w:r>
        <w:rPr>
          <w:rFonts w:hint="default" w:ascii="Times New Roman" w:hAnsi="Times New Roman" w:eastAsia="宋体" w:cs="Times New Roman"/>
          <w:b w:val="0"/>
          <w:bCs w:val="0"/>
          <w:color w:val="auto"/>
          <w:sz w:val="24"/>
          <w:szCs w:val="24"/>
          <w:highlight w:val="none"/>
          <w:lang w:val="en-US" w:eastAsia="zh-CN"/>
        </w:rPr>
        <w:t>最大质量浓度为</w:t>
      </w:r>
      <w:r>
        <w:rPr>
          <w:rFonts w:hint="default" w:ascii="Times New Roman" w:hAnsi="Times New Roman" w:eastAsia="宋体" w:cs="Times New Roman"/>
          <w:b w:val="0"/>
          <w:bCs w:val="0"/>
          <w:i w:val="0"/>
          <w:iCs w:val="0"/>
          <w:color w:val="auto"/>
          <w:kern w:val="2"/>
          <w:sz w:val="24"/>
          <w:szCs w:val="24"/>
          <w:highlight w:val="none"/>
          <w:lang w:val="en-US" w:eastAsia="zh-CN" w:bidi="ar-SA"/>
        </w:rPr>
        <w:t>0.22</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w:t>
      </w:r>
      <w:r>
        <w:rPr>
          <w:rFonts w:hint="default" w:ascii="Times New Roman" w:hAnsi="Times New Roman" w:eastAsia="宋体" w:cs="Times New Roman"/>
          <w:b w:val="0"/>
          <w:bCs w:val="0"/>
          <w:i w:val="0"/>
          <w:iCs w:val="0"/>
          <w:color w:val="auto"/>
          <w:kern w:val="2"/>
          <w:sz w:val="24"/>
          <w:szCs w:val="24"/>
          <w:highlight w:val="none"/>
          <w:lang w:val="en-US" w:eastAsia="zh-CN" w:bidi="ar-SA"/>
        </w:rPr>
        <w:t>2.19</w:t>
      </w:r>
      <w:r>
        <w:rPr>
          <w:rFonts w:hint="default" w:ascii="Times New Roman" w:hAnsi="Times New Roman" w:eastAsia="宋体" w:cs="Times New Roman"/>
          <w:b w:val="0"/>
          <w:bCs w:val="0"/>
          <w:color w:val="auto"/>
          <w:sz w:val="24"/>
          <w:szCs w:val="24"/>
          <w:highlight w:val="none"/>
          <w:lang w:eastAsia="zh-CN"/>
        </w:rPr>
        <w:t>%。</w:t>
      </w:r>
    </w:p>
    <w:p w14:paraId="2A5DB802">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污染源估算模型计算结果列表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97"/>
        <w:gridCol w:w="932"/>
        <w:gridCol w:w="1123"/>
        <w:gridCol w:w="1124"/>
        <w:gridCol w:w="1124"/>
        <w:gridCol w:w="1124"/>
        <w:gridCol w:w="1126"/>
        <w:gridCol w:w="1127"/>
      </w:tblGrid>
      <w:tr w14:paraId="548BAD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6519C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序号</w:t>
            </w:r>
          </w:p>
        </w:tc>
        <w:tc>
          <w:tcPr>
            <w:tcW w:w="93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58C0D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离源</w:t>
            </w:r>
          </w:p>
          <w:p w14:paraId="4E7DEC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距离</w:t>
            </w:r>
          </w:p>
          <w:p w14:paraId="0236DC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eastAsia="zh-CN"/>
              </w:rPr>
              <w:t>（</w:t>
            </w:r>
            <w:r>
              <w:rPr>
                <w:rFonts w:hint="default" w:ascii="Times New Roman" w:hAnsi="Times New Roman" w:eastAsia="宋体" w:cs="Times New Roman"/>
                <w:i w:val="0"/>
                <w:iCs w:val="0"/>
                <w:color w:val="0000FF"/>
                <w:sz w:val="21"/>
                <w:szCs w:val="21"/>
                <w:highlight w:val="none"/>
              </w:rPr>
              <w:t>m</w:t>
            </w:r>
            <w:r>
              <w:rPr>
                <w:rFonts w:hint="default" w:ascii="Times New Roman" w:hAnsi="Times New Roman" w:eastAsia="宋体" w:cs="Times New Roman"/>
                <w:i w:val="0"/>
                <w:iCs w:val="0"/>
                <w:color w:val="0000FF"/>
                <w:sz w:val="21"/>
                <w:szCs w:val="21"/>
                <w:highlight w:val="none"/>
                <w:lang w:eastAsia="zh-CN"/>
              </w:rPr>
              <w:t>）</w:t>
            </w:r>
          </w:p>
        </w:tc>
        <w:tc>
          <w:tcPr>
            <w:tcW w:w="224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45D5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eastAsia="zh-CN"/>
              </w:rPr>
              <w:t>日粮搅拌车间</w:t>
            </w:r>
          </w:p>
        </w:tc>
        <w:tc>
          <w:tcPr>
            <w:tcW w:w="22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CF08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eastAsia="zh-CN"/>
              </w:rPr>
            </w:pPr>
            <w:r>
              <w:rPr>
                <w:rFonts w:hint="default" w:ascii="Times New Roman" w:hAnsi="Times New Roman" w:eastAsia="宋体" w:cs="Times New Roman"/>
                <w:color w:val="FF0000"/>
                <w:sz w:val="21"/>
                <w:szCs w:val="21"/>
                <w:highlight w:val="none"/>
                <w:lang w:val="en-US" w:eastAsia="zh-CN"/>
              </w:rPr>
              <w:t>造粒车间</w:t>
            </w:r>
          </w:p>
        </w:tc>
        <w:tc>
          <w:tcPr>
            <w:tcW w:w="2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0E04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玉米粒烘干</w:t>
            </w:r>
            <w:r>
              <w:rPr>
                <w:rFonts w:hint="default" w:ascii="Times New Roman" w:hAnsi="Times New Roman" w:eastAsia="宋体" w:cs="Times New Roman"/>
                <w:b w:val="0"/>
                <w:bCs w:val="0"/>
                <w:color w:val="FF0000"/>
                <w:sz w:val="21"/>
                <w:szCs w:val="21"/>
                <w:highlight w:val="none"/>
                <w:lang w:val="en-US" w:eastAsia="zh-CN"/>
              </w:rPr>
              <w:t>生产线</w:t>
            </w:r>
          </w:p>
        </w:tc>
      </w:tr>
      <w:tr w14:paraId="54537E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D1785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p>
        </w:tc>
        <w:tc>
          <w:tcPr>
            <w:tcW w:w="93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859D1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p>
        </w:tc>
        <w:tc>
          <w:tcPr>
            <w:tcW w:w="224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4F68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TSP</w:t>
            </w:r>
          </w:p>
        </w:tc>
        <w:tc>
          <w:tcPr>
            <w:tcW w:w="22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ACA2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TSP</w:t>
            </w:r>
          </w:p>
        </w:tc>
        <w:tc>
          <w:tcPr>
            <w:tcW w:w="2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8D50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TSP</w:t>
            </w:r>
          </w:p>
        </w:tc>
      </w:tr>
      <w:tr w14:paraId="7D1D46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EEB1A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p>
        </w:tc>
        <w:tc>
          <w:tcPr>
            <w:tcW w:w="93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30ED2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D00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浓度</w:t>
            </w:r>
          </w:p>
          <w:p w14:paraId="6FA8FE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w:t>
            </w:r>
            <w:r>
              <w:rPr>
                <w:rFonts w:hint="default" w:ascii="Times New Roman" w:hAnsi="Times New Roman" w:eastAsia="宋体" w:cs="Times New Roman"/>
                <w:i w:val="0"/>
                <w:iCs w:val="0"/>
                <w:color w:val="0000FF"/>
                <w:sz w:val="21"/>
                <w:szCs w:val="21"/>
                <w:highlight w:val="none"/>
                <w:lang w:eastAsia="zh-CN"/>
              </w:rPr>
              <w:t>μg/m</w:t>
            </w:r>
            <w:r>
              <w:rPr>
                <w:rFonts w:hint="default" w:ascii="Times New Roman" w:hAnsi="Times New Roman" w:eastAsia="宋体" w:cs="Times New Roman"/>
                <w:i w:val="0"/>
                <w:iCs w:val="0"/>
                <w:color w:val="0000FF"/>
                <w:sz w:val="21"/>
                <w:szCs w:val="21"/>
                <w:highlight w:val="none"/>
                <w:vertAlign w:val="superscript"/>
                <w:lang w:eastAsia="zh-CN"/>
              </w:rPr>
              <w:t>3</w:t>
            </w:r>
            <w:r>
              <w:rPr>
                <w:rFonts w:hint="default" w:ascii="Times New Roman" w:hAnsi="Times New Roman" w:eastAsia="宋体" w:cs="Times New Roman"/>
                <w:i w:val="0"/>
                <w:iCs w:val="0"/>
                <w:color w:val="0000FF"/>
                <w:sz w:val="21"/>
                <w:szCs w:val="21"/>
                <w:highlight w:val="none"/>
              </w:rPr>
              <w:t>）</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BF7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占标率</w:t>
            </w:r>
          </w:p>
          <w:p w14:paraId="61EEA7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20A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浓度</w:t>
            </w:r>
          </w:p>
          <w:p w14:paraId="3ECE3E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w:t>
            </w:r>
            <w:r>
              <w:rPr>
                <w:rFonts w:hint="default" w:ascii="Times New Roman" w:hAnsi="Times New Roman" w:eastAsia="宋体" w:cs="Times New Roman"/>
                <w:i w:val="0"/>
                <w:iCs w:val="0"/>
                <w:color w:val="0000FF"/>
                <w:sz w:val="21"/>
                <w:szCs w:val="21"/>
                <w:highlight w:val="none"/>
                <w:lang w:eastAsia="zh-CN"/>
              </w:rPr>
              <w:t>μ</w:t>
            </w:r>
            <w:r>
              <w:rPr>
                <w:rFonts w:hint="default" w:ascii="Times New Roman" w:hAnsi="Times New Roman" w:eastAsia="宋体" w:cs="Times New Roman"/>
                <w:i w:val="0"/>
                <w:iCs w:val="0"/>
                <w:color w:val="0000FF"/>
                <w:sz w:val="21"/>
                <w:szCs w:val="21"/>
                <w:highlight w:val="none"/>
              </w:rPr>
              <w:t>g/m</w:t>
            </w:r>
            <w:r>
              <w:rPr>
                <w:rFonts w:hint="default" w:ascii="Times New Roman" w:hAnsi="Times New Roman" w:eastAsia="宋体" w:cs="Times New Roman"/>
                <w:i w:val="0"/>
                <w:iCs w:val="0"/>
                <w:color w:val="0000FF"/>
                <w:sz w:val="21"/>
                <w:szCs w:val="21"/>
                <w:highlight w:val="none"/>
                <w:vertAlign w:val="superscript"/>
              </w:rPr>
              <w:t>3</w:t>
            </w:r>
            <w:r>
              <w:rPr>
                <w:rFonts w:hint="default" w:ascii="Times New Roman" w:hAnsi="Times New Roman" w:eastAsia="宋体" w:cs="Times New Roman"/>
                <w:i w:val="0"/>
                <w:iCs w:val="0"/>
                <w:color w:val="0000FF"/>
                <w:sz w:val="21"/>
                <w:szCs w:val="21"/>
                <w:highlight w:val="none"/>
              </w:rPr>
              <w:t>）</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40C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占标率</w:t>
            </w:r>
          </w:p>
          <w:p w14:paraId="252407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C5A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浓度</w:t>
            </w:r>
          </w:p>
          <w:p w14:paraId="0BAF3E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w:t>
            </w:r>
            <w:r>
              <w:rPr>
                <w:rFonts w:hint="default" w:ascii="Times New Roman" w:hAnsi="Times New Roman" w:eastAsia="宋体" w:cs="Times New Roman"/>
                <w:i w:val="0"/>
                <w:iCs w:val="0"/>
                <w:color w:val="0000FF"/>
                <w:sz w:val="21"/>
                <w:szCs w:val="21"/>
                <w:highlight w:val="none"/>
                <w:lang w:eastAsia="zh-CN"/>
              </w:rPr>
              <w:t>μ</w:t>
            </w:r>
            <w:r>
              <w:rPr>
                <w:rFonts w:hint="default" w:ascii="Times New Roman" w:hAnsi="Times New Roman" w:eastAsia="宋体" w:cs="Times New Roman"/>
                <w:i w:val="0"/>
                <w:iCs w:val="0"/>
                <w:color w:val="0000FF"/>
                <w:sz w:val="21"/>
                <w:szCs w:val="21"/>
                <w:highlight w:val="none"/>
              </w:rPr>
              <w:t>g/m</w:t>
            </w:r>
            <w:r>
              <w:rPr>
                <w:rFonts w:hint="default" w:ascii="Times New Roman" w:hAnsi="Times New Roman" w:eastAsia="宋体" w:cs="Times New Roman"/>
                <w:i w:val="0"/>
                <w:iCs w:val="0"/>
                <w:color w:val="0000FF"/>
                <w:sz w:val="21"/>
                <w:szCs w:val="21"/>
                <w:highlight w:val="none"/>
                <w:vertAlign w:val="superscript"/>
              </w:rPr>
              <w:t>3</w:t>
            </w:r>
            <w:r>
              <w:rPr>
                <w:rFonts w:hint="default" w:ascii="Times New Roman" w:hAnsi="Times New Roman" w:eastAsia="宋体" w:cs="Times New Roman"/>
                <w:i w:val="0"/>
                <w:iCs w:val="0"/>
                <w:color w:val="0000FF"/>
                <w:sz w:val="21"/>
                <w:szCs w:val="21"/>
                <w:highlight w:val="none"/>
              </w:rPr>
              <w:t>）</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F3A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占标率</w:t>
            </w:r>
          </w:p>
          <w:p w14:paraId="0234DE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w:t>
            </w:r>
          </w:p>
        </w:tc>
      </w:tr>
      <w:tr w14:paraId="58574D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F11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1</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15D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10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2BF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24.008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5F1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2.66756E+000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C81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17.688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489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1.96533E+000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A9E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19.077</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CE2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2.11967E+000</w:t>
            </w:r>
          </w:p>
        </w:tc>
      </w:tr>
      <w:tr w14:paraId="5E5269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92D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2</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40AB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1</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10F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57.413</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60A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6.37922E+000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B46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27.819</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5E0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3.09100E+000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9CC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22.65</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647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2.51667E+000</w:t>
            </w:r>
          </w:p>
        </w:tc>
      </w:tr>
      <w:tr w14:paraId="0DB555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F5C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3</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4C5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2</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D7E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34.232</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DC4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3.80356E+000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178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16.225</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77D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1.80278E+000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5BA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17.696</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7A6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1.96622E+000</w:t>
            </w:r>
          </w:p>
        </w:tc>
      </w:tr>
      <w:tr w14:paraId="5C1BFD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BBD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4</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DB5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3</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4E5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25.689</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992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2.85433E+000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2B7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color w:val="0000FF"/>
                <w:sz w:val="21"/>
                <w:szCs w:val="21"/>
              </w:rPr>
              <w:t xml:space="preserve"> 12.831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59F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color w:val="0000FF"/>
                <w:sz w:val="21"/>
                <w:szCs w:val="21"/>
              </w:rPr>
              <w:t>1.42567E+000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0ED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color w:val="0000FF"/>
                <w:sz w:val="21"/>
                <w:szCs w:val="21"/>
              </w:rPr>
              <w:t xml:space="preserve"> 14.28</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EE1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eastAsia="zh-CN"/>
              </w:rPr>
            </w:pPr>
            <w:r>
              <w:rPr>
                <w:rFonts w:hint="default" w:ascii="Times New Roman" w:hAnsi="Times New Roman" w:eastAsia="宋体" w:cs="Times New Roman"/>
                <w:color w:val="0000FF"/>
                <w:sz w:val="21"/>
                <w:szCs w:val="21"/>
              </w:rPr>
              <w:t>1.58667E+000</w:t>
            </w:r>
          </w:p>
        </w:tc>
      </w:tr>
      <w:tr w14:paraId="22F2A2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120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5</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EED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4</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EE3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20.968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5DC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2.32978E+000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30D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12.829</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5F9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1.42544E+000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B07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11.739</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A60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1.30433E+000</w:t>
            </w:r>
          </w:p>
        </w:tc>
      </w:tr>
      <w:tr w14:paraId="4D5ED6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728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6</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6DA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500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1FC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17.918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C70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1.99089E+000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19A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color w:val="0000FF"/>
                <w:sz w:val="21"/>
                <w:szCs w:val="21"/>
              </w:rPr>
              <w:t xml:space="preserve"> 12.67</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F89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eastAsia="zh-CN"/>
              </w:rPr>
            </w:pPr>
            <w:r>
              <w:rPr>
                <w:rFonts w:hint="default" w:ascii="Times New Roman" w:hAnsi="Times New Roman" w:eastAsia="宋体" w:cs="Times New Roman"/>
                <w:color w:val="0000FF"/>
                <w:sz w:val="21"/>
                <w:szCs w:val="21"/>
              </w:rPr>
              <w:t>1.40778E+000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1AC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9.8467</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4F8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1.09408E+000</w:t>
            </w:r>
          </w:p>
        </w:tc>
      </w:tr>
      <w:tr w14:paraId="2E8AD6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45D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7</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8A9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6</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895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15.761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203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1.75122E+000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D59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11.997</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EF0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1.33300E+000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DD7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8.3797</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FCD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9.31078E-001</w:t>
            </w:r>
          </w:p>
        </w:tc>
      </w:tr>
      <w:tr w14:paraId="30B785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301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8</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297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700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F9B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14.142</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E0F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1.57133E+000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205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11.181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CD3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1.24233E+000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B89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7.3855</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508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8.20611E-001</w:t>
            </w:r>
          </w:p>
        </w:tc>
      </w:tr>
      <w:tr w14:paraId="026962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D3C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9</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CB4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8</w:t>
            </w:r>
            <w:r>
              <w:rPr>
                <w:rFonts w:hint="default" w:ascii="Times New Roman" w:hAnsi="Times New Roman" w:eastAsia="宋体" w:cs="Times New Roman"/>
                <w:i w:val="0"/>
                <w:iCs w:val="0"/>
                <w:color w:val="0000FF"/>
                <w:sz w:val="21"/>
                <w:szCs w:val="21"/>
                <w:highlight w:val="none"/>
              </w:rPr>
              <w:t>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34C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12.875</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1C9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1.43056E+000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BA3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10.363</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28B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1.15144E+000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8A7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6.7857</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054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7.53967E-001</w:t>
            </w:r>
          </w:p>
        </w:tc>
      </w:tr>
      <w:tr w14:paraId="1A2655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65C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10</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621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900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D30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11.853</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587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1.31700E+000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636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9.595</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E29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1.06611E+000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C98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6.3182</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425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7.02022E-001</w:t>
            </w:r>
          </w:p>
        </w:tc>
      </w:tr>
      <w:tr w14:paraId="3446B3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CD7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11</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635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1000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B64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11.008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598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1.22311E+000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D8C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9.0497</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4F6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1.00552E+000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CBF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5.8119</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1FF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6.45767E-001</w:t>
            </w:r>
          </w:p>
        </w:tc>
      </w:tr>
      <w:tr w14:paraId="4DFCBC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A53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12</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4C3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lang w:val="en-US" w:eastAsia="zh-CN"/>
              </w:rPr>
            </w:pPr>
            <w:r>
              <w:rPr>
                <w:rFonts w:hint="default" w:ascii="Times New Roman" w:hAnsi="Times New Roman" w:eastAsia="宋体" w:cs="Times New Roman"/>
                <w:i w:val="0"/>
                <w:iCs w:val="0"/>
                <w:color w:val="0000FF"/>
                <w:sz w:val="21"/>
                <w:szCs w:val="21"/>
                <w:highlight w:val="none"/>
                <w:lang w:val="en-US" w:eastAsia="zh-CN"/>
              </w:rPr>
              <w:t>2000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01D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8.1445</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566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9.04944E-001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351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6.7395</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30C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7.48833E-001</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C0D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3.3199</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DE8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3.68878E-001</w:t>
            </w:r>
          </w:p>
        </w:tc>
      </w:tr>
      <w:tr w14:paraId="0F5DF9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F75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lang w:val="en-US" w:eastAsia="zh-CN"/>
              </w:rPr>
              <w:t>13</w:t>
            </w:r>
          </w:p>
        </w:tc>
        <w:tc>
          <w:tcPr>
            <w:tcW w:w="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F94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i w:val="0"/>
                <w:iCs w:val="0"/>
                <w:color w:val="0000FF"/>
                <w:sz w:val="21"/>
                <w:szCs w:val="21"/>
                <w:highlight w:val="none"/>
              </w:rPr>
              <w:t>2</w:t>
            </w:r>
            <w:r>
              <w:rPr>
                <w:rFonts w:hint="default" w:ascii="Times New Roman" w:hAnsi="Times New Roman" w:eastAsia="宋体" w:cs="Times New Roman"/>
                <w:i w:val="0"/>
                <w:iCs w:val="0"/>
                <w:color w:val="0000FF"/>
                <w:sz w:val="21"/>
                <w:szCs w:val="21"/>
                <w:highlight w:val="none"/>
                <w:lang w:val="en-US" w:eastAsia="zh-CN"/>
              </w:rPr>
              <w:t>500</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3F9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7.2293</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804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8.03256E-001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364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5.7234</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479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6.35933E-001</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615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2.7044</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734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3.00489E-001</w:t>
            </w:r>
          </w:p>
        </w:tc>
      </w:tr>
      <w:tr w14:paraId="176F3B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7B8C6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kern w:val="0"/>
                <w:sz w:val="21"/>
                <w:szCs w:val="21"/>
                <w:highlight w:val="none"/>
                <w:lang w:bidi="ar"/>
              </w:rPr>
              <w:t>下风向最大质量浓度及占标率%</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36E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76.91</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FA1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8.54556E+000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003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33.78</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F06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3.75333E+000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651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 xml:space="preserve"> 26.878</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609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rPr>
              <w:t>2.98644E+000</w:t>
            </w:r>
          </w:p>
        </w:tc>
      </w:tr>
      <w:tr w14:paraId="36B05C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B14A8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kern w:val="0"/>
                <w:sz w:val="21"/>
                <w:szCs w:val="21"/>
                <w:highlight w:val="none"/>
                <w:lang w:bidi="ar"/>
              </w:rPr>
            </w:pPr>
            <w:r>
              <w:rPr>
                <w:rFonts w:hint="default" w:ascii="Times New Roman" w:hAnsi="Times New Roman" w:eastAsia="宋体" w:cs="Times New Roman"/>
                <w:i w:val="0"/>
                <w:iCs w:val="0"/>
                <w:color w:val="0000FF"/>
                <w:kern w:val="0"/>
                <w:sz w:val="21"/>
                <w:szCs w:val="21"/>
                <w:highlight w:val="none"/>
                <w:lang w:bidi="ar"/>
              </w:rPr>
              <w:t>下风向最大浓度落地距离</w:t>
            </w:r>
          </w:p>
        </w:tc>
        <w:tc>
          <w:tcPr>
            <w:tcW w:w="224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07CD5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0000FF"/>
                <w:sz w:val="21"/>
                <w:szCs w:val="21"/>
                <w:highlight w:val="none"/>
                <w:lang w:val="en-US" w:eastAsia="zh-CN"/>
              </w:rPr>
            </w:pPr>
            <w:r>
              <w:rPr>
                <w:rFonts w:hint="default" w:ascii="Times New Roman" w:hAnsi="Times New Roman" w:eastAsia="宋体" w:cs="Times New Roman"/>
                <w:b/>
                <w:bCs/>
                <w:i w:val="0"/>
                <w:iCs w:val="0"/>
                <w:color w:val="0000FF"/>
                <w:sz w:val="21"/>
                <w:szCs w:val="21"/>
                <w:highlight w:val="none"/>
                <w:lang w:val="en-US" w:eastAsia="zh-CN"/>
              </w:rPr>
              <w:t>61</w:t>
            </w:r>
          </w:p>
        </w:tc>
        <w:tc>
          <w:tcPr>
            <w:tcW w:w="22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1155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0000FF"/>
                <w:sz w:val="21"/>
                <w:szCs w:val="21"/>
                <w:highlight w:val="none"/>
                <w:lang w:val="en-US" w:eastAsia="zh-CN"/>
              </w:rPr>
            </w:pPr>
            <w:r>
              <w:rPr>
                <w:rFonts w:hint="default" w:ascii="Times New Roman" w:hAnsi="Times New Roman" w:eastAsia="宋体" w:cs="Times New Roman"/>
                <w:b/>
                <w:bCs/>
                <w:i w:val="0"/>
                <w:iCs w:val="0"/>
                <w:color w:val="0000FF"/>
                <w:sz w:val="21"/>
                <w:szCs w:val="21"/>
                <w:highlight w:val="none"/>
                <w:lang w:val="en-US" w:eastAsia="zh-CN"/>
              </w:rPr>
              <w:t>71</w:t>
            </w:r>
          </w:p>
        </w:tc>
        <w:tc>
          <w:tcPr>
            <w:tcW w:w="2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DF18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0000FF"/>
                <w:sz w:val="21"/>
                <w:szCs w:val="21"/>
                <w:highlight w:val="none"/>
                <w:lang w:val="en-US" w:eastAsia="zh-CN"/>
              </w:rPr>
            </w:pPr>
            <w:r>
              <w:rPr>
                <w:rFonts w:hint="default" w:ascii="Times New Roman" w:hAnsi="Times New Roman" w:eastAsia="宋体" w:cs="Times New Roman"/>
                <w:b/>
                <w:bCs/>
                <w:i w:val="0"/>
                <w:iCs w:val="0"/>
                <w:color w:val="0000FF"/>
                <w:sz w:val="21"/>
                <w:szCs w:val="21"/>
                <w:highlight w:val="none"/>
                <w:lang w:val="en-US" w:eastAsia="zh-CN"/>
              </w:rPr>
              <w:t>63</w:t>
            </w:r>
          </w:p>
        </w:tc>
      </w:tr>
      <w:tr w14:paraId="254B1B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584DF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D10%最远距离/m</w:t>
            </w:r>
          </w:p>
        </w:tc>
        <w:tc>
          <w:tcPr>
            <w:tcW w:w="11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F45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7DF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CC9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c>
          <w:tcPr>
            <w:tcW w:w="11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A8A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9A9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c>
          <w:tcPr>
            <w:tcW w:w="11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1DC1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FF"/>
                <w:sz w:val="21"/>
                <w:szCs w:val="21"/>
                <w:highlight w:val="none"/>
              </w:rPr>
            </w:pPr>
            <w:r>
              <w:rPr>
                <w:rFonts w:hint="default" w:ascii="Times New Roman" w:hAnsi="Times New Roman" w:eastAsia="宋体" w:cs="Times New Roman"/>
                <w:i w:val="0"/>
                <w:iCs w:val="0"/>
                <w:color w:val="0000FF"/>
                <w:sz w:val="21"/>
                <w:szCs w:val="21"/>
                <w:highlight w:val="none"/>
              </w:rPr>
              <w:t>0</w:t>
            </w:r>
          </w:p>
        </w:tc>
      </w:tr>
    </w:tbl>
    <w:p w14:paraId="489D201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据估算模式计算结果可知，</w:t>
      </w:r>
      <w:r>
        <w:rPr>
          <w:rFonts w:hint="default" w:ascii="Times New Roman" w:hAnsi="Times New Roman" w:eastAsia="宋体" w:cs="Times New Roman"/>
          <w:b w:val="0"/>
          <w:bCs w:val="0"/>
          <w:color w:val="auto"/>
          <w:sz w:val="24"/>
          <w:szCs w:val="24"/>
          <w:highlight w:val="none"/>
          <w:lang w:eastAsia="zh-CN"/>
        </w:rPr>
        <w:t>日粮搅拌车间</w:t>
      </w:r>
      <w:r>
        <w:rPr>
          <w:rFonts w:hint="default" w:ascii="Times New Roman" w:hAnsi="Times New Roman" w:eastAsia="宋体" w:cs="Times New Roman"/>
          <w:b w:val="0"/>
          <w:bCs w:val="0"/>
          <w:color w:val="auto"/>
          <w:sz w:val="24"/>
          <w:szCs w:val="24"/>
          <w:highlight w:val="none"/>
        </w:rPr>
        <w:t>无组织排放的TSP</w:t>
      </w:r>
      <w:r>
        <w:rPr>
          <w:rFonts w:hint="default" w:ascii="Times New Roman" w:hAnsi="Times New Roman" w:eastAsia="宋体" w:cs="Times New Roman"/>
          <w:b w:val="0"/>
          <w:bCs w:val="0"/>
          <w:color w:val="auto"/>
          <w:sz w:val="24"/>
          <w:szCs w:val="24"/>
          <w:highlight w:val="none"/>
          <w:lang w:val="en-US" w:eastAsia="zh-CN"/>
        </w:rPr>
        <w:t>最大质量浓度为76.91</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、最大质量浓度占标率8.55%</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造粒车间</w:t>
      </w:r>
      <w:r>
        <w:rPr>
          <w:rFonts w:hint="default" w:ascii="Times New Roman" w:hAnsi="Times New Roman" w:eastAsia="宋体" w:cs="Times New Roman"/>
          <w:b w:val="0"/>
          <w:bCs w:val="0"/>
          <w:color w:val="auto"/>
          <w:sz w:val="24"/>
          <w:szCs w:val="24"/>
          <w:highlight w:val="none"/>
          <w:lang w:eastAsia="zh-CN"/>
        </w:rPr>
        <w:t>无组织排放的TSP</w:t>
      </w:r>
      <w:r>
        <w:rPr>
          <w:rFonts w:hint="default" w:ascii="Times New Roman" w:hAnsi="Times New Roman" w:eastAsia="宋体" w:cs="Times New Roman"/>
          <w:b w:val="0"/>
          <w:bCs w:val="0"/>
          <w:color w:val="auto"/>
          <w:sz w:val="24"/>
          <w:szCs w:val="24"/>
          <w:highlight w:val="none"/>
          <w:lang w:val="en-US" w:eastAsia="zh-CN"/>
        </w:rPr>
        <w:t>最大质量浓度为33.78</w:t>
      </w:r>
      <w:r>
        <w:rPr>
          <w:rFonts w:hint="default" w:ascii="Times New Roman" w:hAnsi="Times New Roman" w:eastAsia="宋体" w:cs="Times New Roman"/>
          <w:b w:val="0"/>
          <w:bCs w:val="0"/>
          <w:color w:val="auto"/>
          <w:sz w:val="24"/>
          <w:szCs w:val="24"/>
          <w:highlight w:val="none"/>
          <w:lang w:eastAsia="zh-CN"/>
        </w:rPr>
        <w:t>μg/m</w:t>
      </w:r>
      <w:r>
        <w:rPr>
          <w:rFonts w:hint="default" w:ascii="Times New Roman" w:hAnsi="Times New Roman" w:eastAsia="宋体" w:cs="Times New Roman"/>
          <w:b w:val="0"/>
          <w:bCs w:val="0"/>
          <w:color w:val="auto"/>
          <w:sz w:val="24"/>
          <w:szCs w:val="24"/>
          <w:highlight w:val="none"/>
          <w:vertAlign w:val="superscript"/>
          <w:lang w:eastAsia="zh-CN"/>
        </w:rPr>
        <w:t>3</w:t>
      </w:r>
      <w:r>
        <w:rPr>
          <w:rFonts w:hint="default" w:ascii="Times New Roman" w:hAnsi="Times New Roman" w:eastAsia="宋体" w:cs="Times New Roman"/>
          <w:b w:val="0"/>
          <w:bCs w:val="0"/>
          <w:color w:val="auto"/>
          <w:sz w:val="24"/>
          <w:szCs w:val="24"/>
          <w:highlight w:val="none"/>
          <w:lang w:eastAsia="zh-CN"/>
        </w:rPr>
        <w:t>、最大质量浓度占标率3.75%</w:t>
      </w:r>
      <w:r>
        <w:rPr>
          <w:rFonts w:hint="default" w:ascii="Times New Roman" w:hAnsi="Times New Roman" w:eastAsia="宋体" w:cs="Times New Roman"/>
          <w:b w:val="0"/>
          <w:bCs w:val="0"/>
          <w:color w:val="auto"/>
          <w:sz w:val="24"/>
          <w:szCs w:val="24"/>
          <w:highlight w:val="none"/>
          <w:lang w:eastAsia="zh-CN"/>
        </w:rPr>
        <w:t>；玉米粒烘干</w:t>
      </w:r>
      <w:r>
        <w:rPr>
          <w:rFonts w:hint="default" w:ascii="Times New Roman" w:hAnsi="Times New Roman" w:eastAsia="宋体" w:cs="Times New Roman"/>
          <w:b w:val="0"/>
          <w:bCs w:val="0"/>
          <w:color w:val="auto"/>
          <w:sz w:val="24"/>
          <w:szCs w:val="24"/>
          <w:highlight w:val="none"/>
          <w:lang w:val="en-US" w:eastAsia="zh-CN"/>
        </w:rPr>
        <w:t>生产线</w:t>
      </w:r>
      <w:r>
        <w:rPr>
          <w:rFonts w:hint="default" w:ascii="Times New Roman" w:hAnsi="Times New Roman" w:eastAsia="宋体" w:cs="Times New Roman"/>
          <w:b w:val="0"/>
          <w:bCs w:val="0"/>
          <w:color w:val="auto"/>
          <w:sz w:val="24"/>
          <w:szCs w:val="24"/>
          <w:highlight w:val="none"/>
          <w:lang w:eastAsia="zh-CN"/>
        </w:rPr>
        <w:t>无组织排放的TSP</w:t>
      </w:r>
      <w:r>
        <w:rPr>
          <w:rFonts w:hint="default" w:ascii="Times New Roman" w:hAnsi="Times New Roman" w:eastAsia="宋体" w:cs="Times New Roman"/>
          <w:b w:val="0"/>
          <w:bCs w:val="0"/>
          <w:color w:val="auto"/>
          <w:sz w:val="24"/>
          <w:szCs w:val="24"/>
          <w:highlight w:val="none"/>
          <w:lang w:val="en-US" w:eastAsia="zh-CN"/>
        </w:rPr>
        <w:t>最大质量浓度为26.878</w:t>
      </w:r>
      <w:r>
        <w:rPr>
          <w:rFonts w:hint="default" w:ascii="Times New Roman" w:hAnsi="Times New Roman" w:eastAsia="宋体" w:cs="Times New Roman"/>
          <w:b w:val="0"/>
          <w:bCs w:val="0"/>
          <w:color w:val="auto"/>
          <w:sz w:val="24"/>
          <w:szCs w:val="24"/>
          <w:highlight w:val="none"/>
          <w:lang w:eastAsia="zh-CN"/>
        </w:rPr>
        <w:t>μg/m</w:t>
      </w:r>
      <w:r>
        <w:rPr>
          <w:rFonts w:hint="default" w:ascii="Times New Roman" w:hAnsi="Times New Roman" w:eastAsia="宋体" w:cs="Times New Roman"/>
          <w:b w:val="0"/>
          <w:bCs w:val="0"/>
          <w:color w:val="auto"/>
          <w:sz w:val="24"/>
          <w:szCs w:val="24"/>
          <w:highlight w:val="none"/>
          <w:vertAlign w:val="superscript"/>
          <w:lang w:eastAsia="zh-CN"/>
        </w:rPr>
        <w:t>3</w:t>
      </w:r>
      <w:r>
        <w:rPr>
          <w:rFonts w:hint="default" w:ascii="Times New Roman" w:hAnsi="Times New Roman" w:eastAsia="宋体" w:cs="Times New Roman"/>
          <w:b w:val="0"/>
          <w:bCs w:val="0"/>
          <w:color w:val="auto"/>
          <w:sz w:val="24"/>
          <w:szCs w:val="24"/>
          <w:highlight w:val="none"/>
          <w:lang w:eastAsia="zh-CN"/>
        </w:rPr>
        <w:t>、最大质量浓度占标率2.98%。</w:t>
      </w:r>
    </w:p>
    <w:p w14:paraId="33B3028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污染源估算模型计算结果列表</w:t>
      </w:r>
    </w:p>
    <w:tbl>
      <w:tblPr>
        <w:tblStyle w:val="42"/>
        <w:tblW w:w="85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13"/>
        <w:gridCol w:w="957"/>
        <w:gridCol w:w="1155"/>
        <w:gridCol w:w="1155"/>
        <w:gridCol w:w="1155"/>
        <w:gridCol w:w="1155"/>
        <w:gridCol w:w="1156"/>
        <w:gridCol w:w="1158"/>
      </w:tblGrid>
      <w:tr w14:paraId="4C4E70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0C1C7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序号</w:t>
            </w:r>
          </w:p>
        </w:tc>
        <w:tc>
          <w:tcPr>
            <w:tcW w:w="95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CCFAD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离源</w:t>
            </w:r>
          </w:p>
          <w:p w14:paraId="4D3657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距离</w:t>
            </w:r>
          </w:p>
          <w:p w14:paraId="5F5429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eastAsia="zh-CN"/>
              </w:rPr>
              <w:t>（</w:t>
            </w:r>
            <w:r>
              <w:rPr>
                <w:rFonts w:hint="default" w:ascii="Times New Roman" w:hAnsi="Times New Roman" w:eastAsia="宋体" w:cs="Times New Roman"/>
                <w:i w:val="0"/>
                <w:iCs w:val="0"/>
                <w:color w:val="FF0000"/>
                <w:sz w:val="21"/>
                <w:szCs w:val="21"/>
                <w:highlight w:val="none"/>
              </w:rPr>
              <w:t>m</w:t>
            </w:r>
            <w:r>
              <w:rPr>
                <w:rFonts w:hint="default" w:ascii="Times New Roman" w:hAnsi="Times New Roman" w:eastAsia="宋体" w:cs="Times New Roman"/>
                <w:i w:val="0"/>
                <w:iCs w:val="0"/>
                <w:color w:val="FF0000"/>
                <w:sz w:val="21"/>
                <w:szCs w:val="21"/>
                <w:highlight w:val="none"/>
                <w:lang w:eastAsia="zh-CN"/>
              </w:rPr>
              <w:t>）</w:t>
            </w:r>
          </w:p>
        </w:tc>
        <w:tc>
          <w:tcPr>
            <w:tcW w:w="6934"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4D4ECF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生物质锅炉</w:t>
            </w:r>
          </w:p>
        </w:tc>
      </w:tr>
      <w:tr w14:paraId="749929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B7778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p>
        </w:tc>
        <w:tc>
          <w:tcPr>
            <w:tcW w:w="95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90277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p>
        </w:tc>
        <w:tc>
          <w:tcPr>
            <w:tcW w:w="231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EF89C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PM</w:t>
            </w:r>
            <w:r>
              <w:rPr>
                <w:rFonts w:hint="default" w:ascii="Times New Roman" w:hAnsi="Times New Roman" w:eastAsia="宋体" w:cs="Times New Roman"/>
                <w:i w:val="0"/>
                <w:iCs w:val="0"/>
                <w:color w:val="FF0000"/>
                <w:sz w:val="21"/>
                <w:szCs w:val="21"/>
                <w:highlight w:val="none"/>
                <w:vertAlign w:val="subscript"/>
                <w:lang w:val="en-US" w:eastAsia="zh-CN"/>
              </w:rPr>
              <w:t>10</w:t>
            </w:r>
          </w:p>
        </w:tc>
        <w:tc>
          <w:tcPr>
            <w:tcW w:w="231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7C60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SO</w:t>
            </w:r>
            <w:r>
              <w:rPr>
                <w:rFonts w:hint="default" w:ascii="Times New Roman" w:hAnsi="Times New Roman" w:eastAsia="宋体" w:cs="Times New Roman"/>
                <w:i w:val="0"/>
                <w:iCs w:val="0"/>
                <w:color w:val="FF0000"/>
                <w:sz w:val="21"/>
                <w:szCs w:val="21"/>
                <w:highlight w:val="none"/>
                <w:vertAlign w:val="subscript"/>
                <w:lang w:val="en-US" w:eastAsia="zh-CN"/>
              </w:rPr>
              <w:t>2</w:t>
            </w:r>
          </w:p>
        </w:tc>
        <w:tc>
          <w:tcPr>
            <w:tcW w:w="23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A796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NOx</w:t>
            </w:r>
          </w:p>
        </w:tc>
      </w:tr>
      <w:tr w14:paraId="7D2B59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416D0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p>
        </w:tc>
        <w:tc>
          <w:tcPr>
            <w:tcW w:w="95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0986A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61A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03F5BB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CC7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721201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9EA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5706AF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C56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1C0415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C4C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浓度</w:t>
            </w:r>
          </w:p>
          <w:p w14:paraId="64F269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r>
              <w:rPr>
                <w:rFonts w:hint="default" w:ascii="Times New Roman" w:hAnsi="Times New Roman" w:eastAsia="宋体" w:cs="Times New Roman"/>
                <w:i w:val="0"/>
                <w:iCs w:val="0"/>
                <w:color w:val="FF0000"/>
                <w:sz w:val="21"/>
                <w:szCs w:val="21"/>
                <w:highlight w:val="none"/>
                <w:lang w:eastAsia="zh-CN"/>
              </w:rPr>
              <w:t>μ</w:t>
            </w:r>
            <w:r>
              <w:rPr>
                <w:rFonts w:hint="default" w:ascii="Times New Roman" w:hAnsi="Times New Roman" w:eastAsia="宋体" w:cs="Times New Roman"/>
                <w:i w:val="0"/>
                <w:iCs w:val="0"/>
                <w:color w:val="FF0000"/>
                <w:sz w:val="21"/>
                <w:szCs w:val="21"/>
                <w:highlight w:val="none"/>
              </w:rPr>
              <w:t>g/m</w:t>
            </w:r>
            <w:r>
              <w:rPr>
                <w:rFonts w:hint="default" w:ascii="Times New Roman" w:hAnsi="Times New Roman" w:eastAsia="宋体" w:cs="Times New Roman"/>
                <w:i w:val="0"/>
                <w:iCs w:val="0"/>
                <w:color w:val="FF0000"/>
                <w:sz w:val="21"/>
                <w:szCs w:val="21"/>
                <w:highlight w:val="none"/>
                <w:vertAlign w:val="superscript"/>
              </w:rPr>
              <w:t>3</w:t>
            </w:r>
            <w:r>
              <w:rPr>
                <w:rFonts w:hint="default" w:ascii="Times New Roman" w:hAnsi="Times New Roman" w:eastAsia="宋体" w:cs="Times New Roman"/>
                <w:i w:val="0"/>
                <w:iCs w:val="0"/>
                <w:color w:val="FF0000"/>
                <w:sz w:val="21"/>
                <w:szCs w:val="21"/>
                <w:highlight w:val="none"/>
              </w:rPr>
              <w:t>）</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AA9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占标率</w:t>
            </w:r>
          </w:p>
          <w:p w14:paraId="5CC553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w:t>
            </w:r>
          </w:p>
        </w:tc>
      </w:tr>
      <w:tr w14:paraId="083F39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53E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1</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A83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10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C08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0.013326</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F6A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2.96133E-003</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1EE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1.05542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4AC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2.11084E-001</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A90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0.90614</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0A5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3.62456E-001</w:t>
            </w:r>
          </w:p>
        </w:tc>
      </w:tr>
      <w:tr w14:paraId="7993B4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6AF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2</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C02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1</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2E3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0.23457</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4BA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5.21267E-002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60B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18.5779</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0D6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3.71558E+000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B19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15.95</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2C7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6.38000E+000</w:t>
            </w:r>
          </w:p>
        </w:tc>
      </w:tr>
      <w:tr w14:paraId="12B75B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1F7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3</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F58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2</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B4E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0.19729</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C82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4.38422E-002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E71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15.6254</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5B9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3.12508E+000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D6A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13.416</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17C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5.36640E+000</w:t>
            </w:r>
          </w:p>
        </w:tc>
      </w:tr>
      <w:tr w14:paraId="7A17E7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7D0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4</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A65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3</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EB4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0.20384</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C06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4.52978E-002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3A6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16.1441</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407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3.22882E+000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6EA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13.861</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C8A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5.54440E+000</w:t>
            </w:r>
          </w:p>
        </w:tc>
      </w:tr>
      <w:tr w14:paraId="36B85B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6A1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5</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1C5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4</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537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0.18811</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32D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4.18022E-002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6A3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14.8983</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389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2.97966E+000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8BB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12.791</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BFA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5.11640E+000</w:t>
            </w:r>
          </w:p>
        </w:tc>
      </w:tr>
      <w:tr w14:paraId="2FF7E6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7DD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6</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5BB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500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1EC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0.16843</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73C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3.74289E-002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222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13.3397</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995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2.66794E+000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79A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11.453</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51B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4.58120E+000</w:t>
            </w:r>
          </w:p>
        </w:tc>
      </w:tr>
      <w:tr w14:paraId="798FF8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776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7</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9A1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6</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A9D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0.16144</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413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3.58756E-002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BB7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12.786</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733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2.55720E+000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83A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sz w:val="21"/>
                <w:szCs w:val="21"/>
              </w:rPr>
              <w:t>10.978</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CD0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sz w:val="21"/>
                <w:szCs w:val="21"/>
              </w:rPr>
              <w:t>4.39120E+000</w:t>
            </w:r>
          </w:p>
        </w:tc>
      </w:tr>
      <w:tr w14:paraId="28DD99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D30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8</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0A5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700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589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0.15741</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7ED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3.49800E-002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69A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12.4669</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302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2.49338E+000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782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10.704</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B88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4.28160E+000</w:t>
            </w:r>
          </w:p>
        </w:tc>
      </w:tr>
      <w:tr w14:paraId="2D703F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5BC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9</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6BA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8</w:t>
            </w:r>
            <w:r>
              <w:rPr>
                <w:rFonts w:hint="default" w:ascii="Times New Roman" w:hAnsi="Times New Roman" w:eastAsia="宋体" w:cs="Times New Roman"/>
                <w:i w:val="0"/>
                <w:iCs w:val="0"/>
                <w:color w:val="FF0000"/>
                <w:sz w:val="21"/>
                <w:szCs w:val="21"/>
                <w:highlight w:val="none"/>
              </w:rPr>
              <w:t>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24D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0.14957</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AD1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3.32378E-002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6B4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11.8459</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2A1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2.36918E+000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33E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10.171</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982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4.06840E+000</w:t>
            </w:r>
          </w:p>
        </w:tc>
      </w:tr>
      <w:tr w14:paraId="2EAFAB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FCD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10</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CA8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900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2C2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0.14036</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DCD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3.11911E-002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A63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11.1165</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77A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2.22330E+000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7E1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9.5442</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1F8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3.81768E+000</w:t>
            </w:r>
          </w:p>
        </w:tc>
      </w:tr>
      <w:tr w14:paraId="2FCA70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6D0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11</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1BE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1000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DC6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0.13095</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1F0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2.91000E-002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BB0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10.3712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3F1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2.07424E+000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73C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8.9049</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9AB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3.56196E+000</w:t>
            </w:r>
          </w:p>
        </w:tc>
      </w:tr>
      <w:tr w14:paraId="7C6A14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266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rPr>
              <w:t>12</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AAE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lang w:val="en-US" w:eastAsia="zh-CN"/>
              </w:rPr>
              <w:t>2000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7E5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0.083688</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AF8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1.85973E-002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2BC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6.62809</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558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1.32562E+000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6AC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5.6908</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C3B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2.27632E+000</w:t>
            </w:r>
          </w:p>
        </w:tc>
      </w:tr>
      <w:tr w14:paraId="59AA0A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9DE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i w:val="0"/>
                <w:iCs w:val="0"/>
                <w:color w:val="FF0000"/>
                <w:sz w:val="21"/>
                <w:szCs w:val="21"/>
                <w:highlight w:val="none"/>
                <w:lang w:val="en-US" w:eastAsia="zh-CN"/>
              </w:rPr>
              <w:t>1</w:t>
            </w:r>
            <w:r>
              <w:rPr>
                <w:rFonts w:hint="default" w:ascii="Times New Roman" w:hAnsi="Times New Roman" w:eastAsia="宋体" w:cs="Times New Roman"/>
                <w:i w:val="0"/>
                <w:iCs w:val="0"/>
                <w:color w:val="FF0000"/>
                <w:sz w:val="21"/>
                <w:szCs w:val="21"/>
                <w:highlight w:val="none"/>
                <w:lang w:val="en-US" w:eastAsia="zh-CN"/>
              </w:rPr>
              <w:t>3</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B6D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lang w:val="en-US" w:eastAsia="zh-CN"/>
              </w:rPr>
            </w:pPr>
            <w:r>
              <w:rPr>
                <w:rFonts w:hint="default" w:ascii="Times New Roman" w:hAnsi="Times New Roman" w:eastAsia="宋体" w:cs="Times New Roman"/>
                <w:i w:val="0"/>
                <w:iCs w:val="0"/>
                <w:color w:val="FF0000"/>
                <w:sz w:val="21"/>
                <w:szCs w:val="21"/>
                <w:highlight w:val="none"/>
              </w:rPr>
              <w:t>2</w:t>
            </w:r>
            <w:r>
              <w:rPr>
                <w:rFonts w:hint="default" w:ascii="Times New Roman" w:hAnsi="Times New Roman" w:eastAsia="宋体" w:cs="Times New Roman"/>
                <w:i w:val="0"/>
                <w:iCs w:val="0"/>
                <w:color w:val="FF0000"/>
                <w:sz w:val="21"/>
                <w:szCs w:val="21"/>
                <w:highlight w:val="none"/>
                <w:lang w:val="en-US" w:eastAsia="zh-CN"/>
              </w:rPr>
              <w:t>500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A31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0.072357</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FCC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1.60793E-002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1B0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5.73067</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256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1.14613E+000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540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4.9203</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F06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1.96812E+000</w:t>
            </w:r>
          </w:p>
        </w:tc>
      </w:tr>
      <w:tr w14:paraId="0BF839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8ED7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kern w:val="0"/>
                <w:sz w:val="21"/>
                <w:szCs w:val="21"/>
                <w:highlight w:val="none"/>
                <w:lang w:bidi="ar"/>
              </w:rPr>
              <w:t>下风向最大质量浓度及占标率%</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856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0.25701</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716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5.71133E-002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DDA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20.3552</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FDF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4.07104E+000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DDD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17.477</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A87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2"/>
                <w:sz w:val="21"/>
                <w:szCs w:val="21"/>
                <w:highlight w:val="none"/>
                <w:lang w:val="en-US" w:eastAsia="zh-CN" w:bidi="ar-SA"/>
              </w:rPr>
            </w:pPr>
            <w:r>
              <w:rPr>
                <w:rFonts w:hint="default" w:ascii="Times New Roman" w:hAnsi="Times New Roman" w:eastAsia="宋体" w:cs="Times New Roman"/>
                <w:sz w:val="21"/>
                <w:szCs w:val="21"/>
              </w:rPr>
              <w:t>6.99080E+000</w:t>
            </w:r>
          </w:p>
        </w:tc>
      </w:tr>
      <w:tr w14:paraId="3B1889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3513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kern w:val="0"/>
                <w:sz w:val="21"/>
                <w:szCs w:val="21"/>
                <w:highlight w:val="none"/>
                <w:lang w:bidi="ar"/>
              </w:rPr>
            </w:pPr>
            <w:r>
              <w:rPr>
                <w:rFonts w:hint="default" w:ascii="Times New Roman" w:hAnsi="Times New Roman" w:eastAsia="宋体" w:cs="Times New Roman"/>
                <w:i w:val="0"/>
                <w:iCs w:val="0"/>
                <w:color w:val="FF0000"/>
                <w:kern w:val="0"/>
                <w:sz w:val="21"/>
                <w:szCs w:val="21"/>
                <w:highlight w:val="none"/>
                <w:lang w:bidi="ar"/>
              </w:rPr>
              <w:t>下风向最大浓度落地距离</w:t>
            </w:r>
          </w:p>
        </w:tc>
        <w:tc>
          <w:tcPr>
            <w:tcW w:w="231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2AC3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FF0000"/>
                <w:sz w:val="21"/>
                <w:szCs w:val="21"/>
                <w:highlight w:val="none"/>
                <w:lang w:val="en-US" w:eastAsia="zh-CN"/>
              </w:rPr>
            </w:pPr>
            <w:r>
              <w:rPr>
                <w:rFonts w:hint="default" w:ascii="Times New Roman" w:hAnsi="Times New Roman" w:eastAsia="宋体" w:cs="Times New Roman"/>
                <w:b/>
                <w:bCs/>
                <w:i w:val="0"/>
                <w:iCs w:val="0"/>
                <w:color w:val="FF0000"/>
                <w:sz w:val="21"/>
                <w:szCs w:val="21"/>
                <w:highlight w:val="none"/>
                <w:lang w:val="en-US" w:eastAsia="zh-CN"/>
              </w:rPr>
              <w:t>30</w:t>
            </w:r>
          </w:p>
        </w:tc>
        <w:tc>
          <w:tcPr>
            <w:tcW w:w="231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BC346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i w:val="0"/>
                <w:iCs w:val="0"/>
                <w:color w:val="FF0000"/>
                <w:sz w:val="21"/>
                <w:szCs w:val="21"/>
                <w:highlight w:val="none"/>
                <w:lang w:val="en-US" w:eastAsia="zh-CN"/>
              </w:rPr>
            </w:pPr>
            <w:r>
              <w:rPr>
                <w:rFonts w:hint="default" w:ascii="Times New Roman" w:hAnsi="Times New Roman" w:eastAsia="宋体" w:cs="Times New Roman"/>
                <w:b/>
                <w:bCs/>
                <w:i w:val="0"/>
                <w:iCs w:val="0"/>
                <w:color w:val="FF0000"/>
                <w:sz w:val="21"/>
                <w:szCs w:val="21"/>
                <w:highlight w:val="none"/>
                <w:lang w:val="en-US" w:eastAsia="zh-CN"/>
              </w:rPr>
              <w:t>30</w:t>
            </w:r>
          </w:p>
        </w:tc>
        <w:tc>
          <w:tcPr>
            <w:tcW w:w="23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598A6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i w:val="0"/>
                <w:iCs w:val="0"/>
                <w:color w:val="FF0000"/>
                <w:sz w:val="21"/>
                <w:szCs w:val="21"/>
                <w:highlight w:val="none"/>
                <w:lang w:val="en-US" w:eastAsia="zh-CN"/>
              </w:rPr>
            </w:pPr>
            <w:r>
              <w:rPr>
                <w:rFonts w:hint="default" w:ascii="Times New Roman" w:hAnsi="Times New Roman" w:eastAsia="宋体" w:cs="Times New Roman"/>
                <w:b/>
                <w:i w:val="0"/>
                <w:iCs w:val="0"/>
                <w:color w:val="FF0000"/>
                <w:sz w:val="21"/>
                <w:szCs w:val="21"/>
                <w:highlight w:val="none"/>
                <w:lang w:val="en-US" w:eastAsia="zh-CN"/>
              </w:rPr>
              <w:t>30</w:t>
            </w:r>
          </w:p>
        </w:tc>
      </w:tr>
      <w:tr w14:paraId="30D604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39D2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D10%最远距离/m</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94D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823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DD2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8B0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11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EFA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c>
          <w:tcPr>
            <w:tcW w:w="11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994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FF0000"/>
                <w:sz w:val="21"/>
                <w:szCs w:val="21"/>
                <w:highlight w:val="none"/>
              </w:rPr>
            </w:pPr>
            <w:r>
              <w:rPr>
                <w:rFonts w:hint="default" w:ascii="Times New Roman" w:hAnsi="Times New Roman" w:eastAsia="宋体" w:cs="Times New Roman"/>
                <w:i w:val="0"/>
                <w:iCs w:val="0"/>
                <w:color w:val="FF0000"/>
                <w:sz w:val="21"/>
                <w:szCs w:val="21"/>
                <w:highlight w:val="none"/>
              </w:rPr>
              <w:t>0</w:t>
            </w:r>
          </w:p>
        </w:tc>
      </w:tr>
    </w:tbl>
    <w:p w14:paraId="10EB4AAA">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据估算模式计算结果可知，</w:t>
      </w:r>
      <w:r>
        <w:rPr>
          <w:rFonts w:hint="default" w:ascii="Times New Roman" w:hAnsi="Times New Roman" w:eastAsia="宋体" w:cs="Times New Roman"/>
          <w:b w:val="0"/>
          <w:bCs w:val="0"/>
          <w:color w:val="auto"/>
          <w:sz w:val="24"/>
          <w:szCs w:val="24"/>
          <w:highlight w:val="none"/>
          <w:lang w:val="en-US" w:eastAsia="zh-CN"/>
        </w:rPr>
        <w:t>生物质热风炉有</w:t>
      </w:r>
      <w:r>
        <w:rPr>
          <w:rFonts w:hint="default" w:ascii="Times New Roman" w:hAnsi="Times New Roman" w:eastAsia="宋体" w:cs="Times New Roman"/>
          <w:b w:val="0"/>
          <w:bCs w:val="0"/>
          <w:color w:val="auto"/>
          <w:sz w:val="24"/>
          <w:szCs w:val="24"/>
          <w:highlight w:val="none"/>
        </w:rPr>
        <w:t>组织排放的</w:t>
      </w:r>
      <w:r>
        <w:rPr>
          <w:rFonts w:hint="default" w:ascii="Times New Roman" w:hAnsi="Times New Roman" w:eastAsia="宋体" w:cs="Times New Roman"/>
          <w:i w:val="0"/>
          <w:iCs w:val="0"/>
          <w:color w:val="FF0000"/>
          <w:sz w:val="24"/>
          <w:szCs w:val="24"/>
          <w:highlight w:val="none"/>
          <w:lang w:val="en-US" w:eastAsia="zh-CN"/>
        </w:rPr>
        <w:t>PM</w:t>
      </w:r>
      <w:r>
        <w:rPr>
          <w:rFonts w:hint="default" w:ascii="Times New Roman" w:hAnsi="Times New Roman" w:eastAsia="宋体" w:cs="Times New Roman"/>
          <w:i w:val="0"/>
          <w:iCs w:val="0"/>
          <w:color w:val="FF0000"/>
          <w:sz w:val="24"/>
          <w:szCs w:val="24"/>
          <w:highlight w:val="none"/>
          <w:vertAlign w:val="subscript"/>
          <w:lang w:val="en-US" w:eastAsia="zh-CN"/>
        </w:rPr>
        <w:t>10</w:t>
      </w:r>
      <w:r>
        <w:rPr>
          <w:rFonts w:hint="default" w:ascii="Times New Roman" w:hAnsi="Times New Roman" w:eastAsia="宋体" w:cs="Times New Roman"/>
          <w:b w:val="0"/>
          <w:bCs w:val="0"/>
          <w:color w:val="auto"/>
          <w:sz w:val="24"/>
          <w:szCs w:val="24"/>
          <w:highlight w:val="none"/>
          <w:lang w:val="en-US" w:eastAsia="zh-CN"/>
        </w:rPr>
        <w:t>最大质量浓度为0.25701</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w:t>
      </w:r>
      <w:r>
        <w:rPr>
          <w:rFonts w:hint="default" w:ascii="Times New Roman" w:hAnsi="Times New Roman" w:eastAsia="宋体" w:cs="Times New Roman"/>
          <w:b w:val="0"/>
          <w:bCs w:val="0"/>
          <w:color w:val="auto"/>
          <w:sz w:val="24"/>
          <w:szCs w:val="24"/>
          <w:highlight w:val="none"/>
          <w:lang w:val="en-US" w:eastAsia="zh-CN"/>
        </w:rPr>
        <w:t>0.057</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i w:val="0"/>
          <w:iCs w:val="0"/>
          <w:color w:val="FF0000"/>
          <w:sz w:val="24"/>
          <w:szCs w:val="24"/>
          <w:highlight w:val="none"/>
          <w:lang w:val="en-US" w:eastAsia="zh-CN"/>
        </w:rPr>
        <w:t>SO</w:t>
      </w:r>
      <w:r>
        <w:rPr>
          <w:rFonts w:hint="default" w:ascii="Times New Roman" w:hAnsi="Times New Roman" w:eastAsia="宋体" w:cs="Times New Roman"/>
          <w:i w:val="0"/>
          <w:iCs w:val="0"/>
          <w:color w:val="FF0000"/>
          <w:sz w:val="24"/>
          <w:szCs w:val="24"/>
          <w:highlight w:val="none"/>
          <w:vertAlign w:val="subscript"/>
          <w:lang w:val="en-US" w:eastAsia="zh-CN"/>
        </w:rPr>
        <w:t>2</w:t>
      </w:r>
      <w:r>
        <w:rPr>
          <w:rFonts w:hint="default" w:ascii="Times New Roman" w:hAnsi="Times New Roman" w:eastAsia="宋体" w:cs="Times New Roman"/>
          <w:b w:val="0"/>
          <w:bCs w:val="0"/>
          <w:color w:val="auto"/>
          <w:sz w:val="24"/>
          <w:szCs w:val="24"/>
          <w:highlight w:val="none"/>
          <w:lang w:val="en-US" w:eastAsia="zh-CN"/>
        </w:rPr>
        <w:t>最大质量浓度为20.3552</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w:t>
      </w:r>
      <w:r>
        <w:rPr>
          <w:rFonts w:hint="default" w:ascii="Times New Roman" w:hAnsi="Times New Roman" w:eastAsia="宋体" w:cs="Times New Roman"/>
          <w:b w:val="0"/>
          <w:bCs w:val="0"/>
          <w:i w:val="0"/>
          <w:iCs w:val="0"/>
          <w:color w:val="auto"/>
          <w:kern w:val="2"/>
          <w:sz w:val="24"/>
          <w:szCs w:val="24"/>
          <w:highlight w:val="none"/>
          <w:lang w:val="en-US" w:eastAsia="zh-CN" w:bidi="ar-SA"/>
        </w:rPr>
        <w:t>4.07</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i w:val="0"/>
          <w:iCs w:val="0"/>
          <w:color w:val="FF0000"/>
          <w:sz w:val="24"/>
          <w:szCs w:val="24"/>
          <w:highlight w:val="none"/>
          <w:lang w:val="en-US" w:eastAsia="zh-CN"/>
        </w:rPr>
        <w:t>NOx</w:t>
      </w:r>
      <w:r>
        <w:rPr>
          <w:rFonts w:hint="default" w:ascii="Times New Roman" w:hAnsi="Times New Roman" w:eastAsia="宋体" w:cs="Times New Roman"/>
          <w:b w:val="0"/>
          <w:bCs w:val="0"/>
          <w:color w:val="auto"/>
          <w:sz w:val="24"/>
          <w:szCs w:val="24"/>
          <w:highlight w:val="none"/>
          <w:lang w:val="en-US" w:eastAsia="zh-CN"/>
        </w:rPr>
        <w:t>最大质量浓度为17.477</w:t>
      </w:r>
      <w:r>
        <w:rPr>
          <w:rFonts w:hint="default" w:ascii="Times New Roman" w:hAnsi="Times New Roman" w:eastAsia="宋体" w:cs="Times New Roman"/>
          <w:b w:val="0"/>
          <w:bCs w:val="0"/>
          <w:snapToGrid w:val="0"/>
          <w:color w:val="auto"/>
          <w:sz w:val="24"/>
          <w:szCs w:val="24"/>
          <w:highlight w:val="none"/>
        </w:rPr>
        <w:t>μg/m</w:t>
      </w:r>
      <w:r>
        <w:rPr>
          <w:rFonts w:hint="default" w:ascii="Times New Roman" w:hAnsi="Times New Roman" w:eastAsia="宋体" w:cs="Times New Roman"/>
          <w:b w:val="0"/>
          <w:bCs w:val="0"/>
          <w:snapToGrid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lang w:eastAsia="zh-CN"/>
        </w:rPr>
        <w:t>、最大质量浓度占标率6.99%。</w:t>
      </w:r>
    </w:p>
    <w:p w14:paraId="61C582F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val="en-US" w:eastAsia="zh-CN"/>
        </w:rPr>
        <w:t>本项目</w:t>
      </w:r>
      <w:r>
        <w:rPr>
          <w:rFonts w:hint="default" w:ascii="Times New Roman" w:hAnsi="Times New Roman" w:eastAsia="宋体" w:cs="Times New Roman"/>
          <w:b w:val="0"/>
          <w:bCs w:val="0"/>
          <w:color w:val="auto"/>
          <w:sz w:val="24"/>
          <w:szCs w:val="24"/>
          <w:highlight w:val="none"/>
        </w:rPr>
        <w:t>污染物最大地面浓度占标率1%≤Pmax</w:t>
      </w:r>
      <w:r>
        <w:rPr>
          <w:rFonts w:hint="default" w:ascii="Times New Roman" w:hAnsi="Times New Roman" w:eastAsia="宋体" w:cs="Times New Roman"/>
          <w:b w:val="0"/>
          <w:bCs w:val="0"/>
          <w:color w:val="auto"/>
          <w:sz w:val="24"/>
          <w:szCs w:val="24"/>
          <w:highlight w:val="none"/>
          <w:lang w:val="en-US" w:eastAsia="zh-CN"/>
        </w:rPr>
        <w:t>=8.55%</w:t>
      </w:r>
      <w:r>
        <w:rPr>
          <w:rFonts w:hint="default" w:ascii="Times New Roman" w:hAnsi="Times New Roman" w:eastAsia="宋体" w:cs="Times New Roman"/>
          <w:b w:val="0"/>
          <w:bCs w:val="0"/>
          <w:color w:val="auto"/>
          <w:sz w:val="24"/>
          <w:szCs w:val="24"/>
          <w:highlight w:val="none"/>
        </w:rPr>
        <w:t>＜10%，确定本项目的大气环境评价工作等级为二级</w:t>
      </w:r>
      <w:r>
        <w:rPr>
          <w:rFonts w:hint="default" w:ascii="Times New Roman" w:hAnsi="Times New Roman" w:eastAsia="宋体" w:cs="Times New Roman"/>
          <w:b w:val="0"/>
          <w:bCs w:val="0"/>
          <w:color w:val="auto"/>
          <w:sz w:val="24"/>
          <w:szCs w:val="24"/>
          <w:highlight w:val="none"/>
          <w:lang w:eastAsia="zh-CN"/>
        </w:rPr>
        <w:t>。</w:t>
      </w:r>
    </w:p>
    <w:p w14:paraId="5A8D127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firstLineChars="200"/>
        <w:jc w:val="left"/>
        <w:textAlignment w:val="auto"/>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rPr>
        <w:t>本次评价大气环境为二级评价，根据《</w:t>
      </w:r>
      <w:r>
        <w:rPr>
          <w:rFonts w:hint="default" w:ascii="Times New Roman" w:hAnsi="Times New Roman" w:eastAsia="宋体" w:cs="Times New Roman"/>
          <w:b w:val="0"/>
          <w:bCs w:val="0"/>
          <w:color w:val="auto"/>
          <w:highlight w:val="none"/>
          <w:lang w:eastAsia="zh-CN"/>
        </w:rPr>
        <w:t>环境影响评价技术导则</w:t>
      </w:r>
      <w:r>
        <w:rPr>
          <w:rFonts w:hint="default" w:ascii="Times New Roman" w:hAnsi="Times New Roman" w:eastAsia="宋体" w:cs="Times New Roman"/>
          <w:b w:val="0"/>
          <w:bCs w:val="0"/>
          <w:color w:val="auto"/>
          <w:highlight w:val="none"/>
          <w:lang w:val="en-US" w:eastAsia="zh-CN"/>
        </w:rPr>
        <w:t xml:space="preserve"> </w:t>
      </w:r>
      <w:r>
        <w:rPr>
          <w:rFonts w:hint="default" w:ascii="Times New Roman" w:hAnsi="Times New Roman" w:eastAsia="宋体" w:cs="Times New Roman"/>
          <w:b w:val="0"/>
          <w:bCs w:val="0"/>
          <w:color w:val="auto"/>
          <w:highlight w:val="none"/>
        </w:rPr>
        <w:t>大气环境》（HJ2.2-2018），二级评价项目不进行进一步预测与评价，本次评价对污染物排放量进行核算</w:t>
      </w:r>
      <w:r>
        <w:rPr>
          <w:rFonts w:hint="default" w:ascii="Times New Roman" w:hAnsi="Times New Roman" w:eastAsia="宋体" w:cs="Times New Roman"/>
          <w:b w:val="0"/>
          <w:bCs w:val="0"/>
          <w:color w:val="auto"/>
          <w:highlight w:val="none"/>
          <w:lang w:eastAsia="zh-CN"/>
        </w:rPr>
        <w:t>。</w:t>
      </w:r>
    </w:p>
    <w:p w14:paraId="4F08903C">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5.2.2.</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污染物排放量核算</w:t>
      </w:r>
    </w:p>
    <w:p w14:paraId="6B0E6FB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eastAsia" w:ascii="Times New Roman" w:hAnsi="Times New Roman" w:eastAsia="宋体" w:cs="Times New Roman"/>
          <w:color w:val="auto"/>
          <w:highlight w:val="none"/>
          <w:lang w:val="en-US" w:eastAsia="zh-CN"/>
        </w:rPr>
        <w:t>有组织</w:t>
      </w:r>
      <w:r>
        <w:rPr>
          <w:rFonts w:hint="default" w:ascii="Times New Roman" w:hAnsi="Times New Roman" w:eastAsia="宋体" w:cs="Times New Roman"/>
          <w:color w:val="auto"/>
          <w:highlight w:val="none"/>
        </w:rPr>
        <w:t>排放量</w:t>
      </w:r>
      <w:r>
        <w:rPr>
          <w:rFonts w:hint="eastAsia" w:ascii="Times New Roman" w:hAnsi="Times New Roman" w:eastAsia="宋体" w:cs="Times New Roman"/>
          <w:color w:val="auto"/>
          <w:highlight w:val="none"/>
          <w:lang w:val="en-US" w:eastAsia="zh-CN"/>
        </w:rPr>
        <w:t>核算</w:t>
      </w:r>
      <w:r>
        <w:rPr>
          <w:rFonts w:hint="default" w:ascii="Times New Roman" w:hAnsi="Times New Roman" w:eastAsia="宋体" w:cs="Times New Roman"/>
          <w:color w:val="auto"/>
          <w:highlight w:val="none"/>
        </w:rPr>
        <w:t>见下表。</w:t>
      </w:r>
    </w:p>
    <w:p w14:paraId="112F9F8F">
      <w:pPr>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outlineLvl w:val="4"/>
        <w:rPr>
          <w:rFonts w:hint="default" w:ascii="Times New Roman" w:hAnsi="Times New Roman" w:eastAsia="宋体" w:cs="Times New Roman"/>
          <w:b/>
          <w:bCs/>
          <w:color w:val="auto"/>
          <w:szCs w:val="28"/>
          <w:highlight w:val="none"/>
        </w:rPr>
      </w:pPr>
      <w:r>
        <w:rPr>
          <w:rFonts w:hint="default" w:ascii="Times New Roman" w:hAnsi="Times New Roman" w:eastAsia="宋体" w:cs="Times New Roman"/>
          <w:b/>
          <w:bCs/>
          <w:color w:val="auto"/>
          <w:szCs w:val="28"/>
          <w:highlight w:val="none"/>
        </w:rPr>
        <w:t>表5.2-</w:t>
      </w:r>
      <w:r>
        <w:rPr>
          <w:rFonts w:hint="default" w:ascii="Times New Roman" w:hAnsi="Times New Roman" w:eastAsia="宋体" w:cs="Times New Roman"/>
          <w:b/>
          <w:bCs/>
          <w:color w:val="auto"/>
          <w:szCs w:val="28"/>
          <w:highlight w:val="none"/>
          <w:lang w:val="en-US" w:eastAsia="zh-CN"/>
        </w:rPr>
        <w:t xml:space="preserve">7  </w:t>
      </w:r>
      <w:r>
        <w:rPr>
          <w:rFonts w:hint="default" w:ascii="Times New Roman" w:hAnsi="Times New Roman" w:eastAsia="宋体" w:cs="Times New Roman"/>
          <w:b/>
          <w:bCs/>
          <w:color w:val="auto"/>
          <w:szCs w:val="28"/>
          <w:highlight w:val="none"/>
        </w:rPr>
        <w:t>大气污染物</w:t>
      </w:r>
      <w:r>
        <w:rPr>
          <w:rFonts w:hint="eastAsia" w:ascii="Times New Roman" w:hAnsi="Times New Roman" w:eastAsia="宋体" w:cs="Times New Roman"/>
          <w:b/>
          <w:bCs/>
          <w:color w:val="auto"/>
          <w:szCs w:val="28"/>
          <w:highlight w:val="none"/>
          <w:lang w:val="en-US" w:eastAsia="zh-CN"/>
        </w:rPr>
        <w:t>有</w:t>
      </w:r>
      <w:r>
        <w:rPr>
          <w:rFonts w:hint="default" w:ascii="Times New Roman" w:hAnsi="Times New Roman" w:eastAsia="宋体" w:cs="Times New Roman"/>
          <w:b/>
          <w:bCs/>
          <w:color w:val="auto"/>
          <w:szCs w:val="28"/>
          <w:highlight w:val="none"/>
        </w:rPr>
        <w:t>组织排放量核算表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79"/>
        <w:gridCol w:w="1379"/>
        <w:gridCol w:w="1379"/>
        <w:gridCol w:w="1380"/>
        <w:gridCol w:w="1380"/>
        <w:gridCol w:w="1380"/>
      </w:tblGrid>
      <w:tr w14:paraId="0E6578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D8A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序号</w:t>
            </w: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A76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排放口编号</w:t>
            </w: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12A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污染物</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01B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eastAsia" w:ascii="Times New Roman" w:hAnsi="Times New Roman" w:eastAsia="宋体" w:cs="Times New Roman"/>
                <w:color w:val="0000FF"/>
                <w:sz w:val="21"/>
                <w:szCs w:val="21"/>
                <w:highlight w:val="none"/>
                <w:lang w:val="en-US" w:eastAsia="zh-CN"/>
              </w:rPr>
              <w:t>核算排放浓度/（μg/m</w:t>
            </w:r>
            <w:r>
              <w:rPr>
                <w:rFonts w:hint="eastAsia" w:ascii="Times New Roman" w:hAnsi="Times New Roman" w:eastAsia="宋体" w:cs="Times New Roman"/>
                <w:color w:val="0000FF"/>
                <w:sz w:val="21"/>
                <w:szCs w:val="21"/>
                <w:highlight w:val="none"/>
                <w:vertAlign w:val="superscript"/>
                <w:lang w:val="en-US" w:eastAsia="zh-CN"/>
              </w:rPr>
              <w:t>3</w:t>
            </w:r>
            <w:r>
              <w:rPr>
                <w:rFonts w:hint="eastAsia" w:ascii="Times New Roman" w:hAnsi="Times New Roman" w:eastAsia="宋体" w:cs="Times New Roman"/>
                <w:color w:val="0000FF"/>
                <w:sz w:val="21"/>
                <w:szCs w:val="21"/>
                <w:highlight w:val="none"/>
                <w:lang w:val="en-US" w:eastAsia="zh-CN"/>
              </w:rPr>
              <w:t>）</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E03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eastAsia" w:ascii="Times New Roman" w:hAnsi="Times New Roman" w:eastAsia="宋体" w:cs="Times New Roman"/>
                <w:color w:val="0000FF"/>
                <w:sz w:val="21"/>
                <w:szCs w:val="21"/>
                <w:highlight w:val="none"/>
                <w:lang w:val="en-US" w:eastAsia="zh-CN"/>
              </w:rPr>
              <w:t>核算排放</w:t>
            </w:r>
            <w:r>
              <w:rPr>
                <w:rFonts w:hint="eastAsia" w:cs="Times New Roman"/>
                <w:color w:val="0000FF"/>
                <w:sz w:val="21"/>
                <w:szCs w:val="21"/>
                <w:highlight w:val="none"/>
                <w:lang w:val="en-US" w:eastAsia="zh-CN"/>
              </w:rPr>
              <w:t>速率</w:t>
            </w:r>
            <w:r>
              <w:rPr>
                <w:rFonts w:hint="eastAsia" w:ascii="Times New Roman" w:hAnsi="Times New Roman" w:eastAsia="宋体" w:cs="Times New Roman"/>
                <w:color w:val="0000FF"/>
                <w:sz w:val="21"/>
                <w:szCs w:val="21"/>
                <w:highlight w:val="none"/>
                <w:lang w:val="en-US" w:eastAsia="zh-CN"/>
              </w:rPr>
              <w:t>/（</w:t>
            </w:r>
            <w:r>
              <w:rPr>
                <w:rFonts w:hint="eastAsia" w:cs="Times New Roman"/>
                <w:color w:val="0000FF"/>
                <w:sz w:val="21"/>
                <w:szCs w:val="21"/>
                <w:highlight w:val="none"/>
                <w:lang w:val="en-US" w:eastAsia="zh-CN"/>
              </w:rPr>
              <w:t>kg/h</w:t>
            </w:r>
            <w:r>
              <w:rPr>
                <w:rFonts w:hint="eastAsia" w:ascii="Times New Roman" w:hAnsi="Times New Roman" w:eastAsia="宋体" w:cs="Times New Roman"/>
                <w:color w:val="0000FF"/>
                <w:sz w:val="21"/>
                <w:szCs w:val="21"/>
                <w:highlight w:val="none"/>
                <w:lang w:val="en-US" w:eastAsia="zh-CN"/>
              </w:rPr>
              <w:t>）</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7E6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核算</w:t>
            </w:r>
            <w:r>
              <w:rPr>
                <w:rFonts w:hint="eastAsia" w:cs="Times New Roman"/>
                <w:color w:val="0000FF"/>
                <w:sz w:val="21"/>
                <w:szCs w:val="21"/>
                <w:highlight w:val="none"/>
                <w:lang w:val="en-US" w:eastAsia="zh-CN"/>
              </w:rPr>
              <w:t>年</w:t>
            </w:r>
            <w:r>
              <w:rPr>
                <w:rFonts w:hint="eastAsia" w:ascii="Times New Roman" w:hAnsi="Times New Roman" w:eastAsia="宋体" w:cs="Times New Roman"/>
                <w:color w:val="0000FF"/>
                <w:sz w:val="21"/>
                <w:szCs w:val="21"/>
                <w:highlight w:val="none"/>
                <w:lang w:val="en-US" w:eastAsia="zh-CN"/>
              </w:rPr>
              <w:t>排放</w:t>
            </w:r>
            <w:r>
              <w:rPr>
                <w:rFonts w:hint="eastAsia" w:cs="Times New Roman"/>
                <w:color w:val="0000FF"/>
                <w:sz w:val="21"/>
                <w:szCs w:val="21"/>
                <w:highlight w:val="none"/>
                <w:lang w:val="en-US" w:eastAsia="zh-CN"/>
              </w:rPr>
              <w:t>量</w:t>
            </w:r>
            <w:r>
              <w:rPr>
                <w:rFonts w:hint="eastAsia" w:ascii="Times New Roman" w:hAnsi="Times New Roman" w:eastAsia="宋体" w:cs="Times New Roman"/>
                <w:color w:val="0000FF"/>
                <w:sz w:val="21"/>
                <w:szCs w:val="21"/>
                <w:highlight w:val="none"/>
                <w:lang w:val="en-US" w:eastAsia="zh-CN"/>
              </w:rPr>
              <w:t>/（</w:t>
            </w:r>
            <w:r>
              <w:rPr>
                <w:rFonts w:hint="eastAsia" w:cs="Times New Roman"/>
                <w:color w:val="0000FF"/>
                <w:sz w:val="21"/>
                <w:szCs w:val="21"/>
                <w:highlight w:val="none"/>
                <w:lang w:val="en-US" w:eastAsia="zh-CN"/>
              </w:rPr>
              <w:t>t/a</w:t>
            </w:r>
            <w:r>
              <w:rPr>
                <w:rFonts w:hint="eastAsia" w:ascii="Times New Roman" w:hAnsi="Times New Roman" w:eastAsia="宋体" w:cs="Times New Roman"/>
                <w:color w:val="0000FF"/>
                <w:sz w:val="21"/>
                <w:szCs w:val="21"/>
                <w:highlight w:val="none"/>
                <w:lang w:val="en-US" w:eastAsia="zh-CN"/>
              </w:rPr>
              <w:t>）</w:t>
            </w:r>
          </w:p>
        </w:tc>
      </w:tr>
      <w:tr w14:paraId="7602E1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277"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9B300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一般排放口</w:t>
            </w:r>
          </w:p>
        </w:tc>
      </w:tr>
      <w:tr w14:paraId="2CBEC1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9" w:type="dxa"/>
            <w:vMerge w:val="restart"/>
            <w:tcBorders>
              <w:top w:val="single" w:color="auto" w:sz="4" w:space="0"/>
              <w:left w:val="single" w:color="auto" w:sz="4" w:space="0"/>
              <w:right w:val="single" w:color="auto" w:sz="4" w:space="0"/>
            </w:tcBorders>
            <w:shd w:val="clear" w:color="auto" w:fill="auto"/>
            <w:noWrap/>
            <w:vAlign w:val="center"/>
          </w:tcPr>
          <w:p w14:paraId="1A0014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p>
        </w:tc>
        <w:tc>
          <w:tcPr>
            <w:tcW w:w="1379" w:type="dxa"/>
            <w:vMerge w:val="restart"/>
            <w:tcBorders>
              <w:top w:val="single" w:color="auto" w:sz="4" w:space="0"/>
              <w:left w:val="single" w:color="auto" w:sz="4" w:space="0"/>
              <w:right w:val="single" w:color="auto" w:sz="4" w:space="0"/>
            </w:tcBorders>
            <w:shd w:val="clear" w:color="auto" w:fill="auto"/>
            <w:noWrap/>
            <w:vAlign w:val="center"/>
          </w:tcPr>
          <w:p w14:paraId="28E0E8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DA001</w:t>
            </w: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B57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颗粒物</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800D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sz w:val="21"/>
                <w:szCs w:val="21"/>
                <w:highlight w:val="none"/>
                <w:lang w:val="en-US" w:eastAsia="zh-CN"/>
              </w:rPr>
              <w:t>5</w:t>
            </w:r>
            <w:r>
              <w:rPr>
                <w:rFonts w:hint="default" w:ascii="Times New Roman" w:hAnsi="Times New Roman" w:eastAsia="宋体" w:cs="Times New Roman"/>
                <w:color w:val="0000FF"/>
                <w:sz w:val="21"/>
                <w:szCs w:val="21"/>
                <w:highlight w:val="none"/>
                <w:lang w:val="en-US" w:eastAsia="zh-CN"/>
              </w:rPr>
              <w:t>.0</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9D6D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sz w:val="21"/>
                <w:szCs w:val="21"/>
                <w:highlight w:val="none"/>
                <w:lang w:val="en-US" w:eastAsia="zh-CN"/>
              </w:rPr>
              <w:t>0.0148</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D42C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sz w:val="21"/>
                <w:szCs w:val="21"/>
                <w:highlight w:val="none"/>
                <w:lang w:val="en-US" w:eastAsia="zh-CN"/>
              </w:rPr>
              <w:t>0.032</w:t>
            </w:r>
          </w:p>
        </w:tc>
      </w:tr>
      <w:tr w14:paraId="15D405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9" w:type="dxa"/>
            <w:vMerge w:val="continue"/>
            <w:tcBorders>
              <w:left w:val="single" w:color="auto" w:sz="4" w:space="0"/>
              <w:right w:val="single" w:color="auto" w:sz="4" w:space="0"/>
            </w:tcBorders>
            <w:shd w:val="clear" w:color="auto" w:fill="auto"/>
            <w:noWrap/>
            <w:vAlign w:val="center"/>
          </w:tcPr>
          <w:p w14:paraId="3C2902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vMerge w:val="continue"/>
            <w:tcBorders>
              <w:left w:val="single" w:color="auto" w:sz="4" w:space="0"/>
              <w:right w:val="single" w:color="auto" w:sz="4" w:space="0"/>
            </w:tcBorders>
            <w:shd w:val="clear" w:color="auto" w:fill="auto"/>
            <w:noWrap/>
            <w:vAlign w:val="center"/>
          </w:tcPr>
          <w:p w14:paraId="5F9642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239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二氧化硫</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DC765">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 xml:space="preserve">238.0 </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3526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0.71</w:t>
            </w:r>
            <w:r>
              <w:rPr>
                <w:rFonts w:hint="eastAsia" w:cs="Times New Roman"/>
                <w:color w:val="0000FF"/>
                <w:sz w:val="21"/>
                <w:szCs w:val="21"/>
                <w:highlight w:val="none"/>
                <w:lang w:val="en-US" w:eastAsia="zh-CN"/>
              </w:rPr>
              <w:t>39</w:t>
            </w:r>
            <w:r>
              <w:rPr>
                <w:rFonts w:hint="default" w:ascii="Times New Roman" w:hAnsi="Times New Roman" w:eastAsia="宋体" w:cs="Times New Roman"/>
                <w:color w:val="0000FF"/>
                <w:sz w:val="21"/>
                <w:szCs w:val="21"/>
                <w:highlight w:val="none"/>
                <w:lang w:val="en-US" w:eastAsia="zh-CN"/>
              </w:rPr>
              <w:t xml:space="preserve"> </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755B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1.542</w:t>
            </w:r>
          </w:p>
        </w:tc>
      </w:tr>
      <w:tr w14:paraId="74AF44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9" w:type="dxa"/>
            <w:vMerge w:val="continue"/>
            <w:tcBorders>
              <w:left w:val="single" w:color="auto" w:sz="4" w:space="0"/>
              <w:right w:val="single" w:color="auto" w:sz="4" w:space="0"/>
            </w:tcBorders>
            <w:shd w:val="clear" w:color="auto" w:fill="auto"/>
            <w:noWrap/>
            <w:vAlign w:val="center"/>
          </w:tcPr>
          <w:p w14:paraId="4AD73D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vMerge w:val="continue"/>
            <w:tcBorders>
              <w:left w:val="single" w:color="auto" w:sz="4" w:space="0"/>
              <w:right w:val="single" w:color="auto" w:sz="4" w:space="0"/>
            </w:tcBorders>
            <w:shd w:val="clear" w:color="auto" w:fill="auto"/>
            <w:noWrap/>
            <w:vAlign w:val="center"/>
          </w:tcPr>
          <w:p w14:paraId="2739C1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9EE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汞</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E2546">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 xml:space="preserve">0.0017 </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DC9F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 xml:space="preserve">0.000005 </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1CFB4">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0.000011</w:t>
            </w:r>
          </w:p>
        </w:tc>
      </w:tr>
      <w:tr w14:paraId="69CA8B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79" w:type="dxa"/>
            <w:vMerge w:val="continue"/>
            <w:tcBorders>
              <w:left w:val="single" w:color="auto" w:sz="4" w:space="0"/>
              <w:right w:val="single" w:color="auto" w:sz="4" w:space="0"/>
            </w:tcBorders>
            <w:shd w:val="clear" w:color="auto" w:fill="auto"/>
            <w:noWrap/>
            <w:vAlign w:val="center"/>
          </w:tcPr>
          <w:p w14:paraId="6FD994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vMerge w:val="continue"/>
            <w:tcBorders>
              <w:left w:val="single" w:color="auto" w:sz="4" w:space="0"/>
              <w:right w:val="single" w:color="auto" w:sz="4" w:space="0"/>
            </w:tcBorders>
            <w:shd w:val="clear" w:color="auto" w:fill="auto"/>
            <w:noWrap/>
            <w:vAlign w:val="center"/>
          </w:tcPr>
          <w:p w14:paraId="0E3204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3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C17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氮氧化物</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6B9B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204.0</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C747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0.612</w:t>
            </w:r>
            <w:r>
              <w:rPr>
                <w:rFonts w:hint="eastAsia" w:cs="Times New Roman"/>
                <w:color w:val="0000FF"/>
                <w:sz w:val="21"/>
                <w:szCs w:val="21"/>
                <w:highlight w:val="none"/>
                <w:lang w:val="en-US" w:eastAsia="zh-CN"/>
              </w:rPr>
              <w:t>0</w:t>
            </w:r>
            <w:r>
              <w:rPr>
                <w:rFonts w:hint="default" w:ascii="Times New Roman" w:hAnsi="Times New Roman" w:eastAsia="宋体" w:cs="Times New Roman"/>
                <w:color w:val="0000FF"/>
                <w:sz w:val="21"/>
                <w:szCs w:val="21"/>
                <w:highlight w:val="none"/>
                <w:lang w:val="en-US" w:eastAsia="zh-CN"/>
              </w:rPr>
              <w:t xml:space="preserve"> </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F0ED3">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1.322</w:t>
            </w:r>
          </w:p>
        </w:tc>
      </w:tr>
      <w:tr w14:paraId="24BE0D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277" w:type="dxa"/>
            <w:gridSpan w:val="6"/>
            <w:tcBorders>
              <w:left w:val="single" w:color="auto" w:sz="4" w:space="0"/>
              <w:right w:val="single" w:color="auto" w:sz="4" w:space="0"/>
            </w:tcBorders>
            <w:shd w:val="clear" w:color="auto" w:fill="auto"/>
            <w:noWrap/>
            <w:vAlign w:val="center"/>
          </w:tcPr>
          <w:p w14:paraId="12E6836E">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有组织排放总计</w:t>
            </w:r>
          </w:p>
        </w:tc>
      </w:tr>
      <w:tr w14:paraId="40BCE8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8" w:type="dxa"/>
            <w:gridSpan w:val="2"/>
            <w:vMerge w:val="restart"/>
            <w:tcBorders>
              <w:left w:val="single" w:color="auto" w:sz="4" w:space="0"/>
              <w:right w:val="single" w:color="auto" w:sz="4" w:space="0"/>
            </w:tcBorders>
            <w:shd w:val="clear" w:color="auto" w:fill="auto"/>
            <w:noWrap/>
            <w:vAlign w:val="center"/>
          </w:tcPr>
          <w:p w14:paraId="15F301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eastAsia" w:ascii="Times New Roman" w:hAnsi="Times New Roman" w:eastAsia="宋体" w:cs="Times New Roman"/>
                <w:color w:val="0000FF"/>
                <w:sz w:val="21"/>
                <w:szCs w:val="21"/>
                <w:highlight w:val="none"/>
                <w:lang w:val="en-US" w:eastAsia="zh-CN"/>
              </w:rPr>
              <w:t>有组织排放总计</w:t>
            </w:r>
          </w:p>
        </w:tc>
        <w:tc>
          <w:tcPr>
            <w:tcW w:w="413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E012B69">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颗粒物</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29A95">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sz w:val="21"/>
                <w:szCs w:val="21"/>
                <w:highlight w:val="none"/>
                <w:lang w:val="en-US" w:eastAsia="zh-CN"/>
              </w:rPr>
              <w:t>0.032</w:t>
            </w:r>
          </w:p>
        </w:tc>
      </w:tr>
      <w:tr w14:paraId="43A9A3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8" w:type="dxa"/>
            <w:gridSpan w:val="2"/>
            <w:vMerge w:val="continue"/>
            <w:tcBorders>
              <w:left w:val="single" w:color="auto" w:sz="4" w:space="0"/>
              <w:right w:val="single" w:color="auto" w:sz="4" w:space="0"/>
            </w:tcBorders>
            <w:shd w:val="clear" w:color="auto" w:fill="auto"/>
            <w:noWrap/>
            <w:vAlign w:val="center"/>
          </w:tcPr>
          <w:p w14:paraId="656D22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13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D000E1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二氧化硫</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A8545">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1.542</w:t>
            </w:r>
          </w:p>
        </w:tc>
      </w:tr>
      <w:tr w14:paraId="78BB15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8" w:type="dxa"/>
            <w:gridSpan w:val="2"/>
            <w:vMerge w:val="continue"/>
            <w:tcBorders>
              <w:left w:val="single" w:color="auto" w:sz="4" w:space="0"/>
              <w:right w:val="single" w:color="auto" w:sz="4" w:space="0"/>
            </w:tcBorders>
            <w:shd w:val="clear" w:color="auto" w:fill="auto"/>
            <w:noWrap/>
            <w:vAlign w:val="center"/>
          </w:tcPr>
          <w:p w14:paraId="313F53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13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4E4F7BD">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汞</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8BA5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0.000011</w:t>
            </w:r>
          </w:p>
        </w:tc>
      </w:tr>
      <w:tr w14:paraId="226F1E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8" w:type="dxa"/>
            <w:gridSpan w:val="2"/>
            <w:vMerge w:val="continue"/>
            <w:tcBorders>
              <w:left w:val="single" w:color="auto" w:sz="4" w:space="0"/>
              <w:bottom w:val="single" w:color="auto" w:sz="4" w:space="0"/>
              <w:right w:val="single" w:color="auto" w:sz="4" w:space="0"/>
            </w:tcBorders>
            <w:shd w:val="clear" w:color="auto" w:fill="auto"/>
            <w:noWrap/>
            <w:vAlign w:val="center"/>
          </w:tcPr>
          <w:p w14:paraId="38FDDF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13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01BF377">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氮氧化物</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FC68E">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1.322</w:t>
            </w:r>
          </w:p>
        </w:tc>
      </w:tr>
    </w:tbl>
    <w:p w14:paraId="4FFF1064">
      <w:pPr>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outlineLvl w:val="4"/>
        <w:rPr>
          <w:rFonts w:hint="default" w:ascii="Times New Roman" w:hAnsi="Times New Roman" w:eastAsia="宋体" w:cs="Times New Roman"/>
          <w:b/>
          <w:bCs/>
          <w:color w:val="auto"/>
          <w:szCs w:val="28"/>
          <w:highlight w:val="none"/>
        </w:rPr>
      </w:pPr>
      <w:r>
        <w:rPr>
          <w:rFonts w:hint="default" w:ascii="Times New Roman" w:hAnsi="Times New Roman" w:eastAsia="宋体" w:cs="Times New Roman"/>
          <w:b/>
          <w:bCs/>
          <w:color w:val="auto"/>
          <w:szCs w:val="28"/>
          <w:highlight w:val="none"/>
        </w:rPr>
        <w:t>表5.2-</w:t>
      </w:r>
      <w:r>
        <w:rPr>
          <w:rFonts w:hint="eastAsia" w:ascii="Times New Roman" w:hAnsi="Times New Roman" w:eastAsia="宋体" w:cs="Times New Roman"/>
          <w:b/>
          <w:bCs/>
          <w:color w:val="auto"/>
          <w:szCs w:val="28"/>
          <w:highlight w:val="none"/>
          <w:lang w:val="en-US" w:eastAsia="zh-CN"/>
        </w:rPr>
        <w:t>8</w:t>
      </w:r>
      <w:r>
        <w:rPr>
          <w:rFonts w:hint="default" w:ascii="Times New Roman" w:hAnsi="Times New Roman" w:eastAsia="宋体" w:cs="Times New Roman"/>
          <w:b/>
          <w:bCs/>
          <w:color w:val="auto"/>
          <w:szCs w:val="28"/>
          <w:highlight w:val="none"/>
          <w:lang w:val="en-US" w:eastAsia="zh-CN"/>
        </w:rPr>
        <w:t xml:space="preserve">  </w:t>
      </w:r>
      <w:r>
        <w:rPr>
          <w:rFonts w:hint="default" w:ascii="Times New Roman" w:hAnsi="Times New Roman" w:eastAsia="宋体" w:cs="Times New Roman"/>
          <w:b/>
          <w:bCs/>
          <w:color w:val="auto"/>
          <w:szCs w:val="28"/>
          <w:highlight w:val="none"/>
        </w:rPr>
        <w:t>大气污染物无组织排放量核算表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9"/>
        <w:gridCol w:w="499"/>
        <w:gridCol w:w="714"/>
        <w:gridCol w:w="714"/>
        <w:gridCol w:w="2141"/>
        <w:gridCol w:w="1570"/>
        <w:gridCol w:w="1070"/>
        <w:gridCol w:w="1070"/>
      </w:tblGrid>
      <w:tr w14:paraId="495B5E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B8C51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序号</w:t>
            </w:r>
          </w:p>
        </w:tc>
        <w:tc>
          <w:tcPr>
            <w:tcW w:w="4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3F3C8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排放口编号</w:t>
            </w:r>
          </w:p>
        </w:tc>
        <w:tc>
          <w:tcPr>
            <w:tcW w:w="71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FF1F3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产污环节</w:t>
            </w:r>
          </w:p>
        </w:tc>
        <w:tc>
          <w:tcPr>
            <w:tcW w:w="71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1AF09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污染物</w:t>
            </w:r>
          </w:p>
        </w:tc>
        <w:tc>
          <w:tcPr>
            <w:tcW w:w="214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C2A12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主要污染</w:t>
            </w:r>
          </w:p>
          <w:p w14:paraId="0BB9BC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防治措施</w:t>
            </w:r>
          </w:p>
        </w:tc>
        <w:tc>
          <w:tcPr>
            <w:tcW w:w="264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29047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国家或地方污染物排放标准</w:t>
            </w:r>
          </w:p>
        </w:tc>
        <w:tc>
          <w:tcPr>
            <w:tcW w:w="10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F51A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年排放量</w:t>
            </w:r>
          </w:p>
          <w:p w14:paraId="5BC982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（t/a）</w:t>
            </w:r>
          </w:p>
        </w:tc>
      </w:tr>
      <w:tr w14:paraId="6E8AFA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9B106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9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9EAF2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D8ABF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58AB1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214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1C7DD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5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729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标准名称</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602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浓度限值</w:t>
            </w:r>
          </w:p>
          <w:p w14:paraId="6CF44D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w:t>
            </w:r>
            <w:r>
              <w:rPr>
                <w:rFonts w:hint="default" w:ascii="Times New Roman" w:hAnsi="Times New Roman" w:eastAsia="宋体" w:cs="Times New Roman"/>
                <w:color w:val="0000FF"/>
                <w:sz w:val="21"/>
                <w:szCs w:val="21"/>
                <w:highlight w:val="none"/>
                <w:lang w:val="en-US" w:eastAsia="zh-CN"/>
              </w:rPr>
              <w:t>m</w:t>
            </w:r>
            <w:r>
              <w:rPr>
                <w:rFonts w:hint="default" w:ascii="Times New Roman" w:hAnsi="Times New Roman" w:eastAsia="宋体" w:cs="Times New Roman"/>
                <w:color w:val="0000FF"/>
                <w:sz w:val="21"/>
                <w:szCs w:val="21"/>
                <w:highlight w:val="none"/>
              </w:rPr>
              <w:t>g/m</w:t>
            </w:r>
            <w:r>
              <w:rPr>
                <w:rFonts w:hint="default" w:ascii="Times New Roman" w:hAnsi="Times New Roman" w:eastAsia="宋体" w:cs="Times New Roman"/>
                <w:color w:val="0000FF"/>
                <w:sz w:val="21"/>
                <w:szCs w:val="21"/>
                <w:highlight w:val="none"/>
                <w:vertAlign w:val="superscript"/>
              </w:rPr>
              <w:t>3</w:t>
            </w:r>
            <w:r>
              <w:rPr>
                <w:rFonts w:hint="default" w:ascii="Times New Roman" w:hAnsi="Times New Roman" w:eastAsia="宋体" w:cs="Times New Roman"/>
                <w:color w:val="0000FF"/>
                <w:sz w:val="21"/>
                <w:szCs w:val="21"/>
                <w:highlight w:val="none"/>
              </w:rPr>
              <w:t>）</w:t>
            </w:r>
          </w:p>
        </w:tc>
        <w:tc>
          <w:tcPr>
            <w:tcW w:w="10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769A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r>
      <w:tr w14:paraId="653717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B3192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1</w:t>
            </w:r>
          </w:p>
        </w:tc>
        <w:tc>
          <w:tcPr>
            <w:tcW w:w="49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678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1</w:t>
            </w:r>
          </w:p>
        </w:tc>
        <w:tc>
          <w:tcPr>
            <w:tcW w:w="7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8ECC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羊圈</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CCB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NH</w:t>
            </w:r>
            <w:r>
              <w:rPr>
                <w:rFonts w:hint="default" w:ascii="Times New Roman" w:hAnsi="Times New Roman" w:eastAsia="宋体" w:cs="Times New Roman"/>
                <w:color w:val="0000FF"/>
                <w:sz w:val="21"/>
                <w:szCs w:val="21"/>
                <w:highlight w:val="none"/>
                <w:vertAlign w:val="subscript"/>
              </w:rPr>
              <w:t>3</w:t>
            </w:r>
          </w:p>
        </w:tc>
        <w:tc>
          <w:tcPr>
            <w:tcW w:w="214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0F061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kern w:val="0"/>
                <w:sz w:val="21"/>
                <w:szCs w:val="21"/>
                <w:highlight w:val="none"/>
                <w:lang w:val="en-US" w:eastAsia="zh-CN" w:bidi="ar"/>
              </w:rPr>
              <w:t>添加EM菌剂、合理搭配饲料</w:t>
            </w:r>
            <w:r>
              <w:rPr>
                <w:rFonts w:hint="eastAsia" w:ascii="Times New Roman" w:hAnsi="Times New Roman" w:eastAsia="宋体" w:cs="Times New Roman"/>
                <w:color w:val="0000FF"/>
                <w:kern w:val="0"/>
                <w:sz w:val="21"/>
                <w:szCs w:val="21"/>
                <w:highlight w:val="none"/>
                <w:lang w:val="en-US" w:eastAsia="zh-CN" w:bidi="ar"/>
              </w:rPr>
              <w:t>、</w:t>
            </w:r>
            <w:r>
              <w:rPr>
                <w:rFonts w:hint="default" w:ascii="Times New Roman" w:hAnsi="Times New Roman" w:eastAsia="宋体" w:cs="Times New Roman"/>
                <w:color w:val="0000FF"/>
                <w:kern w:val="0"/>
                <w:sz w:val="21"/>
                <w:szCs w:val="21"/>
                <w:highlight w:val="none"/>
                <w:lang w:val="en-US" w:eastAsia="zh-CN" w:bidi="ar"/>
              </w:rPr>
              <w:t>喷洒除臭剂、加强通风、羊圈之间设置绿化防护带</w:t>
            </w:r>
          </w:p>
        </w:tc>
        <w:tc>
          <w:tcPr>
            <w:tcW w:w="157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3BDC6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《恶臭污染物排放标准》（GB14554-93）</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CA7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rPr>
              <w:t>1</w:t>
            </w:r>
            <w:r>
              <w:rPr>
                <w:rFonts w:hint="default" w:ascii="Times New Roman" w:hAnsi="Times New Roman" w:eastAsia="宋体" w:cs="Times New Roman"/>
                <w:color w:val="0000FF"/>
                <w:sz w:val="21"/>
                <w:szCs w:val="21"/>
                <w:highlight w:val="none"/>
                <w:lang w:val="en-US" w:eastAsia="zh-CN"/>
              </w:rPr>
              <w:t>.5</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D52E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0.112</w:t>
            </w:r>
          </w:p>
        </w:tc>
      </w:tr>
      <w:tr w14:paraId="305E46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3EA7C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9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B81B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CF47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EA9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H</w:t>
            </w:r>
            <w:r>
              <w:rPr>
                <w:rFonts w:hint="default" w:ascii="Times New Roman" w:hAnsi="Times New Roman" w:eastAsia="宋体" w:cs="Times New Roman"/>
                <w:color w:val="0000FF"/>
                <w:sz w:val="21"/>
                <w:szCs w:val="21"/>
                <w:highlight w:val="none"/>
                <w:vertAlign w:val="subscript"/>
              </w:rPr>
              <w:t>2</w:t>
            </w:r>
            <w:r>
              <w:rPr>
                <w:rFonts w:hint="default" w:ascii="Times New Roman" w:hAnsi="Times New Roman" w:eastAsia="宋体" w:cs="Times New Roman"/>
                <w:color w:val="0000FF"/>
                <w:sz w:val="21"/>
                <w:szCs w:val="21"/>
                <w:highlight w:val="none"/>
              </w:rPr>
              <w:t>S</w:t>
            </w:r>
          </w:p>
        </w:tc>
        <w:tc>
          <w:tcPr>
            <w:tcW w:w="214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5BEE0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5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8486D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9E0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0.06</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1D38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0.009</w:t>
            </w:r>
          </w:p>
        </w:tc>
      </w:tr>
      <w:tr w14:paraId="3CB3BA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E792E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2</w:t>
            </w:r>
          </w:p>
        </w:tc>
        <w:tc>
          <w:tcPr>
            <w:tcW w:w="49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C18F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2</w:t>
            </w:r>
          </w:p>
        </w:tc>
        <w:tc>
          <w:tcPr>
            <w:tcW w:w="7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CCD3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堆肥场</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B99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NH</w:t>
            </w:r>
            <w:r>
              <w:rPr>
                <w:rFonts w:hint="default" w:ascii="Times New Roman" w:hAnsi="Times New Roman" w:eastAsia="宋体" w:cs="Times New Roman"/>
                <w:color w:val="0000FF"/>
                <w:sz w:val="21"/>
                <w:szCs w:val="21"/>
                <w:highlight w:val="none"/>
                <w:vertAlign w:val="subscript"/>
              </w:rPr>
              <w:t>3</w:t>
            </w:r>
          </w:p>
        </w:tc>
        <w:tc>
          <w:tcPr>
            <w:tcW w:w="214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21F59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kern w:val="0"/>
                <w:sz w:val="21"/>
                <w:szCs w:val="21"/>
                <w:highlight w:val="none"/>
                <w:lang w:val="en-US" w:eastAsia="zh-CN" w:bidi="ar"/>
              </w:rPr>
              <w:t>喷洒除臭剂、四周进行绿化</w:t>
            </w:r>
          </w:p>
        </w:tc>
        <w:tc>
          <w:tcPr>
            <w:tcW w:w="15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AE821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5FA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rPr>
              <w:t>1</w:t>
            </w:r>
            <w:r>
              <w:rPr>
                <w:rFonts w:hint="default" w:ascii="Times New Roman" w:hAnsi="Times New Roman" w:eastAsia="宋体" w:cs="Times New Roman"/>
                <w:color w:val="0000FF"/>
                <w:sz w:val="21"/>
                <w:szCs w:val="21"/>
                <w:highlight w:val="none"/>
                <w:lang w:val="en-US" w:eastAsia="zh-CN"/>
              </w:rPr>
              <w:t>.5</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E6BF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0.037</w:t>
            </w:r>
          </w:p>
        </w:tc>
      </w:tr>
      <w:tr w14:paraId="2B5E1C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61111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49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ABC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305E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ACA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H</w:t>
            </w:r>
            <w:r>
              <w:rPr>
                <w:rFonts w:hint="default" w:ascii="Times New Roman" w:hAnsi="Times New Roman" w:eastAsia="宋体" w:cs="Times New Roman"/>
                <w:color w:val="0000FF"/>
                <w:sz w:val="21"/>
                <w:szCs w:val="21"/>
                <w:highlight w:val="none"/>
                <w:vertAlign w:val="subscript"/>
              </w:rPr>
              <w:t>2</w:t>
            </w:r>
            <w:r>
              <w:rPr>
                <w:rFonts w:hint="default" w:ascii="Times New Roman" w:hAnsi="Times New Roman" w:eastAsia="宋体" w:cs="Times New Roman"/>
                <w:color w:val="0000FF"/>
                <w:sz w:val="21"/>
                <w:szCs w:val="21"/>
                <w:highlight w:val="none"/>
              </w:rPr>
              <w:t>S</w:t>
            </w:r>
          </w:p>
        </w:tc>
        <w:tc>
          <w:tcPr>
            <w:tcW w:w="214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D8DC0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5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169C2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617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0.06</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F1BBC">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0.002</w:t>
            </w:r>
          </w:p>
        </w:tc>
      </w:tr>
      <w:tr w14:paraId="34C444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425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3</w:t>
            </w:r>
          </w:p>
        </w:tc>
        <w:tc>
          <w:tcPr>
            <w:tcW w:w="499" w:type="dxa"/>
            <w:tcBorders>
              <w:top w:val="single" w:color="auto" w:sz="4" w:space="0"/>
              <w:left w:val="single" w:color="auto" w:sz="4" w:space="0"/>
              <w:bottom w:val="single" w:color="auto" w:sz="4" w:space="0"/>
              <w:right w:val="single" w:color="auto" w:sz="4" w:space="0"/>
            </w:tcBorders>
            <w:shd w:val="clear" w:color="auto" w:fill="auto"/>
            <w:vAlign w:val="center"/>
          </w:tcPr>
          <w:p w14:paraId="5D7405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3</w:t>
            </w:r>
          </w:p>
        </w:tc>
        <w:tc>
          <w:tcPr>
            <w:tcW w:w="714" w:type="dxa"/>
            <w:tcBorders>
              <w:top w:val="single" w:color="auto" w:sz="4" w:space="0"/>
              <w:left w:val="single" w:color="auto" w:sz="4" w:space="0"/>
              <w:bottom w:val="single" w:color="auto" w:sz="4" w:space="0"/>
              <w:right w:val="single" w:color="auto" w:sz="4" w:space="0"/>
            </w:tcBorders>
            <w:shd w:val="clear"/>
            <w:vAlign w:val="center"/>
          </w:tcPr>
          <w:p w14:paraId="42205FEF">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eastAsia="zh-CN"/>
              </w:rPr>
              <w:t>日粮搅拌车间</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93E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颗粒物</w:t>
            </w:r>
          </w:p>
        </w:tc>
        <w:tc>
          <w:tcPr>
            <w:tcW w:w="21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10AE7">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cs="Times New Roman"/>
                <w:color w:val="0000FF"/>
                <w:sz w:val="21"/>
                <w:szCs w:val="21"/>
                <w:highlight w:val="none"/>
                <w:lang w:eastAsia="zh-CN"/>
              </w:rPr>
              <w:t>日粮搅拌车间</w:t>
            </w:r>
            <w:r>
              <w:rPr>
                <w:rFonts w:hint="default" w:ascii="Times New Roman" w:hAnsi="Times New Roman" w:eastAsia="宋体" w:cs="Times New Roman"/>
                <w:color w:val="0000FF"/>
                <w:sz w:val="21"/>
                <w:szCs w:val="21"/>
                <w:highlight w:val="none"/>
              </w:rPr>
              <w:t>密闭</w:t>
            </w:r>
            <w:r>
              <w:rPr>
                <w:rFonts w:hint="default" w:ascii="Times New Roman" w:hAnsi="Times New Roman" w:eastAsia="宋体" w:cs="Times New Roman"/>
                <w:color w:val="0000FF"/>
                <w:sz w:val="21"/>
                <w:szCs w:val="21"/>
                <w:highlight w:val="none"/>
                <w:lang w:eastAsia="zh-CN"/>
              </w:rPr>
              <w:t>设置</w:t>
            </w:r>
            <w:r>
              <w:rPr>
                <w:rFonts w:hint="eastAsia" w:cs="Times New Roman"/>
                <w:color w:val="0000FF"/>
                <w:sz w:val="21"/>
                <w:szCs w:val="21"/>
                <w:highlight w:val="none"/>
                <w:lang w:eastAsia="zh-CN"/>
              </w:rPr>
              <w:t>、洒水抑尘</w:t>
            </w:r>
          </w:p>
        </w:tc>
        <w:tc>
          <w:tcPr>
            <w:tcW w:w="1570" w:type="dxa"/>
            <w:vMerge w:val="restart"/>
            <w:tcBorders>
              <w:top w:val="single" w:color="auto" w:sz="4" w:space="0"/>
              <w:left w:val="single" w:color="auto" w:sz="4" w:space="0"/>
              <w:right w:val="single" w:color="auto" w:sz="4" w:space="0"/>
            </w:tcBorders>
            <w:shd w:val="clear" w:color="auto" w:fill="auto"/>
            <w:noWrap/>
            <w:vAlign w:val="center"/>
          </w:tcPr>
          <w:p w14:paraId="738F5A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《大气污染物综合排放标准》（GB16297-199</w:t>
            </w:r>
            <w:r>
              <w:rPr>
                <w:rFonts w:hint="default" w:ascii="Times New Roman" w:hAnsi="Times New Roman" w:eastAsia="宋体" w:cs="Times New Roman"/>
                <w:color w:val="0000FF"/>
                <w:kern w:val="2"/>
                <w:sz w:val="21"/>
                <w:szCs w:val="21"/>
                <w:highlight w:val="none"/>
                <w:lang w:val="en-US" w:eastAsia="zh-CN" w:bidi="ar-SA"/>
              </w:rPr>
              <w:t>6）</w:t>
            </w:r>
          </w:p>
        </w:tc>
        <w:tc>
          <w:tcPr>
            <w:tcW w:w="1070" w:type="dxa"/>
            <w:vMerge w:val="restart"/>
            <w:tcBorders>
              <w:top w:val="single" w:color="auto" w:sz="4" w:space="0"/>
              <w:left w:val="single" w:color="auto" w:sz="4" w:space="0"/>
              <w:right w:val="single" w:color="auto" w:sz="4" w:space="0"/>
            </w:tcBorders>
            <w:shd w:val="clear" w:color="auto" w:fill="auto"/>
            <w:noWrap/>
            <w:vAlign w:val="center"/>
          </w:tcPr>
          <w:p w14:paraId="44D62C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val="en-US" w:eastAsia="zh-CN"/>
              </w:rPr>
              <w:t>1</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74D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w:t>
            </w:r>
            <w:r>
              <w:rPr>
                <w:rFonts w:hint="eastAsia" w:cs="Times New Roman"/>
                <w:b w:val="0"/>
                <w:bCs w:val="0"/>
                <w:color w:val="0000FF"/>
                <w:sz w:val="21"/>
                <w:szCs w:val="21"/>
                <w:highlight w:val="none"/>
                <w:lang w:val="en-US" w:eastAsia="zh-CN"/>
              </w:rPr>
              <w:t>54</w:t>
            </w:r>
          </w:p>
        </w:tc>
      </w:tr>
      <w:tr w14:paraId="0B10CC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207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4</w:t>
            </w:r>
          </w:p>
        </w:tc>
        <w:tc>
          <w:tcPr>
            <w:tcW w:w="499" w:type="dxa"/>
            <w:tcBorders>
              <w:top w:val="single" w:color="auto" w:sz="4" w:space="0"/>
              <w:left w:val="single" w:color="auto" w:sz="4" w:space="0"/>
              <w:bottom w:val="single" w:color="auto" w:sz="4" w:space="0"/>
              <w:right w:val="single" w:color="auto" w:sz="4" w:space="0"/>
            </w:tcBorders>
            <w:shd w:val="clear" w:color="auto" w:fill="auto"/>
            <w:vAlign w:val="center"/>
          </w:tcPr>
          <w:p w14:paraId="514C1C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4</w:t>
            </w:r>
          </w:p>
        </w:tc>
        <w:tc>
          <w:tcPr>
            <w:tcW w:w="714" w:type="dxa"/>
            <w:tcBorders>
              <w:top w:val="single" w:color="auto" w:sz="4" w:space="0"/>
              <w:left w:val="single" w:color="auto" w:sz="4" w:space="0"/>
              <w:bottom w:val="single" w:color="auto" w:sz="4" w:space="0"/>
              <w:right w:val="single" w:color="auto" w:sz="4" w:space="0"/>
            </w:tcBorders>
            <w:shd w:val="clear"/>
            <w:vAlign w:val="center"/>
          </w:tcPr>
          <w:p w14:paraId="78065F37">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cs="Times New Roman"/>
                <w:color w:val="0000FF"/>
                <w:sz w:val="21"/>
                <w:szCs w:val="21"/>
                <w:highlight w:val="none"/>
                <w:lang w:eastAsia="zh-CN"/>
              </w:rPr>
              <w:t>造粒车间</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4B9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颗粒物</w:t>
            </w:r>
          </w:p>
        </w:tc>
        <w:tc>
          <w:tcPr>
            <w:tcW w:w="21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C1C29">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cs="Times New Roman"/>
                <w:color w:val="0000FF"/>
                <w:sz w:val="21"/>
                <w:szCs w:val="21"/>
                <w:highlight w:val="none"/>
                <w:lang w:val="en-US" w:eastAsia="zh-CN"/>
              </w:rPr>
              <w:t>全封闭设置、布袋除尘器</w:t>
            </w:r>
          </w:p>
        </w:tc>
        <w:tc>
          <w:tcPr>
            <w:tcW w:w="1570" w:type="dxa"/>
            <w:vMerge w:val="continue"/>
            <w:tcBorders>
              <w:left w:val="single" w:color="auto" w:sz="4" w:space="0"/>
              <w:right w:val="single" w:color="auto" w:sz="4" w:space="0"/>
            </w:tcBorders>
            <w:shd w:val="clear" w:color="auto" w:fill="auto"/>
            <w:noWrap/>
            <w:vAlign w:val="center"/>
          </w:tcPr>
          <w:p w14:paraId="604F53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vMerge w:val="continue"/>
            <w:tcBorders>
              <w:left w:val="single" w:color="auto" w:sz="4" w:space="0"/>
              <w:right w:val="single" w:color="auto" w:sz="4" w:space="0"/>
            </w:tcBorders>
            <w:shd w:val="clear" w:color="auto" w:fill="auto"/>
            <w:noWrap/>
            <w:vAlign w:val="center"/>
          </w:tcPr>
          <w:p w14:paraId="6EBF27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095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w:t>
            </w:r>
            <w:r>
              <w:rPr>
                <w:rFonts w:hint="eastAsia" w:cs="Times New Roman"/>
                <w:b w:val="0"/>
                <w:bCs w:val="0"/>
                <w:color w:val="0000FF"/>
                <w:sz w:val="21"/>
                <w:szCs w:val="21"/>
                <w:highlight w:val="none"/>
                <w:lang w:val="en-US" w:eastAsia="zh-CN"/>
              </w:rPr>
              <w:t>69</w:t>
            </w:r>
          </w:p>
        </w:tc>
      </w:tr>
      <w:tr w14:paraId="5D348A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1D3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5</w:t>
            </w:r>
          </w:p>
        </w:tc>
        <w:tc>
          <w:tcPr>
            <w:tcW w:w="499" w:type="dxa"/>
            <w:tcBorders>
              <w:top w:val="single" w:color="auto" w:sz="4" w:space="0"/>
              <w:left w:val="single" w:color="auto" w:sz="4" w:space="0"/>
              <w:bottom w:val="single" w:color="auto" w:sz="4" w:space="0"/>
              <w:right w:val="single" w:color="auto" w:sz="4" w:space="0"/>
            </w:tcBorders>
            <w:shd w:val="clear" w:color="auto" w:fill="auto"/>
            <w:vAlign w:val="center"/>
          </w:tcPr>
          <w:p w14:paraId="521AE2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5</w:t>
            </w:r>
          </w:p>
        </w:tc>
        <w:tc>
          <w:tcPr>
            <w:tcW w:w="714" w:type="dxa"/>
            <w:tcBorders>
              <w:top w:val="single" w:color="auto" w:sz="4" w:space="0"/>
              <w:left w:val="single" w:color="auto" w:sz="4" w:space="0"/>
              <w:bottom w:val="single" w:color="auto" w:sz="4" w:space="0"/>
              <w:right w:val="single" w:color="auto" w:sz="4" w:space="0"/>
            </w:tcBorders>
            <w:shd w:val="clear"/>
            <w:vAlign w:val="center"/>
          </w:tcPr>
          <w:p w14:paraId="760BC5D8">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cs="Times New Roman"/>
                <w:b w:val="0"/>
                <w:bCs w:val="0"/>
                <w:color w:val="0000FF"/>
                <w:sz w:val="21"/>
                <w:szCs w:val="21"/>
                <w:highlight w:val="none"/>
                <w:lang w:eastAsia="zh-CN"/>
              </w:rPr>
              <w:t>玉米粒筛分</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6EA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颗粒物</w:t>
            </w:r>
          </w:p>
        </w:tc>
        <w:tc>
          <w:tcPr>
            <w:tcW w:w="21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9A7E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封闭外罩</w:t>
            </w:r>
          </w:p>
        </w:tc>
        <w:tc>
          <w:tcPr>
            <w:tcW w:w="1570" w:type="dxa"/>
            <w:vMerge w:val="continue"/>
            <w:tcBorders>
              <w:left w:val="single" w:color="auto" w:sz="4" w:space="0"/>
              <w:right w:val="single" w:color="auto" w:sz="4" w:space="0"/>
            </w:tcBorders>
            <w:shd w:val="clear" w:color="auto" w:fill="auto"/>
            <w:noWrap/>
            <w:vAlign w:val="center"/>
          </w:tcPr>
          <w:p w14:paraId="4F5654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vMerge w:val="continue"/>
            <w:tcBorders>
              <w:left w:val="single" w:color="auto" w:sz="4" w:space="0"/>
              <w:right w:val="single" w:color="auto" w:sz="4" w:space="0"/>
            </w:tcBorders>
            <w:shd w:val="clear" w:color="auto" w:fill="auto"/>
            <w:noWrap/>
            <w:vAlign w:val="center"/>
          </w:tcPr>
          <w:p w14:paraId="65A207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96C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0.008</w:t>
            </w:r>
          </w:p>
        </w:tc>
      </w:tr>
      <w:tr w14:paraId="7A21E1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2C5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6</w:t>
            </w:r>
          </w:p>
        </w:tc>
        <w:tc>
          <w:tcPr>
            <w:tcW w:w="499" w:type="dxa"/>
            <w:tcBorders>
              <w:top w:val="single" w:color="auto" w:sz="4" w:space="0"/>
              <w:left w:val="single" w:color="auto" w:sz="4" w:space="0"/>
              <w:bottom w:val="single" w:color="auto" w:sz="4" w:space="0"/>
              <w:right w:val="single" w:color="auto" w:sz="4" w:space="0"/>
            </w:tcBorders>
            <w:shd w:val="clear" w:color="auto" w:fill="auto"/>
            <w:vAlign w:val="center"/>
          </w:tcPr>
          <w:p w14:paraId="1009A1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6</w:t>
            </w:r>
          </w:p>
        </w:tc>
        <w:tc>
          <w:tcPr>
            <w:tcW w:w="714" w:type="dxa"/>
            <w:tcBorders>
              <w:top w:val="single" w:color="auto" w:sz="4" w:space="0"/>
              <w:left w:val="single" w:color="auto" w:sz="4" w:space="0"/>
              <w:bottom w:val="single" w:color="auto" w:sz="4" w:space="0"/>
              <w:right w:val="single" w:color="auto" w:sz="4" w:space="0"/>
            </w:tcBorders>
            <w:shd w:val="clear"/>
            <w:vAlign w:val="center"/>
          </w:tcPr>
          <w:p w14:paraId="4529439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eastAsia" w:cs="Times New Roman"/>
                <w:b w:val="0"/>
                <w:bCs w:val="0"/>
                <w:color w:val="0000FF"/>
                <w:sz w:val="21"/>
                <w:szCs w:val="21"/>
                <w:highlight w:val="none"/>
                <w:lang w:eastAsia="zh-CN"/>
              </w:rPr>
              <w:t>玉米粒烘干</w:t>
            </w:r>
          </w:p>
        </w:tc>
        <w:tc>
          <w:tcPr>
            <w:tcW w:w="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2B1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val="en-US" w:eastAsia="zh-CN"/>
              </w:rPr>
              <w:t>颗粒物</w:t>
            </w:r>
          </w:p>
        </w:tc>
        <w:tc>
          <w:tcPr>
            <w:tcW w:w="21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0901E">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FF"/>
                <w:kern w:val="2"/>
                <w:sz w:val="21"/>
                <w:szCs w:val="21"/>
                <w:highlight w:val="none"/>
                <w:lang w:val="en-US" w:eastAsia="zh-CN" w:bidi="ar-SA"/>
              </w:rPr>
            </w:pPr>
            <w:r>
              <w:rPr>
                <w:rFonts w:hint="default" w:ascii="Times New Roman" w:hAnsi="Times New Roman" w:eastAsia="宋体" w:cs="Times New Roman"/>
                <w:b w:val="0"/>
                <w:bCs w:val="0"/>
                <w:color w:val="0000FF"/>
                <w:sz w:val="21"/>
                <w:szCs w:val="21"/>
                <w:highlight w:val="none"/>
                <w:lang w:val="en-US" w:eastAsia="zh-CN"/>
              </w:rPr>
              <w:t>封闭外罩</w:t>
            </w:r>
          </w:p>
        </w:tc>
        <w:tc>
          <w:tcPr>
            <w:tcW w:w="1570" w:type="dxa"/>
            <w:vMerge w:val="continue"/>
            <w:tcBorders>
              <w:left w:val="single" w:color="auto" w:sz="4" w:space="0"/>
              <w:bottom w:val="single" w:color="auto" w:sz="4" w:space="0"/>
              <w:right w:val="single" w:color="auto" w:sz="4" w:space="0"/>
            </w:tcBorders>
            <w:shd w:val="clear" w:color="auto" w:fill="auto"/>
            <w:noWrap/>
            <w:vAlign w:val="center"/>
          </w:tcPr>
          <w:p w14:paraId="4D4766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rPr>
            </w:pPr>
          </w:p>
        </w:tc>
        <w:tc>
          <w:tcPr>
            <w:tcW w:w="1070" w:type="dxa"/>
            <w:vMerge w:val="continue"/>
            <w:tcBorders>
              <w:left w:val="single" w:color="auto" w:sz="4" w:space="0"/>
              <w:bottom w:val="single" w:color="auto" w:sz="4" w:space="0"/>
              <w:right w:val="single" w:color="auto" w:sz="4" w:space="0"/>
            </w:tcBorders>
            <w:shd w:val="clear" w:color="auto" w:fill="auto"/>
            <w:noWrap/>
            <w:vAlign w:val="center"/>
          </w:tcPr>
          <w:p w14:paraId="7A2B56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0000FF"/>
                <w:sz w:val="21"/>
                <w:szCs w:val="21"/>
                <w:highlight w:val="none"/>
                <w:lang w:val="en-US" w:eastAsia="zh-CN"/>
              </w:rPr>
            </w:pP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939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0.008</w:t>
            </w:r>
          </w:p>
        </w:tc>
      </w:tr>
      <w:tr w14:paraId="388B37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277"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6EE4D6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无组织排放总计</w:t>
            </w:r>
          </w:p>
        </w:tc>
      </w:tr>
      <w:tr w14:paraId="3EB055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8"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3C543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无组织排放总计</w:t>
            </w:r>
          </w:p>
        </w:tc>
        <w:tc>
          <w:tcPr>
            <w:tcW w:w="620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9C961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765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0.149</w:t>
            </w:r>
          </w:p>
        </w:tc>
      </w:tr>
      <w:tr w14:paraId="1D4990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8"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A5E96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620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F1911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硫化氢（H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875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0.011</w:t>
            </w:r>
          </w:p>
        </w:tc>
      </w:tr>
      <w:tr w14:paraId="172799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8"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F7932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620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C45D7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0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493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0.139</w:t>
            </w:r>
          </w:p>
        </w:tc>
      </w:tr>
    </w:tbl>
    <w:p w14:paraId="3F232F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项目大气污染物年排放量核算见下表。</w:t>
      </w:r>
    </w:p>
    <w:p w14:paraId="221E420B">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表5.2-</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大气污染物年排放量核算表</w:t>
      </w:r>
    </w:p>
    <w:tbl>
      <w:tblPr>
        <w:tblStyle w:val="42"/>
        <w:tblW w:w="827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2140"/>
        <w:gridCol w:w="3338"/>
        <w:gridCol w:w="2799"/>
      </w:tblGrid>
      <w:tr w14:paraId="3D97FD3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25AA2B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3338" w:type="dxa"/>
            <w:tcBorders>
              <w:top w:val="single" w:color="auto" w:sz="4" w:space="0"/>
              <w:left w:val="single" w:color="auto" w:sz="4" w:space="0"/>
              <w:bottom w:val="single" w:color="auto" w:sz="4" w:space="0"/>
              <w:right w:val="single" w:color="auto" w:sz="4" w:space="0"/>
            </w:tcBorders>
            <w:vAlign w:val="center"/>
          </w:tcPr>
          <w:p w14:paraId="454B36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2799" w:type="dxa"/>
            <w:tcBorders>
              <w:top w:val="single" w:color="auto" w:sz="4" w:space="0"/>
              <w:left w:val="single" w:color="auto" w:sz="4" w:space="0"/>
              <w:bottom w:val="single" w:color="auto" w:sz="4" w:space="0"/>
              <w:right w:val="single" w:color="auto" w:sz="4" w:space="0"/>
            </w:tcBorders>
            <w:vAlign w:val="center"/>
          </w:tcPr>
          <w:p w14:paraId="2EC957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年排放量/（t/a）</w:t>
            </w:r>
          </w:p>
        </w:tc>
      </w:tr>
      <w:tr w14:paraId="060570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461FF5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338" w:type="dxa"/>
            <w:tcBorders>
              <w:top w:val="single" w:color="auto" w:sz="4" w:space="0"/>
              <w:left w:val="single" w:color="auto" w:sz="4" w:space="0"/>
              <w:bottom w:val="single" w:color="auto" w:sz="4" w:space="0"/>
              <w:right w:val="single" w:color="auto" w:sz="4" w:space="0"/>
            </w:tcBorders>
            <w:vAlign w:val="center"/>
          </w:tcPr>
          <w:p w14:paraId="7CCF26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58ED19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0.149</w:t>
            </w:r>
          </w:p>
        </w:tc>
      </w:tr>
      <w:tr w14:paraId="7FE55B2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711ACC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338" w:type="dxa"/>
            <w:tcBorders>
              <w:top w:val="single" w:color="auto" w:sz="4" w:space="0"/>
              <w:left w:val="single" w:color="auto" w:sz="4" w:space="0"/>
              <w:bottom w:val="single" w:color="auto" w:sz="4" w:space="0"/>
              <w:right w:val="single" w:color="auto" w:sz="4" w:space="0"/>
            </w:tcBorders>
            <w:vAlign w:val="center"/>
          </w:tcPr>
          <w:p w14:paraId="4BADA2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硫化氢（H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3B4C6D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0.011</w:t>
            </w:r>
          </w:p>
        </w:tc>
      </w:tr>
      <w:tr w14:paraId="7E04150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5B6A75B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338" w:type="dxa"/>
            <w:tcBorders>
              <w:top w:val="single" w:color="auto" w:sz="4" w:space="0"/>
              <w:left w:val="single" w:color="auto" w:sz="4" w:space="0"/>
              <w:bottom w:val="single" w:color="auto" w:sz="4" w:space="0"/>
              <w:right w:val="single" w:color="auto" w:sz="4" w:space="0"/>
            </w:tcBorders>
            <w:vAlign w:val="center"/>
          </w:tcPr>
          <w:p w14:paraId="7700BB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23EBEB7C">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0.171</w:t>
            </w:r>
          </w:p>
        </w:tc>
      </w:tr>
      <w:tr w14:paraId="3A3DFD1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48E914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3338" w:type="dxa"/>
            <w:tcBorders>
              <w:top w:val="single" w:color="auto" w:sz="4" w:space="0"/>
              <w:left w:val="single" w:color="auto" w:sz="4" w:space="0"/>
              <w:bottom w:val="single" w:color="auto" w:sz="4" w:space="0"/>
              <w:right w:val="single" w:color="auto" w:sz="4" w:space="0"/>
            </w:tcBorders>
            <w:shd w:val="clear" w:color="auto" w:fill="auto"/>
            <w:vAlign w:val="center"/>
          </w:tcPr>
          <w:p w14:paraId="1C02585F">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二氧化硫</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3B67DD22">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1.542</w:t>
            </w:r>
          </w:p>
        </w:tc>
      </w:tr>
      <w:tr w14:paraId="721336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548795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3338" w:type="dxa"/>
            <w:tcBorders>
              <w:top w:val="single" w:color="auto" w:sz="4" w:space="0"/>
              <w:left w:val="single" w:color="auto" w:sz="4" w:space="0"/>
              <w:bottom w:val="single" w:color="auto" w:sz="4" w:space="0"/>
              <w:right w:val="single" w:color="auto" w:sz="4" w:space="0"/>
            </w:tcBorders>
            <w:shd w:val="clear" w:color="auto" w:fill="auto"/>
            <w:vAlign w:val="center"/>
          </w:tcPr>
          <w:p w14:paraId="25FA8660">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汞</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43D777BB">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0.000011</w:t>
            </w:r>
          </w:p>
        </w:tc>
      </w:tr>
      <w:tr w14:paraId="1BA7745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2140" w:type="dxa"/>
            <w:tcBorders>
              <w:top w:val="single" w:color="auto" w:sz="4" w:space="0"/>
              <w:left w:val="single" w:color="auto" w:sz="4" w:space="0"/>
              <w:bottom w:val="single" w:color="auto" w:sz="4" w:space="0"/>
              <w:right w:val="single" w:color="auto" w:sz="4" w:space="0"/>
            </w:tcBorders>
            <w:vAlign w:val="center"/>
          </w:tcPr>
          <w:p w14:paraId="1F9CCB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3338" w:type="dxa"/>
            <w:tcBorders>
              <w:top w:val="single" w:color="auto" w:sz="4" w:space="0"/>
              <w:left w:val="single" w:color="auto" w:sz="4" w:space="0"/>
              <w:bottom w:val="single" w:color="auto" w:sz="4" w:space="0"/>
              <w:right w:val="single" w:color="auto" w:sz="4" w:space="0"/>
            </w:tcBorders>
            <w:shd w:val="clear" w:color="auto" w:fill="auto"/>
            <w:vAlign w:val="center"/>
          </w:tcPr>
          <w:p w14:paraId="03A8178A">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氮氧化物</w:t>
            </w:r>
          </w:p>
        </w:tc>
        <w:tc>
          <w:tcPr>
            <w:tcW w:w="2799" w:type="dxa"/>
            <w:tcBorders>
              <w:top w:val="single" w:color="auto" w:sz="4" w:space="0"/>
              <w:left w:val="single" w:color="auto" w:sz="4" w:space="0"/>
              <w:bottom w:val="single" w:color="auto" w:sz="4" w:space="0"/>
              <w:right w:val="single" w:color="auto" w:sz="4" w:space="0"/>
            </w:tcBorders>
            <w:shd w:val="clear" w:color="auto" w:fill="auto"/>
            <w:vAlign w:val="center"/>
          </w:tcPr>
          <w:p w14:paraId="4B2A3011">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sz w:val="21"/>
                <w:szCs w:val="21"/>
                <w:highlight w:val="none"/>
                <w:lang w:val="en-US" w:eastAsia="zh-CN"/>
              </w:rPr>
              <w:t>1.322</w:t>
            </w:r>
          </w:p>
        </w:tc>
      </w:tr>
    </w:tbl>
    <w:p w14:paraId="4366A4C5">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5.2.2.</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大气环境防护距离</w:t>
      </w:r>
    </w:p>
    <w:p w14:paraId="448932E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本项目场区通过在饲料中加入EM添加剂以及添加除臭剂，减少粪便中氨氮的排放、减轻恶臭；</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设置通风口，同时用</w:t>
      </w:r>
      <w:r>
        <w:rPr>
          <w:rFonts w:hint="default" w:ascii="Times New Roman" w:hAnsi="Times New Roman" w:eastAsia="宋体" w:cs="Times New Roman"/>
          <w:color w:val="auto"/>
          <w:highlight w:val="none"/>
          <w:lang w:eastAsia="zh-CN"/>
        </w:rPr>
        <w:t>生物除臭剂</w:t>
      </w:r>
      <w:r>
        <w:rPr>
          <w:rFonts w:hint="default" w:ascii="Times New Roman" w:hAnsi="Times New Roman" w:eastAsia="宋体" w:cs="Times New Roman"/>
          <w:color w:val="auto"/>
          <w:highlight w:val="none"/>
        </w:rPr>
        <w:t>喷洒</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等除臭；根据估算模式预测结果，大气环境影响评价等级为二级，厂界外无超标点，且敏感点预测值能够满足环境功能区划要求，因此无需设置大气环境防护距离</w:t>
      </w:r>
      <w:r>
        <w:rPr>
          <w:rFonts w:hint="default" w:ascii="Times New Roman" w:hAnsi="Times New Roman" w:eastAsia="宋体" w:cs="Times New Roman"/>
          <w:color w:val="auto"/>
          <w:highlight w:val="none"/>
          <w:lang w:eastAsia="zh-CN"/>
        </w:rPr>
        <w:t>。</w:t>
      </w:r>
    </w:p>
    <w:p w14:paraId="7006D1E5">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444" w:name="_Toc32248"/>
      <w:bookmarkStart w:id="445" w:name="_Toc46421133"/>
      <w:r>
        <w:rPr>
          <w:rFonts w:hint="default" w:ascii="Times New Roman" w:hAnsi="Times New Roman" w:eastAsia="宋体" w:cs="Times New Roman"/>
          <w:color w:val="auto"/>
          <w:highlight w:val="none"/>
        </w:rPr>
        <w:t>5.2.3大气环境影响评价结论与建议</w:t>
      </w:r>
      <w:bookmarkEnd w:id="444"/>
      <w:bookmarkEnd w:id="445"/>
    </w:p>
    <w:p w14:paraId="38EB8C9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（1）达标区环境可接受性</w:t>
      </w:r>
    </w:p>
    <w:p w14:paraId="6CC01DF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采取的污染防治措施有效、可行，排放的大气污染物对环境影响较小，根据估算模式预测结果，大气环境影响评价等级为二级，厂界外无超标点，且敏感点预测值能够满足环境功能区划要求。项目正常情况排放的大气污染物对大气环境影响可接受。</w:t>
      </w:r>
    </w:p>
    <w:p w14:paraId="0FA3D38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）大气环境影响评价自查</w:t>
      </w:r>
    </w:p>
    <w:p w14:paraId="28AFFCB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本次评价对大气环境影响评价主要内容与结论进行自查，自查结果见下表</w:t>
      </w:r>
      <w:r>
        <w:rPr>
          <w:rFonts w:hint="default" w:ascii="Times New Roman" w:hAnsi="Times New Roman" w:eastAsia="宋体" w:cs="Times New Roman"/>
          <w:color w:val="auto"/>
          <w:highlight w:val="none"/>
          <w:lang w:eastAsia="zh-CN"/>
        </w:rPr>
        <w:t>。</w:t>
      </w:r>
    </w:p>
    <w:p w14:paraId="1ED653E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723CC97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表5.2-</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建设项目大气环境影响评价自查表</w:t>
      </w:r>
    </w:p>
    <w:tbl>
      <w:tblPr>
        <w:tblStyle w:val="42"/>
        <w:tblW w:w="13606"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1155"/>
        <w:gridCol w:w="2029"/>
        <w:gridCol w:w="1234"/>
        <w:gridCol w:w="1049"/>
        <w:gridCol w:w="975"/>
        <w:gridCol w:w="673"/>
        <w:gridCol w:w="1602"/>
        <w:gridCol w:w="1931"/>
        <w:gridCol w:w="1187"/>
        <w:gridCol w:w="1771"/>
      </w:tblGrid>
      <w:tr w14:paraId="54D6024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3369" w:type="dxa"/>
            <w:gridSpan w:val="2"/>
            <w:tcBorders>
              <w:top w:val="single" w:color="auto" w:sz="4" w:space="0"/>
              <w:left w:val="single" w:color="auto" w:sz="4" w:space="0"/>
              <w:bottom w:val="single" w:color="auto" w:sz="4" w:space="0"/>
              <w:right w:val="single" w:color="auto" w:sz="4" w:space="0"/>
            </w:tcBorders>
            <w:vAlign w:val="center"/>
          </w:tcPr>
          <w:p w14:paraId="42DF16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工作内容</w:t>
            </w:r>
          </w:p>
        </w:tc>
        <w:tc>
          <w:tcPr>
            <w:tcW w:w="11020" w:type="dxa"/>
            <w:gridSpan w:val="8"/>
            <w:tcBorders>
              <w:top w:val="single" w:color="auto" w:sz="4" w:space="0"/>
              <w:left w:val="single" w:color="auto" w:sz="4" w:space="0"/>
              <w:bottom w:val="single" w:color="auto" w:sz="4" w:space="0"/>
              <w:right w:val="single" w:color="auto" w:sz="4" w:space="0"/>
            </w:tcBorders>
            <w:vAlign w:val="center"/>
          </w:tcPr>
          <w:p w14:paraId="09BEC2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自查项目</w:t>
            </w:r>
          </w:p>
        </w:tc>
      </w:tr>
      <w:tr w14:paraId="1F6F960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0537DF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评价等级与范围</w:t>
            </w:r>
          </w:p>
        </w:tc>
        <w:tc>
          <w:tcPr>
            <w:tcW w:w="2151" w:type="dxa"/>
            <w:tcBorders>
              <w:top w:val="single" w:color="auto" w:sz="4" w:space="0"/>
              <w:left w:val="single" w:color="auto" w:sz="4" w:space="0"/>
              <w:bottom w:val="single" w:color="auto" w:sz="4" w:space="0"/>
              <w:right w:val="single" w:color="auto" w:sz="4" w:space="0"/>
            </w:tcBorders>
            <w:vAlign w:val="center"/>
          </w:tcPr>
          <w:p w14:paraId="722046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评价等级</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38F453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一级□</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7609B7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二级</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5123BDE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三级□</w:t>
            </w:r>
          </w:p>
        </w:tc>
      </w:tr>
      <w:tr w14:paraId="0176F5E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3CDD8F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1A1CC0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评价范围</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53452F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边长=50km□</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27C1F6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50km□</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6E4D17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边长=5km</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sz w:val="21"/>
                <w:szCs w:val="21"/>
                <w:highlight w:val="none"/>
                <w:lang w:eastAsia="zh-CN"/>
              </w:rPr>
              <w:instrText xml:space="preserve">,</w:instrText>
            </w:r>
            <w:r>
              <w:rPr>
                <w:rFonts w:hint="default" w:ascii="Times New Roman" w:hAnsi="Times New Roman" w:eastAsia="宋体" w:cs="Times New Roman"/>
                <w:color w:val="auto"/>
                <w:position w:val="2"/>
                <w:sz w:val="14"/>
                <w:szCs w:val="21"/>
                <w:highlight w:val="none"/>
                <w:lang w:eastAsia="zh-CN"/>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378516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44DB1C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2151" w:type="dxa"/>
            <w:tcBorders>
              <w:top w:val="single" w:color="auto" w:sz="4" w:space="0"/>
              <w:left w:val="single" w:color="auto" w:sz="4" w:space="0"/>
              <w:bottom w:val="single" w:color="auto" w:sz="4" w:space="0"/>
              <w:right w:val="single" w:color="auto" w:sz="4" w:space="0"/>
            </w:tcBorders>
            <w:vAlign w:val="center"/>
          </w:tcPr>
          <w:p w14:paraId="5D4814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+NOx排放量</w:t>
            </w:r>
          </w:p>
        </w:tc>
        <w:tc>
          <w:tcPr>
            <w:tcW w:w="2407" w:type="dxa"/>
            <w:gridSpan w:val="2"/>
            <w:tcBorders>
              <w:top w:val="single" w:color="auto" w:sz="4" w:space="0"/>
              <w:left w:val="single" w:color="auto" w:sz="4" w:space="0"/>
              <w:bottom w:val="single" w:color="auto" w:sz="4" w:space="0"/>
              <w:right w:val="single" w:color="auto" w:sz="4" w:space="0"/>
            </w:tcBorders>
            <w:vAlign w:val="center"/>
          </w:tcPr>
          <w:p w14:paraId="442D02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≥2000t/a□</w:t>
            </w:r>
          </w:p>
        </w:tc>
        <w:tc>
          <w:tcPr>
            <w:tcW w:w="3439" w:type="dxa"/>
            <w:gridSpan w:val="3"/>
            <w:tcBorders>
              <w:top w:val="single" w:color="auto" w:sz="4" w:space="0"/>
              <w:left w:val="single" w:color="auto" w:sz="4" w:space="0"/>
              <w:bottom w:val="single" w:color="auto" w:sz="4" w:space="0"/>
              <w:right w:val="single" w:color="auto" w:sz="4" w:space="0"/>
            </w:tcBorders>
            <w:vAlign w:val="center"/>
          </w:tcPr>
          <w:p w14:paraId="57456D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2000t/a□</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1F9AC1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&lt;500t/a</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159069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6E63CE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257A24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2F7E34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基本污染物（SO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、CO、PM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w:t>
            </w:r>
          </w:p>
          <w:p w14:paraId="0C9C2A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其他污染物（</w:t>
            </w:r>
            <w:r>
              <w:rPr>
                <w:rFonts w:hint="default" w:ascii="Times New Roman" w:hAnsi="Times New Roman" w:eastAsia="宋体" w:cs="Times New Roman"/>
                <w:bCs/>
                <w:color w:val="auto"/>
                <w:sz w:val="21"/>
                <w:szCs w:val="21"/>
                <w:highlight w:val="none"/>
              </w:rPr>
              <w:t>TSP</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NO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eastAsia="zh-CN"/>
              </w:rPr>
              <w:t>臭气浓度</w:t>
            </w:r>
            <w:r>
              <w:rPr>
                <w:rFonts w:hint="default" w:ascii="Times New Roman" w:hAnsi="Times New Roman" w:eastAsia="宋体" w:cs="Times New Roman"/>
                <w:color w:val="auto"/>
                <w:sz w:val="21"/>
                <w:szCs w:val="21"/>
                <w:highlight w:val="none"/>
              </w:rPr>
              <w:t>）</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723ACE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包括二次PM2.5□</w:t>
            </w:r>
          </w:p>
          <w:p w14:paraId="70AAA7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不包括二次PM2.5</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716D36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tcBorders>
              <w:top w:val="single" w:color="auto" w:sz="4" w:space="0"/>
              <w:left w:val="single" w:color="auto" w:sz="4" w:space="0"/>
              <w:bottom w:val="single" w:color="auto" w:sz="4" w:space="0"/>
              <w:right w:val="single" w:color="auto" w:sz="4" w:space="0"/>
            </w:tcBorders>
            <w:vAlign w:val="center"/>
          </w:tcPr>
          <w:p w14:paraId="585B92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w:t>
            </w:r>
          </w:p>
        </w:tc>
        <w:tc>
          <w:tcPr>
            <w:tcW w:w="2151" w:type="dxa"/>
            <w:tcBorders>
              <w:top w:val="single" w:color="auto" w:sz="4" w:space="0"/>
              <w:left w:val="single" w:color="auto" w:sz="4" w:space="0"/>
              <w:bottom w:val="single" w:color="auto" w:sz="4" w:space="0"/>
              <w:right w:val="single" w:color="auto" w:sz="4" w:space="0"/>
            </w:tcBorders>
            <w:vAlign w:val="center"/>
          </w:tcPr>
          <w:p w14:paraId="1CD250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w:t>
            </w:r>
          </w:p>
        </w:tc>
        <w:tc>
          <w:tcPr>
            <w:tcW w:w="3437" w:type="dxa"/>
            <w:gridSpan w:val="3"/>
            <w:tcBorders>
              <w:top w:val="single" w:color="auto" w:sz="4" w:space="0"/>
              <w:left w:val="single" w:color="auto" w:sz="4" w:space="0"/>
              <w:bottom w:val="single" w:color="auto" w:sz="4" w:space="0"/>
              <w:right w:val="single" w:color="auto" w:sz="4" w:space="0"/>
            </w:tcBorders>
            <w:vAlign w:val="center"/>
          </w:tcPr>
          <w:p w14:paraId="13BAF2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国家标准</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6E2CB6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地方标准□</w:t>
            </w:r>
          </w:p>
        </w:tc>
        <w:tc>
          <w:tcPr>
            <w:tcW w:w="2046" w:type="dxa"/>
            <w:tcBorders>
              <w:top w:val="single" w:color="auto" w:sz="4" w:space="0"/>
              <w:left w:val="single" w:color="auto" w:sz="4" w:space="0"/>
              <w:bottom w:val="single" w:color="auto" w:sz="4" w:space="0"/>
              <w:right w:val="single" w:color="auto" w:sz="4" w:space="0"/>
            </w:tcBorders>
            <w:vAlign w:val="center"/>
          </w:tcPr>
          <w:p w14:paraId="773281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附录D</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365FC7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其他标准</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sz w:val="21"/>
                <w:szCs w:val="21"/>
                <w:highlight w:val="none"/>
              </w:rPr>
              <w:fldChar w:fldCharType="end"/>
            </w:r>
          </w:p>
        </w:tc>
      </w:tr>
      <w:tr w14:paraId="6C2D6EC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77DF8E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2151" w:type="dxa"/>
            <w:tcBorders>
              <w:top w:val="single" w:color="auto" w:sz="4" w:space="0"/>
              <w:left w:val="single" w:color="auto" w:sz="4" w:space="0"/>
              <w:bottom w:val="single" w:color="auto" w:sz="4" w:space="0"/>
              <w:right w:val="single" w:color="auto" w:sz="4" w:space="0"/>
            </w:tcBorders>
            <w:vAlign w:val="center"/>
          </w:tcPr>
          <w:p w14:paraId="7D94B4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评价功能区</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4C29D6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一类区□</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7877CD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二类区</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2BCC77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一类区和二类区□</w:t>
            </w:r>
          </w:p>
        </w:tc>
      </w:tr>
      <w:tr w14:paraId="1957178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5AAC51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6882E2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评价基准年</w:t>
            </w:r>
          </w:p>
        </w:tc>
        <w:tc>
          <w:tcPr>
            <w:tcW w:w="11020" w:type="dxa"/>
            <w:gridSpan w:val="8"/>
            <w:tcBorders>
              <w:top w:val="single" w:color="auto" w:sz="4" w:space="0"/>
              <w:left w:val="single" w:color="auto" w:sz="4" w:space="0"/>
              <w:bottom w:val="single" w:color="auto" w:sz="4" w:space="0"/>
              <w:right w:val="single" w:color="auto" w:sz="4" w:space="0"/>
            </w:tcBorders>
            <w:vAlign w:val="center"/>
          </w:tcPr>
          <w:p w14:paraId="7CA646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）年</w:t>
            </w:r>
          </w:p>
        </w:tc>
      </w:tr>
      <w:tr w14:paraId="750F08B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426D9E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66B701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环境空气质量现状调查数据来源</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084313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长期例行监测数据□</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4E97E0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主管部门发布的数据</w:t>
            </w:r>
            <w:r>
              <w:rPr>
                <w:rFonts w:hint="default" w:ascii="Times New Roman" w:hAnsi="Times New Roman" w:eastAsia="宋体" w:cs="Times New Roman"/>
                <w:color w:val="auto"/>
                <w:sz w:val="21"/>
                <w:szCs w:val="21"/>
                <w:highlight w:val="none"/>
                <w:lang w:eastAsia="zh-CN"/>
              </w:rPr>
              <w:t>☑</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7D5463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现状补充监测</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4ED1AE1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2CD87D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4B5227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36E60B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达标区</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sz w:val="21"/>
                <w:szCs w:val="21"/>
                <w:highlight w:val="none"/>
                <w:lang w:eastAsia="zh-CN"/>
              </w:rPr>
              <w:instrText xml:space="preserve">,</w:instrText>
            </w:r>
            <w:r>
              <w:rPr>
                <w:rFonts w:hint="default" w:ascii="Times New Roman" w:hAnsi="Times New Roman" w:eastAsia="宋体" w:cs="Times New Roman"/>
                <w:color w:val="auto"/>
                <w:position w:val="2"/>
                <w:sz w:val="21"/>
                <w:szCs w:val="21"/>
                <w:highlight w:val="none"/>
                <w:lang w:eastAsia="zh-CN"/>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0C2761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不达标区□</w:t>
            </w:r>
          </w:p>
        </w:tc>
      </w:tr>
      <w:tr w14:paraId="75BADB1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tcBorders>
              <w:top w:val="single" w:color="auto" w:sz="4" w:space="0"/>
              <w:left w:val="single" w:color="auto" w:sz="4" w:space="0"/>
              <w:bottom w:val="single" w:color="auto" w:sz="4" w:space="0"/>
              <w:right w:val="single" w:color="auto" w:sz="4" w:space="0"/>
            </w:tcBorders>
            <w:vAlign w:val="center"/>
          </w:tcPr>
          <w:p w14:paraId="6061B2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污染源调查</w:t>
            </w:r>
          </w:p>
        </w:tc>
        <w:tc>
          <w:tcPr>
            <w:tcW w:w="2151" w:type="dxa"/>
            <w:tcBorders>
              <w:top w:val="single" w:color="auto" w:sz="4" w:space="0"/>
              <w:left w:val="single" w:color="auto" w:sz="4" w:space="0"/>
              <w:bottom w:val="single" w:color="auto" w:sz="4" w:space="0"/>
              <w:right w:val="single" w:color="auto" w:sz="4" w:space="0"/>
            </w:tcBorders>
            <w:vAlign w:val="center"/>
          </w:tcPr>
          <w:p w14:paraId="727B37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调查内容</w:t>
            </w:r>
          </w:p>
        </w:tc>
        <w:tc>
          <w:tcPr>
            <w:tcW w:w="3437" w:type="dxa"/>
            <w:gridSpan w:val="3"/>
            <w:tcBorders>
              <w:top w:val="single" w:color="auto" w:sz="4" w:space="0"/>
              <w:left w:val="single" w:color="auto" w:sz="4" w:space="0"/>
              <w:bottom w:val="single" w:color="auto" w:sz="4" w:space="0"/>
              <w:right w:val="single" w:color="auto" w:sz="4" w:space="0"/>
            </w:tcBorders>
            <w:vAlign w:val="center"/>
          </w:tcPr>
          <w:p w14:paraId="008091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本项目正常排放源</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p w14:paraId="558296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本项目非正常排放源□</w:t>
            </w:r>
          </w:p>
          <w:p w14:paraId="35AF06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原批复污染源□</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022F15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拟替代的污染源□</w:t>
            </w:r>
          </w:p>
        </w:tc>
        <w:tc>
          <w:tcPr>
            <w:tcW w:w="2046" w:type="dxa"/>
            <w:tcBorders>
              <w:top w:val="single" w:color="auto" w:sz="4" w:space="0"/>
              <w:left w:val="single" w:color="auto" w:sz="4" w:space="0"/>
              <w:bottom w:val="single" w:color="auto" w:sz="4" w:space="0"/>
              <w:right w:val="single" w:color="auto" w:sz="4" w:space="0"/>
            </w:tcBorders>
            <w:vAlign w:val="center"/>
          </w:tcPr>
          <w:p w14:paraId="008F50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其他在建、拟建项目污染源□</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2FCC63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区域污染源□</w:t>
            </w:r>
          </w:p>
        </w:tc>
      </w:tr>
      <w:tr w14:paraId="6E2E4D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2F69CF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大气环境影响预测与评价</w:t>
            </w:r>
          </w:p>
        </w:tc>
        <w:tc>
          <w:tcPr>
            <w:tcW w:w="2151" w:type="dxa"/>
            <w:tcBorders>
              <w:top w:val="single" w:color="auto" w:sz="4" w:space="0"/>
              <w:left w:val="single" w:color="auto" w:sz="4" w:space="0"/>
              <w:bottom w:val="single" w:color="auto" w:sz="4" w:space="0"/>
              <w:right w:val="single" w:color="auto" w:sz="4" w:space="0"/>
            </w:tcBorders>
            <w:vAlign w:val="center"/>
          </w:tcPr>
          <w:p w14:paraId="223A3C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预测模型</w:t>
            </w:r>
          </w:p>
        </w:tc>
        <w:tc>
          <w:tcPr>
            <w:tcW w:w="1302" w:type="dxa"/>
            <w:tcBorders>
              <w:top w:val="single" w:color="auto" w:sz="4" w:space="0"/>
              <w:left w:val="single" w:color="auto" w:sz="4" w:space="0"/>
              <w:bottom w:val="single" w:color="auto" w:sz="4" w:space="0"/>
              <w:right w:val="single" w:color="auto" w:sz="4" w:space="0"/>
            </w:tcBorders>
            <w:vAlign w:val="center"/>
          </w:tcPr>
          <w:p w14:paraId="588740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AERMOD</w:t>
            </w:r>
          </w:p>
          <w:p w14:paraId="7C9CF5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105" w:type="dxa"/>
            <w:tcBorders>
              <w:top w:val="single" w:color="auto" w:sz="4" w:space="0"/>
              <w:left w:val="single" w:color="auto" w:sz="4" w:space="0"/>
              <w:bottom w:val="single" w:color="auto" w:sz="4" w:space="0"/>
              <w:right w:val="single" w:color="auto" w:sz="4" w:space="0"/>
            </w:tcBorders>
            <w:vAlign w:val="center"/>
          </w:tcPr>
          <w:p w14:paraId="2EDBF2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ADMS</w:t>
            </w:r>
          </w:p>
          <w:p w14:paraId="1CFBE1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744" w:type="dxa"/>
            <w:gridSpan w:val="2"/>
            <w:tcBorders>
              <w:top w:val="single" w:color="auto" w:sz="4" w:space="0"/>
              <w:left w:val="single" w:color="auto" w:sz="4" w:space="0"/>
              <w:bottom w:val="single" w:color="auto" w:sz="4" w:space="0"/>
              <w:right w:val="single" w:color="auto" w:sz="4" w:space="0"/>
            </w:tcBorders>
            <w:vAlign w:val="center"/>
          </w:tcPr>
          <w:p w14:paraId="081436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AUSTAL2000</w:t>
            </w:r>
          </w:p>
          <w:p w14:paraId="427A6A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695" w:type="dxa"/>
            <w:tcBorders>
              <w:top w:val="single" w:color="auto" w:sz="4" w:space="0"/>
              <w:left w:val="single" w:color="auto" w:sz="4" w:space="0"/>
              <w:bottom w:val="single" w:color="auto" w:sz="4" w:space="0"/>
              <w:right w:val="single" w:color="auto" w:sz="4" w:space="0"/>
            </w:tcBorders>
            <w:vAlign w:val="center"/>
          </w:tcPr>
          <w:p w14:paraId="74CA8C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EDMS/AEDT</w:t>
            </w:r>
          </w:p>
          <w:p w14:paraId="684292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046" w:type="dxa"/>
            <w:tcBorders>
              <w:top w:val="single" w:color="auto" w:sz="4" w:space="0"/>
              <w:left w:val="single" w:color="auto" w:sz="4" w:space="0"/>
              <w:bottom w:val="single" w:color="auto" w:sz="4" w:space="0"/>
              <w:right w:val="single" w:color="auto" w:sz="4" w:space="0"/>
            </w:tcBorders>
            <w:vAlign w:val="center"/>
          </w:tcPr>
          <w:p w14:paraId="372AA6C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CALPUFF</w:t>
            </w:r>
          </w:p>
          <w:p w14:paraId="127A8B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52" w:type="dxa"/>
            <w:tcBorders>
              <w:top w:val="single" w:color="auto" w:sz="4" w:space="0"/>
              <w:left w:val="single" w:color="auto" w:sz="4" w:space="0"/>
              <w:bottom w:val="single" w:color="auto" w:sz="4" w:space="0"/>
              <w:right w:val="single" w:color="auto" w:sz="4" w:space="0"/>
            </w:tcBorders>
            <w:vAlign w:val="center"/>
          </w:tcPr>
          <w:p w14:paraId="7C8C9D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网格模型</w:t>
            </w:r>
          </w:p>
          <w:p w14:paraId="2E42B7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76" w:type="dxa"/>
            <w:tcBorders>
              <w:top w:val="single" w:color="auto" w:sz="4" w:space="0"/>
              <w:left w:val="single" w:color="auto" w:sz="4" w:space="0"/>
              <w:bottom w:val="single" w:color="auto" w:sz="4" w:space="0"/>
              <w:right w:val="single" w:color="auto" w:sz="4" w:space="0"/>
            </w:tcBorders>
            <w:vAlign w:val="center"/>
          </w:tcPr>
          <w:p w14:paraId="62E053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w:t>
            </w:r>
          </w:p>
          <w:p w14:paraId="5A250D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0CCF83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3699A4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007330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预测范围</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02C22C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边长≥50km□</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690DC6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50km□</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1BDC4B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边长=5km</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0EEF224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75988E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1CC7E7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500D8D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、TSP</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NO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r>
              <w:rPr>
                <w:rFonts w:hint="default" w:ascii="Times New Roman" w:hAnsi="Times New Roman" w:eastAsia="宋体" w:cs="Times New Roman"/>
                <w:color w:val="auto"/>
                <w:sz w:val="21"/>
                <w:szCs w:val="21"/>
                <w:highlight w:val="none"/>
              </w:rPr>
              <w:t>）</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4A2F1F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w:t>
            </w:r>
          </w:p>
          <w:p w14:paraId="0ABCDC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r>
      <w:tr w14:paraId="5145513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61E86F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107AB7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正常排放短期浓度贡献值</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18E136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C本项目最大占标率≤100%□</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19D33B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C本项目最大占标率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100%□</w:t>
            </w:r>
          </w:p>
        </w:tc>
      </w:tr>
      <w:tr w14:paraId="56A600D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37FF76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vMerge w:val="restart"/>
            <w:tcBorders>
              <w:top w:val="single" w:color="auto" w:sz="4" w:space="0"/>
              <w:left w:val="single" w:color="auto" w:sz="4" w:space="0"/>
              <w:bottom w:val="single" w:color="auto" w:sz="4" w:space="0"/>
              <w:right w:val="single" w:color="auto" w:sz="4" w:space="0"/>
            </w:tcBorders>
            <w:vAlign w:val="center"/>
          </w:tcPr>
          <w:p w14:paraId="4F6B9C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正常排放年均浓度贡献值</w:t>
            </w:r>
          </w:p>
        </w:tc>
        <w:tc>
          <w:tcPr>
            <w:tcW w:w="2407" w:type="dxa"/>
            <w:gridSpan w:val="2"/>
            <w:tcBorders>
              <w:top w:val="single" w:color="auto" w:sz="4" w:space="0"/>
              <w:left w:val="single" w:color="auto" w:sz="4" w:space="0"/>
              <w:bottom w:val="single" w:color="auto" w:sz="4" w:space="0"/>
              <w:right w:val="single" w:color="auto" w:sz="4" w:space="0"/>
            </w:tcBorders>
            <w:vAlign w:val="center"/>
          </w:tcPr>
          <w:p w14:paraId="4B509D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一类区</w:t>
            </w:r>
          </w:p>
        </w:tc>
        <w:tc>
          <w:tcPr>
            <w:tcW w:w="3439" w:type="dxa"/>
            <w:gridSpan w:val="3"/>
            <w:tcBorders>
              <w:top w:val="single" w:color="auto" w:sz="4" w:space="0"/>
              <w:left w:val="single" w:color="auto" w:sz="4" w:space="0"/>
              <w:bottom w:val="single" w:color="auto" w:sz="4" w:space="0"/>
              <w:right w:val="single" w:color="auto" w:sz="4" w:space="0"/>
            </w:tcBorders>
            <w:vAlign w:val="center"/>
          </w:tcPr>
          <w:p w14:paraId="49A262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最大占标率≤10%□</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3E26E0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10%□</w:t>
            </w:r>
          </w:p>
        </w:tc>
      </w:tr>
      <w:tr w14:paraId="2FEF91F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7914B1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vMerge w:val="continue"/>
            <w:tcBorders>
              <w:top w:val="single" w:color="auto" w:sz="4" w:space="0"/>
              <w:left w:val="single" w:color="auto" w:sz="4" w:space="0"/>
              <w:bottom w:val="single" w:color="auto" w:sz="4" w:space="0"/>
              <w:right w:val="single" w:color="auto" w:sz="4" w:space="0"/>
            </w:tcBorders>
            <w:vAlign w:val="center"/>
          </w:tcPr>
          <w:p w14:paraId="1CC723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407" w:type="dxa"/>
            <w:gridSpan w:val="2"/>
            <w:tcBorders>
              <w:top w:val="single" w:color="auto" w:sz="4" w:space="0"/>
              <w:left w:val="single" w:color="auto" w:sz="4" w:space="0"/>
              <w:bottom w:val="single" w:color="auto" w:sz="4" w:space="0"/>
              <w:right w:val="single" w:color="auto" w:sz="4" w:space="0"/>
            </w:tcBorders>
            <w:vAlign w:val="center"/>
          </w:tcPr>
          <w:p w14:paraId="08688E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二类区</w:t>
            </w:r>
          </w:p>
        </w:tc>
        <w:tc>
          <w:tcPr>
            <w:tcW w:w="3439" w:type="dxa"/>
            <w:gridSpan w:val="3"/>
            <w:tcBorders>
              <w:top w:val="single" w:color="auto" w:sz="4" w:space="0"/>
              <w:left w:val="single" w:color="auto" w:sz="4" w:space="0"/>
              <w:bottom w:val="single" w:color="auto" w:sz="4" w:space="0"/>
              <w:right w:val="single" w:color="auto" w:sz="4" w:space="0"/>
            </w:tcBorders>
            <w:vAlign w:val="center"/>
          </w:tcPr>
          <w:p w14:paraId="3AFF9F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最大占标率≤30%□</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4D42A3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30%□</w:t>
            </w:r>
          </w:p>
        </w:tc>
      </w:tr>
      <w:tr w14:paraId="60F8CDC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71F4BD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6B30DE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非正常1h浓度贡献值</w:t>
            </w:r>
          </w:p>
        </w:tc>
        <w:tc>
          <w:tcPr>
            <w:tcW w:w="3437" w:type="dxa"/>
            <w:gridSpan w:val="3"/>
            <w:tcBorders>
              <w:top w:val="single" w:color="auto" w:sz="4" w:space="0"/>
              <w:left w:val="single" w:color="auto" w:sz="4" w:space="0"/>
              <w:bottom w:val="single" w:color="auto" w:sz="4" w:space="0"/>
              <w:right w:val="single" w:color="auto" w:sz="4" w:space="0"/>
            </w:tcBorders>
            <w:vAlign w:val="center"/>
          </w:tcPr>
          <w:p w14:paraId="126CED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非正常持续时长（）h</w:t>
            </w:r>
          </w:p>
        </w:tc>
        <w:tc>
          <w:tcPr>
            <w:tcW w:w="4455" w:type="dxa"/>
            <w:gridSpan w:val="3"/>
            <w:tcBorders>
              <w:top w:val="single" w:color="auto" w:sz="4" w:space="0"/>
              <w:left w:val="single" w:color="auto" w:sz="4" w:space="0"/>
              <w:bottom w:val="single" w:color="auto" w:sz="4" w:space="0"/>
              <w:right w:val="single" w:color="auto" w:sz="4" w:space="0"/>
            </w:tcBorders>
            <w:vAlign w:val="center"/>
          </w:tcPr>
          <w:p w14:paraId="42D8C3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非正常</w:t>
            </w:r>
            <w:r>
              <w:rPr>
                <w:rFonts w:hint="default" w:ascii="Times New Roman" w:hAnsi="Times New Roman" w:eastAsia="宋体" w:cs="Times New Roman"/>
                <w:color w:val="auto"/>
                <w:sz w:val="21"/>
                <w:szCs w:val="21"/>
                <w:highlight w:val="none"/>
              </w:rPr>
              <w:t>占标率≤100%□</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7F7AF6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非正常</w:t>
            </w:r>
            <w:r>
              <w:rPr>
                <w:rFonts w:hint="default" w:ascii="Times New Roman" w:hAnsi="Times New Roman" w:eastAsia="宋体" w:cs="Times New Roman"/>
                <w:color w:val="auto"/>
                <w:sz w:val="21"/>
                <w:szCs w:val="21"/>
                <w:highlight w:val="none"/>
              </w:rPr>
              <w:t>占标率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100%□</w:t>
            </w:r>
          </w:p>
        </w:tc>
      </w:tr>
      <w:tr w14:paraId="6BE6F6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7D518A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0367E8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保证率日平均浓度和年平均浓度叠加值</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52FD75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叠加</w:t>
            </w:r>
            <w:r>
              <w:rPr>
                <w:rFonts w:hint="default" w:ascii="Times New Roman" w:hAnsi="Times New Roman" w:eastAsia="宋体" w:cs="Times New Roman"/>
                <w:color w:val="auto"/>
                <w:sz w:val="21"/>
                <w:szCs w:val="21"/>
                <w:highlight w:val="none"/>
              </w:rPr>
              <w:t>达标□</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44081F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叠加</w:t>
            </w:r>
            <w:r>
              <w:rPr>
                <w:rFonts w:hint="default" w:ascii="Times New Roman" w:hAnsi="Times New Roman" w:eastAsia="宋体" w:cs="Times New Roman"/>
                <w:color w:val="auto"/>
                <w:sz w:val="21"/>
                <w:szCs w:val="21"/>
                <w:highlight w:val="none"/>
              </w:rPr>
              <w:t>不达标□</w:t>
            </w:r>
          </w:p>
        </w:tc>
      </w:tr>
      <w:tr w14:paraId="0B2576E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1DE042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1F79E7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区域环境质量的整体变化情况</w:t>
            </w:r>
          </w:p>
        </w:tc>
        <w:tc>
          <w:tcPr>
            <w:tcW w:w="5846" w:type="dxa"/>
            <w:gridSpan w:val="5"/>
            <w:tcBorders>
              <w:top w:val="single" w:color="auto" w:sz="4" w:space="0"/>
              <w:left w:val="single" w:color="auto" w:sz="4" w:space="0"/>
              <w:bottom w:val="single" w:color="auto" w:sz="4" w:space="0"/>
              <w:right w:val="single" w:color="auto" w:sz="4" w:space="0"/>
            </w:tcBorders>
            <w:vAlign w:val="center"/>
          </w:tcPr>
          <w:p w14:paraId="7B63C4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k≤-20%□</w:t>
            </w:r>
          </w:p>
        </w:tc>
        <w:tc>
          <w:tcPr>
            <w:tcW w:w="5174" w:type="dxa"/>
            <w:gridSpan w:val="3"/>
            <w:tcBorders>
              <w:top w:val="single" w:color="auto" w:sz="4" w:space="0"/>
              <w:left w:val="single" w:color="auto" w:sz="4" w:space="0"/>
              <w:bottom w:val="single" w:color="auto" w:sz="4" w:space="0"/>
              <w:right w:val="single" w:color="auto" w:sz="4" w:space="0"/>
            </w:tcBorders>
            <w:vAlign w:val="center"/>
          </w:tcPr>
          <w:p w14:paraId="545841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k&gt;-20%□</w:t>
            </w:r>
          </w:p>
        </w:tc>
      </w:tr>
      <w:tr w14:paraId="4882151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5D79A2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环境监测计划</w:t>
            </w:r>
          </w:p>
        </w:tc>
        <w:tc>
          <w:tcPr>
            <w:tcW w:w="2151" w:type="dxa"/>
            <w:tcBorders>
              <w:top w:val="single" w:color="auto" w:sz="4" w:space="0"/>
              <w:left w:val="single" w:color="auto" w:sz="4" w:space="0"/>
              <w:bottom w:val="single" w:color="auto" w:sz="4" w:space="0"/>
              <w:right w:val="single" w:color="auto" w:sz="4" w:space="0"/>
            </w:tcBorders>
            <w:vAlign w:val="center"/>
          </w:tcPr>
          <w:p w14:paraId="6B7CD0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污染源监测</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796B81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监测因子：（氨、硫化氢、臭气浓度、颗粒物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氮氧化物、二氧化硫、</w:t>
            </w:r>
            <w:r>
              <w:rPr>
                <w:rFonts w:hint="default" w:ascii="Times New Roman" w:hAnsi="Times New Roman" w:eastAsia="宋体" w:cs="Times New Roman"/>
                <w:color w:val="0000FF"/>
                <w:sz w:val="21"/>
                <w:szCs w:val="21"/>
                <w:highlight w:val="none"/>
                <w:lang w:val="en-US" w:eastAsia="zh-CN"/>
              </w:rPr>
              <w:t>汞</w:t>
            </w:r>
            <w:r>
              <w:rPr>
                <w:rFonts w:hint="default" w:ascii="Times New Roman" w:hAnsi="Times New Roman" w:eastAsia="宋体" w:cs="Times New Roman"/>
                <w:color w:val="0000FF"/>
                <w:sz w:val="21"/>
                <w:szCs w:val="21"/>
                <w:highlight w:val="none"/>
              </w:rPr>
              <w:t>）</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435DA5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有组织废气监测</w:t>
            </w:r>
            <w:r>
              <w:rPr>
                <w:rFonts w:hint="default" w:ascii="Times New Roman" w:hAnsi="Times New Roman" w:eastAsia="宋体" w:cs="Times New Roman"/>
                <w:color w:val="auto"/>
                <w:sz w:val="21"/>
                <w:szCs w:val="21"/>
                <w:highlight w:val="none"/>
                <w:lang w:eastAsia="zh-CN"/>
              </w:rPr>
              <w:t>☑</w:t>
            </w:r>
          </w:p>
          <w:p w14:paraId="228840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无组织废气监测</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3C9AFE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无监测□</w:t>
            </w:r>
          </w:p>
        </w:tc>
      </w:tr>
      <w:tr w14:paraId="488B640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2CFEDB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428B40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环境质量监测</w:t>
            </w:r>
          </w:p>
        </w:tc>
        <w:tc>
          <w:tcPr>
            <w:tcW w:w="4151" w:type="dxa"/>
            <w:gridSpan w:val="4"/>
            <w:tcBorders>
              <w:top w:val="single" w:color="auto" w:sz="4" w:space="0"/>
              <w:left w:val="single" w:color="auto" w:sz="4" w:space="0"/>
              <w:bottom w:val="single" w:color="auto" w:sz="4" w:space="0"/>
              <w:right w:val="single" w:color="auto" w:sz="4" w:space="0"/>
            </w:tcBorders>
            <w:vAlign w:val="center"/>
          </w:tcPr>
          <w:p w14:paraId="43A915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监测因子：（氨、硫化氢、臭气浓度、颗粒物）</w:t>
            </w:r>
          </w:p>
        </w:tc>
        <w:tc>
          <w:tcPr>
            <w:tcW w:w="3741" w:type="dxa"/>
            <w:gridSpan w:val="2"/>
            <w:tcBorders>
              <w:top w:val="single" w:color="auto" w:sz="4" w:space="0"/>
              <w:left w:val="single" w:color="auto" w:sz="4" w:space="0"/>
              <w:bottom w:val="single" w:color="auto" w:sz="4" w:space="0"/>
              <w:right w:val="single" w:color="auto" w:sz="4" w:space="0"/>
            </w:tcBorders>
            <w:vAlign w:val="center"/>
          </w:tcPr>
          <w:p w14:paraId="255E47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监测点位数（</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004C47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无监测□</w:t>
            </w:r>
          </w:p>
        </w:tc>
      </w:tr>
      <w:tr w14:paraId="5B813D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tcBorders>
              <w:top w:val="single" w:color="auto" w:sz="4" w:space="0"/>
              <w:left w:val="single" w:color="auto" w:sz="4" w:space="0"/>
              <w:bottom w:val="single" w:color="auto" w:sz="4" w:space="0"/>
              <w:right w:val="single" w:color="auto" w:sz="4" w:space="0"/>
            </w:tcBorders>
            <w:vAlign w:val="center"/>
          </w:tcPr>
          <w:p w14:paraId="749430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评价结论</w:t>
            </w:r>
          </w:p>
        </w:tc>
        <w:tc>
          <w:tcPr>
            <w:tcW w:w="2151" w:type="dxa"/>
            <w:tcBorders>
              <w:top w:val="single" w:color="auto" w:sz="4" w:space="0"/>
              <w:left w:val="single" w:color="auto" w:sz="4" w:space="0"/>
              <w:bottom w:val="single" w:color="auto" w:sz="4" w:space="0"/>
              <w:right w:val="single" w:color="auto" w:sz="4" w:space="0"/>
            </w:tcBorders>
            <w:vAlign w:val="center"/>
          </w:tcPr>
          <w:p w14:paraId="55E226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环境影响</w:t>
            </w:r>
          </w:p>
        </w:tc>
        <w:tc>
          <w:tcPr>
            <w:tcW w:w="11020" w:type="dxa"/>
            <w:gridSpan w:val="8"/>
            <w:tcBorders>
              <w:top w:val="single" w:color="auto" w:sz="4" w:space="0"/>
              <w:left w:val="single" w:color="auto" w:sz="4" w:space="0"/>
              <w:bottom w:val="single" w:color="auto" w:sz="4" w:space="0"/>
              <w:right w:val="single" w:color="auto" w:sz="4" w:space="0"/>
            </w:tcBorders>
            <w:vAlign w:val="center"/>
          </w:tcPr>
          <w:p w14:paraId="4BD9A9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可以接受</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2"/>
                <w:sz w:val="21"/>
                <w:szCs w:val="21"/>
                <w:highlight w:val="none"/>
              </w:rPr>
              <w:instrText xml:space="preserve">√</w:instrText>
            </w:r>
            <w:r>
              <w:rPr>
                <w:rFonts w:hint="default" w:ascii="Times New Roman" w:hAnsi="Times New Roman" w:eastAsia="宋体" w:cs="Times New Roman"/>
                <w:color w:val="auto"/>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不可以接受□</w:t>
            </w:r>
          </w:p>
        </w:tc>
      </w:tr>
      <w:tr w14:paraId="61FA366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26DE3B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06BBE7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大气环境防护距离</w:t>
            </w:r>
          </w:p>
        </w:tc>
        <w:tc>
          <w:tcPr>
            <w:tcW w:w="11020" w:type="dxa"/>
            <w:gridSpan w:val="8"/>
            <w:tcBorders>
              <w:top w:val="single" w:color="auto" w:sz="4" w:space="0"/>
              <w:left w:val="single" w:color="auto" w:sz="4" w:space="0"/>
              <w:bottom w:val="single" w:color="auto" w:sz="4" w:space="0"/>
              <w:right w:val="single" w:color="auto" w:sz="4" w:space="0"/>
            </w:tcBorders>
            <w:vAlign w:val="center"/>
          </w:tcPr>
          <w:p w14:paraId="27E104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距（</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厂界最远（）m</w:t>
            </w:r>
          </w:p>
        </w:tc>
      </w:tr>
      <w:tr w14:paraId="0EC3DCC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tcBorders>
              <w:top w:val="single" w:color="auto" w:sz="4" w:space="0"/>
              <w:left w:val="single" w:color="auto" w:sz="4" w:space="0"/>
              <w:bottom w:val="single" w:color="auto" w:sz="4" w:space="0"/>
              <w:right w:val="single" w:color="auto" w:sz="4" w:space="0"/>
            </w:tcBorders>
            <w:vAlign w:val="center"/>
          </w:tcPr>
          <w:p w14:paraId="1ADB36F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p>
        </w:tc>
        <w:tc>
          <w:tcPr>
            <w:tcW w:w="2151" w:type="dxa"/>
            <w:tcBorders>
              <w:top w:val="single" w:color="auto" w:sz="4" w:space="0"/>
              <w:left w:val="single" w:color="auto" w:sz="4" w:space="0"/>
              <w:bottom w:val="single" w:color="auto" w:sz="4" w:space="0"/>
              <w:right w:val="single" w:color="auto" w:sz="4" w:space="0"/>
            </w:tcBorders>
            <w:vAlign w:val="center"/>
          </w:tcPr>
          <w:p w14:paraId="720B9B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污染源年排放量</w:t>
            </w:r>
          </w:p>
        </w:tc>
        <w:tc>
          <w:tcPr>
            <w:tcW w:w="3437" w:type="dxa"/>
            <w:gridSpan w:val="3"/>
            <w:tcBorders>
              <w:top w:val="single" w:color="auto" w:sz="4" w:space="0"/>
              <w:left w:val="single" w:color="auto" w:sz="4" w:space="0"/>
              <w:bottom w:val="single" w:color="auto" w:sz="4" w:space="0"/>
              <w:right w:val="single" w:color="auto" w:sz="4" w:space="0"/>
            </w:tcBorders>
            <w:vAlign w:val="center"/>
          </w:tcPr>
          <w:p w14:paraId="040667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0000FF"/>
                <w:sz w:val="21"/>
                <w:szCs w:val="21"/>
                <w:highlight w:val="none"/>
                <w:lang w:val="en-US" w:eastAsia="zh-CN"/>
              </w:rPr>
              <w:t>1.542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t/a</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723E72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0000FF"/>
                <w:sz w:val="21"/>
                <w:szCs w:val="21"/>
                <w:highlight w:val="none"/>
                <w:lang w:val="en-US" w:eastAsia="zh-CN"/>
              </w:rPr>
              <w:t>1.322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t/a</w:t>
            </w:r>
          </w:p>
        </w:tc>
        <w:tc>
          <w:tcPr>
            <w:tcW w:w="2046" w:type="dxa"/>
            <w:tcBorders>
              <w:top w:val="single" w:color="auto" w:sz="4" w:space="0"/>
              <w:left w:val="single" w:color="auto" w:sz="4" w:space="0"/>
              <w:bottom w:val="single" w:color="auto" w:sz="4" w:space="0"/>
              <w:right w:val="single" w:color="auto" w:sz="4" w:space="0"/>
            </w:tcBorders>
            <w:vAlign w:val="center"/>
          </w:tcPr>
          <w:p w14:paraId="6B709C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eastAsia" w:cs="Times New Roman"/>
                <w:color w:val="0000FF"/>
                <w:kern w:val="2"/>
                <w:sz w:val="21"/>
                <w:szCs w:val="21"/>
                <w:highlight w:val="none"/>
                <w:lang w:val="en-US" w:eastAsia="zh-CN" w:bidi="ar-SA"/>
              </w:rPr>
              <w:t>0.171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t/a</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5EEE93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VOCs</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t/a</w:t>
            </w:r>
          </w:p>
        </w:tc>
      </w:tr>
      <w:tr w14:paraId="508089C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4389" w:type="dxa"/>
            <w:gridSpan w:val="10"/>
            <w:tcBorders>
              <w:top w:val="single" w:color="auto" w:sz="4" w:space="0"/>
              <w:left w:val="single" w:color="auto" w:sz="4" w:space="0"/>
              <w:bottom w:val="single" w:color="auto" w:sz="4" w:space="0"/>
              <w:right w:val="single" w:color="auto" w:sz="4" w:space="0"/>
            </w:tcBorders>
            <w:vAlign w:val="center"/>
          </w:tcPr>
          <w:p w14:paraId="390F39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注：“□”，填“√”；“（）”为内容填写项</w:t>
            </w:r>
          </w:p>
        </w:tc>
      </w:tr>
    </w:tbl>
    <w:p w14:paraId="3B606F7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1548341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56203CA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3AD1748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0E09BD36">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446" w:name="_Toc3016"/>
      <w:r>
        <w:rPr>
          <w:rFonts w:hint="default" w:ascii="Times New Roman" w:hAnsi="Times New Roman" w:eastAsia="宋体" w:cs="Times New Roman"/>
          <w:color w:val="auto"/>
          <w:highlight w:val="none"/>
        </w:rPr>
        <w:t>5.3运营期地表水环境影响分析</w:t>
      </w:r>
      <w:bookmarkEnd w:id="446"/>
    </w:p>
    <w:p w14:paraId="7431BE62">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项目采用雨污分流排水。</w:t>
      </w:r>
    </w:p>
    <w:p w14:paraId="1D9B3B8E">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屋面设置合适坡度并在屋檐设置导流槽，将雨水导出不排入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内，屋面雨水采用自流式排水，经过雨水管道排入场区排水沟排出。</w:t>
      </w:r>
    </w:p>
    <w:p w14:paraId="746E230D">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设置挡水坡道，防止雨水进入</w:t>
      </w:r>
      <w:r>
        <w:rPr>
          <w:rFonts w:hint="default" w:ascii="Times New Roman" w:hAnsi="Times New Roman" w:eastAsia="宋体" w:cs="Times New Roman"/>
          <w:color w:val="auto"/>
          <w:sz w:val="24"/>
          <w:szCs w:val="24"/>
          <w:highlight w:val="none"/>
          <w:lang w:eastAsia="zh-CN"/>
        </w:rPr>
        <w:t>羊圈</w:t>
      </w:r>
      <w:r>
        <w:rPr>
          <w:rFonts w:hint="default" w:ascii="Times New Roman" w:hAnsi="Times New Roman" w:eastAsia="宋体" w:cs="Times New Roman"/>
          <w:color w:val="auto"/>
          <w:sz w:val="24"/>
          <w:szCs w:val="24"/>
          <w:highlight w:val="none"/>
        </w:rPr>
        <w:t>；</w:t>
      </w:r>
    </w:p>
    <w:p w14:paraId="2E08A28D">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底部进行硬化</w:t>
      </w:r>
      <w:r>
        <w:rPr>
          <w:rFonts w:hint="default" w:ascii="Times New Roman" w:hAnsi="Times New Roman" w:eastAsia="宋体" w:cs="Times New Roman"/>
          <w:color w:val="auto"/>
          <w:highlight w:val="none"/>
        </w:rPr>
        <w:t>防渗处理，四面设围墙及导流渠，墙高1m，</w:t>
      </w:r>
      <w:r>
        <w:rPr>
          <w:rFonts w:hint="default" w:ascii="Times New Roman" w:hAnsi="Times New Roman" w:eastAsia="宋体" w:cs="Times New Roman"/>
          <w:color w:val="auto"/>
          <w:highlight w:val="none"/>
          <w:lang w:eastAsia="zh-CN"/>
        </w:rPr>
        <w:t>防止</w:t>
      </w:r>
      <w:r>
        <w:rPr>
          <w:rFonts w:hint="default" w:ascii="Times New Roman" w:hAnsi="Times New Roman" w:eastAsia="宋体" w:cs="Times New Roman"/>
          <w:color w:val="auto"/>
          <w:highlight w:val="none"/>
        </w:rPr>
        <w:t>因雨水进入造成外溢，形成二次污染。</w:t>
      </w:r>
    </w:p>
    <w:p w14:paraId="07499FEB">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（4）项目生活污水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w:t>
      </w:r>
      <w:r>
        <w:rPr>
          <w:rFonts w:hint="default" w:ascii="Times New Roman" w:hAnsi="Times New Roman" w:eastAsia="宋体" w:cs="Times New Roman"/>
          <w:color w:val="auto"/>
          <w:highlight w:val="none"/>
        </w:rPr>
        <w:t>。</w:t>
      </w:r>
    </w:p>
    <w:p w14:paraId="6C800BCC">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8"/>
          <w:highlight w:val="none"/>
          <w:lang w:eastAsia="zh-CN"/>
        </w:rPr>
        <w:t>（</w:t>
      </w:r>
      <w:r>
        <w:rPr>
          <w:rFonts w:hint="default" w:ascii="Times New Roman" w:hAnsi="Times New Roman" w:eastAsia="宋体" w:cs="Times New Roman"/>
          <w:color w:val="auto"/>
          <w:sz w:val="24"/>
          <w:szCs w:val="28"/>
          <w:highlight w:val="none"/>
          <w:lang w:val="en-US" w:eastAsia="zh-CN"/>
        </w:rPr>
        <w:t>5</w:t>
      </w:r>
      <w:r>
        <w:rPr>
          <w:rFonts w:hint="default" w:ascii="Times New Roman" w:hAnsi="Times New Roman" w:eastAsia="宋体" w:cs="Times New Roman"/>
          <w:color w:val="auto"/>
          <w:sz w:val="24"/>
          <w:szCs w:val="28"/>
          <w:highlight w:val="none"/>
          <w:lang w:eastAsia="zh-CN"/>
        </w:rPr>
        <w:t>）</w:t>
      </w:r>
      <w:r>
        <w:rPr>
          <w:rFonts w:hint="default" w:ascii="Times New Roman" w:hAnsi="Times New Roman" w:eastAsia="宋体" w:cs="Times New Roman"/>
          <w:color w:val="auto"/>
          <w:sz w:val="24"/>
          <w:szCs w:val="28"/>
          <w:highlight w:val="none"/>
        </w:rPr>
        <w:t>本项目</w:t>
      </w:r>
      <w:r>
        <w:rPr>
          <w:rFonts w:hint="default" w:ascii="Times New Roman" w:hAnsi="Times New Roman" w:eastAsia="宋体" w:cs="Times New Roman"/>
          <w:color w:val="auto"/>
          <w:kern w:val="0"/>
          <w:sz w:val="24"/>
          <w:szCs w:val="24"/>
          <w:highlight w:val="none"/>
          <w:lang w:eastAsia="zh-CN"/>
        </w:rPr>
        <w:t>羊粪便含水率较低</w:t>
      </w:r>
      <w:r>
        <w:rPr>
          <w:rFonts w:hint="default" w:ascii="Times New Roman" w:hAnsi="Times New Roman" w:eastAsia="宋体" w:cs="Times New Roman"/>
          <w:color w:val="auto"/>
          <w:kern w:val="0"/>
          <w:sz w:val="24"/>
          <w:szCs w:val="24"/>
          <w:highlight w:val="none"/>
          <w:lang w:eastAsia="zh-CN"/>
        </w:rPr>
        <w:t>，在养殖区排放的尿液大部分由于当地气候干燥蒸发，剩余尿液与粪便完全黏结混合在一起，一起运往堆肥场</w:t>
      </w:r>
      <w:r>
        <w:rPr>
          <w:rFonts w:hint="default" w:ascii="Times New Roman" w:hAnsi="Times New Roman" w:eastAsia="宋体" w:cs="Times New Roman"/>
          <w:color w:val="auto"/>
          <w:kern w:val="0"/>
          <w:sz w:val="24"/>
          <w:szCs w:val="24"/>
          <w:highlight w:val="none"/>
        </w:rPr>
        <w:t>储存并堆肥</w:t>
      </w:r>
      <w:r>
        <w:rPr>
          <w:rFonts w:hint="default" w:ascii="Times New Roman" w:hAnsi="Times New Roman" w:eastAsia="宋体" w:cs="Times New Roman"/>
          <w:color w:val="auto"/>
          <w:kern w:val="0"/>
          <w:sz w:val="24"/>
          <w:szCs w:val="24"/>
          <w:highlight w:val="none"/>
          <w:lang w:eastAsia="zh-CN"/>
        </w:rPr>
        <w:t>，因此，没有尿液排放；养殖区场地不采取水冲洗方式清理，采用消毒水每周喷洒消毒2～3次，因此，养殖区</w:t>
      </w:r>
      <w:r>
        <w:rPr>
          <w:rFonts w:hint="default" w:ascii="Times New Roman" w:hAnsi="Times New Roman" w:eastAsia="宋体" w:cs="Times New Roman"/>
          <w:color w:val="auto"/>
          <w:kern w:val="0"/>
          <w:sz w:val="24"/>
          <w:szCs w:val="24"/>
          <w:highlight w:val="none"/>
        </w:rPr>
        <w:t>不产生冲洗废水</w:t>
      </w:r>
      <w:r>
        <w:rPr>
          <w:rFonts w:hint="default" w:ascii="Times New Roman" w:hAnsi="Times New Roman" w:eastAsia="宋体" w:cs="Times New Roman"/>
          <w:color w:val="auto"/>
          <w:kern w:val="0"/>
          <w:sz w:val="24"/>
          <w:szCs w:val="24"/>
          <w:highlight w:val="none"/>
          <w:lang w:val="en-US" w:eastAsia="zh-CN"/>
        </w:rPr>
        <w:t>。</w:t>
      </w:r>
    </w:p>
    <w:p w14:paraId="068DDA14">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综上所述，本项目</w:t>
      </w:r>
      <w:r>
        <w:rPr>
          <w:rFonts w:hint="default" w:ascii="Times New Roman" w:hAnsi="Times New Roman" w:eastAsia="宋体" w:cs="Times New Roman"/>
          <w:color w:val="auto"/>
          <w:highlight w:val="none"/>
          <w:lang w:eastAsia="zh-CN"/>
        </w:rPr>
        <w:t>羊尿液随羊粪便一起运往堆肥场储存并堆肥，无养殖废水产生；</w:t>
      </w:r>
      <w:r>
        <w:rPr>
          <w:rFonts w:hint="default" w:ascii="Times New Roman" w:hAnsi="Times New Roman" w:eastAsia="宋体" w:cs="Times New Roman"/>
          <w:color w:val="auto"/>
          <w:highlight w:val="none"/>
        </w:rPr>
        <w:t>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定期由当地环卫部门清运处置，均不外排。</w:t>
      </w:r>
    </w:p>
    <w:p w14:paraId="0A605B58">
      <w:pPr>
        <w:pageBreakBefore w:val="0"/>
        <w:shd w:val="clear"/>
        <w:kinsoku/>
        <w:wordWrap/>
        <w:bidi w:val="0"/>
        <w:snapToGrid w:val="0"/>
        <w:spacing w:line="360" w:lineRule="auto"/>
        <w:ind w:left="0" w:leftChars="0" w:right="0" w:rightChars="0"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采用雨污分流，厂区清净雨水通过雨水管道自流式排出，项目对粪污控制减缓措施是有效的。</w:t>
      </w:r>
    </w:p>
    <w:p w14:paraId="4F21F620">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447" w:name="_Toc8117"/>
      <w:r>
        <w:rPr>
          <w:rFonts w:hint="default" w:ascii="Times New Roman" w:hAnsi="Times New Roman" w:eastAsia="宋体" w:cs="Times New Roman"/>
          <w:color w:val="auto"/>
          <w:highlight w:val="none"/>
        </w:rPr>
        <w:t>5.4运营期地下水环境影响</w:t>
      </w:r>
      <w:bookmarkEnd w:id="447"/>
    </w:p>
    <w:p w14:paraId="179D1F3A">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448" w:name="_Toc455"/>
      <w:r>
        <w:rPr>
          <w:rFonts w:hint="default" w:ascii="Times New Roman" w:hAnsi="Times New Roman" w:eastAsia="宋体" w:cs="Times New Roman"/>
          <w:color w:val="auto"/>
          <w:highlight w:val="none"/>
        </w:rPr>
        <w:t>5.4.1环境水文地质条件</w:t>
      </w:r>
      <w:bookmarkEnd w:id="448"/>
    </w:p>
    <w:p w14:paraId="744EF06F">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5.4.1.1区域水文地质条件</w:t>
      </w:r>
    </w:p>
    <w:p w14:paraId="74AF74EC">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（1）水文</w:t>
      </w:r>
    </w:p>
    <w:p w14:paraId="4DC1050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五原境内的黄河流经天吉泰镇、复兴镇、套海镇。其北与之并行的是总干渠（二黄河），它由磴口、临河向东进入五原，又进入前旗而汇入三湖河，在五原境内长43.5公里。县内各干渠均由此渠引水灌溉。与黄河有关的是乌加河（旧时亦称五角河、五加河），它原是黄河的主流，是北河。1840年黄河改道后主流成为现在的南河，在改道的过程中使整个河套平原成为土质肥沃的冲积平原。乌加河现在是黄河的支流，由临河市的份子地进入五原，由建丰农场出界，泄入乌拉特前旗的三湖河，在五原地段为46公里长。新中国成立后，经多次修浚成为灌区的总排水干沟。在五原境内除了二黄河之外与黄河有关的还有一些人工河，它们是：</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一</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丰济渠，又名天吉泰渠。它位于县境西部，以渠与临河分界。它又名中和渠，光绪三十一年更名丰济渠。初由黄河引水，1965年改由总干渠引水，全长41.7公里，正常流量48立方米/秒。</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二</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皂火渠，在县境西部。其进水闸在总干渠毛家桥。1966年又于塔尔湖境内接挖新皂火渠，总共全长68.98公里。正常流量28立方米/秒。</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三</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沙河渠，原名永和渠，位于县境中部，光绪三十年（1904年）更名沙河渠。初由黄河引水，1969年改由总干渠引水。全长75.02公里，正常流量为25立方米/秒。</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四</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义和渠，原名同和渠，光绪三十年（1904年）更名义和渠，位于县境中部。1966年开始改由总干渠引水，向东北汇入总排干，全长86公里。正常流量30立方米/秒。</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五</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通济渠，初名老郭渠，后又称四大股渠，位于县境东部，其下游又称五大股渠。民国4年更名通济渠，1966年改由总干渠引水，而后汇入乌加河，全长40.58公里，正常流量37.4立方米/秒。此外，县境还有总排水干沟（乌加河）、六、七、八和皂沙、义通排水干沟，均为建国后人工开挖而成，总长度是172.46公里。五原县水资源丰富，黄河流经县境62.5公里，年过境水量315亿立方米，多年平均地表水资源量11亿立方米，地下水资源量4.1亿立方米。总干渠（俗称二黄河）与黄河并行，由西向东横穿县域南部，丰济、皂火、沙河、义和、通济5大干渠由西南向东北纵贯全境，支、斗、农、毛渠道纵横交错，年最高引水量12.3亿立方米，占河套灌区的1/4，灌溉总面积205万亩（黄河分水量按照168万亩分配我县）。排水有五排干、六排干、七排干、义通排干、皂沙排干等5条干沟，15条分干沟，年排水量1.3亿立方米以上。</w:t>
      </w:r>
    </w:p>
    <w:p w14:paraId="2421260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rPr>
        <w:t>）地质概况</w:t>
      </w:r>
    </w:p>
    <w:p w14:paraId="313FEEE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河套平原在地质构造上属于华北地台鄂尔多斯台向斜的一部分，为一形成于保罗纪晚期的中新生代断陷盆地，新生代地层广布全区。据地震、航磁等物探资料可知，基底</w:t>
      </w:r>
      <w:r>
        <w:rPr>
          <w:rFonts w:hint="default" w:ascii="Times New Roman" w:hAnsi="Times New Roman" w:eastAsia="宋体" w:cs="Times New Roman"/>
          <w:color w:val="FF0000"/>
          <w:sz w:val="24"/>
          <w:szCs w:val="24"/>
          <w:highlight w:val="none"/>
          <w:lang w:eastAsia="zh-CN"/>
        </w:rPr>
        <w:t>缺陷</w:t>
      </w:r>
      <w:r>
        <w:rPr>
          <w:rFonts w:hint="default" w:ascii="Times New Roman" w:hAnsi="Times New Roman" w:eastAsia="宋体" w:cs="Times New Roman"/>
          <w:color w:val="FF0000"/>
          <w:sz w:val="24"/>
          <w:szCs w:val="24"/>
          <w:highlight w:val="none"/>
        </w:rPr>
        <w:t>深度由东南向西北逐渐加大，其深度在500～8000m。第四系广泛分布，推测第四系最大厚度为1200～1500m。由于地质构造、古地理和地貌条件的控制，加上第四纪以来的外营力地质作用，使第四纪沉积物在不同地貌单元及不同地质时期，其成因、岩相和岩性，具有不同的特征。</w:t>
      </w:r>
    </w:p>
    <w:p w14:paraId="4EB5E37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全新统（Q</w:t>
      </w:r>
      <w:r>
        <w:rPr>
          <w:rFonts w:hint="default" w:ascii="Times New Roman" w:hAnsi="Times New Roman" w:eastAsia="宋体" w:cs="Times New Roman"/>
          <w:color w:val="FF0000"/>
          <w:sz w:val="24"/>
          <w:szCs w:val="24"/>
          <w:highlight w:val="none"/>
          <w:vertAlign w:val="subscript"/>
        </w:rPr>
        <w:t>4</w:t>
      </w:r>
      <w:r>
        <w:rPr>
          <w:rFonts w:hint="default" w:ascii="Times New Roman" w:hAnsi="Times New Roman" w:eastAsia="宋体" w:cs="Times New Roman"/>
          <w:color w:val="FF0000"/>
          <w:sz w:val="24"/>
          <w:szCs w:val="24"/>
          <w:highlight w:val="none"/>
        </w:rPr>
        <w:t>）为一套由湖沼河流相向黄河泛滥相过渡的沉积物。主要岩性为黄色粘性土与粉细砂互层，多以粘砂土及砂粘土、粘土为主，厚度10～50m。上更新统（Q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为一套上部以冲积湖积相，山前地带为冲洪积一湖积相为主，下部以湖积相砂层为主的沉积物。一般下部较细，上部较粗，组成一沉积旋回，在水平方向上，东部较细，西部较粗，北部较细，南部较粗，厚度40～300m。中更新统（Q</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）为一套还原环境下的深灰色的湖相沉积物。在山麓地带为冲洪积湖积交互沉积的湖滨相堆积物，主要岩性为灰色含淤泥质及粘土质含卵砂砾石。下更新统（Q</w:t>
      </w:r>
      <w:r>
        <w:rPr>
          <w:rFonts w:hint="default" w:ascii="Times New Roman" w:hAnsi="Times New Roman" w:eastAsia="宋体" w:cs="Times New Roman"/>
          <w:color w:val="FF0000"/>
          <w:sz w:val="24"/>
          <w:szCs w:val="24"/>
          <w:highlight w:val="none"/>
          <w:vertAlign w:val="subscript"/>
        </w:rPr>
        <w:t>1</w:t>
      </w:r>
      <w:r>
        <w:rPr>
          <w:rFonts w:hint="default" w:ascii="Times New Roman" w:hAnsi="Times New Roman" w:eastAsia="宋体" w:cs="Times New Roman"/>
          <w:color w:val="FF0000"/>
          <w:sz w:val="24"/>
          <w:szCs w:val="24"/>
          <w:highlight w:val="none"/>
        </w:rPr>
        <w:t>）主要为一套湖相沉积物，盆地边缘部分有冰水一冰湖沉积层。根据岩相特点，上部为灰黄色、棕黄色砂粘土与粉细砂互层，下部为黄色、棕褐色中细砂与砂粘土互层，底部有粗砂细砾层及钙质砂砾岩，局部有砂质胶结，常构成底砾岩，最大揭露厚度222m。</w:t>
      </w:r>
    </w:p>
    <w:p w14:paraId="76400BC6">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河套盆地封闭的地质结构，长期的构造下沉和构造变动的差异性和波动性，使断裂和断拗带发育，新生代以来并有多次继承性的活动，这种古地理、构造、沉积环境的变化，对本区地下水的形成和分布以及含水层的结构、水质、水量等有深刻的影响，是造成区域含水层颗粒细，径流不畅，无排泄出路以及水土盐分富集与高矿化咸水分布较广的主要原因。</w:t>
      </w:r>
    </w:p>
    <w:p w14:paraId="23FDD13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3</w:t>
      </w:r>
      <w:r>
        <w:rPr>
          <w:rFonts w:hint="default" w:ascii="Times New Roman" w:hAnsi="Times New Roman" w:eastAsia="宋体" w:cs="Times New Roman"/>
          <w:color w:val="FF0000"/>
          <w:sz w:val="24"/>
          <w:szCs w:val="24"/>
          <w:highlight w:val="none"/>
        </w:rPr>
        <w:t>）水文地质特征</w:t>
      </w:r>
    </w:p>
    <w:p w14:paraId="55D2DD5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区域主要含水层为上更新统～全新统砂层，其下部中更新统为隔水底板。上述地层由老至新描述如下：</w:t>
      </w:r>
    </w:p>
    <w:p w14:paraId="6C12581E">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1）中更新统（Q</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w:t>
      </w:r>
    </w:p>
    <w:p w14:paraId="5E5F5A0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岩性为黑灰色、兰灰色、青灰色厚层淤泥、淤泥质粘土或砂粘土，微层理明显，富含</w:t>
      </w:r>
      <w:r>
        <w:rPr>
          <w:rFonts w:hint="default" w:ascii="Times New Roman" w:hAnsi="Times New Roman" w:eastAsia="宋体" w:cs="Times New Roman"/>
          <w:color w:val="FF0000"/>
          <w:sz w:val="24"/>
          <w:szCs w:val="24"/>
          <w:highlight w:val="none"/>
          <w:lang w:eastAsia="zh-CN"/>
        </w:rPr>
        <w:t>腐殖质</w:t>
      </w:r>
      <w:r>
        <w:rPr>
          <w:rFonts w:hint="default" w:ascii="Times New Roman" w:hAnsi="Times New Roman" w:eastAsia="宋体" w:cs="Times New Roman"/>
          <w:color w:val="FF0000"/>
          <w:sz w:val="24"/>
          <w:szCs w:val="24"/>
          <w:highlight w:val="none"/>
        </w:rPr>
        <w:t>，属湖相沉积。揭露最大厚度8.27m。其顶板产状与区域产状相一致，大体向北及西北倾斜。</w:t>
      </w:r>
    </w:p>
    <w:p w14:paraId="239ECF4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2）上更新统（Q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w:t>
      </w:r>
    </w:p>
    <w:p w14:paraId="3EDE818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据钻孔揭露，上更新厚度为59.72～90.93m，由于沉积岩相和岩性的不同，可分为上下两个岩性段。</w:t>
      </w:r>
    </w:p>
    <w:p w14:paraId="3DD4621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①下岩段（Q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vertAlign w:val="superscript"/>
        </w:rPr>
        <w:t>1</w:t>
      </w:r>
      <w:r>
        <w:rPr>
          <w:rFonts w:hint="default" w:ascii="Times New Roman" w:hAnsi="Times New Roman" w:eastAsia="宋体" w:cs="Times New Roman"/>
          <w:color w:val="FF0000"/>
          <w:sz w:val="24"/>
          <w:szCs w:val="24"/>
          <w:highlight w:val="none"/>
        </w:rPr>
        <w:t>）：岩性以黄灰色、灰色细砂、细粉砂、粉砂为主，夹2～3层粘性土薄层，粘性土层分布较广，局部地区相对较稳定。区内该岩段厚为22.07～48.11m，夹层厚度一般＜3m。局部地段底部淤泥质</w:t>
      </w:r>
      <w:r>
        <w:rPr>
          <w:rFonts w:hint="default" w:ascii="Times New Roman" w:hAnsi="Times New Roman" w:eastAsia="宋体" w:cs="Times New Roman"/>
          <w:color w:val="FF0000"/>
          <w:sz w:val="24"/>
          <w:szCs w:val="24"/>
          <w:highlight w:val="none"/>
          <w:lang w:eastAsia="zh-CN"/>
        </w:rPr>
        <w:t>成分</w:t>
      </w:r>
      <w:r>
        <w:rPr>
          <w:rFonts w:hint="default" w:ascii="Times New Roman" w:hAnsi="Times New Roman" w:eastAsia="宋体" w:cs="Times New Roman"/>
          <w:color w:val="FF0000"/>
          <w:sz w:val="24"/>
          <w:szCs w:val="24"/>
          <w:highlight w:val="none"/>
        </w:rPr>
        <w:t>增高。该段以湖相沉积为主，整合覆盖于中更新统（Q</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）之上。</w:t>
      </w:r>
    </w:p>
    <w:p w14:paraId="0DDE418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②上岩段（Q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vertAlign w:val="superscript"/>
        </w:rPr>
        <w:t>2</w:t>
      </w:r>
      <w:r>
        <w:rPr>
          <w:rFonts w:hint="default" w:ascii="Times New Roman" w:hAnsi="Times New Roman" w:eastAsia="宋体" w:cs="Times New Roman"/>
          <w:color w:val="FF0000"/>
          <w:sz w:val="24"/>
          <w:szCs w:val="24"/>
          <w:highlight w:val="none"/>
        </w:rPr>
        <w:t>）：岩性以黄色、灰黄色细砂、中细砂、粉细砂为主，夹1～2层粘性土薄层。该段厚24.4～43.9m，夹层厚一般＜2m。该岩段是在湖水逐渐退缩，由湖相沉积逐渐过渡为河流相沉积的过程中形成的以河流冲积相为主的河湖相沉积。无论上岩段或下岩段，上更新统岩性均较为单一，以中厚砂层为主。上岩段与下岩段相比较，上岩段颜色较浅，岩性较粗，粘性土夹层较少。区内上更新统沉积厚度在水平方向上的变化是：南薄北厚，南部厚约50～60m，向北增厚，北部最厚达90.93m。在东西方向上变化不明显。</w:t>
      </w:r>
    </w:p>
    <w:p w14:paraId="7C006EA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3）全新统（Q</w:t>
      </w:r>
      <w:r>
        <w:rPr>
          <w:rFonts w:hint="default" w:ascii="Times New Roman" w:hAnsi="Times New Roman" w:eastAsia="宋体" w:cs="Times New Roman"/>
          <w:color w:val="FF0000"/>
          <w:sz w:val="24"/>
          <w:szCs w:val="24"/>
          <w:highlight w:val="none"/>
          <w:vertAlign w:val="subscript"/>
        </w:rPr>
        <w:t>4</w:t>
      </w:r>
      <w:r>
        <w:rPr>
          <w:rFonts w:hint="default" w:ascii="Times New Roman" w:hAnsi="Times New Roman" w:eastAsia="宋体" w:cs="Times New Roman"/>
          <w:color w:val="FF0000"/>
          <w:sz w:val="24"/>
          <w:szCs w:val="24"/>
          <w:highlight w:val="none"/>
        </w:rPr>
        <w:t>）</w:t>
      </w:r>
    </w:p>
    <w:p w14:paraId="5A2406C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全新世沉积物在地表普遍分布，最大厚度达25.26m。岩性上部为黄色、桔黄色粘砂土、砂粘土、粘土或夹薄层粉砂互层，形成粘砂土覆盖层；下部为粉细砂、中细砂，局部含砾。沉积物主要为河流冲积形成，</w:t>
      </w:r>
      <w:r>
        <w:rPr>
          <w:rFonts w:hint="default" w:ascii="Times New Roman" w:hAnsi="Times New Roman" w:eastAsia="宋体" w:cs="Times New Roman"/>
          <w:color w:val="FF0000"/>
          <w:sz w:val="24"/>
          <w:szCs w:val="24"/>
          <w:highlight w:val="none"/>
          <w:lang w:eastAsia="zh-CN"/>
        </w:rPr>
        <w:t>具有</w:t>
      </w:r>
      <w:r>
        <w:rPr>
          <w:rFonts w:hint="default" w:ascii="Times New Roman" w:hAnsi="Times New Roman" w:eastAsia="宋体" w:cs="Times New Roman"/>
          <w:color w:val="FF0000"/>
          <w:sz w:val="24"/>
          <w:szCs w:val="24"/>
          <w:highlight w:val="none"/>
        </w:rPr>
        <w:t>上细下粗的二元结构特征。覆盖层以粘砂土为主，最厚达4.6m。</w:t>
      </w:r>
    </w:p>
    <w:p w14:paraId="0A0EBACF">
      <w:pPr>
        <w:keepNext w:val="0"/>
        <w:keepLines w:val="0"/>
        <w:pageBreakBefore w:val="0"/>
        <w:widowControl w:val="0"/>
        <w:shd w:val="clear"/>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sz w:val="24"/>
          <w:szCs w:val="24"/>
          <w:highlight w:val="none"/>
        </w:rPr>
        <w:t>表</w:t>
      </w:r>
      <w:r>
        <w:rPr>
          <w:rFonts w:hint="default" w:ascii="Times New Roman" w:hAnsi="Times New Roman" w:eastAsia="宋体" w:cs="Times New Roman"/>
          <w:b/>
          <w:bCs/>
          <w:color w:val="FF0000"/>
          <w:sz w:val="24"/>
          <w:szCs w:val="24"/>
          <w:highlight w:val="none"/>
          <w:lang w:val="en-US" w:eastAsia="zh-CN"/>
        </w:rPr>
        <w:t>5.4</w:t>
      </w:r>
      <w:r>
        <w:rPr>
          <w:rFonts w:hint="default" w:ascii="Times New Roman" w:hAnsi="Times New Roman" w:eastAsia="宋体" w:cs="Times New Roman"/>
          <w:b/>
          <w:bCs/>
          <w:color w:val="FF0000"/>
          <w:sz w:val="24"/>
          <w:szCs w:val="24"/>
          <w:highlight w:val="none"/>
        </w:rPr>
        <w:t>-1</w:t>
      </w:r>
      <w:r>
        <w:rPr>
          <w:rFonts w:hint="default" w:ascii="Times New Roman" w:hAnsi="Times New Roman" w:eastAsia="宋体" w:cs="Times New Roman"/>
          <w:b/>
          <w:bCs/>
          <w:color w:val="FF0000"/>
          <w:sz w:val="24"/>
          <w:szCs w:val="24"/>
          <w:highlight w:val="none"/>
          <w:lang w:val="en-US" w:eastAsia="zh-CN"/>
        </w:rPr>
        <w:t xml:space="preserve">  </w:t>
      </w:r>
      <w:r>
        <w:rPr>
          <w:rFonts w:hint="default" w:ascii="Times New Roman" w:hAnsi="Times New Roman" w:eastAsia="宋体" w:cs="Times New Roman"/>
          <w:b/>
          <w:bCs/>
          <w:color w:val="FF0000"/>
          <w:sz w:val="24"/>
          <w:szCs w:val="24"/>
          <w:highlight w:val="none"/>
        </w:rPr>
        <w:t>五原县地层综合特征表</w:t>
      </w:r>
    </w:p>
    <w:p w14:paraId="1BE33E8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drawing>
          <wp:inline distT="0" distB="0" distL="114300" distR="114300">
            <wp:extent cx="5255895" cy="3879850"/>
            <wp:effectExtent l="0" t="0" r="1905" b="635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69"/>
                    <a:stretch>
                      <a:fillRect/>
                    </a:stretch>
                  </pic:blipFill>
                  <pic:spPr>
                    <a:xfrm>
                      <a:off x="0" y="0"/>
                      <a:ext cx="5255895" cy="3879850"/>
                    </a:xfrm>
                    <a:prstGeom prst="rect">
                      <a:avLst/>
                    </a:prstGeom>
                    <a:noFill/>
                    <a:ln>
                      <a:noFill/>
                    </a:ln>
                  </pic:spPr>
                </pic:pic>
              </a:graphicData>
            </a:graphic>
          </wp:inline>
        </w:drawing>
      </w:r>
    </w:p>
    <w:p w14:paraId="2601F399">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4</w:t>
      </w:r>
      <w:r>
        <w:rPr>
          <w:rFonts w:hint="default" w:ascii="Times New Roman" w:hAnsi="Times New Roman" w:eastAsia="宋体" w:cs="Times New Roman"/>
          <w:color w:val="FF0000"/>
          <w:sz w:val="24"/>
          <w:szCs w:val="24"/>
          <w:highlight w:val="none"/>
        </w:rPr>
        <w:t>）区域地下水动态特征及化学类型</w:t>
      </w:r>
    </w:p>
    <w:p w14:paraId="36ED10C2">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地下水水位动态变化主要受人为开采、气象、水文、地质地貌条件等多种因素所控制，不同地下水类型、不同地段其主要影响因素亦不同。调查区潜水主要受人为开采及降水入渗的影响。</w:t>
      </w:r>
    </w:p>
    <w:p w14:paraId="014791E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调查区分布有较多的农业生产水源井，潜水动态类型主要为径流开采型。雨季潜水接受大气降水和洪水补给潜水水位升高，旱季潜水水位下降，每年5月是农灌大量用水季节，枯水季地下水位为年内最低值。</w:t>
      </w:r>
    </w:p>
    <w:p w14:paraId="589F1F7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依据含水层系统结构、各类地下水水力特征等，调查评价区内地下水流系统等，调查评价区内的地下水循环模型，为浅循环带。</w:t>
      </w:r>
    </w:p>
    <w:p w14:paraId="37DBE81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浅层潜水含水层构成的地下水循环带。浅循环带内，含水系统在结构上是开启性的；大气降水与农业灌溉水入渗补给是主要补给来源；蒸发和地下水径流为主要排泄方式。浅循环带内地下水更新能力相对较强，水质也相对较好。</w:t>
      </w:r>
    </w:p>
    <w:p w14:paraId="43FDEAF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地下水水位动态变化主要受人为开采、气象、水文、地质地貌条件等多种因素所控制。经资料搜集，水化学类型为Cl-SO</w:t>
      </w:r>
      <w:r>
        <w:rPr>
          <w:rFonts w:hint="default" w:ascii="Times New Roman" w:hAnsi="Times New Roman" w:eastAsia="宋体" w:cs="Times New Roman"/>
          <w:color w:val="FF0000"/>
          <w:sz w:val="24"/>
          <w:szCs w:val="24"/>
          <w:highlight w:val="none"/>
          <w:vertAlign w:val="subscript"/>
        </w:rPr>
        <w:t>4</w:t>
      </w:r>
      <w:r>
        <w:rPr>
          <w:rFonts w:hint="default" w:ascii="Times New Roman" w:hAnsi="Times New Roman" w:eastAsia="宋体" w:cs="Times New Roman"/>
          <w:color w:val="FF0000"/>
          <w:sz w:val="24"/>
          <w:szCs w:val="24"/>
          <w:highlight w:val="none"/>
        </w:rPr>
        <w:t>-Ca-K+Na型。</w:t>
      </w:r>
    </w:p>
    <w:p w14:paraId="30B793DC">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5.4.1.2评价区水文地质条件</w:t>
      </w:r>
    </w:p>
    <w:p w14:paraId="473423F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（1）水文地质特征</w:t>
      </w:r>
    </w:p>
    <w:p w14:paraId="036ED73E">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本项目范围内浅层地下水全区赋存，其含水层由上更新统至全新统所组成，并构成含水层组。分述如下：</w:t>
      </w:r>
    </w:p>
    <w:p w14:paraId="5E6F00C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1）全新统含水层</w:t>
      </w:r>
    </w:p>
    <w:p w14:paraId="23D5D87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分布于该含水层组最上部，厚度6.1～24.91m，岩性为黄、枯黄色中细砂、细中砂，局部含砾，结构松散，分选均匀。其顶部绝大部分地区为粘砂土或砂粘土与粉砂互层所覆盖，形成上细下粗的二元结构，粘砂土覆盖层厚一般3～5m。由于绝大部分地区含水层顶部有粘性土覆盖层，使本区地下水具微承压性质，但压力水头不高，一般称为半承压水。</w:t>
      </w:r>
    </w:p>
    <w:p w14:paraId="5A3F885C">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2）上更新统含水层</w:t>
      </w:r>
    </w:p>
    <w:p w14:paraId="4DB6BB6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厚度57.24～85.39m，依据岩相及岩性特征的不同，可分两段：</w:t>
      </w:r>
    </w:p>
    <w:p w14:paraId="0987E48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①上段（Q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vertAlign w:val="superscript"/>
        </w:rPr>
        <w:t>2</w:t>
      </w:r>
      <w:r>
        <w:rPr>
          <w:rFonts w:hint="default" w:ascii="Times New Roman" w:hAnsi="Times New Roman" w:eastAsia="宋体" w:cs="Times New Roman"/>
          <w:color w:val="FF0000"/>
          <w:sz w:val="24"/>
          <w:szCs w:val="24"/>
          <w:highlight w:val="none"/>
        </w:rPr>
        <w:t>）</w:t>
      </w:r>
    </w:p>
    <w:p w14:paraId="41B5BC9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岩性以黄、灰黄色细砂、中细砂、细中砂为主，结构松散，分选均匀，厚度23.47～41.70m，其间偶夹1～2层薄层粘土或砂粘土、粘性土透镜体，夹层厚度一般＜2m。</w:t>
      </w:r>
    </w:p>
    <w:p w14:paraId="4B8D979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②下段（Q</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vertAlign w:val="superscript"/>
        </w:rPr>
        <w:t>1</w:t>
      </w:r>
      <w:r>
        <w:rPr>
          <w:rFonts w:hint="default" w:ascii="Times New Roman" w:hAnsi="Times New Roman" w:eastAsia="宋体" w:cs="Times New Roman"/>
          <w:color w:val="FF0000"/>
          <w:sz w:val="24"/>
          <w:szCs w:val="24"/>
          <w:highlight w:val="none"/>
        </w:rPr>
        <w:t>）</w:t>
      </w:r>
    </w:p>
    <w:p w14:paraId="7533C07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岩性主要为黄灰、灰色细砂、粉细砂、粉砂或粉砂，厚度18.34～35.77m，其间夹2～3层薄层粘性土透镜体，夹层厚度一般＜3m。局部地段底部淤泥质</w:t>
      </w:r>
      <w:r>
        <w:rPr>
          <w:rFonts w:hint="default" w:ascii="Times New Roman" w:hAnsi="Times New Roman" w:eastAsia="宋体" w:cs="Times New Roman"/>
          <w:color w:val="FF0000"/>
          <w:sz w:val="24"/>
          <w:szCs w:val="24"/>
          <w:highlight w:val="none"/>
          <w:lang w:eastAsia="zh-CN"/>
        </w:rPr>
        <w:t>成分</w:t>
      </w:r>
      <w:r>
        <w:rPr>
          <w:rFonts w:hint="default" w:ascii="Times New Roman" w:hAnsi="Times New Roman" w:eastAsia="宋体" w:cs="Times New Roman"/>
          <w:color w:val="FF0000"/>
          <w:sz w:val="24"/>
          <w:szCs w:val="24"/>
          <w:highlight w:val="none"/>
        </w:rPr>
        <w:t>增高。下段含水层直接覆盖于中更新统厚层湖积淤泥质粘土之上，由于淤泥质粘土厚度大、分布广，其隔水性又很强，成为底部隔水边界，使浅层地下水与深层地下水无水力联系，亦不存在越流现象。全新统及上更新统上、下段含水层之间，虽有薄层粘性土夹层，但夹层多呈透镜状，分布不稳定，全新统及上更新统上、下段含水层在区域上成为具有水力联系的统一水位的含水层组，故称作上更新统～全新统含水层组。</w:t>
      </w:r>
    </w:p>
    <w:p w14:paraId="5F83977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上更新统～全新统含水层组，其岩性以细砂为主，含水层组厚度，由南向北逐渐增厚，在黄河边为50～60m，在五原工业园区附近含水层组厚度55.24～85.39m；水位埋深0.5～2.5m；砂厚率由南向北逐渐增高，南部黄河边＜70%，水源地内为</w:t>
      </w:r>
      <w:r>
        <w:rPr>
          <w:rFonts w:hint="default" w:ascii="Times New Roman" w:hAnsi="Times New Roman" w:eastAsia="宋体" w:cs="Times New Roman"/>
          <w:color w:val="FF0000"/>
          <w:sz w:val="24"/>
          <w:szCs w:val="24"/>
          <w:highlight w:val="none"/>
          <w:lang w:eastAsia="zh-CN"/>
        </w:rPr>
        <w:t>80%～90%</w:t>
      </w:r>
      <w:r>
        <w:rPr>
          <w:rFonts w:hint="default" w:ascii="Times New Roman" w:hAnsi="Times New Roman" w:eastAsia="宋体" w:cs="Times New Roman"/>
          <w:color w:val="FF0000"/>
          <w:sz w:val="24"/>
          <w:szCs w:val="24"/>
          <w:highlight w:val="none"/>
        </w:rPr>
        <w:t>，水源地以北＞90%；含水层组底板埋深，亦由南向北倾斜，黄河边一带＜60m，园区附近在60～80m之间，水源地以北埋深逐渐增大，至西北一带达110m。</w:t>
      </w:r>
    </w:p>
    <w:p w14:paraId="4B4722A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（2）含水层类型及特征</w:t>
      </w:r>
    </w:p>
    <w:p w14:paraId="43FCD3A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根据地下水赋存条件及水力学特征，将评价区地下水类型划分为第四系松散岩类孔隙潜水和第四系松散岩类孔隙承压水两种类型。</w:t>
      </w:r>
    </w:p>
    <w:p w14:paraId="25D17D56">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1）潜水含水层</w:t>
      </w:r>
    </w:p>
    <w:p w14:paraId="3537AE0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潜水含水层由上更新统至全新统（Q</w:t>
      </w:r>
      <w:r>
        <w:rPr>
          <w:rFonts w:hint="default" w:ascii="Times New Roman" w:hAnsi="Times New Roman" w:eastAsia="宋体" w:cs="Times New Roman"/>
          <w:color w:val="FF0000"/>
          <w:sz w:val="24"/>
          <w:szCs w:val="24"/>
          <w:highlight w:val="none"/>
          <w:vertAlign w:val="subscript"/>
        </w:rPr>
        <w:t>3+4</w:t>
      </w:r>
      <w:r>
        <w:rPr>
          <w:rFonts w:hint="default" w:ascii="Times New Roman" w:hAnsi="Times New Roman" w:eastAsia="宋体" w:cs="Times New Roman"/>
          <w:color w:val="FF0000"/>
          <w:sz w:val="24"/>
          <w:szCs w:val="24"/>
          <w:highlight w:val="none"/>
        </w:rPr>
        <w:t>）砂砾卵石及粗细砂组成，广泛分于整个评价区，含水层岩性以细砂、中粗砂、砾砂、砾石、卵砾石为主。含水层厚度12.92</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36.09m。水位埋深2.02</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8.43m，地下水富水性中等，单井涌水量（换算为10寸井管，5m降深）为100~1000m3/d。地下水化学类型为HCO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•Cl-Na、HCO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•Cl-Ca•Na、Cl•HCO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-Na•Ca、Cl•HCO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-Na•Mg和HCO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•Cl-Ca•Mg型。矿化度0.384</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1.76g/L。</w:t>
      </w:r>
    </w:p>
    <w:p w14:paraId="3FDD03D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2）承压含水层</w:t>
      </w:r>
    </w:p>
    <w:p w14:paraId="4421C5F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承压含水层是由中更新统下组（Q</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vertAlign w:val="superscript"/>
        </w:rPr>
        <w:t>1</w:t>
      </w:r>
      <w:r>
        <w:rPr>
          <w:rFonts w:hint="default" w:ascii="Times New Roman" w:hAnsi="Times New Roman" w:eastAsia="宋体" w:cs="Times New Roman"/>
          <w:color w:val="FF0000"/>
          <w:sz w:val="24"/>
          <w:szCs w:val="24"/>
          <w:highlight w:val="none"/>
        </w:rPr>
        <w:t>）中粗砂与砂砾石组成，埋藏于100～130m以下。隔水顶板为中更新统上组（Q</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vertAlign w:val="superscript"/>
        </w:rPr>
        <w:t>2</w:t>
      </w:r>
      <w:r>
        <w:rPr>
          <w:rFonts w:hint="default" w:ascii="Times New Roman" w:hAnsi="Times New Roman" w:eastAsia="宋体" w:cs="Times New Roman"/>
          <w:color w:val="FF0000"/>
          <w:sz w:val="24"/>
          <w:szCs w:val="24"/>
          <w:highlight w:val="none"/>
        </w:rPr>
        <w:t>）淤泥质砂粘土，厚度约为60m，隔水性能良好。含水层岩性为砂砾卵石变及细中砂，含水层富水性强，单井涌水量1000-2000m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/d。矿化度为1～3g/l，地下水化学类型为HCO</w:t>
      </w:r>
      <w:r>
        <w:rPr>
          <w:rFonts w:hint="default" w:ascii="Times New Roman" w:hAnsi="Times New Roman" w:eastAsia="宋体" w:cs="Times New Roman"/>
          <w:color w:val="FF0000"/>
          <w:sz w:val="24"/>
          <w:szCs w:val="24"/>
          <w:highlight w:val="none"/>
          <w:vertAlign w:val="subscript"/>
        </w:rPr>
        <w:t>3</w:t>
      </w:r>
      <w:r>
        <w:rPr>
          <w:rFonts w:hint="default" w:ascii="Times New Roman" w:hAnsi="Times New Roman" w:eastAsia="宋体" w:cs="Times New Roman"/>
          <w:color w:val="FF0000"/>
          <w:sz w:val="24"/>
          <w:szCs w:val="24"/>
          <w:highlight w:val="none"/>
        </w:rPr>
        <w:t>-Na型。</w:t>
      </w:r>
    </w:p>
    <w:p w14:paraId="0D16BCB6">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（3）地下水补给、径流及排泄条件</w:t>
      </w:r>
    </w:p>
    <w:p w14:paraId="6EB84AE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项目场地浅层潜水与承压水之间有稳定的隔水层，潜水与承压水之间无水力联系。区域地下水含水层分布全新统砂层中，主要为潜水。潜水含水层底板高程及其坡度，在某种程度上对潜水流向有一定的控制作用。</w:t>
      </w:r>
    </w:p>
    <w:p w14:paraId="5785B3D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调查区潜水含水层颗粒较细潜水易于接受补给，其主要补给来源有：大气降水入渗补给；渠系入渗补给，农田灌溉水水渗入补给。含水层颗粒细，径流条件差，含水层渗透系数5～10m/d；潜水总体由西向东流动，水力坡度一般为0.8～1‰。</w:t>
      </w:r>
    </w:p>
    <w:p w14:paraId="077BDDB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t>潜水的主要排泄方式有：①排水沟排泄；②作为工农业用水人工开采。③潜水蒸发</w:t>
      </w:r>
      <w:r>
        <w:rPr>
          <w:rFonts w:hint="default" w:ascii="Times New Roman" w:hAnsi="Times New Roman" w:eastAsia="宋体" w:cs="Times New Roman"/>
          <w:color w:val="FF0000"/>
          <w:sz w:val="24"/>
          <w:szCs w:val="24"/>
          <w:highlight w:val="none"/>
          <w:lang w:eastAsia="zh-CN"/>
        </w:rPr>
        <w:t>。</w:t>
      </w:r>
    </w:p>
    <w:p w14:paraId="76A0491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（4）地下水动态及化学特征</w:t>
      </w:r>
    </w:p>
    <w:p w14:paraId="67E106BC">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t>地下水水位动态变化主要受人为开采、气象、水文、地质地貌条件等多种因素所控制。经资料搜集，水化学类型为Cl-SO</w:t>
      </w:r>
      <w:r>
        <w:rPr>
          <w:rFonts w:hint="default" w:ascii="Times New Roman" w:hAnsi="Times New Roman" w:eastAsia="宋体" w:cs="Times New Roman"/>
          <w:color w:val="FF0000"/>
          <w:sz w:val="24"/>
          <w:szCs w:val="24"/>
          <w:highlight w:val="none"/>
          <w:vertAlign w:val="subscript"/>
        </w:rPr>
        <w:t>4</w:t>
      </w:r>
      <w:r>
        <w:rPr>
          <w:rFonts w:hint="default" w:ascii="Times New Roman" w:hAnsi="Times New Roman" w:eastAsia="宋体" w:cs="Times New Roman"/>
          <w:color w:val="FF0000"/>
          <w:sz w:val="24"/>
          <w:szCs w:val="24"/>
          <w:highlight w:val="none"/>
        </w:rPr>
        <w:t>-Ca-K+Na型。</w:t>
      </w:r>
    </w:p>
    <w:p w14:paraId="6D5A16F7">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449" w:name="_Toc16435"/>
      <w:r>
        <w:rPr>
          <w:rFonts w:hint="default" w:ascii="Times New Roman" w:hAnsi="Times New Roman" w:eastAsia="宋体" w:cs="Times New Roman"/>
          <w:color w:val="auto"/>
          <w:highlight w:val="none"/>
        </w:rPr>
        <w:t>5.4.2地下水环境影响分析</w:t>
      </w:r>
      <w:bookmarkEnd w:id="449"/>
    </w:p>
    <w:p w14:paraId="6DBCAB7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污染物对地下水的影响主要是由于降雨或废水排放等通过垂直渗透进入包气带，进入包气带的污染物在物理、化学和生物作用下经吸附、转化、迁移和分解后输入地下水。因此，包气带是</w:t>
      </w:r>
      <w:r>
        <w:rPr>
          <w:rFonts w:hint="default" w:ascii="Times New Roman" w:hAnsi="Times New Roman" w:eastAsia="宋体" w:cs="Times New Roman"/>
          <w:color w:val="auto"/>
          <w:highlight w:val="none"/>
          <w:lang w:eastAsia="zh-CN"/>
        </w:rPr>
        <w:t>连接</w:t>
      </w:r>
      <w:r>
        <w:rPr>
          <w:rFonts w:hint="default" w:ascii="Times New Roman" w:hAnsi="Times New Roman" w:eastAsia="宋体" w:cs="Times New Roman"/>
          <w:color w:val="auto"/>
          <w:highlight w:val="none"/>
        </w:rPr>
        <w:t>地面污染物与地下含水层的主要通道和过渡带，既是污染物媒介体，又是污染物的净化场所和防护层。地下水能否被污染与土壤的渗透性密切相关，一般说来，土壤粒细而紧密，渗透性差，则污染慢；反之，颗粒大而松散，渗透性能良好则污染重。</w:t>
      </w:r>
    </w:p>
    <w:p w14:paraId="45956F80">
      <w:pPr>
        <w:pStyle w:val="7"/>
        <w:pageBreakBefore w:val="0"/>
        <w:shd w:val="clear"/>
        <w:kinsoku/>
        <w:wordWrap/>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450" w:name="_Toc14501"/>
      <w:bookmarkStart w:id="451" w:name="_Toc23671"/>
      <w:bookmarkStart w:id="452" w:name="_Toc27582"/>
      <w:bookmarkStart w:id="453" w:name="_Toc26413"/>
      <w:r>
        <w:rPr>
          <w:rFonts w:hint="default" w:ascii="Times New Roman" w:hAnsi="Times New Roman" w:eastAsia="宋体" w:cs="Times New Roman"/>
          <w:color w:val="auto"/>
          <w:highlight w:val="none"/>
        </w:rPr>
        <w:t>5.4.2.1地下水污染途径</w:t>
      </w:r>
      <w:bookmarkEnd w:id="450"/>
      <w:bookmarkEnd w:id="451"/>
      <w:bookmarkEnd w:id="452"/>
      <w:bookmarkEnd w:id="453"/>
    </w:p>
    <w:p w14:paraId="44C8B39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根据地下水地质条件、地下水补给、径流条件和排洪特点，分析本工程废水排放情况，可能造成的地下水污染途径有以下几种途径：</w:t>
      </w:r>
    </w:p>
    <w:p w14:paraId="5A51B8F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的防渗、防水措施不完善，而导致渗滤液、淋溶水渗入地下造成对地下水的污染；</w:t>
      </w:r>
    </w:p>
    <w:p w14:paraId="79D4492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因基础防渗不足通过裂隙污染地下水；</w:t>
      </w:r>
    </w:p>
    <w:p w14:paraId="30D6EB2A">
      <w:pPr>
        <w:pStyle w:val="7"/>
        <w:pageBreakBefore w:val="0"/>
        <w:shd w:val="clear"/>
        <w:kinsoku/>
        <w:wordWrap/>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454" w:name="_Toc14811"/>
      <w:bookmarkStart w:id="455" w:name="_Toc12482"/>
      <w:bookmarkStart w:id="456" w:name="_Toc12352"/>
      <w:bookmarkStart w:id="457" w:name="_Toc544"/>
      <w:r>
        <w:rPr>
          <w:rFonts w:hint="default" w:ascii="Times New Roman" w:hAnsi="Times New Roman" w:eastAsia="宋体" w:cs="Times New Roman"/>
          <w:color w:val="auto"/>
          <w:highlight w:val="none"/>
        </w:rPr>
        <w:t>5.4.2.2地下水保护措施</w:t>
      </w:r>
      <w:bookmarkEnd w:id="454"/>
      <w:bookmarkEnd w:id="455"/>
      <w:bookmarkEnd w:id="456"/>
      <w:bookmarkEnd w:id="457"/>
    </w:p>
    <w:p w14:paraId="1330B6B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运营期对地下水环境的影响主要是事故性排放渗入地下可造成地下水中的硝酸盐含量过高。对此，本环评要求建设单位必须采取以下防范措施：</w:t>
      </w:r>
    </w:p>
    <w:p w14:paraId="3941820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①本项目雨污分离，无污水明沟布设。符合《畜禽养殖业污染防治技术规范》（HJ/T81-2001）规定，养殖场的排水系统应实施雨水和污水收集输送系统分离，在场区内设置的污水收集输送系统，不得采用明沟布设</w:t>
      </w:r>
      <w:r>
        <w:rPr>
          <w:rFonts w:hint="default" w:ascii="Times New Roman" w:hAnsi="Times New Roman" w:eastAsia="宋体" w:cs="Times New Roman"/>
          <w:color w:val="auto"/>
          <w:highlight w:val="none"/>
          <w:lang w:eastAsia="zh-CN"/>
        </w:rPr>
        <w:t>；</w:t>
      </w:r>
    </w:p>
    <w:p w14:paraId="3EAB20E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贮存设施应采取有效的防渗处理工艺，防止粪便渗滤液污染地下水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根据《畜禽养殖业污染治理工程技术规范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给排水工程构筑物结构设计规范》（GB50069-2002）等的要求实施防渗</w:t>
      </w:r>
      <w:r>
        <w:rPr>
          <w:rFonts w:hint="default" w:ascii="Times New Roman" w:hAnsi="Times New Roman" w:eastAsia="宋体" w:cs="Times New Roman"/>
          <w:color w:val="auto"/>
          <w:highlight w:val="none"/>
          <w:lang w:eastAsia="zh-CN"/>
        </w:rPr>
        <w:t>；</w:t>
      </w:r>
    </w:p>
    <w:p w14:paraId="13CEE46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③</w:t>
      </w:r>
      <w:r>
        <w:rPr>
          <w:rFonts w:hint="default" w:ascii="Times New Roman" w:hAnsi="Times New Roman" w:eastAsia="宋体" w:cs="Times New Roman"/>
          <w:color w:val="auto"/>
          <w:highlight w:val="none"/>
          <w:lang w:eastAsia="zh-CN"/>
        </w:rPr>
        <w:t>充分做好排污管道的防渗处理，杜绝污水防漏，确保生活污水收集处理系统衔接良好，严格用水管理，防止污水“跑、冒、滴、漏”现象的发生；</w:t>
      </w:r>
    </w:p>
    <w:p w14:paraId="5197F24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④加强管理，雨天来临之前要及时清理</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lang w:val="en-US" w:eastAsia="zh-CN"/>
        </w:rPr>
        <w:t>内</w:t>
      </w:r>
      <w:r>
        <w:rPr>
          <w:rFonts w:hint="default" w:ascii="Times New Roman" w:hAnsi="Times New Roman" w:eastAsia="宋体" w:cs="Times New Roman"/>
          <w:color w:val="auto"/>
          <w:highlight w:val="none"/>
          <w:lang w:eastAsia="zh-CN"/>
        </w:rPr>
        <w:t>羊</w:t>
      </w:r>
      <w:r>
        <w:rPr>
          <w:rFonts w:hint="default" w:ascii="Times New Roman" w:hAnsi="Times New Roman" w:eastAsia="宋体" w:cs="Times New Roman"/>
          <w:color w:val="auto"/>
          <w:highlight w:val="none"/>
        </w:rPr>
        <w:t>粪便</w:t>
      </w:r>
      <w:r>
        <w:rPr>
          <w:rFonts w:hint="default" w:ascii="Times New Roman" w:hAnsi="Times New Roman" w:eastAsia="宋体" w:cs="Times New Roman"/>
          <w:color w:val="auto"/>
          <w:highlight w:val="none"/>
          <w:lang w:eastAsia="zh-CN"/>
        </w:rPr>
        <w:t>；</w:t>
      </w:r>
    </w:p>
    <w:p w14:paraId="61E57EB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⑤场区地下水下游（场区</w:t>
      </w:r>
      <w:r>
        <w:rPr>
          <w:rFonts w:hint="default" w:ascii="Times New Roman" w:hAnsi="Times New Roman" w:eastAsia="宋体" w:cs="Times New Roman"/>
          <w:color w:val="auto"/>
          <w:highlight w:val="none"/>
          <w:lang w:eastAsia="zh-CN"/>
        </w:rPr>
        <w:t>南</w:t>
      </w:r>
      <w:r>
        <w:rPr>
          <w:rFonts w:hint="default" w:ascii="Times New Roman" w:hAnsi="Times New Roman" w:eastAsia="宋体" w:cs="Times New Roman"/>
          <w:color w:val="auto"/>
          <w:highlight w:val="none"/>
        </w:rPr>
        <w:t>侧）设置1个地下水监控井</w:t>
      </w:r>
      <w:r>
        <w:rPr>
          <w:rFonts w:hint="default" w:ascii="Times New Roman" w:hAnsi="Times New Roman" w:eastAsia="宋体" w:cs="Times New Roman"/>
          <w:color w:val="auto"/>
          <w:highlight w:val="none"/>
          <w:lang w:eastAsia="zh-CN"/>
        </w:rPr>
        <w:t>（坐标：N41°07'03"；E108°55'54"）</w:t>
      </w:r>
      <w:r>
        <w:rPr>
          <w:rFonts w:hint="default" w:ascii="Times New Roman" w:hAnsi="Times New Roman" w:eastAsia="宋体" w:cs="Times New Roman"/>
          <w:color w:val="auto"/>
          <w:highlight w:val="none"/>
        </w:rPr>
        <w:t>，便于发现地下水污染。根据项目区平面布置情况，本次环评要求对观测井水质进行跟踪监测，及时掌握场区地下水水质变化情况，水质指标异常时应立即开展调查，查找水质指标异常的原因，对损坏防渗膜及时采取措施进行修复。</w:t>
      </w:r>
    </w:p>
    <w:p w14:paraId="60BBC26C">
      <w:pPr>
        <w:pStyle w:val="7"/>
        <w:pageBreakBefore w:val="0"/>
        <w:shd w:val="clear"/>
        <w:kinsoku/>
        <w:wordWrap/>
        <w:bidi w:val="0"/>
        <w:snapToGrid w:val="0"/>
        <w:spacing w:before="0" w:after="0" w:line="360" w:lineRule="auto"/>
        <w:ind w:left="0" w:leftChars="0" w:right="0" w:rightChars="0"/>
        <w:outlineLvl w:val="2"/>
        <w:rPr>
          <w:rStyle w:val="48"/>
          <w:rFonts w:hint="default" w:ascii="Times New Roman" w:hAnsi="Times New Roman" w:eastAsia="宋体" w:cs="Times New Roman"/>
          <w:color w:val="auto"/>
          <w:highlight w:val="none"/>
          <w:u w:val="none"/>
        </w:rPr>
      </w:pPr>
      <w:bookmarkStart w:id="458" w:name="_Toc8795"/>
      <w:bookmarkStart w:id="459" w:name="_Toc10308"/>
      <w:bookmarkStart w:id="460" w:name="_Toc27018"/>
      <w:bookmarkStart w:id="461" w:name="_Toc20435"/>
      <w:r>
        <w:rPr>
          <w:rStyle w:val="48"/>
          <w:rFonts w:hint="default" w:ascii="Times New Roman" w:hAnsi="Times New Roman" w:eastAsia="宋体" w:cs="Times New Roman"/>
          <w:color w:val="auto"/>
          <w:highlight w:val="none"/>
          <w:u w:val="none"/>
        </w:rPr>
        <w:t>5.4.2.3采取防渗措施后对地下水影响分析</w:t>
      </w:r>
      <w:bookmarkEnd w:id="458"/>
      <w:bookmarkEnd w:id="459"/>
      <w:bookmarkEnd w:id="460"/>
      <w:bookmarkEnd w:id="461"/>
    </w:p>
    <w:p w14:paraId="277FEB2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根据本项目防渗措施，防渗工程渗透系数</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1.0×10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cm/s，厚度不低于</w:t>
      </w:r>
      <w:r>
        <w:rPr>
          <w:rFonts w:hint="default" w:ascii="Times New Roman" w:hAnsi="Times New Roman" w:eastAsia="宋体" w:cs="Times New Roman"/>
          <w:color w:val="auto"/>
          <w:highlight w:val="none"/>
          <w:lang w:val="en-US" w:eastAsia="zh-CN"/>
        </w:rPr>
        <w:t>2m</w:t>
      </w:r>
      <w:r>
        <w:rPr>
          <w:rFonts w:hint="default" w:ascii="Times New Roman" w:hAnsi="Times New Roman" w:eastAsia="宋体" w:cs="Times New Roman"/>
          <w:color w:val="auto"/>
          <w:highlight w:val="none"/>
        </w:rPr>
        <w:t>m，则污染质穿透防渗层的时间按下列公式计算：</w:t>
      </w:r>
    </w:p>
    <w:p w14:paraId="03B14F5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渗水通道：q=k（d+h）/d</w:t>
      </w:r>
    </w:p>
    <w:p w14:paraId="3F9AFF8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穿越时间：T=d/q；</w:t>
      </w:r>
    </w:p>
    <w:p w14:paraId="1A135D4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其中：</w:t>
      </w:r>
    </w:p>
    <w:p w14:paraId="6FB1CF2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T为污染质穿过防渗层的时间；</w:t>
      </w:r>
    </w:p>
    <w:p w14:paraId="40A7143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d为防渗层的厚度；</w:t>
      </w:r>
    </w:p>
    <w:p w14:paraId="08021E8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k为防渗层的渗透系数；</w:t>
      </w:r>
    </w:p>
    <w:p w14:paraId="3278C77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h为渗层上面的积水高度。</w:t>
      </w:r>
    </w:p>
    <w:p w14:paraId="6D288C1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假定防渗层积水高度为0.10m，防渗层厚度为</w:t>
      </w:r>
      <w:r>
        <w:rPr>
          <w:rFonts w:hint="default" w:ascii="Times New Roman" w:hAnsi="Times New Roman" w:eastAsia="宋体" w:cs="Times New Roman"/>
          <w:color w:val="auto"/>
          <w:highlight w:val="none"/>
          <w:lang w:val="en-US" w:eastAsia="zh-CN"/>
        </w:rPr>
        <w:t>2m</w:t>
      </w:r>
      <w:r>
        <w:rPr>
          <w:rFonts w:hint="default" w:ascii="Times New Roman" w:hAnsi="Times New Roman" w:eastAsia="宋体" w:cs="Times New Roman"/>
          <w:color w:val="auto"/>
          <w:highlight w:val="none"/>
        </w:rPr>
        <w:t>m，防渗层渗透系数为1.0×10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则计算防渗层的穿透时间为13.21年，即在防渗层上的持续积水0.10m的情况下，经过13.21年的污水才可穿过防渗层。而且污染物穿透防渗层进入包气带中，包气带对污染物有吸附和降解作用，因此，在采取铺设防渗层措施下，事故工况下渗出液进入地下水系统后对区域地下水影响程度和范围均较小。</w:t>
      </w:r>
    </w:p>
    <w:p w14:paraId="7719199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企业只要加强管理，在生产中严格按照操作规程，避免废水的事故性排放，运营期对地下水的影响很小。</w:t>
      </w:r>
    </w:p>
    <w:p w14:paraId="180378E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462" w:name="_Toc491351727"/>
      <w:bookmarkStart w:id="463" w:name="_Toc19303"/>
      <w:bookmarkStart w:id="464" w:name="_Toc491351861"/>
      <w:bookmarkStart w:id="465" w:name="_Toc486320556"/>
      <w:bookmarkStart w:id="466" w:name="_Toc490143552"/>
      <w:r>
        <w:rPr>
          <w:rFonts w:hint="default" w:ascii="Times New Roman" w:hAnsi="Times New Roman" w:eastAsia="宋体" w:cs="Times New Roman"/>
          <w:color w:val="auto"/>
          <w:highlight w:val="none"/>
        </w:rPr>
        <w:t>5.4.3预测结果分析评价</w:t>
      </w:r>
      <w:bookmarkEnd w:id="462"/>
      <w:bookmarkEnd w:id="463"/>
      <w:bookmarkEnd w:id="464"/>
      <w:bookmarkEnd w:id="465"/>
      <w:bookmarkEnd w:id="466"/>
    </w:p>
    <w:p w14:paraId="5CB50240">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 w:val="24"/>
          <w:szCs w:val="24"/>
          <w:highlight w:val="none"/>
        </w:rPr>
      </w:pPr>
      <w:bookmarkStart w:id="467" w:name="_Toc19446"/>
      <w:bookmarkStart w:id="468" w:name="_Toc24633"/>
      <w:bookmarkStart w:id="469" w:name="_Toc14757"/>
      <w:bookmarkStart w:id="470" w:name="_Toc23642"/>
      <w:r>
        <w:rPr>
          <w:rFonts w:hint="default" w:ascii="Times New Roman" w:hAnsi="Times New Roman" w:eastAsia="宋体" w:cs="Times New Roman"/>
          <w:color w:val="auto"/>
          <w:sz w:val="24"/>
          <w:szCs w:val="24"/>
          <w:highlight w:val="none"/>
        </w:rPr>
        <w:t>（1）预测范围</w:t>
      </w:r>
      <w:bookmarkEnd w:id="467"/>
      <w:bookmarkEnd w:id="468"/>
      <w:bookmarkEnd w:id="469"/>
      <w:bookmarkEnd w:id="470"/>
    </w:p>
    <w:p w14:paraId="63C4CF7E">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根据《环境影响评价技术导则</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地下水环境》（HJ610-2016）的要求，本次地下水环境影响评价预测范围以厂区所在区域为中心，以地下水流向为主轴的，面积约</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km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的区域；目的含水层确定为潜水含水层。</w:t>
      </w:r>
    </w:p>
    <w:p w14:paraId="21B8CFBB">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 w:val="24"/>
          <w:szCs w:val="24"/>
          <w:highlight w:val="none"/>
        </w:rPr>
      </w:pPr>
      <w:bookmarkStart w:id="471" w:name="_Toc18969"/>
      <w:bookmarkStart w:id="472" w:name="_Toc30759"/>
      <w:bookmarkStart w:id="473" w:name="_Toc19714"/>
      <w:bookmarkStart w:id="474" w:name="_Toc13470"/>
      <w:r>
        <w:rPr>
          <w:rFonts w:hint="default" w:ascii="Times New Roman" w:hAnsi="Times New Roman" w:eastAsia="宋体" w:cs="Times New Roman"/>
          <w:color w:val="auto"/>
          <w:sz w:val="24"/>
          <w:szCs w:val="24"/>
          <w:highlight w:val="none"/>
        </w:rPr>
        <w:t>（2）预测时段</w:t>
      </w:r>
      <w:bookmarkEnd w:id="471"/>
      <w:bookmarkEnd w:id="472"/>
      <w:bookmarkEnd w:id="473"/>
      <w:bookmarkEnd w:id="474"/>
    </w:p>
    <w:p w14:paraId="5C22EFE9">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地下水环境影响预测时段为泄漏发生后100d和1000d，和能反映特征因子迁移规律的其他时间节点。</w:t>
      </w:r>
    </w:p>
    <w:p w14:paraId="569AC8AC">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 w:val="24"/>
          <w:szCs w:val="24"/>
          <w:highlight w:val="none"/>
        </w:rPr>
      </w:pPr>
      <w:bookmarkStart w:id="475" w:name="_Toc26283"/>
      <w:bookmarkStart w:id="476" w:name="_Toc32574"/>
      <w:bookmarkStart w:id="477" w:name="_Toc15432"/>
      <w:bookmarkStart w:id="478" w:name="_Toc803"/>
      <w:r>
        <w:rPr>
          <w:rFonts w:hint="default" w:ascii="Times New Roman" w:hAnsi="Times New Roman" w:eastAsia="宋体" w:cs="Times New Roman"/>
          <w:color w:val="auto"/>
          <w:sz w:val="24"/>
          <w:szCs w:val="24"/>
          <w:highlight w:val="none"/>
        </w:rPr>
        <w:t>（3）情景设置</w:t>
      </w:r>
      <w:bookmarkEnd w:id="475"/>
      <w:bookmarkEnd w:id="476"/>
      <w:bookmarkEnd w:id="477"/>
      <w:bookmarkEnd w:id="478"/>
    </w:p>
    <w:p w14:paraId="0AD35D14">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在非正常状况下，本项目选择</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作为预测对象。当发生</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底部防渗层破裂等情况时，发生废水泄漏，从而导致废水中污染物进入含水层，污染地下水。</w:t>
      </w:r>
    </w:p>
    <w:p w14:paraId="02F14C39">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有效容积为</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rPr>
        <w:t>《内蒙古自治区畜禽养殖主要污染物减排工程项目建设技术指南（试行）》（2014）“每</w:t>
      </w:r>
      <w:r>
        <w:rPr>
          <w:rFonts w:hint="default" w:ascii="Times New Roman" w:hAnsi="Times New Roman" w:eastAsia="宋体" w:cs="Times New Roman"/>
          <w:color w:val="auto"/>
          <w:sz w:val="24"/>
          <w:szCs w:val="24"/>
          <w:highlight w:val="none"/>
          <w:lang w:eastAsia="zh-CN"/>
        </w:rPr>
        <w:t>只</w:t>
      </w:r>
      <w:r>
        <w:rPr>
          <w:rFonts w:hint="default" w:ascii="Times New Roman" w:hAnsi="Times New Roman" w:eastAsia="宋体" w:cs="Times New Roman"/>
          <w:color w:val="auto"/>
          <w:sz w:val="24"/>
          <w:szCs w:val="24"/>
          <w:highlight w:val="none"/>
          <w:lang w:eastAsia="zh-CN"/>
        </w:rPr>
        <w:t>肉羊</w:t>
      </w:r>
      <w:r>
        <w:rPr>
          <w:rFonts w:hint="default" w:ascii="Times New Roman" w:hAnsi="Times New Roman" w:eastAsia="宋体" w:cs="Times New Roman"/>
          <w:color w:val="auto"/>
          <w:sz w:val="24"/>
          <w:szCs w:val="24"/>
          <w:highlight w:val="none"/>
        </w:rPr>
        <w:t>（出栏）不低于0.5m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”要求。</w:t>
      </w:r>
    </w:p>
    <w:p w14:paraId="246DBBD5">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场区有员工工作、巡逻，利于及时发现</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泄漏并采取抢修措施，因此</w:t>
      </w: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泄漏并下渗的情景为短暂泄漏下渗过程。</w:t>
      </w:r>
    </w:p>
    <w:p w14:paraId="34508109">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 w:val="24"/>
          <w:szCs w:val="24"/>
          <w:highlight w:val="none"/>
        </w:rPr>
      </w:pPr>
      <w:bookmarkStart w:id="479" w:name="_Toc10223"/>
      <w:bookmarkStart w:id="480" w:name="_Toc32152"/>
      <w:bookmarkStart w:id="481" w:name="_Toc23369"/>
      <w:bookmarkStart w:id="482" w:name="_Toc25862"/>
      <w:r>
        <w:rPr>
          <w:rFonts w:hint="default" w:ascii="Times New Roman" w:hAnsi="Times New Roman" w:eastAsia="宋体" w:cs="Times New Roman"/>
          <w:color w:val="auto"/>
          <w:sz w:val="24"/>
          <w:szCs w:val="24"/>
          <w:highlight w:val="none"/>
        </w:rPr>
        <w:t>（4）预测因子</w:t>
      </w:r>
      <w:bookmarkEnd w:id="479"/>
      <w:bookmarkEnd w:id="480"/>
      <w:bookmarkEnd w:id="481"/>
      <w:bookmarkEnd w:id="482"/>
    </w:p>
    <w:p w14:paraId="7FA69E10">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堆肥场</w:t>
      </w:r>
      <w:r>
        <w:rPr>
          <w:rFonts w:hint="default" w:ascii="Times New Roman" w:hAnsi="Times New Roman" w:eastAsia="宋体" w:cs="Times New Roman"/>
          <w:color w:val="auto"/>
          <w:sz w:val="24"/>
          <w:szCs w:val="24"/>
          <w:highlight w:val="none"/>
        </w:rPr>
        <w:t>中污染物主要为NH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p>
    <w:p w14:paraId="688F682F">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outlineLvl w:val="2"/>
        <w:rPr>
          <w:rFonts w:hint="default" w:ascii="Times New Roman" w:hAnsi="Times New Roman" w:eastAsia="宋体" w:cs="Times New Roman"/>
          <w:color w:val="auto"/>
          <w:sz w:val="24"/>
          <w:szCs w:val="24"/>
          <w:highlight w:val="none"/>
        </w:rPr>
      </w:pPr>
      <w:bookmarkStart w:id="483" w:name="_Toc12451"/>
      <w:bookmarkStart w:id="484" w:name="_Toc28563"/>
      <w:bookmarkStart w:id="485" w:name="_Toc29644"/>
      <w:bookmarkStart w:id="486" w:name="_Toc21428"/>
      <w:r>
        <w:rPr>
          <w:rFonts w:hint="default" w:ascii="Times New Roman" w:hAnsi="Times New Roman" w:eastAsia="宋体" w:cs="Times New Roman"/>
          <w:color w:val="auto"/>
          <w:sz w:val="24"/>
          <w:szCs w:val="24"/>
          <w:highlight w:val="none"/>
        </w:rPr>
        <w:t>（5）预测源强估算</w:t>
      </w:r>
      <w:bookmarkEnd w:id="483"/>
      <w:bookmarkEnd w:id="484"/>
      <w:bookmarkEnd w:id="485"/>
      <w:bookmarkEnd w:id="486"/>
    </w:p>
    <w:p w14:paraId="7C3D3107">
      <w:pPr>
        <w:keepNext w:val="0"/>
        <w:keepLines w:val="0"/>
        <w:pageBreakBefore w:val="0"/>
        <w:widowControl w:val="0"/>
        <w:shd w:val="clear"/>
        <w:kinsoku/>
        <w:wordWrap/>
        <w:overflowPunct/>
        <w:topLinePunct w:val="0"/>
        <w:autoSpaceDE w:val="0"/>
        <w:autoSpaceDN/>
        <w:bidi w:val="0"/>
        <w:adjustRightInd/>
        <w:snapToGrid w:val="0"/>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1）据文献资料《废水中氨氮在土壤处理系统中迁移转化的模拟研究》，包气带对污染物的吸附过程是线性的，即S=K</w:t>
      </w:r>
      <w:r>
        <w:rPr>
          <w:rFonts w:hint="default" w:ascii="Times New Roman" w:hAnsi="Times New Roman" w:eastAsia="宋体" w:cs="Times New Roman"/>
          <w:color w:val="auto"/>
          <w:sz w:val="24"/>
          <w:szCs w:val="24"/>
          <w:highlight w:val="none"/>
          <w:vertAlign w:val="subscript"/>
        </w:rPr>
        <w:t>d</w:t>
      </w:r>
      <w:r>
        <w:rPr>
          <w:rFonts w:hint="default" w:ascii="Times New Roman" w:hAnsi="Times New Roman" w:eastAsia="宋体" w:cs="Times New Roman"/>
          <w:color w:val="auto"/>
          <w:sz w:val="24"/>
          <w:szCs w:val="24"/>
          <w:highlight w:val="none"/>
        </w:rPr>
        <w:t>C，吸附系数K</w:t>
      </w:r>
      <w:r>
        <w:rPr>
          <w:rFonts w:hint="default" w:ascii="Times New Roman" w:hAnsi="Times New Roman" w:eastAsia="宋体" w:cs="Times New Roman"/>
          <w:color w:val="auto"/>
          <w:sz w:val="24"/>
          <w:szCs w:val="24"/>
          <w:highlight w:val="none"/>
          <w:vertAlign w:val="subscript"/>
        </w:rPr>
        <w:t>d</w:t>
      </w:r>
      <w:r>
        <w:rPr>
          <w:rFonts w:hint="default" w:ascii="Times New Roman" w:hAnsi="Times New Roman" w:eastAsia="宋体" w:cs="Times New Roman"/>
          <w:color w:val="auto"/>
          <w:sz w:val="24"/>
          <w:szCs w:val="24"/>
          <w:highlight w:val="none"/>
        </w:rPr>
        <w:t>=0.0976；降解曲线符合一级动力学方程，即C=C</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e</w:t>
      </w:r>
      <w:r>
        <w:rPr>
          <w:rFonts w:hint="default" w:ascii="Times New Roman" w:hAnsi="Times New Roman" w:eastAsia="宋体" w:cs="Times New Roman"/>
          <w:color w:val="auto"/>
          <w:sz w:val="24"/>
          <w:szCs w:val="24"/>
          <w:highlight w:val="none"/>
          <w:vertAlign w:val="superscript"/>
        </w:rPr>
        <w:t>-λt</w:t>
      </w:r>
      <w:r>
        <w:rPr>
          <w:rFonts w:hint="default" w:ascii="Times New Roman" w:hAnsi="Times New Roman" w:eastAsia="宋体" w:cs="Times New Roman"/>
          <w:color w:val="auto"/>
          <w:sz w:val="24"/>
          <w:szCs w:val="24"/>
          <w:highlight w:val="none"/>
        </w:rPr>
        <w:t>，降解系数λ=0.0324d</w:t>
      </w:r>
      <w:r>
        <w:rPr>
          <w:rFonts w:hint="default" w:ascii="Times New Roman" w:hAnsi="Times New Roman" w:eastAsia="宋体" w:cs="Times New Roman"/>
          <w:color w:val="auto"/>
          <w:sz w:val="24"/>
          <w:szCs w:val="24"/>
          <w:highlight w:val="none"/>
          <w:vertAlign w:val="superscript"/>
        </w:rPr>
        <w:t>-1</w:t>
      </w:r>
      <w:r>
        <w:rPr>
          <w:rFonts w:hint="default" w:ascii="Times New Roman" w:hAnsi="Times New Roman" w:eastAsia="宋体" w:cs="Times New Roman"/>
          <w:color w:val="auto"/>
          <w:sz w:val="24"/>
          <w:szCs w:val="24"/>
          <w:highlight w:val="none"/>
        </w:rPr>
        <w:t>。在没有底部、侧部和顶部的防护系统的情况下大致需要6d，污染能穿透1m的包气带土层；10d能穿透2m的包气带土层；23天后污染物浓度会降为0。由此可知，NH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-N基本上不会到达地下水层，因此，正常工况下，本项目NH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-N排放对地下水不会产生较大影响。</w:t>
      </w:r>
    </w:p>
    <w:p w14:paraId="39DB6E8F">
      <w:pPr>
        <w:keepNext w:val="0"/>
        <w:keepLines w:val="0"/>
        <w:pageBreakBefore w:val="0"/>
        <w:widowControl w:val="0"/>
        <w:shd w:val="clear"/>
        <w:kinsoku/>
        <w:wordWrap/>
        <w:overflow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2）事故工况下，本项目事故主要考虑</w:t>
      </w:r>
      <w:r>
        <w:rPr>
          <w:rFonts w:hint="default" w:ascii="Times New Roman" w:hAnsi="Times New Roman" w:eastAsia="宋体" w:cs="Times New Roman"/>
          <w:color w:val="auto"/>
          <w:sz w:val="24"/>
          <w:szCs w:val="24"/>
          <w:highlight w:val="none"/>
          <w:lang w:eastAsia="zh-CN"/>
        </w:rPr>
        <w:t>堆肥场底部防渗层</w:t>
      </w:r>
      <w:r>
        <w:rPr>
          <w:rFonts w:hint="default" w:ascii="Times New Roman" w:hAnsi="Times New Roman" w:eastAsia="宋体" w:cs="Times New Roman"/>
          <w:color w:val="auto"/>
          <w:sz w:val="24"/>
          <w:szCs w:val="24"/>
          <w:highlight w:val="none"/>
        </w:rPr>
        <w:t>的渗漏问题，此时污染物直接进入表土层，其浓度能在瞬间达到最大值，但是通过表土层以及包气带土层的降解作用，到达地下水埋深时其浓度很小，对地下水影响不大。考虑渗漏时间较长，包气带土层中污染物含量处于饱和状态，无法再降解，此时污染物就会出现下渗，可能会对地下水产生一定的污染</w:t>
      </w:r>
      <w:r>
        <w:rPr>
          <w:rFonts w:hint="default" w:ascii="Times New Roman" w:hAnsi="Times New Roman" w:eastAsia="宋体" w:cs="Times New Roman"/>
          <w:color w:val="auto"/>
          <w:highlight w:val="none"/>
        </w:rPr>
        <w:t>。</w:t>
      </w:r>
    </w:p>
    <w:p w14:paraId="09597536">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487" w:name="_Toc22490"/>
      <w:r>
        <w:rPr>
          <w:rFonts w:hint="default" w:ascii="Times New Roman" w:hAnsi="Times New Roman" w:eastAsia="宋体" w:cs="Times New Roman"/>
          <w:color w:val="auto"/>
          <w:highlight w:val="none"/>
        </w:rPr>
        <w:t>5.5运营期土壤环境影响分析</w:t>
      </w:r>
      <w:bookmarkEnd w:id="487"/>
    </w:p>
    <w:p w14:paraId="3410FEF3">
      <w:pPr>
        <w:pStyle w:val="6"/>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488" w:name="_Toc46421143"/>
      <w:bookmarkStart w:id="489" w:name="_Toc12669"/>
      <w:bookmarkStart w:id="490" w:name="_Toc18052327"/>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环境影响识别</w:t>
      </w:r>
      <w:bookmarkEnd w:id="488"/>
      <w:bookmarkEnd w:id="489"/>
    </w:p>
    <w:p w14:paraId="2A8B5536">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.1项目类别</w:t>
      </w:r>
    </w:p>
    <w:p w14:paraId="165655D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土壤环境（试行）》</w:t>
      </w:r>
      <w:r>
        <w:rPr>
          <w:rFonts w:hint="default" w:ascii="Times New Roman" w:hAnsi="Times New Roman" w:eastAsia="宋体" w:cs="Times New Roman"/>
          <w:color w:val="auto"/>
          <w:highlight w:val="none"/>
        </w:rPr>
        <w:t>（HJ964-2018）附表A.1，本项目属于农林牧渔业，项目类别为Ⅲ类。</w:t>
      </w:r>
    </w:p>
    <w:p w14:paraId="67D79D7C">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.2影响类型及途径</w:t>
      </w:r>
    </w:p>
    <w:p w14:paraId="0731886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营运期粪污废水在事故状况下将下渗会对土壤造成垂直入渗影响，项目不涉及酸、碱、盐类物质，不会造成土壤酸化、碱化和盐化。</w:t>
      </w:r>
    </w:p>
    <w:p w14:paraId="1CA156E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表</w:t>
      </w:r>
      <w:r>
        <w:rPr>
          <w:rFonts w:hint="default" w:ascii="Times New Roman" w:hAnsi="Times New Roman" w:eastAsia="宋体" w:cs="Times New Roman"/>
          <w:color w:val="auto"/>
          <w:sz w:val="24"/>
          <w:szCs w:val="24"/>
          <w:highlight w:val="none"/>
        </w:rPr>
        <w:t>5.5-1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bidi="ar"/>
        </w:rPr>
        <w:t>建设项目土壤环境影响类型与影响途径表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1500"/>
        <w:gridCol w:w="1211"/>
        <w:gridCol w:w="1211"/>
        <w:gridCol w:w="1211"/>
        <w:gridCol w:w="628"/>
        <w:gridCol w:w="627"/>
        <w:gridCol w:w="628"/>
        <w:gridCol w:w="628"/>
        <w:gridCol w:w="633"/>
      </w:tblGrid>
      <w:tr w14:paraId="7EF6EC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083B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不同时段</w:t>
            </w:r>
          </w:p>
        </w:tc>
        <w:tc>
          <w:tcPr>
            <w:tcW w:w="4636" w:type="dxa"/>
            <w:gridSpan w:val="4"/>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0AF8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污染影响型</w:t>
            </w:r>
          </w:p>
        </w:tc>
        <w:tc>
          <w:tcPr>
            <w:tcW w:w="2732" w:type="dxa"/>
            <w:gridSpan w:val="4"/>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258F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生态影响型</w:t>
            </w:r>
          </w:p>
        </w:tc>
      </w:tr>
      <w:tr w14:paraId="1A41B8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49D67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2F21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大气沉降</w:t>
            </w: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B2EB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地面漫流</w:t>
            </w: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418A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垂直入渗</w:t>
            </w: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4A7B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其他</w:t>
            </w:r>
          </w:p>
        </w:tc>
        <w:tc>
          <w:tcPr>
            <w:tcW w:w="6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C4A7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盐化</w:t>
            </w: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E8C0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碱化</w:t>
            </w: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6F30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酸化</w:t>
            </w:r>
          </w:p>
        </w:tc>
        <w:tc>
          <w:tcPr>
            <w:tcW w:w="6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C198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其他</w:t>
            </w:r>
          </w:p>
        </w:tc>
      </w:tr>
      <w:tr w14:paraId="386E2F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597F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建设期</w:t>
            </w: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7D90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18A7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6064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6B9E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FD51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B2C8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D8E4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3EF8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066D82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29B4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运营期</w:t>
            </w: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CADB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07BF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21D0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B4B8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1EE6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338D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37EB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739F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7AB10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410D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服务期满后</w:t>
            </w: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0FBE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B331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3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53AA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9166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42D4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F981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C975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EDB4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bl>
    <w:p w14:paraId="4236E8B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由上表可知，拟建项目影响途径主要为运营期垂直入渗污染，因此拟建项目土壤环境影响途径为“污染影响型”。</w:t>
      </w:r>
    </w:p>
    <w:p w14:paraId="38004EA0">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.3影响源及影响因子</w:t>
      </w:r>
    </w:p>
    <w:p w14:paraId="3C50D34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拟建项目土壤环境影响源及影响因子识别结果参见下表。</w:t>
      </w:r>
    </w:p>
    <w:p w14:paraId="27387A6D">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kern w:val="0"/>
          <w:sz w:val="24"/>
          <w:szCs w:val="24"/>
          <w:highlight w:val="none"/>
          <w:lang w:bidi="ar"/>
        </w:rPr>
        <w:t>5.5-2</w:t>
      </w:r>
      <w:r>
        <w:rPr>
          <w:rFonts w:hint="default" w:ascii="Times New Roman" w:hAnsi="Times New Roman" w:eastAsia="宋体" w:cs="Times New Roman"/>
          <w:color w:val="auto"/>
          <w:sz w:val="24"/>
          <w:szCs w:val="24"/>
          <w:highlight w:val="none"/>
        </w:rPr>
        <w:t>土壤环境影响源及影响因子识别表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911"/>
        <w:gridCol w:w="1191"/>
        <w:gridCol w:w="1042"/>
        <w:gridCol w:w="2675"/>
        <w:gridCol w:w="1544"/>
        <w:gridCol w:w="914"/>
      </w:tblGrid>
      <w:tr w14:paraId="5AEBE2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9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B07D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污染源</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64E9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工艺流程/节点</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739F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污染途径</w:t>
            </w:r>
          </w:p>
        </w:tc>
        <w:tc>
          <w:tcPr>
            <w:tcW w:w="291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378E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全部污染物指标</w:t>
            </w:r>
          </w:p>
        </w:tc>
        <w:tc>
          <w:tcPr>
            <w:tcW w:w="1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7C8B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特征因子</w:t>
            </w:r>
          </w:p>
        </w:tc>
        <w:tc>
          <w:tcPr>
            <w:tcW w:w="9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D012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备注</w:t>
            </w:r>
          </w:p>
        </w:tc>
      </w:tr>
      <w:tr w14:paraId="3D97E3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9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2516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eastAsia="zh-CN" w:bidi="ar"/>
              </w:rPr>
            </w:pPr>
            <w:r>
              <w:rPr>
                <w:rFonts w:hint="default" w:ascii="Times New Roman" w:hAnsi="Times New Roman" w:eastAsia="宋体" w:cs="Times New Roman"/>
                <w:color w:val="auto"/>
                <w:sz w:val="21"/>
                <w:szCs w:val="20"/>
                <w:highlight w:val="none"/>
                <w:lang w:eastAsia="zh-CN" w:bidi="ar"/>
              </w:rPr>
              <w:t>堆肥场</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B6E7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eastAsia="zh-CN" w:bidi="ar"/>
              </w:rPr>
            </w:pPr>
            <w:r>
              <w:rPr>
                <w:rFonts w:hint="default" w:ascii="Times New Roman" w:hAnsi="Times New Roman" w:eastAsia="宋体" w:cs="Times New Roman"/>
                <w:color w:val="auto"/>
                <w:sz w:val="21"/>
                <w:szCs w:val="20"/>
                <w:highlight w:val="none"/>
                <w:lang w:eastAsia="zh-CN" w:bidi="ar"/>
              </w:rPr>
              <w:t>羊粪便</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F50B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垂直入渗</w:t>
            </w:r>
          </w:p>
        </w:tc>
        <w:tc>
          <w:tcPr>
            <w:tcW w:w="291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7EDD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COD、SS、BOD</w:t>
            </w:r>
            <w:r>
              <w:rPr>
                <w:rFonts w:hint="default" w:ascii="Times New Roman" w:hAnsi="Times New Roman" w:eastAsia="宋体" w:cs="Times New Roman"/>
                <w:color w:val="auto"/>
                <w:sz w:val="21"/>
                <w:szCs w:val="20"/>
                <w:highlight w:val="none"/>
                <w:vertAlign w:val="subscript"/>
                <w:lang w:bidi="ar"/>
              </w:rPr>
              <w:t>5</w:t>
            </w:r>
            <w:r>
              <w:rPr>
                <w:rFonts w:hint="default" w:ascii="Times New Roman" w:hAnsi="Times New Roman" w:eastAsia="宋体" w:cs="Times New Roman"/>
                <w:color w:val="auto"/>
                <w:sz w:val="21"/>
                <w:szCs w:val="20"/>
                <w:highlight w:val="none"/>
                <w:lang w:bidi="ar"/>
              </w:rPr>
              <w:t>、氨氮</w:t>
            </w:r>
          </w:p>
        </w:tc>
        <w:tc>
          <w:tcPr>
            <w:tcW w:w="1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4E40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eastAsia="zh-CN" w:bidi="ar"/>
              </w:rPr>
            </w:pPr>
            <w:r>
              <w:rPr>
                <w:rFonts w:hint="default" w:ascii="Times New Roman" w:hAnsi="Times New Roman" w:eastAsia="宋体" w:cs="Times New Roman"/>
                <w:color w:val="auto"/>
                <w:sz w:val="21"/>
                <w:szCs w:val="20"/>
                <w:highlight w:val="none"/>
                <w:lang w:val="en-US" w:eastAsia="zh-CN" w:bidi="ar"/>
              </w:rPr>
              <w:t>/</w:t>
            </w:r>
          </w:p>
        </w:tc>
        <w:tc>
          <w:tcPr>
            <w:tcW w:w="99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C65E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bidi="ar"/>
              </w:rPr>
            </w:pPr>
            <w:r>
              <w:rPr>
                <w:rFonts w:hint="default" w:ascii="Times New Roman" w:hAnsi="Times New Roman" w:eastAsia="宋体" w:cs="Times New Roman"/>
                <w:color w:val="auto"/>
                <w:sz w:val="21"/>
                <w:szCs w:val="20"/>
                <w:highlight w:val="none"/>
                <w:lang w:bidi="ar"/>
              </w:rPr>
              <w:t>事故</w:t>
            </w:r>
          </w:p>
        </w:tc>
      </w:tr>
    </w:tbl>
    <w:p w14:paraId="6E487A61">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491" w:name="_Toc11870"/>
      <w:bookmarkStart w:id="492" w:name="_Toc46421144"/>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理化调查与评价</w:t>
      </w:r>
      <w:bookmarkEnd w:id="491"/>
      <w:bookmarkEnd w:id="492"/>
    </w:p>
    <w:p w14:paraId="09DA653F">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.1调查范围</w:t>
      </w:r>
    </w:p>
    <w:p w14:paraId="3B2CBEF6">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土壤环境（试行）》</w:t>
      </w:r>
      <w:r>
        <w:rPr>
          <w:rFonts w:hint="default" w:ascii="Times New Roman" w:hAnsi="Times New Roman" w:eastAsia="宋体" w:cs="Times New Roman"/>
          <w:color w:val="auto"/>
          <w:highlight w:val="none"/>
        </w:rPr>
        <w:t>（HJ964-2018），结合项目特征，土壤现状调查范围为项目占地范围及占地范围外0.</w:t>
      </w:r>
      <w:r>
        <w:rPr>
          <w:rFonts w:hint="default" w:ascii="Times New Roman" w:hAnsi="Times New Roman" w:eastAsia="宋体" w:cs="Times New Roman"/>
          <w:color w:val="auto"/>
          <w:highlight w:val="none"/>
          <w:lang w:val="en-US" w:eastAsia="zh-CN"/>
        </w:rPr>
        <w:t>05</w:t>
      </w:r>
      <w:r>
        <w:rPr>
          <w:rFonts w:hint="default" w:ascii="Times New Roman" w:hAnsi="Times New Roman" w:eastAsia="宋体" w:cs="Times New Roman"/>
          <w:color w:val="auto"/>
          <w:highlight w:val="none"/>
        </w:rPr>
        <w:t>km范围。</w:t>
      </w:r>
    </w:p>
    <w:p w14:paraId="39371840">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.2敏感目标</w:t>
      </w:r>
    </w:p>
    <w:p w14:paraId="606AF831">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土壤环境（试行）》</w:t>
      </w:r>
      <w:r>
        <w:rPr>
          <w:rFonts w:hint="default" w:ascii="Times New Roman" w:hAnsi="Times New Roman" w:eastAsia="宋体" w:cs="Times New Roman"/>
          <w:color w:val="auto"/>
          <w:highlight w:val="none"/>
        </w:rPr>
        <w:t>（HJ964-2018），本项目周边为</w:t>
      </w:r>
      <w:r>
        <w:rPr>
          <w:rFonts w:hint="default" w:ascii="Times New Roman" w:hAnsi="Times New Roman" w:eastAsia="宋体" w:cs="Times New Roman"/>
          <w:color w:val="auto"/>
          <w:highlight w:val="none"/>
          <w:lang w:eastAsia="zh-CN"/>
        </w:rPr>
        <w:t>耕地</w:t>
      </w:r>
      <w:r>
        <w:rPr>
          <w:rFonts w:hint="default" w:ascii="Times New Roman" w:hAnsi="Times New Roman" w:eastAsia="宋体" w:cs="Times New Roman"/>
          <w:color w:val="auto"/>
          <w:highlight w:val="none"/>
        </w:rPr>
        <w:t>，属于土壤环境敏感目标。</w:t>
      </w:r>
    </w:p>
    <w:p w14:paraId="56BD2BF7">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.3土地利用现状</w:t>
      </w:r>
    </w:p>
    <w:p w14:paraId="14C5D8E7">
      <w:pPr>
        <w:pageBreakBefore w:val="0"/>
        <w:widowControl w:val="0"/>
        <w:shd w:val="clear"/>
        <w:kinsoku/>
        <w:wordWrap/>
        <w:overflowPunct/>
        <w:topLinePunct w:val="0"/>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本项目位于</w:t>
      </w:r>
      <w:r>
        <w:rPr>
          <w:rFonts w:hint="default" w:ascii="Times New Roman" w:hAnsi="Times New Roman" w:eastAsia="宋体" w:cs="Times New Roman"/>
          <w:color w:val="auto"/>
          <w:highlight w:val="none"/>
          <w:lang w:eastAsia="zh-CN"/>
        </w:rPr>
        <w:t>内蒙古自治区巴彦淖尔市五原县胜丰镇新丰村三社</w:t>
      </w:r>
      <w:r>
        <w:rPr>
          <w:rFonts w:hint="default" w:ascii="Times New Roman" w:hAnsi="Times New Roman" w:eastAsia="宋体" w:cs="Times New Roman"/>
          <w:color w:val="auto"/>
          <w:highlight w:val="none"/>
        </w:rPr>
        <w:t>，项目周边用地类型为</w:t>
      </w:r>
      <w:r>
        <w:rPr>
          <w:rFonts w:hint="default" w:ascii="Times New Roman" w:hAnsi="Times New Roman" w:eastAsia="宋体" w:cs="Times New Roman"/>
          <w:color w:val="auto"/>
          <w:highlight w:val="none"/>
          <w:lang w:eastAsia="zh-CN"/>
        </w:rPr>
        <w:t>耕地</w:t>
      </w:r>
      <w:r>
        <w:rPr>
          <w:rFonts w:hint="default" w:ascii="Times New Roman" w:hAnsi="Times New Roman" w:eastAsia="宋体" w:cs="Times New Roman"/>
          <w:color w:val="auto"/>
          <w:highlight w:val="none"/>
        </w:rPr>
        <w:t>；调查评价范围内土地利用现状主要为沙生植被其上生长植物种类多以灌木及多年生草本植物为主，主要有沙蒿等。</w:t>
      </w:r>
    </w:p>
    <w:bookmarkEnd w:id="490"/>
    <w:p w14:paraId="1185A83C">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493" w:name="_Toc2257"/>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土壤环境影响预测与评价</w:t>
      </w:r>
      <w:bookmarkEnd w:id="493"/>
    </w:p>
    <w:p w14:paraId="1C12721B">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494" w:name="_Toc494206331"/>
      <w:bookmarkStart w:id="495" w:name="_Toc530642955"/>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.1正常工况下土壤环境影响分析</w:t>
      </w:r>
    </w:p>
    <w:p w14:paraId="11D9E189">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根据土壤污染途径分析结果，本项目可能对土壤造成污染的主要有废气、废水和固废。项目确保各类废气污染物达标排放，可以有效减少废气污染物通过沉降或降水进入土壤的量。项目</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尿一起用铲车清理后堆放至</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，堆肥后用作有机肥原料；生活污水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w:t>
      </w:r>
      <w:r>
        <w:rPr>
          <w:rFonts w:hint="default" w:ascii="Times New Roman" w:hAnsi="Times New Roman" w:eastAsia="宋体" w:cs="Times New Roman"/>
          <w:color w:val="auto"/>
          <w:highlight w:val="none"/>
        </w:rPr>
        <w:t>。本项目对厂区采取了分区防渗措施，可以有效</w:t>
      </w:r>
      <w:r>
        <w:rPr>
          <w:rFonts w:hint="default" w:ascii="Times New Roman" w:hAnsi="Times New Roman" w:eastAsia="宋体" w:cs="Times New Roman"/>
          <w:color w:val="auto"/>
          <w:highlight w:val="none"/>
          <w:lang w:eastAsia="zh-CN"/>
        </w:rPr>
        <w:t>减少</w:t>
      </w:r>
      <w:r>
        <w:rPr>
          <w:rFonts w:hint="default" w:ascii="Times New Roman" w:hAnsi="Times New Roman" w:eastAsia="宋体" w:cs="Times New Roman"/>
          <w:color w:val="auto"/>
          <w:highlight w:val="none"/>
        </w:rPr>
        <w:t>废水对土壤的污染影响。项目生产过程中产生的危险固废经集中收集后委托有资质的单位处理，项目厂区建有</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座</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按照《危险废物贮存污染控制标准》（</w:t>
      </w:r>
      <w:r>
        <w:rPr>
          <w:rFonts w:hint="default" w:ascii="Times New Roman" w:hAnsi="Times New Roman" w:eastAsia="宋体" w:cs="Times New Roman"/>
          <w:color w:val="auto"/>
          <w:highlight w:val="none"/>
          <w:lang w:eastAsia="zh-CN"/>
        </w:rPr>
        <w:t>GB18597-2023</w:t>
      </w:r>
      <w:r>
        <w:rPr>
          <w:rFonts w:hint="default" w:ascii="Times New Roman" w:hAnsi="Times New Roman" w:eastAsia="宋体" w:cs="Times New Roman"/>
          <w:color w:val="auto"/>
          <w:highlight w:val="none"/>
        </w:rPr>
        <w:t>）的要求进行了防渗和封闭处理，在此处存放的危废采用袋装或桶装形式。通过以上分析可以看出，建设项目在正常运行工况下，不会对土壤环境质量造成显著影响。</w:t>
      </w:r>
    </w:p>
    <w:p w14:paraId="43EC39AC">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.2非正常工况下影响途径分析</w:t>
      </w:r>
    </w:p>
    <w:p w14:paraId="10468B9C">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在非正常工况或者事故情况下，建设项目可能对区域土壤造成影响。通过对建设项目建设内容分析，非正常工况下或事故情况下建设项目对地下水的可能影响途径主要包括：</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的</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出现粪污泄漏，渗入地下从而引起土壤环境污染。本项目在确保厂区各项预防措施得以落实并得到良好维护的前提下，项目生产在短期内不会对土壤造成明显的影响。</w:t>
      </w:r>
    </w:p>
    <w:p w14:paraId="44CD2ACE">
      <w:pPr>
        <w:pStyle w:val="7"/>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.3资源化利用土壤环境影响分析</w:t>
      </w:r>
    </w:p>
    <w:p w14:paraId="4D4C39A5">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本项目产生的粪污经处理后部分作为配套农田的有机肥使用，有机肥含有丰富的养分，除了含有丰富的氮、磷、钾等元素外，还含有对植物生长</w:t>
      </w:r>
      <w:r>
        <w:rPr>
          <w:rFonts w:hint="default" w:ascii="Times New Roman" w:hAnsi="Times New Roman" w:eastAsia="宋体" w:cs="Times New Roman"/>
          <w:color w:val="auto"/>
          <w:highlight w:val="none"/>
          <w:lang w:eastAsia="zh-CN"/>
        </w:rPr>
        <w:t>起着重要</w:t>
      </w:r>
      <w:r>
        <w:rPr>
          <w:rFonts w:hint="default" w:ascii="Times New Roman" w:hAnsi="Times New Roman" w:eastAsia="宋体" w:cs="Times New Roman"/>
          <w:color w:val="auto"/>
          <w:highlight w:val="none"/>
        </w:rPr>
        <w:t>作用的硼、铜、铁、锰、钙、锌等微量元素，以及大量的氨基酸、B族维生素、各种水解酶、某些植物激素，是一种高效性的优质肥料。有机肥具有改良土壤的作用，含有丰富的腐殖酸。腐殖酸能够促进微生物和酶系的活性，改善土壤水、肥、气、热状况收到培肥地力的功效。根据相关实践证明，有机肥用于果树，可提高</w:t>
      </w:r>
      <w:r>
        <w:rPr>
          <w:rFonts w:hint="default" w:ascii="Times New Roman" w:hAnsi="Times New Roman" w:eastAsia="宋体" w:cs="Times New Roman"/>
          <w:color w:val="auto"/>
          <w:highlight w:val="none"/>
          <w:lang w:eastAsia="zh-CN"/>
        </w:rPr>
        <w:t>坐果率</w:t>
      </w:r>
      <w:r>
        <w:rPr>
          <w:rFonts w:hint="default" w:ascii="Times New Roman" w:hAnsi="Times New Roman" w:eastAsia="宋体" w:cs="Times New Roman"/>
          <w:color w:val="auto"/>
          <w:highlight w:val="none"/>
        </w:rPr>
        <w:t>5%以上，增产幅度10%～30%，果实甜度提高0.5～1度。</w:t>
      </w:r>
    </w:p>
    <w:p w14:paraId="25B2D715">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施用土壤中的磷除部分被植被吸收利用和因化学反应产生难溶性磷酸盐外，其他磷则被土壤团粒和胶粒所吸附。这些被吸附磷与土壤溶液中磷处于吸附磷素施入土壤后，土壤胶体对无机磷有</w:t>
      </w:r>
      <w:r>
        <w:rPr>
          <w:rFonts w:hint="default" w:ascii="Times New Roman" w:hAnsi="Times New Roman" w:eastAsia="宋体" w:cs="Times New Roman"/>
          <w:color w:val="auto"/>
          <w:highlight w:val="none"/>
          <w:lang w:eastAsia="zh-CN"/>
        </w:rPr>
        <w:t>强烈</w:t>
      </w:r>
      <w:r>
        <w:rPr>
          <w:rFonts w:hint="default" w:ascii="Times New Roman" w:hAnsi="Times New Roman" w:eastAsia="宋体" w:cs="Times New Roman"/>
          <w:color w:val="auto"/>
          <w:highlight w:val="none"/>
        </w:rPr>
        <w:t>的吸附和固定作用。在pH小于6的酸性土壤中，磷素和土壤中的铁、铝化合物生成难溶性的磷酸铁、磷酸铝；在pH大于7.5的碱性土壤中，磷和钙易结合成难溶性磷酸钙。而施入有机肥，由于有机肥中含有腐植酸，能够提高土壤的缓冲性能（即维持土壤酸碱反应的相对稳定的能力）维持土壤pH在6~7.5，可以降低土壤对磷的吸附量，从而减少对磷的固定，提高施肥的有效性。</w:t>
      </w:r>
    </w:p>
    <w:p w14:paraId="1D8C885D">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用有机肥常被作为控制和改良土壤重金属污染的控制措施，因为可能通过改变重金属污染物在土壤中的形态分布而降低其生物有效性，还可以提高土壤的肥力。根据刘瑞伟等《有机肥料对土壤重金属净化的影响》，试验表明，施用化肥或</w:t>
      </w:r>
      <w:r>
        <w:rPr>
          <w:rFonts w:hint="default" w:ascii="Times New Roman" w:hAnsi="Times New Roman" w:eastAsia="宋体" w:cs="Times New Roman"/>
          <w:color w:val="auto"/>
          <w:highlight w:val="none"/>
          <w:lang w:eastAsia="zh-CN"/>
        </w:rPr>
        <w:t>有机</w:t>
      </w:r>
      <w:r>
        <w:rPr>
          <w:rFonts w:hint="default" w:ascii="Times New Roman" w:hAnsi="Times New Roman" w:eastAsia="宋体" w:cs="Times New Roman"/>
          <w:color w:val="auto"/>
          <w:highlight w:val="none"/>
        </w:rPr>
        <w:t>肥料都降低了土壤的pH值，且随着时间的延长，施用有机肥料的土壤pH值降低幅度更大，并通过</w:t>
      </w:r>
      <w:r>
        <w:rPr>
          <w:rFonts w:hint="default" w:ascii="Times New Roman" w:hAnsi="Times New Roman" w:eastAsia="宋体" w:cs="Times New Roman"/>
          <w:color w:val="auto"/>
          <w:highlight w:val="none"/>
          <w:lang w:eastAsia="zh-CN"/>
        </w:rPr>
        <w:t>结合</w:t>
      </w:r>
      <w:r>
        <w:rPr>
          <w:rFonts w:hint="default" w:ascii="Times New Roman" w:hAnsi="Times New Roman" w:eastAsia="宋体" w:cs="Times New Roman"/>
          <w:color w:val="auto"/>
          <w:highlight w:val="none"/>
        </w:rPr>
        <w:t>土壤重金属，降低土壤重金属的有效态含量。</w:t>
      </w:r>
    </w:p>
    <w:p w14:paraId="5B0257AE">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另外，有机肥料的施用，增加土壤的微生物量，提高土壤的生态肥力，可通过微生物的吸附、转化作用，降低土壤的pH值等，降低重金属的生物有效性，对土壤的重金属具有一定的解毒作用。</w:t>
      </w:r>
    </w:p>
    <w:p w14:paraId="279192DE">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合以上分析可知，只要建设单位能够综合考虑有机肥的组成成分，N、P、K养分的有效性和在土壤中的迁移规律、作物对有机肥的吸收能力，做到合理施肥，则采用有机肥施肥，能改善土壤的理化性质，增强土壤的保肥性，提高土壤的生态肥力，改良土壤重金属污染，预防病虫害，从而提高作物的品质和产量。由此分析可知，本项目实施后当地土壤环境影响较小。</w:t>
      </w:r>
    </w:p>
    <w:p w14:paraId="3BB3EC57">
      <w:pPr>
        <w:pStyle w:val="6"/>
        <w:pageBreakBefore w:val="0"/>
        <w:widowControl w:val="0"/>
        <w:shd w:val="clear"/>
        <w:kinsoku/>
        <w:wordWrap/>
        <w:overflowPunct/>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496" w:name="_Toc31462"/>
      <w:bookmarkStart w:id="497" w:name="_Toc46421146"/>
      <w:r>
        <w:rPr>
          <w:rFonts w:hint="default" w:ascii="Times New Roman" w:hAnsi="Times New Roman" w:eastAsia="宋体" w:cs="Times New Roman"/>
          <w:color w:val="auto"/>
          <w:highlight w:val="none"/>
        </w:rPr>
        <w:t>5.5.</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土壤影响评价结论</w:t>
      </w:r>
      <w:bookmarkEnd w:id="496"/>
      <w:bookmarkEnd w:id="497"/>
    </w:p>
    <w:p w14:paraId="0F581B1C">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正常工况下，不会有泄漏情况发生，也不会对土壤环境造成影响。本次项目</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采取合格防渗的措施，对土壤和</w:t>
      </w:r>
      <w:r>
        <w:rPr>
          <w:rFonts w:hint="default" w:ascii="Times New Roman" w:hAnsi="Times New Roman" w:eastAsia="宋体" w:cs="Times New Roman"/>
          <w:color w:val="auto"/>
          <w:highlight w:val="none"/>
          <w:lang w:eastAsia="zh-CN"/>
        </w:rPr>
        <w:t>地下水</w:t>
      </w:r>
      <w:r>
        <w:rPr>
          <w:rFonts w:hint="default" w:ascii="Times New Roman" w:hAnsi="Times New Roman" w:eastAsia="宋体" w:cs="Times New Roman"/>
          <w:color w:val="auto"/>
          <w:highlight w:val="none"/>
        </w:rPr>
        <w:t>造成污染的可能性更低。因此，可以推测本次项目正常工况下不会对周围土壤环境造成不良影响。事故状态下，假设粪污废水</w:t>
      </w:r>
      <w:r>
        <w:rPr>
          <w:rFonts w:hint="default" w:ascii="Times New Roman" w:hAnsi="Times New Roman" w:eastAsia="宋体" w:cs="Times New Roman"/>
          <w:color w:val="auto"/>
          <w:highlight w:val="none"/>
          <w:lang w:eastAsia="zh-CN"/>
        </w:rPr>
        <w:t>泄漏</w:t>
      </w:r>
      <w:r>
        <w:rPr>
          <w:rFonts w:hint="default" w:ascii="Times New Roman" w:hAnsi="Times New Roman" w:eastAsia="宋体" w:cs="Times New Roman"/>
          <w:color w:val="auto"/>
          <w:highlight w:val="none"/>
        </w:rPr>
        <w:t>，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14:paraId="7F9127AC">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综上，项目土壤环境影响可接受。</w:t>
      </w:r>
    </w:p>
    <w:p w14:paraId="23B4CD76">
      <w:pPr>
        <w:pageBreakBefore w:val="0"/>
        <w:widowControl w:val="0"/>
        <w:shd w:val="clear"/>
        <w:kinsoku/>
        <w:wordWrap/>
        <w:overflow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建设项目土壤环境影响评价自查表见下表。</w:t>
      </w:r>
    </w:p>
    <w:p w14:paraId="3DD14ED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表5.5-</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土壤环境影响评价自查表</w:t>
      </w:r>
    </w:p>
    <w:tbl>
      <w:tblPr>
        <w:tblStyle w:val="42"/>
        <w:tblW w:w="827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379"/>
        <w:gridCol w:w="1495"/>
        <w:gridCol w:w="1263"/>
        <w:gridCol w:w="1367"/>
        <w:gridCol w:w="1449"/>
        <w:gridCol w:w="582"/>
        <w:gridCol w:w="719"/>
        <w:gridCol w:w="1023"/>
      </w:tblGrid>
      <w:tr w14:paraId="071D22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038" w:type="dxa"/>
            <w:gridSpan w:val="2"/>
            <w:tcBorders>
              <w:top w:val="single" w:color="auto" w:sz="4" w:space="0"/>
              <w:left w:val="single" w:color="auto" w:sz="4" w:space="0"/>
              <w:bottom w:val="single" w:color="auto" w:sz="4" w:space="0"/>
              <w:right w:val="single" w:color="auto" w:sz="4" w:space="0"/>
            </w:tcBorders>
            <w:vAlign w:val="center"/>
          </w:tcPr>
          <w:p w14:paraId="3287C91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工作内容</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06F8E1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完成情况</w:t>
            </w:r>
          </w:p>
        </w:tc>
        <w:tc>
          <w:tcPr>
            <w:tcW w:w="1113" w:type="dxa"/>
            <w:tcBorders>
              <w:top w:val="single" w:color="auto" w:sz="4" w:space="0"/>
              <w:left w:val="single" w:color="auto" w:sz="4" w:space="0"/>
              <w:bottom w:val="single" w:color="auto" w:sz="4" w:space="0"/>
              <w:right w:val="single" w:color="auto" w:sz="4" w:space="0"/>
            </w:tcBorders>
            <w:vAlign w:val="center"/>
          </w:tcPr>
          <w:p w14:paraId="0A47ED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p>
        </w:tc>
      </w:tr>
      <w:tr w14:paraId="32A3E7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tcBorders>
              <w:top w:val="single" w:color="auto" w:sz="4" w:space="0"/>
              <w:left w:val="single" w:color="auto" w:sz="4" w:space="0"/>
              <w:bottom w:val="single" w:color="auto" w:sz="4" w:space="0"/>
              <w:right w:val="single" w:color="auto" w:sz="4" w:space="0"/>
            </w:tcBorders>
            <w:vAlign w:val="center"/>
          </w:tcPr>
          <w:p w14:paraId="2458B7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影响识别</w:t>
            </w:r>
          </w:p>
        </w:tc>
        <w:tc>
          <w:tcPr>
            <w:tcW w:w="1626" w:type="dxa"/>
            <w:tcBorders>
              <w:top w:val="single" w:color="auto" w:sz="4" w:space="0"/>
              <w:left w:val="single" w:color="auto" w:sz="4" w:space="0"/>
              <w:bottom w:val="single" w:color="auto" w:sz="4" w:space="0"/>
              <w:right w:val="single" w:color="auto" w:sz="4" w:space="0"/>
            </w:tcBorders>
            <w:vAlign w:val="center"/>
          </w:tcPr>
          <w:p w14:paraId="074170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影响类型</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7DAECC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污染影响型</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；生态影响型□；两种兼有□</w:t>
            </w:r>
          </w:p>
        </w:tc>
        <w:tc>
          <w:tcPr>
            <w:tcW w:w="1113" w:type="dxa"/>
            <w:tcBorders>
              <w:top w:val="single" w:color="auto" w:sz="4" w:space="0"/>
              <w:left w:val="single" w:color="auto" w:sz="4" w:space="0"/>
              <w:bottom w:val="single" w:color="auto" w:sz="4" w:space="0"/>
              <w:right w:val="single" w:color="auto" w:sz="4" w:space="0"/>
            </w:tcBorders>
            <w:vAlign w:val="center"/>
          </w:tcPr>
          <w:p w14:paraId="64C006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CF1014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33F3AA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4A0D1B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土地利用类型</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2C3818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建设用地</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4"/>
                <w:sz w:val="21"/>
                <w:szCs w:val="21"/>
                <w:highlight w:val="none"/>
                <w:lang w:eastAsia="zh-CN"/>
              </w:rPr>
              <w:instrText xml:space="preserve">,</w:instrText>
            </w:r>
            <w:r>
              <w:rPr>
                <w:rFonts w:hint="default" w:ascii="Times New Roman" w:hAnsi="Times New Roman" w:eastAsia="宋体" w:cs="Times New Roman"/>
                <w:color w:val="auto"/>
                <w:position w:val="-1"/>
                <w:sz w:val="14"/>
                <w:szCs w:val="21"/>
                <w:highlight w:val="none"/>
                <w:lang w:eastAsia="zh-CN"/>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；农用地</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4"/>
                <w:sz w:val="21"/>
                <w:szCs w:val="21"/>
                <w:highlight w:val="none"/>
                <w:lang w:eastAsia="zh-CN"/>
              </w:rPr>
              <w:instrText xml:space="preserve">,</w:instrText>
            </w:r>
            <w:r>
              <w:rPr>
                <w:rFonts w:hint="default" w:ascii="Times New Roman" w:hAnsi="Times New Roman" w:eastAsia="宋体" w:cs="Times New Roman"/>
                <w:color w:val="auto"/>
                <w:position w:val="-1"/>
                <w:sz w:val="21"/>
                <w:szCs w:val="21"/>
                <w:highlight w:val="none"/>
                <w:lang w:eastAsia="zh-CN"/>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；未利用地□</w:t>
            </w:r>
          </w:p>
        </w:tc>
        <w:tc>
          <w:tcPr>
            <w:tcW w:w="1113" w:type="dxa"/>
            <w:tcBorders>
              <w:top w:val="single" w:color="auto" w:sz="4" w:space="0"/>
              <w:left w:val="single" w:color="auto" w:sz="4" w:space="0"/>
              <w:bottom w:val="single" w:color="auto" w:sz="4" w:space="0"/>
              <w:right w:val="single" w:color="auto" w:sz="4" w:space="0"/>
            </w:tcBorders>
            <w:vAlign w:val="center"/>
          </w:tcPr>
          <w:p w14:paraId="5416CB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土地利用类</w:t>
            </w:r>
          </w:p>
          <w:p w14:paraId="495B22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型图</w:t>
            </w:r>
          </w:p>
        </w:tc>
      </w:tr>
      <w:tr w14:paraId="221EC98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15E0AF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78217F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占地规模</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1DCF97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5.16</w:t>
            </w:r>
            <w:r>
              <w:rPr>
                <w:rFonts w:hint="default" w:ascii="Times New Roman" w:hAnsi="Times New Roman" w:eastAsia="宋体" w:cs="Times New Roman"/>
                <w:color w:val="auto"/>
                <w:sz w:val="21"/>
                <w:szCs w:val="21"/>
                <w:highlight w:val="none"/>
              </w:rPr>
              <w:t>）hm</w:t>
            </w:r>
            <w:r>
              <w:rPr>
                <w:rFonts w:hint="default" w:ascii="Times New Roman" w:hAnsi="Times New Roman" w:eastAsia="宋体" w:cs="Times New Roman"/>
                <w:color w:val="auto"/>
                <w:position w:val="6"/>
                <w:sz w:val="21"/>
                <w:szCs w:val="21"/>
                <w:highlight w:val="none"/>
                <w:vertAlign w:val="superscript"/>
              </w:rPr>
              <w:t>2</w:t>
            </w:r>
          </w:p>
        </w:tc>
        <w:tc>
          <w:tcPr>
            <w:tcW w:w="1113" w:type="dxa"/>
            <w:tcBorders>
              <w:top w:val="single" w:color="auto" w:sz="4" w:space="0"/>
              <w:left w:val="single" w:color="auto" w:sz="4" w:space="0"/>
              <w:bottom w:val="single" w:color="auto" w:sz="4" w:space="0"/>
              <w:right w:val="single" w:color="auto" w:sz="4" w:space="0"/>
            </w:tcBorders>
            <w:vAlign w:val="center"/>
          </w:tcPr>
          <w:p w14:paraId="1C61EE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6E9D71F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2CA1B0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3863DB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敏感目标信息</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62626B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敏感目标（</w:t>
            </w:r>
            <w:r>
              <w:rPr>
                <w:rFonts w:hint="default" w:ascii="Times New Roman" w:hAnsi="Times New Roman" w:eastAsia="宋体" w:cs="Times New Roman"/>
                <w:color w:val="auto"/>
                <w:sz w:val="21"/>
                <w:szCs w:val="21"/>
                <w:highlight w:val="none"/>
                <w:lang w:val="en-US" w:eastAsia="zh-CN"/>
              </w:rPr>
              <w:t>耕地</w:t>
            </w:r>
            <w:r>
              <w:rPr>
                <w:rFonts w:hint="default" w:ascii="Times New Roman" w:hAnsi="Times New Roman" w:eastAsia="宋体" w:cs="Times New Roman"/>
                <w:color w:val="auto"/>
                <w:sz w:val="21"/>
                <w:szCs w:val="21"/>
                <w:highlight w:val="none"/>
              </w:rPr>
              <w:t>）、方位（四周）、距离（50m）</w:t>
            </w:r>
          </w:p>
        </w:tc>
        <w:tc>
          <w:tcPr>
            <w:tcW w:w="1113" w:type="dxa"/>
            <w:tcBorders>
              <w:top w:val="single" w:color="auto" w:sz="4" w:space="0"/>
              <w:left w:val="single" w:color="auto" w:sz="4" w:space="0"/>
              <w:bottom w:val="single" w:color="auto" w:sz="4" w:space="0"/>
              <w:right w:val="single" w:color="auto" w:sz="4" w:space="0"/>
            </w:tcBorders>
            <w:vAlign w:val="center"/>
          </w:tcPr>
          <w:p w14:paraId="3B7E0A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9A6F87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2C7D8F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19A1A2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影响途径</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5F8F58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大气沉降□；地面漫流□；垂直入渗</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；地下水位□；其他（）</w:t>
            </w:r>
          </w:p>
        </w:tc>
        <w:tc>
          <w:tcPr>
            <w:tcW w:w="1113" w:type="dxa"/>
            <w:tcBorders>
              <w:top w:val="single" w:color="auto" w:sz="4" w:space="0"/>
              <w:left w:val="single" w:color="auto" w:sz="4" w:space="0"/>
              <w:bottom w:val="single" w:color="auto" w:sz="4" w:space="0"/>
              <w:right w:val="single" w:color="auto" w:sz="4" w:space="0"/>
            </w:tcBorders>
            <w:vAlign w:val="center"/>
          </w:tcPr>
          <w:p w14:paraId="11643A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312665B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594F92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25B450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全部污染物</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4C9AE5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COD、BOD</w:t>
            </w:r>
            <w:r>
              <w:rPr>
                <w:rFonts w:hint="default" w:ascii="Times New Roman" w:hAnsi="Times New Roman" w:eastAsia="宋体" w:cs="Times New Roman"/>
                <w:color w:val="auto"/>
                <w:sz w:val="21"/>
                <w:szCs w:val="21"/>
                <w:highlight w:val="none"/>
                <w:vertAlign w:val="subscript"/>
                <w:lang w:bidi="ar"/>
              </w:rPr>
              <w:t>5</w:t>
            </w:r>
            <w:r>
              <w:rPr>
                <w:rFonts w:hint="default" w:ascii="Times New Roman" w:hAnsi="Times New Roman" w:eastAsia="宋体" w:cs="Times New Roman"/>
                <w:color w:val="auto"/>
                <w:sz w:val="21"/>
                <w:szCs w:val="21"/>
                <w:highlight w:val="none"/>
                <w:lang w:bidi="ar"/>
              </w:rPr>
              <w:t>、氨氮</w:t>
            </w:r>
          </w:p>
        </w:tc>
        <w:tc>
          <w:tcPr>
            <w:tcW w:w="1113" w:type="dxa"/>
            <w:tcBorders>
              <w:top w:val="single" w:color="auto" w:sz="4" w:space="0"/>
              <w:left w:val="single" w:color="auto" w:sz="4" w:space="0"/>
              <w:bottom w:val="single" w:color="auto" w:sz="4" w:space="0"/>
              <w:right w:val="single" w:color="auto" w:sz="4" w:space="0"/>
            </w:tcBorders>
            <w:vAlign w:val="center"/>
          </w:tcPr>
          <w:p w14:paraId="7EA4B4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50E1929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23B126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5A8BD8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特征因子</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5B6421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tc>
        <w:tc>
          <w:tcPr>
            <w:tcW w:w="1113" w:type="dxa"/>
            <w:tcBorders>
              <w:top w:val="single" w:color="auto" w:sz="4" w:space="0"/>
              <w:left w:val="single" w:color="auto" w:sz="4" w:space="0"/>
              <w:bottom w:val="single" w:color="auto" w:sz="4" w:space="0"/>
              <w:right w:val="single" w:color="auto" w:sz="4" w:space="0"/>
            </w:tcBorders>
            <w:vAlign w:val="center"/>
          </w:tcPr>
          <w:p w14:paraId="041798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3C0AC9D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1927E2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6C9525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所属土壤环境影响评价项目类别</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26A391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Ⅰ类□；Ⅱ类□；Ⅲ类</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；Ⅳ类□</w:t>
            </w:r>
          </w:p>
        </w:tc>
        <w:tc>
          <w:tcPr>
            <w:tcW w:w="1113" w:type="dxa"/>
            <w:tcBorders>
              <w:top w:val="single" w:color="auto" w:sz="4" w:space="0"/>
              <w:left w:val="single" w:color="auto" w:sz="4" w:space="0"/>
              <w:bottom w:val="single" w:color="auto" w:sz="4" w:space="0"/>
              <w:right w:val="single" w:color="auto" w:sz="4" w:space="0"/>
            </w:tcBorders>
            <w:vAlign w:val="center"/>
          </w:tcPr>
          <w:p w14:paraId="02BA61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7274F2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104A64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7A4B8C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敏感程度</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62CE90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敏感</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；较敏感□；不敏感□</w:t>
            </w:r>
          </w:p>
        </w:tc>
        <w:tc>
          <w:tcPr>
            <w:tcW w:w="1113" w:type="dxa"/>
            <w:tcBorders>
              <w:top w:val="single" w:color="auto" w:sz="4" w:space="0"/>
              <w:left w:val="single" w:color="auto" w:sz="4" w:space="0"/>
              <w:bottom w:val="single" w:color="auto" w:sz="4" w:space="0"/>
              <w:right w:val="single" w:color="auto" w:sz="4" w:space="0"/>
            </w:tcBorders>
            <w:vAlign w:val="center"/>
          </w:tcPr>
          <w:p w14:paraId="4C0FD3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E7C07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038" w:type="dxa"/>
            <w:gridSpan w:val="2"/>
            <w:tcBorders>
              <w:top w:val="single" w:color="auto" w:sz="4" w:space="0"/>
              <w:left w:val="single" w:color="auto" w:sz="4" w:space="0"/>
              <w:bottom w:val="single" w:color="auto" w:sz="4" w:space="0"/>
              <w:right w:val="single" w:color="auto" w:sz="4" w:space="0"/>
            </w:tcBorders>
            <w:vAlign w:val="center"/>
          </w:tcPr>
          <w:p w14:paraId="344A80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评价工作等级</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2154E3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一级□；二级□；三级</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1113" w:type="dxa"/>
            <w:tcBorders>
              <w:top w:val="single" w:color="auto" w:sz="4" w:space="0"/>
              <w:left w:val="single" w:color="auto" w:sz="4" w:space="0"/>
              <w:bottom w:val="single" w:color="auto" w:sz="4" w:space="0"/>
              <w:right w:val="single" w:color="auto" w:sz="4" w:space="0"/>
            </w:tcBorders>
            <w:vAlign w:val="center"/>
          </w:tcPr>
          <w:p w14:paraId="563AE2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68328C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tcBorders>
              <w:top w:val="single" w:color="auto" w:sz="4" w:space="0"/>
              <w:left w:val="single" w:color="auto" w:sz="4" w:space="0"/>
              <w:bottom w:val="single" w:color="auto" w:sz="4" w:space="0"/>
              <w:right w:val="single" w:color="auto" w:sz="4" w:space="0"/>
            </w:tcBorders>
            <w:vAlign w:val="center"/>
          </w:tcPr>
          <w:p w14:paraId="237D73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现状调查内容</w:t>
            </w:r>
          </w:p>
        </w:tc>
        <w:tc>
          <w:tcPr>
            <w:tcW w:w="1626" w:type="dxa"/>
            <w:tcBorders>
              <w:top w:val="single" w:color="auto" w:sz="4" w:space="0"/>
              <w:left w:val="single" w:color="auto" w:sz="4" w:space="0"/>
              <w:bottom w:val="single" w:color="auto" w:sz="4" w:space="0"/>
              <w:right w:val="single" w:color="auto" w:sz="4" w:space="0"/>
            </w:tcBorders>
            <w:vAlign w:val="center"/>
          </w:tcPr>
          <w:p w14:paraId="38BE09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资料收集</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1CF82A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；b）</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；d）</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p>
        </w:tc>
        <w:tc>
          <w:tcPr>
            <w:tcW w:w="1113" w:type="dxa"/>
            <w:tcBorders>
              <w:top w:val="single" w:color="auto" w:sz="4" w:space="0"/>
              <w:left w:val="single" w:color="auto" w:sz="4" w:space="0"/>
              <w:bottom w:val="single" w:color="auto" w:sz="4" w:space="0"/>
              <w:right w:val="single" w:color="auto" w:sz="4" w:space="0"/>
            </w:tcBorders>
            <w:vAlign w:val="center"/>
          </w:tcPr>
          <w:p w14:paraId="6CD404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6B3B69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54DF41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3038BF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理化特性</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3EF64B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见表5.3-3</w:t>
            </w:r>
          </w:p>
        </w:tc>
        <w:tc>
          <w:tcPr>
            <w:tcW w:w="1113" w:type="dxa"/>
            <w:tcBorders>
              <w:top w:val="single" w:color="auto" w:sz="4" w:space="0"/>
              <w:left w:val="single" w:color="auto" w:sz="4" w:space="0"/>
              <w:bottom w:val="single" w:color="auto" w:sz="4" w:space="0"/>
              <w:right w:val="single" w:color="auto" w:sz="4" w:space="0"/>
            </w:tcBorders>
            <w:vAlign w:val="center"/>
          </w:tcPr>
          <w:p w14:paraId="316237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同附录C</w:t>
            </w:r>
          </w:p>
        </w:tc>
      </w:tr>
      <w:tr w14:paraId="7B0E2EA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62B1BA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0535AB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现状监测点位</w:t>
            </w:r>
          </w:p>
        </w:tc>
        <w:tc>
          <w:tcPr>
            <w:tcW w:w="1374" w:type="dxa"/>
            <w:tcBorders>
              <w:top w:val="single" w:color="auto" w:sz="4" w:space="0"/>
              <w:left w:val="single" w:color="auto" w:sz="4" w:space="0"/>
              <w:bottom w:val="single" w:color="auto" w:sz="4" w:space="0"/>
              <w:right w:val="single" w:color="auto" w:sz="4" w:space="0"/>
            </w:tcBorders>
            <w:vAlign w:val="center"/>
          </w:tcPr>
          <w:p w14:paraId="042B27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487" w:type="dxa"/>
            <w:tcBorders>
              <w:top w:val="single" w:color="auto" w:sz="4" w:space="0"/>
              <w:left w:val="single" w:color="auto" w:sz="4" w:space="0"/>
              <w:bottom w:val="single" w:color="auto" w:sz="4" w:space="0"/>
              <w:right w:val="single" w:color="auto" w:sz="4" w:space="0"/>
            </w:tcBorders>
            <w:vAlign w:val="center"/>
          </w:tcPr>
          <w:p w14:paraId="1B4F62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占地范围内</w:t>
            </w:r>
          </w:p>
        </w:tc>
        <w:tc>
          <w:tcPr>
            <w:tcW w:w="2210" w:type="dxa"/>
            <w:gridSpan w:val="2"/>
            <w:tcBorders>
              <w:top w:val="single" w:color="auto" w:sz="4" w:space="0"/>
              <w:left w:val="single" w:color="auto" w:sz="4" w:space="0"/>
              <w:bottom w:val="single" w:color="auto" w:sz="4" w:space="0"/>
              <w:right w:val="single" w:color="auto" w:sz="4" w:space="0"/>
            </w:tcBorders>
            <w:vAlign w:val="center"/>
          </w:tcPr>
          <w:p w14:paraId="28AA0A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占地范围外</w:t>
            </w:r>
          </w:p>
        </w:tc>
        <w:tc>
          <w:tcPr>
            <w:tcW w:w="781" w:type="dxa"/>
            <w:tcBorders>
              <w:top w:val="single" w:color="auto" w:sz="4" w:space="0"/>
              <w:left w:val="single" w:color="auto" w:sz="4" w:space="0"/>
              <w:bottom w:val="single" w:color="auto" w:sz="4" w:space="0"/>
              <w:right w:val="single" w:color="auto" w:sz="4" w:space="0"/>
            </w:tcBorders>
            <w:vAlign w:val="center"/>
          </w:tcPr>
          <w:p w14:paraId="1C76EE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深度</w:t>
            </w:r>
          </w:p>
        </w:tc>
        <w:tc>
          <w:tcPr>
            <w:tcW w:w="1113" w:type="dxa"/>
            <w:vMerge w:val="restart"/>
            <w:tcBorders>
              <w:top w:val="single" w:color="auto" w:sz="4" w:space="0"/>
              <w:left w:val="single" w:color="auto" w:sz="4" w:space="0"/>
              <w:bottom w:val="single" w:color="auto" w:sz="4" w:space="0"/>
              <w:right w:val="single" w:color="auto" w:sz="4" w:space="0"/>
            </w:tcBorders>
            <w:vAlign w:val="center"/>
          </w:tcPr>
          <w:p w14:paraId="3CEFEB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p w14:paraId="215581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点位布置图</w:t>
            </w:r>
          </w:p>
        </w:tc>
      </w:tr>
      <w:tr w14:paraId="61F85E7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77CF4E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0444A2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374" w:type="dxa"/>
            <w:tcBorders>
              <w:top w:val="single" w:color="auto" w:sz="4" w:space="0"/>
              <w:left w:val="single" w:color="auto" w:sz="4" w:space="0"/>
              <w:bottom w:val="single" w:color="auto" w:sz="4" w:space="0"/>
              <w:right w:val="single" w:color="auto" w:sz="4" w:space="0"/>
            </w:tcBorders>
            <w:vAlign w:val="center"/>
          </w:tcPr>
          <w:p w14:paraId="072C3A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表层样点数</w:t>
            </w:r>
          </w:p>
        </w:tc>
        <w:tc>
          <w:tcPr>
            <w:tcW w:w="1487" w:type="dxa"/>
            <w:tcBorders>
              <w:top w:val="single" w:color="auto" w:sz="4" w:space="0"/>
              <w:left w:val="single" w:color="auto" w:sz="4" w:space="0"/>
              <w:bottom w:val="single" w:color="auto" w:sz="4" w:space="0"/>
              <w:right w:val="single" w:color="auto" w:sz="4" w:space="0"/>
            </w:tcBorders>
            <w:vAlign w:val="center"/>
          </w:tcPr>
          <w:p w14:paraId="6939AC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210" w:type="dxa"/>
            <w:gridSpan w:val="2"/>
            <w:tcBorders>
              <w:top w:val="single" w:color="auto" w:sz="4" w:space="0"/>
              <w:left w:val="single" w:color="auto" w:sz="4" w:space="0"/>
              <w:bottom w:val="single" w:color="auto" w:sz="4" w:space="0"/>
              <w:right w:val="single" w:color="auto" w:sz="4" w:space="0"/>
            </w:tcBorders>
            <w:vAlign w:val="center"/>
          </w:tcPr>
          <w:p w14:paraId="3BDA11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781" w:type="dxa"/>
            <w:tcBorders>
              <w:top w:val="single" w:color="auto" w:sz="4" w:space="0"/>
              <w:left w:val="single" w:color="auto" w:sz="4" w:space="0"/>
              <w:bottom w:val="single" w:color="auto" w:sz="4" w:space="0"/>
              <w:right w:val="single" w:color="auto" w:sz="4" w:space="0"/>
            </w:tcBorders>
            <w:vAlign w:val="center"/>
          </w:tcPr>
          <w:p w14:paraId="22D8B0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0.2m</w:t>
            </w:r>
          </w:p>
        </w:tc>
        <w:tc>
          <w:tcPr>
            <w:tcW w:w="1113" w:type="dxa"/>
            <w:vMerge w:val="continue"/>
            <w:tcBorders>
              <w:top w:val="single" w:color="auto" w:sz="4" w:space="0"/>
              <w:left w:val="single" w:color="auto" w:sz="4" w:space="0"/>
              <w:bottom w:val="single" w:color="auto" w:sz="4" w:space="0"/>
              <w:right w:val="single" w:color="auto" w:sz="4" w:space="0"/>
            </w:tcBorders>
            <w:vAlign w:val="center"/>
          </w:tcPr>
          <w:p w14:paraId="467D98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684F0AD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4CA4C5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0C800A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374" w:type="dxa"/>
            <w:tcBorders>
              <w:top w:val="single" w:color="auto" w:sz="4" w:space="0"/>
              <w:left w:val="single" w:color="auto" w:sz="4" w:space="0"/>
              <w:bottom w:val="single" w:color="auto" w:sz="4" w:space="0"/>
              <w:right w:val="single" w:color="auto" w:sz="4" w:space="0"/>
            </w:tcBorders>
            <w:vAlign w:val="center"/>
          </w:tcPr>
          <w:p w14:paraId="03D0BD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柱状样点数</w:t>
            </w:r>
          </w:p>
        </w:tc>
        <w:tc>
          <w:tcPr>
            <w:tcW w:w="1487" w:type="dxa"/>
            <w:tcBorders>
              <w:top w:val="single" w:color="auto" w:sz="4" w:space="0"/>
              <w:left w:val="single" w:color="auto" w:sz="4" w:space="0"/>
              <w:bottom w:val="single" w:color="auto" w:sz="4" w:space="0"/>
              <w:right w:val="single" w:color="auto" w:sz="4" w:space="0"/>
            </w:tcBorders>
            <w:vAlign w:val="center"/>
          </w:tcPr>
          <w:p w14:paraId="43C8B2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2210" w:type="dxa"/>
            <w:gridSpan w:val="2"/>
            <w:tcBorders>
              <w:top w:val="single" w:color="auto" w:sz="4" w:space="0"/>
              <w:left w:val="single" w:color="auto" w:sz="4" w:space="0"/>
              <w:bottom w:val="single" w:color="auto" w:sz="4" w:space="0"/>
              <w:right w:val="single" w:color="auto" w:sz="4" w:space="0"/>
            </w:tcBorders>
            <w:vAlign w:val="center"/>
          </w:tcPr>
          <w:p w14:paraId="33AE9D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781" w:type="dxa"/>
            <w:tcBorders>
              <w:top w:val="single" w:color="auto" w:sz="4" w:space="0"/>
              <w:left w:val="single" w:color="auto" w:sz="4" w:space="0"/>
              <w:bottom w:val="single" w:color="auto" w:sz="4" w:space="0"/>
              <w:right w:val="single" w:color="auto" w:sz="4" w:space="0"/>
            </w:tcBorders>
            <w:vAlign w:val="center"/>
          </w:tcPr>
          <w:p w14:paraId="098E05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113" w:type="dxa"/>
            <w:vMerge w:val="continue"/>
            <w:tcBorders>
              <w:top w:val="single" w:color="auto" w:sz="4" w:space="0"/>
              <w:left w:val="single" w:color="auto" w:sz="4" w:space="0"/>
              <w:bottom w:val="single" w:color="auto" w:sz="4" w:space="0"/>
              <w:right w:val="single" w:color="auto" w:sz="4" w:space="0"/>
            </w:tcBorders>
            <w:vAlign w:val="center"/>
          </w:tcPr>
          <w:p w14:paraId="6CFB9F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3BC603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5AD8C0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76A067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现状监测因子</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47D906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GB15618</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；GB36600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；表D.1□；表D.2□；其他（）</w:t>
            </w:r>
          </w:p>
        </w:tc>
        <w:tc>
          <w:tcPr>
            <w:tcW w:w="1113" w:type="dxa"/>
            <w:tcBorders>
              <w:top w:val="single" w:color="auto" w:sz="4" w:space="0"/>
              <w:left w:val="single" w:color="auto" w:sz="4" w:space="0"/>
              <w:bottom w:val="single" w:color="auto" w:sz="4" w:space="0"/>
              <w:right w:val="single" w:color="auto" w:sz="4" w:space="0"/>
            </w:tcBorders>
            <w:vAlign w:val="center"/>
          </w:tcPr>
          <w:p w14:paraId="1A1D3C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7275D5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tcBorders>
              <w:top w:val="single" w:color="auto" w:sz="4" w:space="0"/>
              <w:left w:val="single" w:color="auto" w:sz="4" w:space="0"/>
              <w:bottom w:val="single" w:color="auto" w:sz="4" w:space="0"/>
              <w:right w:val="single" w:color="auto" w:sz="4" w:space="0"/>
            </w:tcBorders>
            <w:vAlign w:val="center"/>
          </w:tcPr>
          <w:p w14:paraId="0EF8F8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w:t>
            </w:r>
          </w:p>
          <w:p w14:paraId="30D9D5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价</w:t>
            </w:r>
          </w:p>
        </w:tc>
        <w:tc>
          <w:tcPr>
            <w:tcW w:w="1626" w:type="dxa"/>
            <w:tcBorders>
              <w:top w:val="single" w:color="auto" w:sz="4" w:space="0"/>
              <w:left w:val="single" w:color="auto" w:sz="4" w:space="0"/>
              <w:bottom w:val="single" w:color="auto" w:sz="4" w:space="0"/>
              <w:right w:val="single" w:color="auto" w:sz="4" w:space="0"/>
            </w:tcBorders>
            <w:vAlign w:val="center"/>
          </w:tcPr>
          <w:p w14:paraId="6A4EA7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60DEA4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满足</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土壤环境质量 建设用地土壤污染风险管控标准</w:t>
            </w:r>
            <w:r>
              <w:rPr>
                <w:rFonts w:hint="default" w:ascii="Times New Roman" w:hAnsi="Times New Roman" w:eastAsia="宋体" w:cs="Times New Roman"/>
                <w:color w:val="auto"/>
                <w:sz w:val="21"/>
                <w:szCs w:val="21"/>
                <w:highlight w:val="none"/>
                <w:lang w:eastAsia="zh-CN"/>
              </w:rPr>
              <w:t>（试行）》（GB36600-2018）第二类用地筛选值的限值要求</w:t>
            </w:r>
          </w:p>
        </w:tc>
        <w:tc>
          <w:tcPr>
            <w:tcW w:w="1113" w:type="dxa"/>
            <w:tcBorders>
              <w:top w:val="single" w:color="auto" w:sz="4" w:space="0"/>
              <w:left w:val="single" w:color="auto" w:sz="4" w:space="0"/>
              <w:bottom w:val="single" w:color="auto" w:sz="4" w:space="0"/>
              <w:right w:val="single" w:color="auto" w:sz="4" w:space="0"/>
            </w:tcBorders>
            <w:vAlign w:val="center"/>
          </w:tcPr>
          <w:p w14:paraId="3BBF68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5D9E3AA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5A6BDC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2A0280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7AF9BE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GB15618</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4"/>
                <w:sz w:val="21"/>
                <w:szCs w:val="21"/>
                <w:highlight w:val="none"/>
                <w:lang w:eastAsia="zh-CN"/>
              </w:rPr>
              <w:instrText xml:space="preserve">,</w:instrText>
            </w:r>
            <w:r>
              <w:rPr>
                <w:rFonts w:hint="default" w:ascii="Times New Roman" w:hAnsi="Times New Roman" w:eastAsia="宋体" w:cs="Times New Roman"/>
                <w:color w:val="auto"/>
                <w:position w:val="-1"/>
                <w:sz w:val="14"/>
                <w:szCs w:val="21"/>
                <w:highlight w:val="none"/>
                <w:lang w:eastAsia="zh-CN"/>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；GB36600</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4"/>
                <w:sz w:val="21"/>
                <w:szCs w:val="21"/>
                <w:highlight w:val="none"/>
                <w:lang w:eastAsia="zh-CN"/>
              </w:rPr>
              <w:instrText xml:space="preserve">,</w:instrText>
            </w:r>
            <w:r>
              <w:rPr>
                <w:rFonts w:hint="default" w:ascii="Times New Roman" w:hAnsi="Times New Roman" w:eastAsia="宋体" w:cs="Times New Roman"/>
                <w:color w:val="auto"/>
                <w:position w:val="-1"/>
                <w:sz w:val="14"/>
                <w:szCs w:val="21"/>
                <w:highlight w:val="none"/>
                <w:lang w:eastAsia="zh-CN"/>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；表D.1□；表D.2□；其他（）</w:t>
            </w:r>
          </w:p>
        </w:tc>
        <w:tc>
          <w:tcPr>
            <w:tcW w:w="1113" w:type="dxa"/>
            <w:tcBorders>
              <w:top w:val="single" w:color="auto" w:sz="4" w:space="0"/>
              <w:left w:val="single" w:color="auto" w:sz="4" w:space="0"/>
              <w:bottom w:val="single" w:color="auto" w:sz="4" w:space="0"/>
              <w:right w:val="single" w:color="auto" w:sz="4" w:space="0"/>
            </w:tcBorders>
            <w:vAlign w:val="center"/>
          </w:tcPr>
          <w:p w14:paraId="09CB98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332A772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75FFA73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4636E6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现状评价结论</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2EC9CD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满足</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土壤环境质量 建设用地土壤污染风险管控标准</w:t>
            </w:r>
            <w:r>
              <w:rPr>
                <w:rFonts w:hint="default" w:ascii="Times New Roman" w:hAnsi="Times New Roman" w:eastAsia="宋体" w:cs="Times New Roman"/>
                <w:color w:val="auto"/>
                <w:sz w:val="21"/>
                <w:szCs w:val="21"/>
                <w:highlight w:val="none"/>
                <w:lang w:eastAsia="zh-CN"/>
              </w:rPr>
              <w:t>（试行）》（GB36600-2018）第二类用地筛选值的限值要求</w:t>
            </w:r>
          </w:p>
        </w:tc>
        <w:tc>
          <w:tcPr>
            <w:tcW w:w="1113" w:type="dxa"/>
            <w:tcBorders>
              <w:top w:val="single" w:color="auto" w:sz="4" w:space="0"/>
              <w:left w:val="single" w:color="auto" w:sz="4" w:space="0"/>
              <w:bottom w:val="single" w:color="auto" w:sz="4" w:space="0"/>
              <w:right w:val="single" w:color="auto" w:sz="4" w:space="0"/>
            </w:tcBorders>
            <w:vAlign w:val="center"/>
          </w:tcPr>
          <w:p w14:paraId="62D4F2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70A49C8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tcBorders>
              <w:top w:val="single" w:color="auto" w:sz="4" w:space="0"/>
              <w:left w:val="single" w:color="auto" w:sz="4" w:space="0"/>
              <w:bottom w:val="single" w:color="auto" w:sz="4" w:space="0"/>
              <w:right w:val="single" w:color="auto" w:sz="4" w:space="0"/>
            </w:tcBorders>
            <w:vAlign w:val="center"/>
          </w:tcPr>
          <w:p w14:paraId="7BC19C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影响预测</w:t>
            </w:r>
          </w:p>
        </w:tc>
        <w:tc>
          <w:tcPr>
            <w:tcW w:w="1626" w:type="dxa"/>
            <w:tcBorders>
              <w:top w:val="single" w:color="auto" w:sz="4" w:space="0"/>
              <w:left w:val="single" w:color="auto" w:sz="4" w:space="0"/>
              <w:bottom w:val="single" w:color="auto" w:sz="4" w:space="0"/>
              <w:right w:val="single" w:color="auto" w:sz="4" w:space="0"/>
            </w:tcBorders>
            <w:vAlign w:val="center"/>
          </w:tcPr>
          <w:p w14:paraId="0496DC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5B797D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113" w:type="dxa"/>
            <w:tcBorders>
              <w:top w:val="single" w:color="auto" w:sz="4" w:space="0"/>
              <w:left w:val="single" w:color="auto" w:sz="4" w:space="0"/>
              <w:bottom w:val="single" w:color="auto" w:sz="4" w:space="0"/>
              <w:right w:val="single" w:color="auto" w:sz="4" w:space="0"/>
            </w:tcBorders>
            <w:vAlign w:val="center"/>
          </w:tcPr>
          <w:p w14:paraId="52C20B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2E0204F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486C39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295539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预测方法</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5B0D14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附录E□；附录F□；其他（定性分析）</w:t>
            </w:r>
          </w:p>
        </w:tc>
        <w:tc>
          <w:tcPr>
            <w:tcW w:w="1113" w:type="dxa"/>
            <w:tcBorders>
              <w:top w:val="single" w:color="auto" w:sz="4" w:space="0"/>
              <w:left w:val="single" w:color="auto" w:sz="4" w:space="0"/>
              <w:bottom w:val="single" w:color="auto" w:sz="4" w:space="0"/>
              <w:right w:val="single" w:color="auto" w:sz="4" w:space="0"/>
            </w:tcBorders>
            <w:vAlign w:val="center"/>
          </w:tcPr>
          <w:p w14:paraId="008386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7366743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1F99AA9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6DCE51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预测分析内容</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539418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影响范围（本场区内）</w:t>
            </w:r>
          </w:p>
          <w:p w14:paraId="05D8B9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影响程度（较小）</w:t>
            </w:r>
          </w:p>
        </w:tc>
        <w:tc>
          <w:tcPr>
            <w:tcW w:w="1113" w:type="dxa"/>
            <w:tcBorders>
              <w:top w:val="single" w:color="auto" w:sz="4" w:space="0"/>
              <w:left w:val="single" w:color="auto" w:sz="4" w:space="0"/>
              <w:bottom w:val="single" w:color="auto" w:sz="4" w:space="0"/>
              <w:right w:val="single" w:color="auto" w:sz="4" w:space="0"/>
            </w:tcBorders>
            <w:vAlign w:val="center"/>
          </w:tcPr>
          <w:p w14:paraId="62D37B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602A8E1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3DAE4A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531B0F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预测结论</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3B3AA6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达标结论：a）</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；b）□；c）□</w:t>
            </w:r>
          </w:p>
          <w:p w14:paraId="044959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不达标结论：a）□；b）□</w:t>
            </w:r>
          </w:p>
        </w:tc>
        <w:tc>
          <w:tcPr>
            <w:tcW w:w="1113" w:type="dxa"/>
            <w:tcBorders>
              <w:top w:val="single" w:color="auto" w:sz="4" w:space="0"/>
              <w:left w:val="single" w:color="auto" w:sz="4" w:space="0"/>
              <w:bottom w:val="single" w:color="auto" w:sz="4" w:space="0"/>
              <w:right w:val="single" w:color="auto" w:sz="4" w:space="0"/>
            </w:tcBorders>
            <w:vAlign w:val="center"/>
          </w:tcPr>
          <w:p w14:paraId="75BBA9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3EAD21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tcBorders>
              <w:top w:val="single" w:color="auto" w:sz="4" w:space="0"/>
              <w:left w:val="single" w:color="auto" w:sz="4" w:space="0"/>
              <w:bottom w:val="single" w:color="auto" w:sz="4" w:space="0"/>
              <w:right w:val="single" w:color="auto" w:sz="4" w:space="0"/>
            </w:tcBorders>
            <w:vAlign w:val="center"/>
          </w:tcPr>
          <w:p w14:paraId="542104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防治措</w:t>
            </w:r>
          </w:p>
          <w:p w14:paraId="379780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w:t>
            </w:r>
          </w:p>
        </w:tc>
        <w:tc>
          <w:tcPr>
            <w:tcW w:w="1626" w:type="dxa"/>
            <w:tcBorders>
              <w:top w:val="single" w:color="auto" w:sz="4" w:space="0"/>
              <w:left w:val="single" w:color="auto" w:sz="4" w:space="0"/>
              <w:bottom w:val="single" w:color="auto" w:sz="4" w:space="0"/>
              <w:right w:val="single" w:color="auto" w:sz="4" w:space="0"/>
            </w:tcBorders>
            <w:vAlign w:val="center"/>
          </w:tcPr>
          <w:p w14:paraId="515D23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防控措施</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7809FFD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土壤环境质量现状保障</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；源头控制</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；过程防控</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eq \o\ac(</w:instrText>
            </w:r>
            <w:r>
              <w:rPr>
                <w:rFonts w:hint="default" w:ascii="Times New Roman" w:hAnsi="Times New Roman" w:eastAsia="宋体" w:cs="Times New Roman"/>
                <w:color w:val="auto"/>
                <w:position w:val="-4"/>
                <w:sz w:val="21"/>
                <w:szCs w:val="21"/>
                <w:highlight w:val="none"/>
              </w:rPr>
              <w:instrText xml:space="preserve">□</w:instrText>
            </w:r>
            <w:r>
              <w:rPr>
                <w:rFonts w:hint="default" w:ascii="Times New Roman" w:hAnsi="Times New Roman" w:eastAsia="宋体" w:cs="Times New Roman"/>
                <w:color w:val="auto"/>
                <w:position w:val="0"/>
                <w:sz w:val="21"/>
                <w:szCs w:val="21"/>
                <w:highlight w:val="none"/>
              </w:rPr>
              <w:instrText xml:space="preserve">,√)</w:instrTex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；其他（）</w:t>
            </w:r>
          </w:p>
        </w:tc>
        <w:tc>
          <w:tcPr>
            <w:tcW w:w="1113" w:type="dxa"/>
            <w:tcBorders>
              <w:top w:val="single" w:color="auto" w:sz="4" w:space="0"/>
              <w:left w:val="single" w:color="auto" w:sz="4" w:space="0"/>
              <w:bottom w:val="single" w:color="auto" w:sz="4" w:space="0"/>
              <w:right w:val="single" w:color="auto" w:sz="4" w:space="0"/>
            </w:tcBorders>
            <w:vAlign w:val="center"/>
          </w:tcPr>
          <w:p w14:paraId="0A3430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68A4F6C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6D8157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363F0A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跟踪监测</w:t>
            </w:r>
          </w:p>
        </w:tc>
        <w:tc>
          <w:tcPr>
            <w:tcW w:w="2861" w:type="dxa"/>
            <w:gridSpan w:val="2"/>
            <w:tcBorders>
              <w:top w:val="single" w:color="auto" w:sz="4" w:space="0"/>
              <w:left w:val="single" w:color="auto" w:sz="4" w:space="0"/>
              <w:bottom w:val="single" w:color="auto" w:sz="4" w:space="0"/>
              <w:right w:val="single" w:color="auto" w:sz="4" w:space="0"/>
            </w:tcBorders>
            <w:vAlign w:val="center"/>
          </w:tcPr>
          <w:p w14:paraId="4885BF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监测点数</w:t>
            </w:r>
          </w:p>
        </w:tc>
        <w:tc>
          <w:tcPr>
            <w:tcW w:w="1576" w:type="dxa"/>
            <w:tcBorders>
              <w:top w:val="single" w:color="auto" w:sz="4" w:space="0"/>
              <w:left w:val="single" w:color="auto" w:sz="4" w:space="0"/>
              <w:bottom w:val="single" w:color="auto" w:sz="4" w:space="0"/>
              <w:right w:val="single" w:color="auto" w:sz="4" w:space="0"/>
            </w:tcBorders>
            <w:vAlign w:val="center"/>
          </w:tcPr>
          <w:p w14:paraId="51D970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监测指标</w:t>
            </w:r>
          </w:p>
        </w:tc>
        <w:tc>
          <w:tcPr>
            <w:tcW w:w="1415" w:type="dxa"/>
            <w:gridSpan w:val="2"/>
            <w:tcBorders>
              <w:top w:val="single" w:color="auto" w:sz="4" w:space="0"/>
              <w:left w:val="single" w:color="auto" w:sz="4" w:space="0"/>
              <w:bottom w:val="single" w:color="auto" w:sz="4" w:space="0"/>
              <w:right w:val="single" w:color="auto" w:sz="4" w:space="0"/>
            </w:tcBorders>
            <w:vAlign w:val="center"/>
          </w:tcPr>
          <w:p w14:paraId="6F90CF6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监测频次</w:t>
            </w:r>
          </w:p>
        </w:tc>
        <w:tc>
          <w:tcPr>
            <w:tcW w:w="1113" w:type="dxa"/>
            <w:vMerge w:val="restart"/>
            <w:tcBorders>
              <w:top w:val="single" w:color="auto" w:sz="4" w:space="0"/>
              <w:left w:val="single" w:color="auto" w:sz="4" w:space="0"/>
              <w:bottom w:val="single" w:color="auto" w:sz="4" w:space="0"/>
              <w:right w:val="single" w:color="auto" w:sz="4" w:space="0"/>
            </w:tcBorders>
            <w:vAlign w:val="center"/>
          </w:tcPr>
          <w:p w14:paraId="3C4DA5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527A0FA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329B6E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75D52E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861" w:type="dxa"/>
            <w:gridSpan w:val="2"/>
            <w:tcBorders>
              <w:top w:val="single" w:color="auto" w:sz="4" w:space="0"/>
              <w:left w:val="single" w:color="auto" w:sz="4" w:space="0"/>
              <w:bottom w:val="single" w:color="auto" w:sz="4" w:space="0"/>
              <w:right w:val="single" w:color="auto" w:sz="4" w:space="0"/>
            </w:tcBorders>
            <w:vAlign w:val="center"/>
          </w:tcPr>
          <w:p w14:paraId="775C7E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576" w:type="dxa"/>
            <w:tcBorders>
              <w:top w:val="single" w:color="auto" w:sz="4" w:space="0"/>
              <w:left w:val="single" w:color="auto" w:sz="4" w:space="0"/>
              <w:bottom w:val="single" w:color="auto" w:sz="4" w:space="0"/>
              <w:right w:val="single" w:color="auto" w:sz="4" w:space="0"/>
            </w:tcBorders>
            <w:vAlign w:val="center"/>
          </w:tcPr>
          <w:p w14:paraId="6A03E7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415" w:type="dxa"/>
            <w:gridSpan w:val="2"/>
            <w:tcBorders>
              <w:top w:val="single" w:color="auto" w:sz="4" w:space="0"/>
              <w:left w:val="single" w:color="auto" w:sz="4" w:space="0"/>
              <w:bottom w:val="single" w:color="auto" w:sz="4" w:space="0"/>
              <w:right w:val="single" w:color="auto" w:sz="4" w:space="0"/>
            </w:tcBorders>
            <w:vAlign w:val="center"/>
          </w:tcPr>
          <w:p w14:paraId="171E3C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113" w:type="dxa"/>
            <w:vMerge w:val="continue"/>
            <w:tcBorders>
              <w:top w:val="single" w:color="auto" w:sz="4" w:space="0"/>
              <w:left w:val="single" w:color="auto" w:sz="4" w:space="0"/>
              <w:bottom w:val="single" w:color="auto" w:sz="4" w:space="0"/>
              <w:right w:val="single" w:color="auto" w:sz="4" w:space="0"/>
            </w:tcBorders>
            <w:vAlign w:val="center"/>
          </w:tcPr>
          <w:p w14:paraId="5BFCED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7C4612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tcBorders>
              <w:top w:val="single" w:color="auto" w:sz="4" w:space="0"/>
              <w:left w:val="single" w:color="auto" w:sz="4" w:space="0"/>
              <w:bottom w:val="single" w:color="auto" w:sz="4" w:space="0"/>
              <w:right w:val="single" w:color="auto" w:sz="4" w:space="0"/>
            </w:tcBorders>
            <w:vAlign w:val="center"/>
          </w:tcPr>
          <w:p w14:paraId="04F5BC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626" w:type="dxa"/>
            <w:tcBorders>
              <w:top w:val="single" w:color="auto" w:sz="4" w:space="0"/>
              <w:left w:val="single" w:color="auto" w:sz="4" w:space="0"/>
              <w:bottom w:val="single" w:color="auto" w:sz="4" w:space="0"/>
              <w:right w:val="single" w:color="auto" w:sz="4" w:space="0"/>
            </w:tcBorders>
            <w:vAlign w:val="center"/>
          </w:tcPr>
          <w:p w14:paraId="76C6AA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信息公开指标</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72C411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项目土壤监测计划</w:t>
            </w:r>
          </w:p>
        </w:tc>
        <w:tc>
          <w:tcPr>
            <w:tcW w:w="1113" w:type="dxa"/>
            <w:vMerge w:val="continue"/>
            <w:tcBorders>
              <w:top w:val="single" w:color="auto" w:sz="4" w:space="0"/>
              <w:left w:val="single" w:color="auto" w:sz="4" w:space="0"/>
              <w:bottom w:val="single" w:color="auto" w:sz="4" w:space="0"/>
              <w:right w:val="single" w:color="auto" w:sz="4" w:space="0"/>
            </w:tcBorders>
            <w:vAlign w:val="center"/>
          </w:tcPr>
          <w:p w14:paraId="0C7A68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8C5D07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038" w:type="dxa"/>
            <w:gridSpan w:val="2"/>
            <w:tcBorders>
              <w:top w:val="single" w:color="auto" w:sz="4" w:space="0"/>
              <w:left w:val="single" w:color="auto" w:sz="4" w:space="0"/>
              <w:bottom w:val="single" w:color="auto" w:sz="4" w:space="0"/>
              <w:right w:val="single" w:color="auto" w:sz="4" w:space="0"/>
            </w:tcBorders>
            <w:vAlign w:val="center"/>
          </w:tcPr>
          <w:p w14:paraId="019E66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评价结论</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0D36D5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本项目对土壤环境影响较小，在可接受范围内，建设可行</w:t>
            </w:r>
          </w:p>
        </w:tc>
        <w:tc>
          <w:tcPr>
            <w:tcW w:w="1113" w:type="dxa"/>
            <w:tcBorders>
              <w:top w:val="single" w:color="auto" w:sz="4" w:space="0"/>
              <w:left w:val="single" w:color="auto" w:sz="4" w:space="0"/>
              <w:bottom w:val="single" w:color="auto" w:sz="4" w:space="0"/>
              <w:right w:val="single" w:color="auto" w:sz="4" w:space="0"/>
            </w:tcBorders>
            <w:vAlign w:val="center"/>
          </w:tcPr>
          <w:p w14:paraId="28DAFA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4B9FD2E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9003" w:type="dxa"/>
            <w:gridSpan w:val="8"/>
            <w:tcBorders>
              <w:top w:val="single" w:color="auto" w:sz="4" w:space="0"/>
              <w:left w:val="single" w:color="auto" w:sz="4" w:space="0"/>
              <w:bottom w:val="single" w:color="auto" w:sz="4" w:space="0"/>
              <w:right w:val="single" w:color="auto" w:sz="4" w:space="0"/>
            </w:tcBorders>
            <w:vAlign w:val="center"/>
          </w:tcPr>
          <w:p w14:paraId="581821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注1：“□”为勾选项，可√；“（）”为内容填写项；“备注”为其他补充内容。</w:t>
            </w:r>
          </w:p>
          <w:p w14:paraId="3EAF69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注2：需要分别开展土壤环境影响评级工作的，分别填写自查表。</w:t>
            </w:r>
          </w:p>
        </w:tc>
      </w:tr>
    </w:tbl>
    <w:p w14:paraId="07A0CF52">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498" w:name="_Toc585"/>
      <w:r>
        <w:rPr>
          <w:rFonts w:hint="default" w:ascii="Times New Roman" w:hAnsi="Times New Roman" w:eastAsia="宋体" w:cs="Times New Roman"/>
          <w:color w:val="auto"/>
          <w:highlight w:val="none"/>
        </w:rPr>
        <w:t>5.6运营期声环境影响分析</w:t>
      </w:r>
      <w:bookmarkEnd w:id="494"/>
      <w:bookmarkEnd w:id="495"/>
      <w:bookmarkEnd w:id="498"/>
    </w:p>
    <w:p w14:paraId="2A2D40F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499" w:name="_Toc28013"/>
      <w:r>
        <w:rPr>
          <w:rFonts w:hint="default" w:ascii="Times New Roman" w:hAnsi="Times New Roman" w:eastAsia="宋体" w:cs="Times New Roman"/>
          <w:color w:val="auto"/>
          <w:highlight w:val="none"/>
        </w:rPr>
        <w:t>5.6.1主要声源源强</w:t>
      </w:r>
      <w:bookmarkEnd w:id="499"/>
    </w:p>
    <w:p w14:paraId="5A983F0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本项目的噪声产生源强情况见下表。</w:t>
      </w:r>
    </w:p>
    <w:p w14:paraId="1E151758">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5.6-1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噪声产生源强一览表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407"/>
        <w:gridCol w:w="1060"/>
        <w:gridCol w:w="1484"/>
        <w:gridCol w:w="743"/>
        <w:gridCol w:w="2226"/>
        <w:gridCol w:w="984"/>
        <w:gridCol w:w="1373"/>
      </w:tblGrid>
      <w:tr w14:paraId="193032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vAlign w:val="center"/>
          </w:tcPr>
          <w:p w14:paraId="6A5099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544" w:type="dxa"/>
            <w:gridSpan w:val="2"/>
            <w:tcBorders>
              <w:top w:val="single" w:color="auto" w:sz="4" w:space="0"/>
              <w:left w:val="single" w:color="auto" w:sz="4" w:space="0"/>
              <w:bottom w:val="single" w:color="auto" w:sz="4" w:space="0"/>
              <w:right w:val="single" w:color="auto" w:sz="4" w:space="0"/>
            </w:tcBorders>
            <w:vAlign w:val="center"/>
          </w:tcPr>
          <w:p w14:paraId="2E3F081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噪声源</w:t>
            </w:r>
          </w:p>
        </w:tc>
        <w:tc>
          <w:tcPr>
            <w:tcW w:w="743" w:type="dxa"/>
            <w:tcBorders>
              <w:top w:val="single" w:color="auto" w:sz="4" w:space="0"/>
              <w:left w:val="single" w:color="auto" w:sz="4" w:space="0"/>
              <w:bottom w:val="single" w:color="auto" w:sz="4" w:space="0"/>
              <w:right w:val="single" w:color="auto" w:sz="4" w:space="0"/>
            </w:tcBorders>
            <w:vAlign w:val="center"/>
          </w:tcPr>
          <w:p w14:paraId="3F7249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2226" w:type="dxa"/>
            <w:tcBorders>
              <w:top w:val="single" w:color="auto" w:sz="4" w:space="0"/>
              <w:left w:val="single" w:color="auto" w:sz="4" w:space="0"/>
              <w:bottom w:val="single" w:color="auto" w:sz="4" w:space="0"/>
              <w:right w:val="single" w:color="auto" w:sz="4" w:space="0"/>
            </w:tcBorders>
            <w:vAlign w:val="center"/>
          </w:tcPr>
          <w:p w14:paraId="7A4232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治理措施</w:t>
            </w:r>
          </w:p>
        </w:tc>
        <w:tc>
          <w:tcPr>
            <w:tcW w:w="984" w:type="dxa"/>
            <w:tcBorders>
              <w:top w:val="single" w:color="auto" w:sz="4" w:space="0"/>
              <w:left w:val="single" w:color="auto" w:sz="4" w:space="0"/>
              <w:bottom w:val="single" w:color="auto" w:sz="4" w:space="0"/>
              <w:right w:val="single" w:color="auto" w:sz="4" w:space="0"/>
            </w:tcBorders>
            <w:vAlign w:val="center"/>
          </w:tcPr>
          <w:p w14:paraId="5E9AE5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源强dB</w:t>
            </w:r>
            <w:r>
              <w:rPr>
                <w:rFonts w:hint="default" w:ascii="Times New Roman" w:hAnsi="Times New Roman" w:eastAsia="宋体" w:cs="Times New Roman"/>
                <w:color w:val="auto"/>
                <w:sz w:val="21"/>
                <w:szCs w:val="21"/>
                <w:highlight w:val="none"/>
                <w:lang w:eastAsia="zh-CN"/>
              </w:rPr>
              <w:t>（A）</w:t>
            </w:r>
          </w:p>
        </w:tc>
        <w:tc>
          <w:tcPr>
            <w:tcW w:w="1373" w:type="dxa"/>
            <w:tcBorders>
              <w:top w:val="single" w:color="auto" w:sz="4" w:space="0"/>
              <w:left w:val="single" w:color="auto" w:sz="4" w:space="0"/>
              <w:bottom w:val="single" w:color="auto" w:sz="4" w:space="0"/>
              <w:right w:val="single" w:color="auto" w:sz="4" w:space="0"/>
            </w:tcBorders>
            <w:vAlign w:val="center"/>
          </w:tcPr>
          <w:p w14:paraId="54CC743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排放强度dB</w:t>
            </w:r>
            <w:r>
              <w:rPr>
                <w:rFonts w:hint="default" w:ascii="Times New Roman" w:hAnsi="Times New Roman" w:eastAsia="宋体" w:cs="Times New Roman"/>
                <w:color w:val="auto"/>
                <w:sz w:val="21"/>
                <w:szCs w:val="21"/>
                <w:highlight w:val="none"/>
                <w:lang w:eastAsia="zh-CN"/>
              </w:rPr>
              <w:t>（A）</w:t>
            </w:r>
          </w:p>
        </w:tc>
      </w:tr>
      <w:tr w14:paraId="5BF7522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vAlign w:val="center"/>
          </w:tcPr>
          <w:p w14:paraId="56C861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612565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饲料配料</w:t>
            </w:r>
          </w:p>
        </w:tc>
        <w:tc>
          <w:tcPr>
            <w:tcW w:w="1484" w:type="dxa"/>
            <w:tcBorders>
              <w:top w:val="single" w:color="auto" w:sz="4" w:space="0"/>
              <w:left w:val="single" w:color="auto" w:sz="4" w:space="0"/>
              <w:bottom w:val="single" w:color="auto" w:sz="4" w:space="0"/>
              <w:right w:val="single" w:color="auto" w:sz="4" w:space="0"/>
            </w:tcBorders>
            <w:vAlign w:val="center"/>
          </w:tcPr>
          <w:p w14:paraId="52B959FA">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日粮搅拌机</w:t>
            </w:r>
          </w:p>
        </w:tc>
        <w:tc>
          <w:tcPr>
            <w:tcW w:w="743" w:type="dxa"/>
            <w:tcBorders>
              <w:top w:val="single" w:color="auto" w:sz="4" w:space="0"/>
              <w:left w:val="single" w:color="auto" w:sz="4" w:space="0"/>
              <w:bottom w:val="single" w:color="auto" w:sz="4" w:space="0"/>
              <w:right w:val="single" w:color="auto" w:sz="4" w:space="0"/>
            </w:tcBorders>
            <w:vAlign w:val="center"/>
          </w:tcPr>
          <w:p w14:paraId="5BC845FA">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2226" w:type="dxa"/>
            <w:tcBorders>
              <w:top w:val="single" w:color="auto" w:sz="4" w:space="0"/>
              <w:left w:val="single" w:color="auto" w:sz="4" w:space="0"/>
              <w:bottom w:val="single" w:color="auto" w:sz="4" w:space="0"/>
              <w:right w:val="single" w:color="auto" w:sz="4" w:space="0"/>
            </w:tcBorders>
            <w:vAlign w:val="center"/>
          </w:tcPr>
          <w:p w14:paraId="5AF3A7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5CE8DA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2A597A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60</w:t>
            </w:r>
          </w:p>
        </w:tc>
      </w:tr>
      <w:tr w14:paraId="0315195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7DDEAF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6DF9BE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1484" w:type="dxa"/>
            <w:tcBorders>
              <w:top w:val="single" w:color="auto" w:sz="4" w:space="0"/>
              <w:left w:val="single" w:color="auto" w:sz="4" w:space="0"/>
              <w:bottom w:val="single" w:color="auto" w:sz="4" w:space="0"/>
              <w:right w:val="single" w:color="auto" w:sz="4" w:space="0"/>
            </w:tcBorders>
            <w:vAlign w:val="center"/>
          </w:tcPr>
          <w:p w14:paraId="6507B999">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饲料粉碎机</w:t>
            </w:r>
          </w:p>
        </w:tc>
        <w:tc>
          <w:tcPr>
            <w:tcW w:w="743" w:type="dxa"/>
            <w:tcBorders>
              <w:top w:val="single" w:color="auto" w:sz="4" w:space="0"/>
              <w:left w:val="single" w:color="auto" w:sz="4" w:space="0"/>
              <w:bottom w:val="single" w:color="auto" w:sz="4" w:space="0"/>
              <w:right w:val="single" w:color="auto" w:sz="4" w:space="0"/>
            </w:tcBorders>
            <w:vAlign w:val="center"/>
          </w:tcPr>
          <w:p w14:paraId="23282CBE">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2226" w:type="dxa"/>
            <w:tcBorders>
              <w:top w:val="single" w:color="auto" w:sz="4" w:space="0"/>
              <w:left w:val="single" w:color="auto" w:sz="4" w:space="0"/>
              <w:bottom w:val="single" w:color="auto" w:sz="4" w:space="0"/>
              <w:right w:val="single" w:color="auto" w:sz="4" w:space="0"/>
            </w:tcBorders>
            <w:vAlign w:val="center"/>
          </w:tcPr>
          <w:p w14:paraId="7F4ED8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739A8D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0BA842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344B6F7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028CCE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9FC02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1484" w:type="dxa"/>
            <w:tcBorders>
              <w:top w:val="single" w:color="auto" w:sz="4" w:space="0"/>
              <w:left w:val="single" w:color="auto" w:sz="4" w:space="0"/>
              <w:bottom w:val="single" w:color="auto" w:sz="4" w:space="0"/>
              <w:right w:val="single" w:color="auto" w:sz="4" w:space="0"/>
            </w:tcBorders>
            <w:vAlign w:val="center"/>
          </w:tcPr>
          <w:p w14:paraId="03D805E6">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精饲料配料机</w:t>
            </w:r>
          </w:p>
        </w:tc>
        <w:tc>
          <w:tcPr>
            <w:tcW w:w="743" w:type="dxa"/>
            <w:tcBorders>
              <w:top w:val="single" w:color="auto" w:sz="4" w:space="0"/>
              <w:left w:val="single" w:color="auto" w:sz="4" w:space="0"/>
              <w:bottom w:val="single" w:color="auto" w:sz="4" w:space="0"/>
              <w:right w:val="single" w:color="auto" w:sz="4" w:space="0"/>
            </w:tcBorders>
            <w:vAlign w:val="center"/>
          </w:tcPr>
          <w:p w14:paraId="167FDD2D">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2226" w:type="dxa"/>
            <w:tcBorders>
              <w:top w:val="single" w:color="auto" w:sz="4" w:space="0"/>
              <w:left w:val="single" w:color="auto" w:sz="4" w:space="0"/>
              <w:bottom w:val="single" w:color="auto" w:sz="4" w:space="0"/>
              <w:right w:val="single" w:color="auto" w:sz="4" w:space="0"/>
            </w:tcBorders>
            <w:vAlign w:val="center"/>
          </w:tcPr>
          <w:p w14:paraId="4CF9C0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320411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3B494A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1A536D8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48FDA8C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5600DB2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1484" w:type="dxa"/>
            <w:tcBorders>
              <w:top w:val="single" w:color="auto" w:sz="4" w:space="0"/>
              <w:left w:val="single" w:color="auto" w:sz="4" w:space="0"/>
              <w:bottom w:val="single" w:color="auto" w:sz="4" w:space="0"/>
              <w:right w:val="single" w:color="auto" w:sz="4" w:space="0"/>
            </w:tcBorders>
            <w:vAlign w:val="center"/>
          </w:tcPr>
          <w:p w14:paraId="1CE58DAC">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饲料分选设备</w:t>
            </w:r>
          </w:p>
        </w:tc>
        <w:tc>
          <w:tcPr>
            <w:tcW w:w="743" w:type="dxa"/>
            <w:tcBorders>
              <w:top w:val="single" w:color="auto" w:sz="4" w:space="0"/>
              <w:left w:val="single" w:color="auto" w:sz="4" w:space="0"/>
              <w:bottom w:val="single" w:color="auto" w:sz="4" w:space="0"/>
              <w:right w:val="single" w:color="auto" w:sz="4" w:space="0"/>
            </w:tcBorders>
            <w:vAlign w:val="center"/>
          </w:tcPr>
          <w:p w14:paraId="5019DA42">
            <w:pPr>
              <w:pageBreakBefore w:val="0"/>
              <w:shd w:val="clear"/>
              <w:kinsoku/>
              <w:wordWrap/>
              <w:bidi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2226" w:type="dxa"/>
            <w:tcBorders>
              <w:top w:val="single" w:color="auto" w:sz="4" w:space="0"/>
              <w:left w:val="single" w:color="auto" w:sz="4" w:space="0"/>
              <w:bottom w:val="single" w:color="auto" w:sz="4" w:space="0"/>
              <w:right w:val="single" w:color="auto" w:sz="4" w:space="0"/>
            </w:tcBorders>
            <w:vAlign w:val="center"/>
          </w:tcPr>
          <w:p w14:paraId="453358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7FCB26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20D8A6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r>
      <w:tr w14:paraId="0BFE33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1F51FC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060" w:type="dxa"/>
            <w:tcBorders>
              <w:top w:val="single" w:color="auto" w:sz="4" w:space="0"/>
              <w:left w:val="single" w:color="auto" w:sz="4" w:space="0"/>
              <w:bottom w:val="single" w:color="auto" w:sz="4" w:space="0"/>
              <w:right w:val="single" w:color="auto" w:sz="4" w:space="0"/>
            </w:tcBorders>
            <w:vAlign w:val="center"/>
          </w:tcPr>
          <w:p w14:paraId="7932E6FA">
            <w:pPr>
              <w:keepNext w:val="0"/>
              <w:keepLines w:val="0"/>
              <w:pageBreakBefore w:val="0"/>
              <w:shd w:val="clear"/>
              <w:kinsoku/>
              <w:wordWrap/>
              <w:overflowPunct/>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供暖</w:t>
            </w:r>
          </w:p>
        </w:tc>
        <w:tc>
          <w:tcPr>
            <w:tcW w:w="1484" w:type="dxa"/>
            <w:tcBorders>
              <w:top w:val="single" w:color="auto" w:sz="4" w:space="0"/>
              <w:left w:val="single" w:color="auto" w:sz="4" w:space="0"/>
              <w:bottom w:val="single" w:color="auto" w:sz="4" w:space="0"/>
              <w:right w:val="single" w:color="auto" w:sz="4" w:space="0"/>
            </w:tcBorders>
            <w:vAlign w:val="center"/>
          </w:tcPr>
          <w:p w14:paraId="605BC08C">
            <w:pPr>
              <w:keepNext w:val="0"/>
              <w:keepLines w:val="0"/>
              <w:pageBreakBefore w:val="0"/>
              <w:shd w:val="clear"/>
              <w:kinsoku/>
              <w:wordWrap/>
              <w:overflowPunct/>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eastAsia="zh-CN"/>
              </w:rPr>
              <w:t>电空气能采暖设备</w:t>
            </w:r>
          </w:p>
        </w:tc>
        <w:tc>
          <w:tcPr>
            <w:tcW w:w="743" w:type="dxa"/>
            <w:tcBorders>
              <w:top w:val="single" w:color="auto" w:sz="4" w:space="0"/>
              <w:left w:val="single" w:color="auto" w:sz="4" w:space="0"/>
              <w:bottom w:val="single" w:color="auto" w:sz="4" w:space="0"/>
              <w:right w:val="single" w:color="auto" w:sz="4" w:space="0"/>
            </w:tcBorders>
            <w:vAlign w:val="center"/>
          </w:tcPr>
          <w:p w14:paraId="3A24410D">
            <w:pPr>
              <w:keepNext w:val="0"/>
              <w:keepLines w:val="0"/>
              <w:pageBreakBefore w:val="0"/>
              <w:shd w:val="clear"/>
              <w:kinsoku/>
              <w:wordWrap/>
              <w:overflowPunct/>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val="en-US" w:eastAsia="zh-CN"/>
              </w:rPr>
              <w:t>2</w:t>
            </w:r>
          </w:p>
        </w:tc>
        <w:tc>
          <w:tcPr>
            <w:tcW w:w="2226" w:type="dxa"/>
            <w:tcBorders>
              <w:top w:val="single" w:color="auto" w:sz="4" w:space="0"/>
              <w:left w:val="single" w:color="auto" w:sz="4" w:space="0"/>
              <w:bottom w:val="single" w:color="auto" w:sz="4" w:space="0"/>
              <w:right w:val="single" w:color="auto" w:sz="4" w:space="0"/>
            </w:tcBorders>
            <w:vAlign w:val="center"/>
          </w:tcPr>
          <w:p w14:paraId="072828B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5FD0F3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r>
              <w:rPr>
                <w:rFonts w:hint="default" w:ascii="Times New Roman" w:hAnsi="Times New Roman" w:eastAsia="宋体" w:cs="Times New Roman"/>
                <w:color w:val="auto"/>
                <w:sz w:val="21"/>
                <w:szCs w:val="21"/>
                <w:highlight w:val="none"/>
                <w:lang w:val="en-US" w:eastAsia="zh-CN"/>
              </w:rPr>
              <w:t>0</w:t>
            </w:r>
          </w:p>
        </w:tc>
        <w:tc>
          <w:tcPr>
            <w:tcW w:w="1373" w:type="dxa"/>
            <w:tcBorders>
              <w:top w:val="single" w:color="auto" w:sz="4" w:space="0"/>
              <w:left w:val="single" w:color="auto" w:sz="4" w:space="0"/>
              <w:bottom w:val="single" w:color="auto" w:sz="4" w:space="0"/>
              <w:right w:val="single" w:color="auto" w:sz="4" w:space="0"/>
            </w:tcBorders>
            <w:vAlign w:val="center"/>
          </w:tcPr>
          <w:p w14:paraId="20754D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w:t>
            </w:r>
          </w:p>
        </w:tc>
      </w:tr>
      <w:tr w14:paraId="50DB94C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53A155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060" w:type="dxa"/>
            <w:tcBorders>
              <w:top w:val="single" w:color="auto" w:sz="4" w:space="0"/>
              <w:left w:val="single" w:color="auto" w:sz="4" w:space="0"/>
              <w:bottom w:val="single" w:color="auto" w:sz="4" w:space="0"/>
              <w:right w:val="single" w:color="auto" w:sz="4" w:space="0"/>
            </w:tcBorders>
            <w:vAlign w:val="center"/>
          </w:tcPr>
          <w:p w14:paraId="125553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移动声源</w:t>
            </w:r>
          </w:p>
        </w:tc>
        <w:tc>
          <w:tcPr>
            <w:tcW w:w="1484" w:type="dxa"/>
            <w:tcBorders>
              <w:top w:val="single" w:color="auto" w:sz="4" w:space="0"/>
              <w:left w:val="single" w:color="auto" w:sz="4" w:space="0"/>
              <w:bottom w:val="single" w:color="auto" w:sz="4" w:space="0"/>
              <w:right w:val="single" w:color="auto" w:sz="4" w:space="0"/>
            </w:tcBorders>
            <w:vAlign w:val="center"/>
          </w:tcPr>
          <w:p w14:paraId="6F26E5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装载机</w:t>
            </w:r>
          </w:p>
        </w:tc>
        <w:tc>
          <w:tcPr>
            <w:tcW w:w="743" w:type="dxa"/>
            <w:tcBorders>
              <w:top w:val="single" w:color="auto" w:sz="4" w:space="0"/>
              <w:left w:val="single" w:color="auto" w:sz="4" w:space="0"/>
              <w:bottom w:val="single" w:color="auto" w:sz="4" w:space="0"/>
              <w:right w:val="single" w:color="auto" w:sz="4" w:space="0"/>
            </w:tcBorders>
            <w:vAlign w:val="center"/>
          </w:tcPr>
          <w:p w14:paraId="33D0E3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w:t>
            </w:r>
          </w:p>
        </w:tc>
        <w:tc>
          <w:tcPr>
            <w:tcW w:w="2226" w:type="dxa"/>
            <w:tcBorders>
              <w:top w:val="single" w:color="auto" w:sz="4" w:space="0"/>
              <w:left w:val="single" w:color="auto" w:sz="4" w:space="0"/>
              <w:bottom w:val="single" w:color="auto" w:sz="4" w:space="0"/>
              <w:right w:val="single" w:color="auto" w:sz="4" w:space="0"/>
            </w:tcBorders>
            <w:vAlign w:val="center"/>
          </w:tcPr>
          <w:p w14:paraId="1AE2663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选用低噪声设备，定期维护保养</w:t>
            </w:r>
          </w:p>
        </w:tc>
        <w:tc>
          <w:tcPr>
            <w:tcW w:w="984" w:type="dxa"/>
            <w:tcBorders>
              <w:top w:val="single" w:color="auto" w:sz="4" w:space="0"/>
              <w:left w:val="single" w:color="auto" w:sz="4" w:space="0"/>
              <w:bottom w:val="single" w:color="auto" w:sz="4" w:space="0"/>
              <w:right w:val="single" w:color="auto" w:sz="4" w:space="0"/>
            </w:tcBorders>
            <w:vAlign w:val="center"/>
          </w:tcPr>
          <w:p w14:paraId="18605D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5EC6E9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75</w:t>
            </w:r>
          </w:p>
        </w:tc>
      </w:tr>
      <w:tr w14:paraId="431265F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7" w:type="dxa"/>
            <w:tcBorders>
              <w:top w:val="single" w:color="auto" w:sz="4" w:space="0"/>
              <w:left w:val="single" w:color="auto" w:sz="4" w:space="0"/>
              <w:bottom w:val="single" w:color="auto" w:sz="4" w:space="0"/>
              <w:right w:val="single" w:color="auto" w:sz="4" w:space="0"/>
            </w:tcBorders>
            <w:shd w:val="clear" w:color="auto" w:fill="auto"/>
            <w:vAlign w:val="center"/>
          </w:tcPr>
          <w:p w14:paraId="5E648C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p>
        </w:tc>
        <w:tc>
          <w:tcPr>
            <w:tcW w:w="1060" w:type="dxa"/>
            <w:tcBorders>
              <w:top w:val="single" w:color="auto" w:sz="4" w:space="0"/>
              <w:left w:val="single" w:color="auto" w:sz="4" w:space="0"/>
              <w:bottom w:val="single" w:color="auto" w:sz="4" w:space="0"/>
              <w:right w:val="single" w:color="auto" w:sz="4" w:space="0"/>
            </w:tcBorders>
            <w:vAlign w:val="center"/>
          </w:tcPr>
          <w:p w14:paraId="7997AA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水泵室</w:t>
            </w:r>
          </w:p>
        </w:tc>
        <w:tc>
          <w:tcPr>
            <w:tcW w:w="1484" w:type="dxa"/>
            <w:tcBorders>
              <w:top w:val="single" w:color="auto" w:sz="4" w:space="0"/>
              <w:left w:val="single" w:color="auto" w:sz="4" w:space="0"/>
              <w:bottom w:val="single" w:color="auto" w:sz="4" w:space="0"/>
              <w:right w:val="single" w:color="auto" w:sz="4" w:space="0"/>
            </w:tcBorders>
            <w:vAlign w:val="center"/>
          </w:tcPr>
          <w:p w14:paraId="3A109C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水泵</w:t>
            </w:r>
          </w:p>
        </w:tc>
        <w:tc>
          <w:tcPr>
            <w:tcW w:w="743" w:type="dxa"/>
            <w:tcBorders>
              <w:top w:val="single" w:color="auto" w:sz="4" w:space="0"/>
              <w:left w:val="single" w:color="auto" w:sz="4" w:space="0"/>
              <w:bottom w:val="single" w:color="auto" w:sz="4" w:space="0"/>
              <w:right w:val="single" w:color="auto" w:sz="4" w:space="0"/>
            </w:tcBorders>
            <w:vAlign w:val="center"/>
          </w:tcPr>
          <w:p w14:paraId="2997BF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2226" w:type="dxa"/>
            <w:tcBorders>
              <w:top w:val="single" w:color="auto" w:sz="4" w:space="0"/>
              <w:left w:val="single" w:color="auto" w:sz="4" w:space="0"/>
              <w:bottom w:val="single" w:color="auto" w:sz="4" w:space="0"/>
              <w:right w:val="single" w:color="auto" w:sz="4" w:space="0"/>
            </w:tcBorders>
            <w:vAlign w:val="center"/>
          </w:tcPr>
          <w:p w14:paraId="29BD9E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基础减振、建筑隔声</w:t>
            </w:r>
          </w:p>
        </w:tc>
        <w:tc>
          <w:tcPr>
            <w:tcW w:w="984" w:type="dxa"/>
            <w:tcBorders>
              <w:top w:val="single" w:color="auto" w:sz="4" w:space="0"/>
              <w:left w:val="single" w:color="auto" w:sz="4" w:space="0"/>
              <w:bottom w:val="single" w:color="auto" w:sz="4" w:space="0"/>
              <w:right w:val="single" w:color="auto" w:sz="4" w:space="0"/>
            </w:tcBorders>
            <w:vAlign w:val="center"/>
          </w:tcPr>
          <w:p w14:paraId="340894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85</w:t>
            </w:r>
          </w:p>
        </w:tc>
        <w:tc>
          <w:tcPr>
            <w:tcW w:w="1373" w:type="dxa"/>
            <w:tcBorders>
              <w:top w:val="single" w:color="auto" w:sz="4" w:space="0"/>
              <w:left w:val="single" w:color="auto" w:sz="4" w:space="0"/>
              <w:bottom w:val="single" w:color="auto" w:sz="4" w:space="0"/>
              <w:right w:val="single" w:color="auto" w:sz="4" w:space="0"/>
            </w:tcBorders>
            <w:vAlign w:val="center"/>
          </w:tcPr>
          <w:p w14:paraId="3D63180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65</w:t>
            </w:r>
          </w:p>
        </w:tc>
      </w:tr>
    </w:tbl>
    <w:p w14:paraId="54D16A4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本项目在选用低噪声新型设备基础上，将生产设备安置在厂房内，并对设备进行基础减振、封闭门窗等，可使噪声排放减少20~25dB</w:t>
      </w:r>
      <w:r>
        <w:rPr>
          <w:rFonts w:hint="default" w:ascii="Times New Roman" w:hAnsi="Times New Roman" w:eastAsia="宋体" w:cs="Times New Roman"/>
          <w:color w:val="auto"/>
          <w:highlight w:val="none"/>
          <w:lang w:eastAsia="zh-CN"/>
        </w:rPr>
        <w:t>（A）。</w:t>
      </w:r>
    </w:p>
    <w:p w14:paraId="79D8EA87">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00" w:name="_Toc6537"/>
      <w:r>
        <w:rPr>
          <w:rFonts w:hint="default" w:ascii="Times New Roman" w:hAnsi="Times New Roman" w:eastAsia="宋体" w:cs="Times New Roman"/>
          <w:color w:val="auto"/>
          <w:highlight w:val="none"/>
        </w:rPr>
        <w:t>5.6.2声环境预测方法</w:t>
      </w:r>
      <w:bookmarkEnd w:id="500"/>
    </w:p>
    <w:p w14:paraId="6FE1F10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01" w:name="_Toc253320781"/>
      <w:bookmarkStart w:id="502" w:name="_Toc241406780"/>
      <w:bookmarkStart w:id="503" w:name="_Toc255298748"/>
      <w:r>
        <w:rPr>
          <w:rFonts w:hint="default" w:ascii="Times New Roman" w:hAnsi="Times New Roman" w:eastAsia="宋体" w:cs="Times New Roman"/>
          <w:color w:val="auto"/>
          <w:highlight w:val="none"/>
        </w:rPr>
        <w:t>本次环境噪声预测，采用《</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rPr>
        <w:t>声环境》（</w:t>
      </w:r>
      <w:r>
        <w:rPr>
          <w:rFonts w:hint="default" w:ascii="Times New Roman" w:hAnsi="Times New Roman" w:eastAsia="宋体" w:cs="Times New Roman"/>
          <w:color w:val="auto"/>
          <w:highlight w:val="none"/>
          <w:lang w:eastAsia="zh-CN"/>
        </w:rPr>
        <w:t>HJ2.4-2021</w:t>
      </w:r>
      <w:r>
        <w:rPr>
          <w:rFonts w:hint="default" w:ascii="Times New Roman" w:hAnsi="Times New Roman" w:eastAsia="宋体" w:cs="Times New Roman"/>
          <w:color w:val="auto"/>
          <w:highlight w:val="none"/>
        </w:rPr>
        <w:t>）中的工业噪声预测模式，主要是对拟建项目噪声源对厂界的影响进行预测，厂界以现状</w:t>
      </w:r>
      <w:r>
        <w:rPr>
          <w:rFonts w:hint="default" w:ascii="Times New Roman" w:hAnsi="Times New Roman" w:eastAsia="宋体" w:cs="Times New Roman"/>
          <w:color w:val="auto"/>
          <w:highlight w:val="none"/>
          <w:lang w:eastAsia="zh-CN"/>
        </w:rPr>
        <w:t>监测点为</w:t>
      </w:r>
      <w:r>
        <w:rPr>
          <w:rFonts w:hint="default" w:ascii="Times New Roman" w:hAnsi="Times New Roman" w:eastAsia="宋体" w:cs="Times New Roman"/>
          <w:color w:val="auto"/>
          <w:highlight w:val="none"/>
        </w:rPr>
        <w:t>预测点。预测模式如下：</w:t>
      </w:r>
    </w:p>
    <w:p w14:paraId="2C67DC09">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04" w:name="_Toc14414"/>
      <w:bookmarkStart w:id="505" w:name="_Toc17216"/>
      <w:bookmarkStart w:id="506" w:name="_Toc15849"/>
      <w:bookmarkStart w:id="507" w:name="_Toc8841"/>
      <w:r>
        <w:rPr>
          <w:rFonts w:hint="default" w:ascii="Times New Roman" w:hAnsi="Times New Roman" w:eastAsia="宋体" w:cs="Times New Roman"/>
          <w:color w:val="auto"/>
          <w:highlight w:val="none"/>
        </w:rPr>
        <w:t>1）单个室外的点声源在预测点产生的声级计算公式</w:t>
      </w:r>
      <w:bookmarkEnd w:id="504"/>
      <w:bookmarkEnd w:id="505"/>
      <w:bookmarkEnd w:id="506"/>
      <w:bookmarkEnd w:id="507"/>
    </w:p>
    <w:p w14:paraId="360CFF9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相同方向预测点位置的倍频带声压级L</w:t>
      </w:r>
      <w:r>
        <w:rPr>
          <w:rFonts w:hint="default" w:ascii="Times New Roman" w:hAnsi="Times New Roman" w:eastAsia="宋体" w:cs="Times New Roman"/>
          <w:color w:val="auto"/>
          <w:highlight w:val="none"/>
          <w:vertAlign w:val="subscript"/>
        </w:rPr>
        <w:t>P</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r</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计算公式：</w:t>
      </w:r>
    </w:p>
    <w:p w14:paraId="10B08A00">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14"/>
          <w:highlight w:val="none"/>
        </w:rPr>
        <w:object>
          <v:shape id="_x0000_i1035" o:spt="75" type="#_x0000_t75" style="height:26.5pt;width:93.75pt;" o:ole="t" filled="f" o:preferrelative="t" stroked="f" coordsize="21600,21600">
            <v:path/>
            <v:fill on="f" focussize="0,0"/>
            <v:stroke on="f" joinstyle="miter"/>
            <v:imagedata r:id="rId71" o:title=""/>
            <o:lock v:ext="edit" aspectratio="t"/>
            <w10:wrap type="none"/>
            <w10:anchorlock/>
          </v:shape>
          <o:OLEObject Type="Embed" ProgID="Equation.3" ShapeID="_x0000_i1035" DrawAspect="Content" ObjectID="_1468075735" r:id="rId70">
            <o:LockedField>false</o:LockedField>
          </o:OLEObject>
        </w:object>
      </w:r>
    </w:p>
    <w:p w14:paraId="695752FC">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14"/>
          <w:highlight w:val="none"/>
        </w:rPr>
        <w:object>
          <v:shape id="_x0000_i1036" o:spt="75" type="#_x0000_t75" style="height:26.5pt;width:169.15pt;" o:ole="t" filled="f" o:preferrelative="t" stroked="f" coordsize="21600,21600">
            <v:path/>
            <v:fill on="f" focussize="0,0"/>
            <v:stroke on="f" joinstyle="miter"/>
            <v:imagedata r:id="rId73" o:title=""/>
            <o:lock v:ext="edit" aspectratio="t"/>
            <w10:wrap type="none"/>
            <w10:anchorlock/>
          </v:shape>
          <o:OLEObject Type="Embed" ProgID="Equation.3" ShapeID="_x0000_i1036" DrawAspect="Content" ObjectID="_1468075736" r:id="rId72">
            <o:LockedField>false</o:LockedField>
          </o:OLEObject>
        </w:object>
      </w:r>
    </w:p>
    <w:p w14:paraId="5B21259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4CD29B9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p</w:t>
      </w:r>
      <w:r>
        <w:rPr>
          <w:rFonts w:hint="default" w:ascii="Times New Roman" w:hAnsi="Times New Roman" w:eastAsia="宋体" w:cs="Times New Roman"/>
          <w:color w:val="auto"/>
          <w:highlight w:val="none"/>
          <w:vertAlign w:val="subscript"/>
          <w:lang w:eastAsia="zh-CN"/>
        </w:rPr>
        <w:t>（</w:t>
      </w:r>
      <w:r>
        <w:rPr>
          <w:rFonts w:hint="default" w:ascii="Times New Roman" w:hAnsi="Times New Roman" w:eastAsia="宋体" w:cs="Times New Roman"/>
          <w:color w:val="auto"/>
          <w:highlight w:val="none"/>
          <w:vertAlign w:val="subscript"/>
        </w:rPr>
        <w:t>r0</w:t>
      </w:r>
      <w:r>
        <w:rPr>
          <w:rFonts w:hint="default" w:ascii="Times New Roman" w:hAnsi="Times New Roman" w:eastAsia="宋体" w:cs="Times New Roman"/>
          <w:color w:val="auto"/>
          <w:highlight w:val="none"/>
          <w:vertAlign w:val="subscript"/>
          <w:lang w:eastAsia="zh-CN"/>
        </w:rPr>
        <w:t>）</w:t>
      </w:r>
      <w:r>
        <w:rPr>
          <w:rFonts w:hint="default" w:ascii="Times New Roman" w:hAnsi="Times New Roman" w:eastAsia="宋体" w:cs="Times New Roman"/>
          <w:color w:val="auto"/>
          <w:highlight w:val="none"/>
        </w:rPr>
        <w:t>—靠近声源处某点的倍频带声压级，dB；</w:t>
      </w:r>
    </w:p>
    <w:p w14:paraId="00D1DDC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A—倍频带衰减，dB；</w:t>
      </w:r>
    </w:p>
    <w:p w14:paraId="085C335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d</w:t>
      </w:r>
      <w:r>
        <w:rPr>
          <w:rFonts w:hint="default" w:ascii="Times New Roman" w:hAnsi="Times New Roman" w:eastAsia="宋体" w:cs="Times New Roman"/>
          <w:color w:val="auto"/>
          <w:highlight w:val="none"/>
          <w:vertAlign w:val="subscript"/>
          <w:lang w:eastAsia="zh-CN"/>
        </w:rPr>
        <w:t>Ⅳ</w:t>
      </w:r>
      <w:r>
        <w:rPr>
          <w:rFonts w:hint="default" w:ascii="Times New Roman" w:hAnsi="Times New Roman" w:eastAsia="宋体" w:cs="Times New Roman"/>
          <w:color w:val="auto"/>
          <w:highlight w:val="none"/>
        </w:rPr>
        <w:t>—几何发散引起的倍频带衰减，dB；</w:t>
      </w:r>
    </w:p>
    <w:p w14:paraId="2E882EA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atm</w:t>
      </w:r>
      <w:r>
        <w:rPr>
          <w:rFonts w:hint="default" w:ascii="Times New Roman" w:hAnsi="Times New Roman" w:eastAsia="宋体" w:cs="Times New Roman"/>
          <w:color w:val="auto"/>
          <w:highlight w:val="none"/>
        </w:rPr>
        <w:t>—大气吸收引起的倍频带衰减，dB；</w:t>
      </w:r>
    </w:p>
    <w:p w14:paraId="68ED076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gr</w:t>
      </w:r>
      <w:r>
        <w:rPr>
          <w:rFonts w:hint="default" w:ascii="Times New Roman" w:hAnsi="Times New Roman" w:eastAsia="宋体" w:cs="Times New Roman"/>
          <w:color w:val="auto"/>
          <w:highlight w:val="none"/>
        </w:rPr>
        <w:t>—地面效应引起的倍频带衰减，dB；</w:t>
      </w:r>
    </w:p>
    <w:p w14:paraId="2CD27CB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bar</w:t>
      </w:r>
      <w:r>
        <w:rPr>
          <w:rFonts w:hint="default" w:ascii="Times New Roman" w:hAnsi="Times New Roman" w:eastAsia="宋体" w:cs="Times New Roman"/>
          <w:color w:val="auto"/>
          <w:highlight w:val="none"/>
        </w:rPr>
        <w:t>—声屏障引起的倍频带衰减，dB；</w:t>
      </w:r>
    </w:p>
    <w:p w14:paraId="22E6980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misc</w:t>
      </w:r>
      <w:r>
        <w:rPr>
          <w:rFonts w:hint="default" w:ascii="Times New Roman" w:hAnsi="Times New Roman" w:eastAsia="宋体" w:cs="Times New Roman"/>
          <w:color w:val="auto"/>
          <w:highlight w:val="none"/>
        </w:rPr>
        <w:t>—其他多方面效应引起的倍频带衰减，dB。</w:t>
      </w:r>
    </w:p>
    <w:p w14:paraId="745EDAAD">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08" w:name="_Toc31411"/>
      <w:bookmarkStart w:id="509" w:name="_Toc28577"/>
      <w:bookmarkStart w:id="510" w:name="_Toc18638"/>
      <w:bookmarkStart w:id="511" w:name="_Toc1584"/>
      <w:r>
        <w:rPr>
          <w:rFonts w:hint="default" w:ascii="Times New Roman" w:hAnsi="Times New Roman" w:eastAsia="宋体" w:cs="Times New Roman"/>
          <w:color w:val="auto"/>
          <w:highlight w:val="none"/>
        </w:rPr>
        <w:t>2）室内声源等效室外声源声功率级计算方法</w:t>
      </w:r>
      <w:bookmarkEnd w:id="508"/>
      <w:bookmarkEnd w:id="509"/>
      <w:bookmarkEnd w:id="510"/>
      <w:bookmarkEnd w:id="511"/>
    </w:p>
    <w:p w14:paraId="25145D1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室外的倍频带声压级</w:t>
      </w:r>
    </w:p>
    <w:p w14:paraId="3896A4B0">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14"/>
          <w:highlight w:val="none"/>
        </w:rPr>
        <w:object>
          <v:shape id="_x0000_i1037" o:spt="75" type="#_x0000_t75" style="height:21.75pt;width:102.55pt;" o:ole="t" filled="f" o:preferrelative="t" stroked="f" coordsize="21600,21600">
            <v:path/>
            <v:fill on="f" focussize="0,0"/>
            <v:stroke on="f" joinstyle="miter"/>
            <v:imagedata r:id="rId75" o:title=""/>
            <o:lock v:ext="edit" aspectratio="t"/>
            <w10:wrap type="none"/>
            <w10:anchorlock/>
          </v:shape>
          <o:OLEObject Type="Embed" ProgID="Equation.3" ShapeID="_x0000_i1037" DrawAspect="Content" ObjectID="_1468075737" r:id="rId74">
            <o:LockedField>false</o:LockedField>
          </o:OLEObject>
        </w:object>
      </w:r>
    </w:p>
    <w:p w14:paraId="28FF92C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35452D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TL—隔墙（或窗户）倍频带的隔声量，dB。</w:t>
      </w:r>
    </w:p>
    <w:p w14:paraId="47898E8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某一室内声源靠近围护结构处产生的倍频带声压级</w:t>
      </w:r>
    </w:p>
    <w:p w14:paraId="74DB90A0">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24"/>
          <w:highlight w:val="none"/>
        </w:rPr>
        <w:object>
          <v:shape id="_x0000_i1038" o:spt="75" type="#_x0000_t75" style="height:30.55pt;width:139.25pt;" o:ole="t" filled="f" o:preferrelative="t" stroked="f" coordsize="21600,21600">
            <v:path/>
            <v:fill on="f" focussize="0,0"/>
            <v:stroke on="f" joinstyle="miter"/>
            <v:imagedata r:id="rId77" o:title=""/>
            <o:lock v:ext="edit" aspectratio="t"/>
            <w10:wrap type="none"/>
            <w10:anchorlock/>
          </v:shape>
          <o:OLEObject Type="Embed" ProgID="Equation.3" ShapeID="_x0000_i1038" DrawAspect="Content" ObjectID="_1468075738" r:id="rId76">
            <o:LockedField>false</o:LockedField>
          </o:OLEObject>
        </w:object>
      </w:r>
    </w:p>
    <w:p w14:paraId="33F5B20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62B00C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Q—指向性因数；</w:t>
      </w:r>
    </w:p>
    <w:p w14:paraId="18CE4F1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R—房间常数；</w:t>
      </w:r>
    </w:p>
    <w:p w14:paraId="27C9CEC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r—声源在靠近围护结构某点处的距离，m。</w:t>
      </w:r>
    </w:p>
    <w:p w14:paraId="7992EA3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室内声源在围护结构处产生的i倍频带叠加声压级：</w:t>
      </w:r>
    </w:p>
    <w:p w14:paraId="6DBAA0E3">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0"/>
          <w:highlight w:val="none"/>
        </w:rPr>
        <w:object>
          <v:shape id="_x0000_i1039" o:spt="75" type="#_x0000_t75" style="height:36.7pt;width:133.15pt;" o:ole="t" filled="f" o:preferrelative="t" stroked="f" coordsize="21600,21600">
            <v:path/>
            <v:fill on="f" focussize="0,0"/>
            <v:stroke on="f" joinstyle="miter"/>
            <v:imagedata r:id="rId79" o:title=""/>
            <o:lock v:ext="edit" aspectratio="t"/>
            <w10:wrap type="none"/>
            <w10:anchorlock/>
          </v:shape>
          <o:OLEObject Type="Embed" ProgID="Equation.3" ShapeID="_x0000_i1039" DrawAspect="Content" ObjectID="_1468075739" r:id="rId78">
            <o:LockedField>false</o:LockedField>
          </o:OLEObject>
        </w:object>
      </w:r>
    </w:p>
    <w:p w14:paraId="7C2E24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6F8C331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12" w:name="_Toc471227766"/>
      <w:r>
        <w:rPr>
          <w:rFonts w:hint="default" w:ascii="Times New Roman" w:hAnsi="Times New Roman" w:eastAsia="宋体" w:cs="Times New Roman"/>
          <w:color w:val="auto"/>
          <w:highlight w:val="none"/>
        </w:rPr>
        <w:t>Lp1i</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—靠近围护结构处室内N个声源i倍频带的叠加声压级，dB；</w:t>
      </w:r>
      <w:bookmarkEnd w:id="512"/>
    </w:p>
    <w:p w14:paraId="49A7736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p1ij</w:t>
      </w:r>
      <w:r>
        <w:rPr>
          <w:rFonts w:hint="default" w:ascii="Times New Roman" w:hAnsi="Times New Roman" w:eastAsia="宋体" w:cs="Times New Roman"/>
          <w:color w:val="auto"/>
          <w:highlight w:val="none"/>
        </w:rPr>
        <w:t>—室内j声源i倍频带的声压级，dB；</w:t>
      </w:r>
    </w:p>
    <w:p w14:paraId="48D4CD7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N—室内声源总数。</w:t>
      </w:r>
    </w:p>
    <w:p w14:paraId="48C82C95">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13" w:name="_Toc13725"/>
      <w:bookmarkStart w:id="514" w:name="_Toc9617"/>
      <w:bookmarkStart w:id="515" w:name="_Toc22518"/>
      <w:bookmarkStart w:id="516" w:name="_Toc30982"/>
      <w:r>
        <w:rPr>
          <w:rFonts w:hint="default" w:ascii="Times New Roman" w:hAnsi="Times New Roman" w:eastAsia="宋体" w:cs="Times New Roman"/>
          <w:color w:val="auto"/>
          <w:highlight w:val="none"/>
        </w:rPr>
        <w:t>3）噪声贡献值计算</w:t>
      </w:r>
      <w:bookmarkEnd w:id="513"/>
      <w:bookmarkEnd w:id="514"/>
      <w:bookmarkEnd w:id="515"/>
      <w:bookmarkEnd w:id="516"/>
    </w:p>
    <w:p w14:paraId="1A350A3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拟建项目声源对预测点产生的贡献值为：</w:t>
      </w:r>
    </w:p>
    <w:p w14:paraId="1694BB04">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4"/>
          <w:highlight w:val="none"/>
        </w:rPr>
        <w:object>
          <v:shape id="_x0000_i1040" o:spt="75" type="#_x0000_t75" style="height:41.45pt;width:205.15pt;" o:ole="t" filled="f" o:preferrelative="t" stroked="f" coordsize="21600,21600">
            <v:path/>
            <v:fill on="f" focussize="0,0"/>
            <v:stroke on="f" joinstyle="miter"/>
            <v:imagedata r:id="rId81" o:title=""/>
            <o:lock v:ext="edit" aspectratio="t"/>
            <w10:wrap type="none"/>
            <w10:anchorlock/>
          </v:shape>
          <o:OLEObject Type="Embed" ProgID="Equation.3" ShapeID="_x0000_i1040" DrawAspect="Content" ObjectID="_1468075740" r:id="rId80">
            <o:LockedField>false</o:LockedField>
          </o:OLEObject>
        </w:object>
      </w:r>
    </w:p>
    <w:p w14:paraId="68C98BE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4C18A23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vertAlign w:val="subscript"/>
        </w:rPr>
        <w:t>j</w:t>
      </w:r>
      <w:r>
        <w:rPr>
          <w:rFonts w:hint="default" w:ascii="Times New Roman" w:hAnsi="Times New Roman" w:eastAsia="宋体" w:cs="Times New Roman"/>
          <w:color w:val="auto"/>
          <w:highlight w:val="none"/>
        </w:rPr>
        <w:t>—在T时间内j声源工作时间，s；</w:t>
      </w:r>
    </w:p>
    <w:p w14:paraId="49B4131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—在T时间内i声源工作时间，s；</w:t>
      </w:r>
    </w:p>
    <w:p w14:paraId="70E85E5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T—用于计算等效声级的时间，s；</w:t>
      </w:r>
    </w:p>
    <w:p w14:paraId="16660B8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N—室外声源个数；</w:t>
      </w:r>
    </w:p>
    <w:p w14:paraId="0EEDB77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M—等效室外声源个数。</w:t>
      </w:r>
    </w:p>
    <w:p w14:paraId="4C05E5A2">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17" w:name="_Toc20070"/>
      <w:bookmarkStart w:id="518" w:name="_Toc22652"/>
      <w:bookmarkStart w:id="519" w:name="_Toc26176"/>
      <w:bookmarkStart w:id="520" w:name="_Toc16084"/>
      <w:r>
        <w:rPr>
          <w:rFonts w:hint="default" w:ascii="Times New Roman" w:hAnsi="Times New Roman" w:eastAsia="宋体" w:cs="Times New Roman"/>
          <w:color w:val="auto"/>
          <w:highlight w:val="none"/>
        </w:rPr>
        <w:t>4）预测值计算</w:t>
      </w:r>
      <w:bookmarkEnd w:id="517"/>
      <w:bookmarkEnd w:id="518"/>
      <w:bookmarkEnd w:id="519"/>
      <w:bookmarkEnd w:id="520"/>
    </w:p>
    <w:p w14:paraId="6D615A4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建设项目声源在预测点产生的等效声级贡献值（L</w:t>
      </w:r>
      <w:r>
        <w:rPr>
          <w:rFonts w:hint="default" w:ascii="Times New Roman" w:hAnsi="Times New Roman" w:eastAsia="宋体" w:cs="Times New Roman"/>
          <w:color w:val="auto"/>
          <w:highlight w:val="none"/>
          <w:vertAlign w:val="subscript"/>
        </w:rPr>
        <w:t>eqg</w:t>
      </w:r>
      <w:r>
        <w:rPr>
          <w:rFonts w:hint="default" w:ascii="Times New Roman" w:hAnsi="Times New Roman" w:eastAsia="宋体" w:cs="Times New Roman"/>
          <w:color w:val="auto"/>
          <w:highlight w:val="none"/>
        </w:rPr>
        <w:t>）计算公式：</w:t>
      </w:r>
    </w:p>
    <w:p w14:paraId="7C5355B1">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0"/>
          <w:highlight w:val="none"/>
        </w:rPr>
        <w:object>
          <v:shape id="_x0000_i1041" o:spt="75" type="#_x0000_t75" style="height:36.7pt;width:133.8pt;" o:ole="t" filled="f" o:preferrelative="t" stroked="f" coordsize="21600,21600">
            <v:path/>
            <v:fill on="f" focussize="0,0"/>
            <v:stroke on="f" joinstyle="miter"/>
            <v:imagedata r:id="rId83" o:title=""/>
            <o:lock v:ext="edit" aspectratio="t"/>
            <w10:wrap type="none"/>
            <w10:anchorlock/>
          </v:shape>
          <o:OLEObject Type="Embed" ProgID="Equation.3" ShapeID="_x0000_i1041" DrawAspect="Content" ObjectID="_1468075741" r:id="rId82">
            <o:LockedField>false</o:LockedField>
          </o:OLEObject>
        </w:object>
      </w:r>
    </w:p>
    <w:p w14:paraId="467BA8A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2FF0996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21" w:name="_Toc471227767"/>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eqg</w:t>
      </w:r>
      <w:r>
        <w:rPr>
          <w:rFonts w:hint="default" w:ascii="Times New Roman" w:hAnsi="Times New Roman" w:eastAsia="宋体" w:cs="Times New Roman"/>
          <w:color w:val="auto"/>
          <w:highlight w:val="none"/>
        </w:rPr>
        <w:t>—建设项目声源在预测点的等效声级贡献值，dB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w:t>
      </w:r>
      <w:bookmarkEnd w:id="521"/>
    </w:p>
    <w:p w14:paraId="3C011AB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Ai</w:t>
      </w:r>
      <w:r>
        <w:rPr>
          <w:rFonts w:hint="default" w:ascii="Times New Roman" w:hAnsi="Times New Roman" w:eastAsia="宋体" w:cs="Times New Roman"/>
          <w:color w:val="auto"/>
          <w:highlight w:val="none"/>
        </w:rPr>
        <w:t>—i声源在预测点产生的A声级，dB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w:t>
      </w:r>
    </w:p>
    <w:p w14:paraId="24FCA53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T—预测计算的时间段，s；</w:t>
      </w:r>
    </w:p>
    <w:p w14:paraId="779DBE3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—i声源在T时段内的运行时间，s。</w:t>
      </w:r>
    </w:p>
    <w:p w14:paraId="4635F72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预测点的预测等效声级（L</w:t>
      </w:r>
      <w:r>
        <w:rPr>
          <w:rFonts w:hint="default" w:ascii="Times New Roman" w:hAnsi="Times New Roman" w:eastAsia="宋体" w:cs="Times New Roman"/>
          <w:color w:val="auto"/>
          <w:highlight w:val="none"/>
          <w:vertAlign w:val="subscript"/>
        </w:rPr>
        <w:t>eq</w:t>
      </w:r>
      <w:r>
        <w:rPr>
          <w:rFonts w:hint="default" w:ascii="Times New Roman" w:hAnsi="Times New Roman" w:eastAsia="宋体" w:cs="Times New Roman"/>
          <w:color w:val="auto"/>
          <w:highlight w:val="none"/>
        </w:rPr>
        <w:t>）计算公式：</w:t>
      </w:r>
    </w:p>
    <w:p w14:paraId="72506F3B">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object>
          <v:shape id="_x0000_i1042" o:spt="75" type="#_x0000_t75" style="height:26.5pt;width:139.25pt;" o:ole="t" filled="f" o:preferrelative="t" stroked="f" coordsize="21600,21600">
            <v:path/>
            <v:fill on="f" focussize="0,0"/>
            <v:stroke on="f" joinstyle="miter"/>
            <v:imagedata r:id="rId85" o:title=""/>
            <o:lock v:ext="edit" aspectratio="t"/>
            <w10:wrap type="none"/>
            <w10:anchorlock/>
          </v:shape>
          <o:OLEObject Type="Embed" ProgID="Equation.3" ShapeID="_x0000_i1042" DrawAspect="Content" ObjectID="_1468075742" r:id="rId84">
            <o:LockedField>false</o:LockedField>
          </o:OLEObject>
        </w:object>
      </w:r>
    </w:p>
    <w:p w14:paraId="008E8A6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6BCCE75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22" w:name="_Toc471227768"/>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eqg</w:t>
      </w:r>
      <w:r>
        <w:rPr>
          <w:rFonts w:hint="default" w:ascii="Times New Roman" w:hAnsi="Times New Roman" w:eastAsia="宋体" w:cs="Times New Roman"/>
          <w:color w:val="auto"/>
          <w:highlight w:val="none"/>
        </w:rPr>
        <w:t>—建设项目声源在预测点的等效声级贡献值，dB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w:t>
      </w:r>
      <w:bookmarkEnd w:id="522"/>
    </w:p>
    <w:p w14:paraId="7753A28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eqb</w:t>
      </w:r>
      <w:r>
        <w:rPr>
          <w:rFonts w:hint="default" w:ascii="Times New Roman" w:hAnsi="Times New Roman" w:eastAsia="宋体" w:cs="Times New Roman"/>
          <w:color w:val="auto"/>
          <w:highlight w:val="none"/>
        </w:rPr>
        <w:t>—预测点的背景值，dB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w:t>
      </w:r>
      <w:bookmarkEnd w:id="501"/>
      <w:bookmarkEnd w:id="502"/>
      <w:bookmarkEnd w:id="503"/>
    </w:p>
    <w:p w14:paraId="45DB88E9">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23" w:name="_Toc305308424"/>
      <w:bookmarkStart w:id="524" w:name="_Toc304537901"/>
      <w:bookmarkStart w:id="525" w:name="_Toc303002840"/>
      <w:bookmarkStart w:id="526" w:name="_Toc259456491"/>
      <w:bookmarkStart w:id="527" w:name="_Toc305323632"/>
      <w:bookmarkStart w:id="528" w:name="_Toc347089996"/>
      <w:bookmarkStart w:id="529" w:name="_Toc259614486"/>
      <w:bookmarkStart w:id="530" w:name="_Toc282785319"/>
      <w:bookmarkStart w:id="531" w:name="_Toc138493289"/>
      <w:bookmarkStart w:id="532" w:name="_Toc137236015"/>
      <w:bookmarkStart w:id="533" w:name="_Toc286164661"/>
      <w:bookmarkStart w:id="534" w:name="_Toc414022750"/>
      <w:bookmarkStart w:id="535" w:name="_Toc307566446"/>
      <w:bookmarkStart w:id="536" w:name="_Toc289249108"/>
      <w:bookmarkStart w:id="537" w:name="_Toc439090908"/>
      <w:bookmarkStart w:id="538" w:name="_Toc265744683"/>
      <w:bookmarkStart w:id="539" w:name="_Toc414022975"/>
      <w:bookmarkStart w:id="540" w:name="_Toc255298766"/>
      <w:bookmarkStart w:id="541" w:name="_Toc259614279"/>
      <w:bookmarkStart w:id="542" w:name="_Toc307561327"/>
      <w:bookmarkStart w:id="543" w:name="_Toc282796700"/>
      <w:bookmarkStart w:id="544" w:name="_Toc304736413"/>
      <w:bookmarkStart w:id="545" w:name="_Toc41476807"/>
      <w:bookmarkStart w:id="546" w:name="_Toc15627"/>
      <w:r>
        <w:rPr>
          <w:rFonts w:hint="default" w:ascii="Times New Roman" w:hAnsi="Times New Roman" w:eastAsia="宋体" w:cs="Times New Roman"/>
          <w:color w:val="auto"/>
          <w:highlight w:val="none"/>
        </w:rPr>
        <w:t>5.6.3声环境预测结果</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Fonts w:hint="default" w:ascii="Times New Roman" w:hAnsi="Times New Roman" w:eastAsia="宋体" w:cs="Times New Roman"/>
          <w:color w:val="auto"/>
          <w:highlight w:val="none"/>
        </w:rPr>
        <w:t>及结论</w:t>
      </w:r>
      <w:bookmarkEnd w:id="545"/>
      <w:bookmarkEnd w:id="546"/>
    </w:p>
    <w:p w14:paraId="48AF120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根据《</w:t>
      </w:r>
      <w:r>
        <w:rPr>
          <w:rFonts w:hint="default" w:ascii="Times New Roman" w:hAnsi="Times New Roman" w:eastAsia="宋体" w:cs="Times New Roman"/>
          <w:color w:val="auto"/>
          <w:szCs w:val="24"/>
          <w:highlight w:val="none"/>
          <w:lang w:eastAsia="zh-CN"/>
        </w:rPr>
        <w:t>环境影响评价技术导则</w:t>
      </w:r>
      <w:r>
        <w:rPr>
          <w:rFonts w:hint="default" w:ascii="Times New Roman" w:hAnsi="Times New Roman" w:eastAsia="宋体" w:cs="Times New Roman"/>
          <w:color w:val="auto"/>
          <w:szCs w:val="24"/>
          <w:highlight w:val="none"/>
          <w:lang w:val="en-US" w:eastAsia="zh-CN"/>
        </w:rPr>
        <w:t xml:space="preserve"> </w:t>
      </w:r>
      <w:r>
        <w:rPr>
          <w:rFonts w:hint="default" w:ascii="Times New Roman" w:hAnsi="Times New Roman" w:eastAsia="宋体" w:cs="Times New Roman"/>
          <w:color w:val="auto"/>
          <w:szCs w:val="24"/>
          <w:highlight w:val="none"/>
          <w:lang w:eastAsia="zh-CN"/>
        </w:rPr>
        <w:t>声</w:t>
      </w:r>
      <w:r>
        <w:rPr>
          <w:rFonts w:hint="default" w:ascii="Times New Roman" w:hAnsi="Times New Roman" w:eastAsia="宋体" w:cs="Times New Roman"/>
          <w:color w:val="auto"/>
          <w:szCs w:val="24"/>
          <w:highlight w:val="none"/>
        </w:rPr>
        <w:t>环境》（</w:t>
      </w:r>
      <w:r>
        <w:rPr>
          <w:rFonts w:hint="default" w:ascii="Times New Roman" w:hAnsi="Times New Roman" w:eastAsia="宋体" w:cs="Times New Roman"/>
          <w:color w:val="auto"/>
          <w:szCs w:val="24"/>
          <w:highlight w:val="none"/>
          <w:lang w:eastAsia="zh-CN"/>
        </w:rPr>
        <w:t>HJ2.4-2021</w:t>
      </w:r>
      <w:r>
        <w:rPr>
          <w:rFonts w:hint="default" w:ascii="Times New Roman" w:hAnsi="Times New Roman" w:eastAsia="宋体" w:cs="Times New Roman"/>
          <w:color w:val="auto"/>
          <w:szCs w:val="24"/>
          <w:highlight w:val="none"/>
        </w:rPr>
        <w:t>）规定，本项目为新建项目，预测厂界噪声时直接以工程噪声贡献值为评价量，</w:t>
      </w:r>
      <w:r>
        <w:rPr>
          <w:rFonts w:hint="default" w:ascii="Times New Roman" w:hAnsi="Times New Roman" w:eastAsia="宋体" w:cs="Times New Roman"/>
          <w:color w:val="auto"/>
          <w:szCs w:val="24"/>
          <w:highlight w:val="none"/>
          <w:lang w:eastAsia="zh-CN"/>
        </w:rPr>
        <w:t>不再</w:t>
      </w:r>
      <w:r>
        <w:rPr>
          <w:rFonts w:hint="default" w:ascii="Times New Roman" w:hAnsi="Times New Roman" w:eastAsia="宋体" w:cs="Times New Roman"/>
          <w:color w:val="auto"/>
          <w:szCs w:val="24"/>
          <w:highlight w:val="none"/>
        </w:rPr>
        <w:t>叠加现状噪声背景值。</w:t>
      </w:r>
    </w:p>
    <w:p w14:paraId="5B320EF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结合项目场区平面布置图，经噪声衰减和叠加公式计算，工程运营期主要噪声源对厂界的影响结果见表5.6-2。</w:t>
      </w:r>
    </w:p>
    <w:p w14:paraId="2A92C288">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表5.6-2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设备噪声预测结果单位：dB</w:t>
      </w:r>
      <w:r>
        <w:rPr>
          <w:rFonts w:hint="default" w:ascii="Times New Roman" w:hAnsi="Times New Roman" w:eastAsia="宋体" w:cs="Times New Roman"/>
          <w:color w:val="auto"/>
          <w:sz w:val="24"/>
          <w:szCs w:val="24"/>
          <w:highlight w:val="none"/>
          <w:lang w:eastAsia="zh-CN"/>
        </w:rPr>
        <w:t>（A）</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2192"/>
        <w:gridCol w:w="1521"/>
        <w:gridCol w:w="1521"/>
        <w:gridCol w:w="1521"/>
        <w:gridCol w:w="1522"/>
      </w:tblGrid>
      <w:tr w14:paraId="48869B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2386" w:type="dxa"/>
            <w:tcBorders>
              <w:top w:val="single" w:color="auto" w:sz="4" w:space="0"/>
              <w:left w:val="single" w:color="auto" w:sz="4" w:space="0"/>
              <w:bottom w:val="single" w:color="auto" w:sz="4" w:space="0"/>
              <w:right w:val="single" w:color="auto" w:sz="4" w:space="0"/>
            </w:tcBorders>
            <w:vAlign w:val="center"/>
          </w:tcPr>
          <w:p w14:paraId="728482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预测内容</w:t>
            </w:r>
          </w:p>
        </w:tc>
        <w:tc>
          <w:tcPr>
            <w:tcW w:w="1654" w:type="dxa"/>
            <w:tcBorders>
              <w:top w:val="single" w:color="auto" w:sz="4" w:space="0"/>
              <w:left w:val="single" w:color="auto" w:sz="4" w:space="0"/>
              <w:bottom w:val="single" w:color="auto" w:sz="4" w:space="0"/>
              <w:right w:val="single" w:color="auto" w:sz="4" w:space="0"/>
            </w:tcBorders>
            <w:vAlign w:val="center"/>
          </w:tcPr>
          <w:p w14:paraId="67DA2E9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东厂界</w:t>
            </w:r>
          </w:p>
        </w:tc>
        <w:tc>
          <w:tcPr>
            <w:tcW w:w="1654" w:type="dxa"/>
            <w:tcBorders>
              <w:top w:val="single" w:color="auto" w:sz="4" w:space="0"/>
              <w:left w:val="single" w:color="auto" w:sz="4" w:space="0"/>
              <w:bottom w:val="single" w:color="auto" w:sz="4" w:space="0"/>
              <w:right w:val="single" w:color="auto" w:sz="4" w:space="0"/>
            </w:tcBorders>
            <w:vAlign w:val="center"/>
          </w:tcPr>
          <w:p w14:paraId="248C00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南厂界</w:t>
            </w:r>
          </w:p>
        </w:tc>
        <w:tc>
          <w:tcPr>
            <w:tcW w:w="1654" w:type="dxa"/>
            <w:tcBorders>
              <w:top w:val="single" w:color="auto" w:sz="4" w:space="0"/>
              <w:left w:val="single" w:color="auto" w:sz="4" w:space="0"/>
              <w:bottom w:val="single" w:color="auto" w:sz="4" w:space="0"/>
              <w:right w:val="single" w:color="auto" w:sz="4" w:space="0"/>
            </w:tcBorders>
            <w:vAlign w:val="center"/>
          </w:tcPr>
          <w:p w14:paraId="557D79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西厂界</w:t>
            </w:r>
          </w:p>
        </w:tc>
        <w:tc>
          <w:tcPr>
            <w:tcW w:w="1655" w:type="dxa"/>
            <w:tcBorders>
              <w:top w:val="single" w:color="auto" w:sz="4" w:space="0"/>
              <w:left w:val="single" w:color="auto" w:sz="4" w:space="0"/>
              <w:bottom w:val="single" w:color="auto" w:sz="4" w:space="0"/>
              <w:right w:val="single" w:color="auto" w:sz="4" w:space="0"/>
            </w:tcBorders>
            <w:vAlign w:val="center"/>
          </w:tcPr>
          <w:p w14:paraId="3CF5C5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北厂界</w:t>
            </w:r>
          </w:p>
        </w:tc>
      </w:tr>
      <w:tr w14:paraId="04D2CE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2386" w:type="dxa"/>
            <w:tcBorders>
              <w:top w:val="single" w:color="auto" w:sz="4" w:space="0"/>
              <w:left w:val="single" w:color="auto" w:sz="4" w:space="0"/>
              <w:bottom w:val="single" w:color="auto" w:sz="4" w:space="0"/>
              <w:right w:val="single" w:color="auto" w:sz="4" w:space="0"/>
            </w:tcBorders>
            <w:vAlign w:val="center"/>
          </w:tcPr>
          <w:p w14:paraId="2320BC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贡献值</w:t>
            </w:r>
          </w:p>
        </w:tc>
        <w:tc>
          <w:tcPr>
            <w:tcW w:w="1654" w:type="dxa"/>
            <w:tcBorders>
              <w:top w:val="single" w:color="auto" w:sz="4" w:space="0"/>
              <w:left w:val="single" w:color="auto" w:sz="4" w:space="0"/>
              <w:bottom w:val="single" w:color="auto" w:sz="4" w:space="0"/>
              <w:right w:val="single" w:color="auto" w:sz="4" w:space="0"/>
            </w:tcBorders>
            <w:vAlign w:val="center"/>
          </w:tcPr>
          <w:p w14:paraId="2B4F7A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46.2</w:t>
            </w:r>
          </w:p>
        </w:tc>
        <w:tc>
          <w:tcPr>
            <w:tcW w:w="1654" w:type="dxa"/>
            <w:tcBorders>
              <w:top w:val="single" w:color="auto" w:sz="4" w:space="0"/>
              <w:left w:val="single" w:color="auto" w:sz="4" w:space="0"/>
              <w:bottom w:val="single" w:color="auto" w:sz="4" w:space="0"/>
              <w:right w:val="single" w:color="auto" w:sz="4" w:space="0"/>
            </w:tcBorders>
            <w:vAlign w:val="center"/>
          </w:tcPr>
          <w:p w14:paraId="401B0D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43.9</w:t>
            </w:r>
          </w:p>
        </w:tc>
        <w:tc>
          <w:tcPr>
            <w:tcW w:w="1654" w:type="dxa"/>
            <w:tcBorders>
              <w:top w:val="single" w:color="auto" w:sz="4" w:space="0"/>
              <w:left w:val="single" w:color="auto" w:sz="4" w:space="0"/>
              <w:bottom w:val="single" w:color="auto" w:sz="4" w:space="0"/>
              <w:right w:val="single" w:color="auto" w:sz="4" w:space="0"/>
            </w:tcBorders>
            <w:vAlign w:val="center"/>
          </w:tcPr>
          <w:p w14:paraId="7C161C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43.4</w:t>
            </w:r>
          </w:p>
        </w:tc>
        <w:tc>
          <w:tcPr>
            <w:tcW w:w="1655" w:type="dxa"/>
            <w:tcBorders>
              <w:top w:val="single" w:color="auto" w:sz="4" w:space="0"/>
              <w:left w:val="single" w:color="auto" w:sz="4" w:space="0"/>
              <w:bottom w:val="single" w:color="auto" w:sz="4" w:space="0"/>
              <w:right w:val="single" w:color="auto" w:sz="4" w:space="0"/>
            </w:tcBorders>
            <w:vAlign w:val="center"/>
          </w:tcPr>
          <w:p w14:paraId="71ED6F1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44.5</w:t>
            </w:r>
          </w:p>
        </w:tc>
      </w:tr>
      <w:tr w14:paraId="6CC069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9003" w:type="dxa"/>
            <w:gridSpan w:val="5"/>
            <w:tcBorders>
              <w:top w:val="single" w:color="auto" w:sz="4" w:space="0"/>
              <w:left w:val="single" w:color="auto" w:sz="4" w:space="0"/>
              <w:bottom w:val="single" w:color="auto" w:sz="4" w:space="0"/>
              <w:right w:val="single" w:color="auto" w:sz="4" w:space="0"/>
            </w:tcBorders>
            <w:vAlign w:val="center"/>
          </w:tcPr>
          <w:p w14:paraId="5FBDBE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p>
          <w:p w14:paraId="226830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1工业企业厂界环境噪声排放限值中</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类功能区排放限值（</w:t>
            </w:r>
            <w:r>
              <w:rPr>
                <w:rFonts w:hint="default" w:ascii="Times New Roman" w:hAnsi="Times New Roman" w:eastAsia="宋体" w:cs="Times New Roman"/>
                <w:color w:val="auto"/>
                <w:sz w:val="21"/>
                <w:szCs w:val="21"/>
                <w:highlight w:val="none"/>
              </w:rPr>
              <w:t>昼间：</w:t>
            </w:r>
            <w:r>
              <w:rPr>
                <w:rFonts w:hint="default"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夜间：</w:t>
            </w: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lang w:val="en-US" w:eastAsia="zh-CN"/>
              </w:rPr>
              <w:t>）</w:t>
            </w:r>
          </w:p>
        </w:tc>
      </w:tr>
    </w:tbl>
    <w:p w14:paraId="4716489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由上表可以看出，建设项目投产后，项目噪声经隔声及距离衰减后，项目运营期四周厂界的噪声预测值为</w:t>
      </w:r>
      <w:r>
        <w:rPr>
          <w:rFonts w:hint="default" w:ascii="Times New Roman" w:hAnsi="Times New Roman" w:eastAsia="宋体" w:cs="Times New Roman"/>
          <w:color w:val="auto"/>
          <w:highlight w:val="none"/>
          <w:lang w:val="en-US" w:eastAsia="zh-CN"/>
        </w:rPr>
        <w:t>43.4</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46.2</w:t>
      </w:r>
      <w:r>
        <w:rPr>
          <w:rFonts w:hint="default" w:ascii="Times New Roman" w:hAnsi="Times New Roman" w:eastAsia="宋体" w:cs="Times New Roman"/>
          <w:color w:val="auto"/>
          <w:highlight w:val="none"/>
        </w:rPr>
        <w:t>dB</w:t>
      </w:r>
      <w:r>
        <w:rPr>
          <w:rFonts w:hint="default" w:ascii="Times New Roman" w:hAnsi="Times New Roman" w:eastAsia="宋体" w:cs="Times New Roman"/>
          <w:color w:val="auto"/>
          <w:highlight w:val="none"/>
          <w:lang w:eastAsia="zh-CN"/>
        </w:rPr>
        <w:t>（A）</w:t>
      </w:r>
      <w:r>
        <w:rPr>
          <w:rFonts w:hint="default" w:ascii="Times New Roman" w:hAnsi="Times New Roman" w:eastAsia="宋体" w:cs="Times New Roman"/>
          <w:color w:val="auto"/>
          <w:highlight w:val="none"/>
        </w:rPr>
        <w:t>，项目厂界均能满足《工业企业厂界环境噪声排放标准》（GB12348-2008）</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1工业企业厂界环境噪声排放限值中</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类功能区排放限值</w:t>
      </w:r>
      <w:r>
        <w:rPr>
          <w:rFonts w:hint="default" w:ascii="Times New Roman" w:hAnsi="Times New Roman" w:eastAsia="宋体" w:cs="Times New Roman"/>
          <w:color w:val="auto"/>
          <w:highlight w:val="none"/>
        </w:rPr>
        <w:t>要求</w:t>
      </w:r>
      <w:r>
        <w:rPr>
          <w:rFonts w:hint="default" w:ascii="Times New Roman" w:hAnsi="Times New Roman" w:eastAsia="宋体" w:cs="Times New Roman"/>
          <w:color w:val="auto"/>
          <w:highlight w:val="none"/>
          <w:lang w:eastAsia="zh-CN"/>
        </w:rPr>
        <w:t>。</w:t>
      </w:r>
    </w:p>
    <w:p w14:paraId="61AD7122">
      <w:pPr>
        <w:keepNext w:val="0"/>
        <w:keepLines w:val="0"/>
        <w:pageBreakBefore w:val="0"/>
        <w:suppressLineNumbers w:val="0"/>
        <w:shd w:val="clear"/>
        <w:tabs>
          <w:tab w:val="center" w:pos="4153"/>
          <w:tab w:val="right" w:pos="8306"/>
        </w:tabs>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center"/>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表5.6-3</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color w:val="auto"/>
          <w:sz w:val="24"/>
          <w:szCs w:val="24"/>
          <w:highlight w:val="none"/>
          <w:lang w:val="en-US" w:eastAsia="zh-CN"/>
        </w:rPr>
        <w:t>敏感点噪声预测结果（单位：dB（A））</w:t>
      </w:r>
    </w:p>
    <w:tbl>
      <w:tblPr>
        <w:tblStyle w:val="4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035"/>
        <w:gridCol w:w="1035"/>
        <w:gridCol w:w="1035"/>
        <w:gridCol w:w="1035"/>
        <w:gridCol w:w="1035"/>
        <w:gridCol w:w="1035"/>
        <w:gridCol w:w="1035"/>
      </w:tblGrid>
      <w:tr w14:paraId="53C3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7" w:type="dxa"/>
            <w:gridSpan w:val="2"/>
            <w:vMerge w:val="restart"/>
            <w:noWrap w:val="0"/>
            <w:tcMar>
              <w:left w:w="28" w:type="dxa"/>
              <w:right w:w="28" w:type="dxa"/>
            </w:tcMar>
            <w:vAlign w:val="center"/>
          </w:tcPr>
          <w:p w14:paraId="1C8A9E3E">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预测点位</w:t>
            </w:r>
          </w:p>
        </w:tc>
        <w:tc>
          <w:tcPr>
            <w:tcW w:w="3105" w:type="dxa"/>
            <w:gridSpan w:val="3"/>
            <w:noWrap w:val="0"/>
            <w:tcMar>
              <w:left w:w="28" w:type="dxa"/>
              <w:right w:w="28" w:type="dxa"/>
            </w:tcMar>
            <w:vAlign w:val="center"/>
          </w:tcPr>
          <w:p w14:paraId="08949CF7">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de-DE" w:eastAsia="zh-CN"/>
              </w:rPr>
            </w:pPr>
            <w:r>
              <w:rPr>
                <w:rFonts w:hint="default" w:ascii="Times New Roman" w:hAnsi="Times New Roman" w:eastAsia="宋体" w:cs="Times New Roman"/>
                <w:color w:val="auto"/>
                <w:sz w:val="21"/>
                <w:szCs w:val="21"/>
                <w:highlight w:val="none"/>
                <w:lang w:val="de-DE"/>
              </w:rPr>
              <w:t>昼间</w:t>
            </w:r>
          </w:p>
        </w:tc>
        <w:tc>
          <w:tcPr>
            <w:tcW w:w="3105" w:type="dxa"/>
            <w:gridSpan w:val="3"/>
            <w:noWrap w:val="0"/>
            <w:tcMar>
              <w:left w:w="28" w:type="dxa"/>
              <w:right w:w="28" w:type="dxa"/>
            </w:tcMar>
            <w:vAlign w:val="center"/>
          </w:tcPr>
          <w:p w14:paraId="1011E882">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夜间</w:t>
            </w:r>
          </w:p>
        </w:tc>
      </w:tr>
      <w:tr w14:paraId="12C7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7" w:type="dxa"/>
            <w:gridSpan w:val="2"/>
            <w:vMerge w:val="continue"/>
            <w:noWrap w:val="0"/>
            <w:tcMar>
              <w:left w:w="28" w:type="dxa"/>
              <w:right w:w="28" w:type="dxa"/>
            </w:tcMar>
            <w:vAlign w:val="center"/>
          </w:tcPr>
          <w:p w14:paraId="56B4A8F7">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de-DE"/>
              </w:rPr>
            </w:pPr>
          </w:p>
        </w:tc>
        <w:tc>
          <w:tcPr>
            <w:tcW w:w="1035" w:type="dxa"/>
            <w:noWrap w:val="0"/>
            <w:tcMar>
              <w:left w:w="28" w:type="dxa"/>
              <w:right w:w="28" w:type="dxa"/>
            </w:tcMar>
            <w:vAlign w:val="center"/>
          </w:tcPr>
          <w:p w14:paraId="592429F5">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de-DE" w:eastAsia="zh-CN" w:bidi="ar-SA"/>
              </w:rPr>
            </w:pPr>
            <w:r>
              <w:rPr>
                <w:rFonts w:hint="default" w:ascii="Times New Roman" w:hAnsi="Times New Roman" w:eastAsia="宋体" w:cs="Times New Roman"/>
                <w:color w:val="auto"/>
                <w:sz w:val="21"/>
                <w:szCs w:val="21"/>
                <w:highlight w:val="none"/>
                <w:lang w:val="en-US" w:eastAsia="zh-CN"/>
              </w:rPr>
              <w:t>背景值</w:t>
            </w:r>
          </w:p>
        </w:tc>
        <w:tc>
          <w:tcPr>
            <w:tcW w:w="1035" w:type="dxa"/>
            <w:noWrap w:val="0"/>
            <w:tcMar>
              <w:left w:w="28" w:type="dxa"/>
              <w:right w:w="28" w:type="dxa"/>
            </w:tcMar>
            <w:vAlign w:val="center"/>
          </w:tcPr>
          <w:p w14:paraId="34D93E8E">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de-DE" w:eastAsia="zh-CN" w:bidi="ar-SA"/>
              </w:rPr>
            </w:pPr>
            <w:r>
              <w:rPr>
                <w:rFonts w:hint="default" w:ascii="Times New Roman" w:hAnsi="Times New Roman" w:eastAsia="宋体" w:cs="Times New Roman"/>
                <w:color w:val="auto"/>
                <w:sz w:val="21"/>
                <w:szCs w:val="21"/>
                <w:highlight w:val="none"/>
                <w:lang w:val="de-DE"/>
              </w:rPr>
              <w:t>贡献值</w:t>
            </w:r>
          </w:p>
        </w:tc>
        <w:tc>
          <w:tcPr>
            <w:tcW w:w="1035" w:type="dxa"/>
            <w:noWrap w:val="0"/>
            <w:tcMar>
              <w:left w:w="28" w:type="dxa"/>
              <w:right w:w="28" w:type="dxa"/>
            </w:tcMar>
            <w:vAlign w:val="center"/>
          </w:tcPr>
          <w:p w14:paraId="1B65304C">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de-DE" w:eastAsia="zh-CN" w:bidi="ar-SA"/>
              </w:rPr>
            </w:pPr>
            <w:r>
              <w:rPr>
                <w:rFonts w:hint="default" w:ascii="Times New Roman" w:hAnsi="Times New Roman" w:eastAsia="宋体" w:cs="Times New Roman"/>
                <w:color w:val="auto"/>
                <w:sz w:val="21"/>
                <w:szCs w:val="21"/>
                <w:highlight w:val="none"/>
                <w:lang w:val="en-US" w:eastAsia="zh-CN"/>
              </w:rPr>
              <w:t>预测值</w:t>
            </w:r>
          </w:p>
        </w:tc>
        <w:tc>
          <w:tcPr>
            <w:tcW w:w="1035" w:type="dxa"/>
            <w:noWrap w:val="0"/>
            <w:tcMar>
              <w:left w:w="28" w:type="dxa"/>
              <w:right w:w="28" w:type="dxa"/>
            </w:tcMar>
            <w:vAlign w:val="center"/>
          </w:tcPr>
          <w:p w14:paraId="67A69354">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背景值</w:t>
            </w:r>
          </w:p>
        </w:tc>
        <w:tc>
          <w:tcPr>
            <w:tcW w:w="1035" w:type="dxa"/>
            <w:noWrap w:val="0"/>
            <w:tcMar>
              <w:left w:w="28" w:type="dxa"/>
              <w:right w:w="28" w:type="dxa"/>
            </w:tcMar>
            <w:vAlign w:val="center"/>
          </w:tcPr>
          <w:p w14:paraId="6C622D32">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de-DE"/>
              </w:rPr>
              <w:t>贡献值</w:t>
            </w:r>
          </w:p>
        </w:tc>
        <w:tc>
          <w:tcPr>
            <w:tcW w:w="1035" w:type="dxa"/>
            <w:noWrap w:val="0"/>
            <w:tcMar>
              <w:left w:w="28" w:type="dxa"/>
              <w:right w:w="28" w:type="dxa"/>
            </w:tcMar>
            <w:vAlign w:val="center"/>
          </w:tcPr>
          <w:p w14:paraId="086E9E80">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预测值</w:t>
            </w:r>
          </w:p>
        </w:tc>
      </w:tr>
      <w:tr w14:paraId="5511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32" w:type="dxa"/>
            <w:noWrap w:val="0"/>
            <w:tcMar>
              <w:left w:w="28" w:type="dxa"/>
              <w:right w:w="28" w:type="dxa"/>
            </w:tcMar>
            <w:vAlign w:val="center"/>
          </w:tcPr>
          <w:p w14:paraId="58A3E646">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1</w:t>
            </w:r>
          </w:p>
        </w:tc>
        <w:tc>
          <w:tcPr>
            <w:tcW w:w="1035" w:type="dxa"/>
            <w:noWrap w:val="0"/>
            <w:tcMar>
              <w:left w:w="28" w:type="dxa"/>
              <w:right w:w="28" w:type="dxa"/>
            </w:tcMar>
            <w:vAlign w:val="center"/>
          </w:tcPr>
          <w:p w14:paraId="039F56CC">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新丰村三社</w:t>
            </w:r>
          </w:p>
        </w:tc>
        <w:tc>
          <w:tcPr>
            <w:tcW w:w="1035" w:type="dxa"/>
            <w:tcBorders>
              <w:left w:val="single" w:color="auto" w:sz="2" w:space="0"/>
            </w:tcBorders>
            <w:noWrap w:val="0"/>
            <w:tcMar>
              <w:left w:w="28" w:type="dxa"/>
              <w:right w:w="28" w:type="dxa"/>
            </w:tcMar>
            <w:vAlign w:val="center"/>
          </w:tcPr>
          <w:p w14:paraId="7E43CAFF">
            <w:pPr>
              <w:keepNext w:val="0"/>
              <w:keepLines w:val="0"/>
              <w:pageBreakBefore w:val="0"/>
              <w:widowControl w:val="0"/>
              <w:suppressLineNumbers w:val="0"/>
              <w:shd w:val="clear"/>
              <w:kinsoku/>
              <w:wordWrap/>
              <w:overflowPunct/>
              <w:autoSpaceDE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53</w:t>
            </w:r>
          </w:p>
        </w:tc>
        <w:tc>
          <w:tcPr>
            <w:tcW w:w="1035" w:type="dxa"/>
            <w:tcBorders>
              <w:left w:val="single" w:color="auto" w:sz="2" w:space="0"/>
            </w:tcBorders>
            <w:noWrap w:val="0"/>
            <w:tcMar>
              <w:left w:w="28" w:type="dxa"/>
              <w:right w:w="28" w:type="dxa"/>
            </w:tcMar>
            <w:vAlign w:val="center"/>
          </w:tcPr>
          <w:p w14:paraId="21D92582">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36.5</w:t>
            </w:r>
          </w:p>
        </w:tc>
        <w:tc>
          <w:tcPr>
            <w:tcW w:w="1035" w:type="dxa"/>
            <w:tcBorders>
              <w:left w:val="single" w:color="auto" w:sz="2" w:space="0"/>
            </w:tcBorders>
            <w:noWrap w:val="0"/>
            <w:tcMar>
              <w:left w:w="28" w:type="dxa"/>
              <w:right w:w="28" w:type="dxa"/>
            </w:tcMar>
            <w:vAlign w:val="center"/>
          </w:tcPr>
          <w:p w14:paraId="3D6C8D9A">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53.1</w:t>
            </w:r>
          </w:p>
        </w:tc>
        <w:tc>
          <w:tcPr>
            <w:tcW w:w="1035" w:type="dxa"/>
            <w:tcBorders>
              <w:left w:val="single" w:color="auto" w:sz="2" w:space="0"/>
            </w:tcBorders>
            <w:noWrap w:val="0"/>
            <w:tcMar>
              <w:left w:w="28" w:type="dxa"/>
              <w:right w:w="28" w:type="dxa"/>
            </w:tcMar>
            <w:vAlign w:val="center"/>
          </w:tcPr>
          <w:p w14:paraId="74B5BB2C">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w:t>
            </w:r>
          </w:p>
        </w:tc>
        <w:tc>
          <w:tcPr>
            <w:tcW w:w="1035" w:type="dxa"/>
            <w:tcBorders>
              <w:left w:val="single" w:color="auto" w:sz="2" w:space="0"/>
            </w:tcBorders>
            <w:noWrap w:val="0"/>
            <w:tcMar>
              <w:left w:w="28" w:type="dxa"/>
              <w:right w:w="28" w:type="dxa"/>
            </w:tcMar>
            <w:vAlign w:val="center"/>
          </w:tcPr>
          <w:p w14:paraId="0D252866">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36.5</w:t>
            </w:r>
          </w:p>
        </w:tc>
        <w:tc>
          <w:tcPr>
            <w:tcW w:w="1035" w:type="dxa"/>
            <w:tcBorders>
              <w:left w:val="single" w:color="auto" w:sz="2" w:space="0"/>
            </w:tcBorders>
            <w:noWrap w:val="0"/>
            <w:tcMar>
              <w:left w:w="28" w:type="dxa"/>
              <w:right w:w="28" w:type="dxa"/>
            </w:tcMar>
            <w:vAlign w:val="center"/>
          </w:tcPr>
          <w:p w14:paraId="11152AE3">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43.88</w:t>
            </w:r>
          </w:p>
        </w:tc>
      </w:tr>
    </w:tbl>
    <w:p w14:paraId="7AF4BF8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lang w:val="en-US" w:eastAsia="zh-CN"/>
        </w:rPr>
        <w:t>南侧新丰村三社声环境</w:t>
      </w:r>
      <w:r>
        <w:rPr>
          <w:rFonts w:hint="default" w:ascii="Times New Roman" w:hAnsi="Times New Roman" w:eastAsia="宋体" w:cs="Times New Roman"/>
          <w:color w:val="auto"/>
          <w:sz w:val="24"/>
          <w:highlight w:val="none"/>
        </w:rPr>
        <w:t>昼间</w:t>
      </w:r>
      <w:r>
        <w:rPr>
          <w:rFonts w:hint="default" w:ascii="Times New Roman" w:hAnsi="Times New Roman" w:eastAsia="宋体" w:cs="Times New Roman"/>
          <w:color w:val="auto"/>
          <w:sz w:val="24"/>
          <w:highlight w:val="none"/>
          <w:lang w:val="en-US" w:eastAsia="zh-CN"/>
        </w:rPr>
        <w:t>预测</w:t>
      </w:r>
      <w:r>
        <w:rPr>
          <w:rFonts w:hint="default" w:ascii="Times New Roman" w:hAnsi="Times New Roman" w:eastAsia="宋体" w:cs="Times New Roman"/>
          <w:color w:val="auto"/>
          <w:sz w:val="24"/>
          <w:szCs w:val="24"/>
          <w:highlight w:val="none"/>
        </w:rPr>
        <w:t>值</w:t>
      </w:r>
      <w:r>
        <w:rPr>
          <w:rFonts w:hint="default" w:ascii="Times New Roman" w:hAnsi="Times New Roman" w:eastAsia="宋体" w:cs="Times New Roman"/>
          <w:color w:val="auto"/>
          <w:sz w:val="24"/>
          <w:szCs w:val="24"/>
          <w:highlight w:val="none"/>
          <w:lang w:eastAsia="zh-CN"/>
        </w:rPr>
        <w:t>为</w:t>
      </w:r>
      <w:r>
        <w:rPr>
          <w:rFonts w:hint="default" w:ascii="Times New Roman" w:hAnsi="Times New Roman" w:eastAsia="宋体" w:cs="Times New Roman"/>
          <w:color w:val="auto"/>
          <w:sz w:val="24"/>
          <w:szCs w:val="24"/>
          <w:highlight w:val="none"/>
          <w:lang w:val="en-US" w:eastAsia="zh-CN"/>
        </w:rPr>
        <w:t>53.1</w:t>
      </w:r>
      <w:r>
        <w:rPr>
          <w:rFonts w:hint="default" w:ascii="Times New Roman" w:hAnsi="Times New Roman" w:eastAsia="宋体" w:cs="Times New Roman"/>
          <w:color w:val="auto"/>
          <w:sz w:val="24"/>
          <w:szCs w:val="24"/>
          <w:highlight w:val="none"/>
          <w:lang w:eastAsia="zh-CN"/>
        </w:rPr>
        <w:t>dB（A）、</w:t>
      </w:r>
      <w:r>
        <w:rPr>
          <w:rFonts w:hint="default" w:ascii="Times New Roman" w:hAnsi="Times New Roman" w:eastAsia="宋体" w:cs="Times New Roman"/>
          <w:color w:val="auto"/>
          <w:sz w:val="24"/>
          <w:szCs w:val="24"/>
          <w:highlight w:val="none"/>
          <w:lang w:val="en-US" w:eastAsia="zh-CN"/>
        </w:rPr>
        <w:t>夜</w:t>
      </w:r>
      <w:r>
        <w:rPr>
          <w:rFonts w:hint="default" w:ascii="Times New Roman" w:hAnsi="Times New Roman" w:eastAsia="宋体" w:cs="Times New Roman"/>
          <w:color w:val="auto"/>
          <w:sz w:val="24"/>
          <w:szCs w:val="24"/>
          <w:highlight w:val="none"/>
        </w:rPr>
        <w:t>间</w:t>
      </w:r>
      <w:r>
        <w:rPr>
          <w:rFonts w:hint="default" w:ascii="Times New Roman" w:hAnsi="Times New Roman" w:eastAsia="宋体" w:cs="Times New Roman"/>
          <w:color w:val="auto"/>
          <w:sz w:val="24"/>
          <w:szCs w:val="24"/>
          <w:highlight w:val="none"/>
          <w:lang w:val="en-US" w:eastAsia="zh-CN"/>
        </w:rPr>
        <w:t>预测</w:t>
      </w:r>
      <w:r>
        <w:rPr>
          <w:rFonts w:hint="default" w:ascii="Times New Roman" w:hAnsi="Times New Roman" w:eastAsia="宋体" w:cs="Times New Roman"/>
          <w:color w:val="auto"/>
          <w:sz w:val="24"/>
          <w:szCs w:val="24"/>
          <w:highlight w:val="none"/>
        </w:rPr>
        <w:t>值</w:t>
      </w:r>
      <w:r>
        <w:rPr>
          <w:rFonts w:hint="default" w:ascii="Times New Roman" w:hAnsi="Times New Roman" w:eastAsia="宋体" w:cs="Times New Roman"/>
          <w:color w:val="auto"/>
          <w:sz w:val="24"/>
          <w:szCs w:val="24"/>
          <w:highlight w:val="none"/>
          <w:lang w:eastAsia="zh-CN"/>
        </w:rPr>
        <w:t>为</w:t>
      </w:r>
      <w:r>
        <w:rPr>
          <w:rFonts w:hint="default" w:ascii="Times New Roman" w:hAnsi="Times New Roman" w:eastAsia="宋体" w:cs="Times New Roman"/>
          <w:color w:val="auto"/>
          <w:sz w:val="24"/>
          <w:szCs w:val="24"/>
          <w:highlight w:val="none"/>
          <w:lang w:val="en-US" w:eastAsia="zh-CN"/>
        </w:rPr>
        <w:t>43.88</w:t>
      </w:r>
      <w:r>
        <w:rPr>
          <w:rFonts w:hint="default" w:ascii="Times New Roman" w:hAnsi="Times New Roman" w:eastAsia="宋体" w:cs="Times New Roman"/>
          <w:color w:val="auto"/>
          <w:sz w:val="24"/>
          <w:szCs w:val="24"/>
          <w:highlight w:val="none"/>
          <w:lang w:eastAsia="zh-CN"/>
        </w:rPr>
        <w:t>dB（A），</w:t>
      </w:r>
      <w:r>
        <w:rPr>
          <w:rFonts w:hint="default" w:ascii="Times New Roman" w:hAnsi="Times New Roman" w:eastAsia="宋体" w:cs="Times New Roman"/>
          <w:color w:val="auto"/>
          <w:sz w:val="24"/>
          <w:szCs w:val="24"/>
          <w:highlight w:val="none"/>
          <w:lang w:val="en-US" w:eastAsia="zh-CN"/>
        </w:rPr>
        <w:t>均</w:t>
      </w:r>
      <w:r>
        <w:rPr>
          <w:rFonts w:hint="default" w:ascii="Times New Roman" w:hAnsi="Times New Roman" w:eastAsia="宋体" w:cs="Times New Roman"/>
          <w:color w:val="auto"/>
          <w:sz w:val="24"/>
          <w:szCs w:val="24"/>
          <w:highlight w:val="none"/>
          <w:lang w:eastAsia="zh-CN"/>
        </w:rPr>
        <w:t>满足《声环境质量标准》（GB3096-2008）</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类标准。</w:t>
      </w:r>
    </w:p>
    <w:p w14:paraId="3633304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综上，本项目对区域</w:t>
      </w:r>
      <w:r>
        <w:rPr>
          <w:rFonts w:hint="default" w:ascii="Times New Roman" w:hAnsi="Times New Roman" w:eastAsia="宋体" w:cs="Times New Roman"/>
          <w:color w:val="auto"/>
          <w:highlight w:val="none"/>
        </w:rPr>
        <w:t>声环境影响</w:t>
      </w:r>
      <w:r>
        <w:rPr>
          <w:rFonts w:hint="default" w:ascii="Times New Roman" w:hAnsi="Times New Roman" w:eastAsia="宋体" w:cs="Times New Roman"/>
          <w:color w:val="auto"/>
          <w:highlight w:val="none"/>
          <w:lang w:val="en-US" w:eastAsia="zh-CN"/>
        </w:rPr>
        <w:t>较小</w:t>
      </w:r>
      <w:r>
        <w:rPr>
          <w:rFonts w:hint="default" w:ascii="Times New Roman" w:hAnsi="Times New Roman" w:eastAsia="宋体" w:cs="Times New Roman"/>
          <w:color w:val="auto"/>
          <w:highlight w:val="none"/>
        </w:rPr>
        <w:t>。</w:t>
      </w:r>
    </w:p>
    <w:p w14:paraId="22A1F8A6">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47" w:name="_Toc25835"/>
      <w:bookmarkStart w:id="548" w:name="_Toc530642956"/>
      <w:bookmarkStart w:id="549" w:name="_Toc494206332"/>
      <w:r>
        <w:rPr>
          <w:rFonts w:hint="default" w:ascii="Times New Roman" w:hAnsi="Times New Roman" w:eastAsia="宋体" w:cs="Times New Roman"/>
          <w:color w:val="auto"/>
          <w:highlight w:val="none"/>
        </w:rPr>
        <w:t>5.7运营期固体废物环境影响分析</w:t>
      </w:r>
      <w:bookmarkEnd w:id="547"/>
      <w:bookmarkEnd w:id="548"/>
      <w:bookmarkEnd w:id="549"/>
    </w:p>
    <w:p w14:paraId="6A168D1D">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50" w:name="_Toc5332"/>
      <w:r>
        <w:rPr>
          <w:rFonts w:hint="default" w:ascii="Times New Roman" w:hAnsi="Times New Roman" w:eastAsia="宋体" w:cs="Times New Roman"/>
          <w:color w:val="auto"/>
          <w:highlight w:val="none"/>
        </w:rPr>
        <w:t>5.7.1固体废物环境影响特点</w:t>
      </w:r>
      <w:bookmarkEnd w:id="550"/>
    </w:p>
    <w:p w14:paraId="647EFA7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固体废弃物除直接占用土地和空间外，其对环境的影响将会通过水、气或土壤污染周围环境，因此，固体废弃物既是造成水、大气、土壤污染的“源头”，又是废水、废气处理的“终态物”。</w:t>
      </w:r>
    </w:p>
    <w:p w14:paraId="7DE696EB">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51" w:name="_Toc21993"/>
      <w:r>
        <w:rPr>
          <w:rFonts w:hint="default" w:ascii="Times New Roman" w:hAnsi="Times New Roman" w:eastAsia="宋体" w:cs="Times New Roman"/>
          <w:color w:val="auto"/>
          <w:highlight w:val="none"/>
        </w:rPr>
        <w:t>5.7.2固体废物污染途径</w:t>
      </w:r>
      <w:bookmarkEnd w:id="551"/>
    </w:p>
    <w:p w14:paraId="5084BDC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运营过程中产生的固体废物如处置不当，将会对周围环境造成影响，本工程主要是</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对周围环境的影响，主要表现在以下方面：</w:t>
      </w:r>
    </w:p>
    <w:p w14:paraId="343AA62C">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52" w:name="_Toc3001"/>
      <w:bookmarkStart w:id="553" w:name="_Toc25890"/>
      <w:bookmarkStart w:id="554" w:name="_Toc2543"/>
      <w:bookmarkStart w:id="555" w:name="_Toc32213"/>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氮磷的污染</w:t>
      </w:r>
      <w:bookmarkEnd w:id="552"/>
      <w:bookmarkEnd w:id="553"/>
      <w:bookmarkEnd w:id="554"/>
      <w:bookmarkEnd w:id="555"/>
    </w:p>
    <w:p w14:paraId="4C7D613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中含有大量的氮磷化合物，未经处理的粪便中的一部分氮以氨的形式挥发到大气中，增加了大气中氨的含量，氨可转化为氮氧化物，使空气质量下降，严重时导致酸雨，危害环境。</w:t>
      </w:r>
    </w:p>
    <w:p w14:paraId="17179C9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畜禽粪便中的氮磷流失量大于化肥氮磷流失量，是造成农村污染的主要原因之一。若不及时清理，就会通过地表径流，汇入地表水体，大量的氮、磷流入会导致水体富营养化。</w:t>
      </w:r>
    </w:p>
    <w:p w14:paraId="1EEC97B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畜禽粪便长期堆放，粪便中所含大量含氮化合物在土壤微生物的作用下，通过氨化、硝化等生物化学反应过程，导致土壤中硝酸盐含量增高，间接影响人体健康。</w:t>
      </w:r>
    </w:p>
    <w:p w14:paraId="5156047E">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556" w:name="_Toc2817"/>
      <w:bookmarkStart w:id="557" w:name="_Toc20450"/>
      <w:bookmarkStart w:id="558" w:name="_Toc20108"/>
      <w:bookmarkStart w:id="559" w:name="_Toc27675"/>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有害病原微生物的污染</w:t>
      </w:r>
      <w:bookmarkEnd w:id="556"/>
      <w:bookmarkEnd w:id="557"/>
      <w:bookmarkEnd w:id="558"/>
      <w:bookmarkEnd w:id="559"/>
    </w:p>
    <w:p w14:paraId="3047A03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粪便是微生物的主要载体。大量实践表明，由于畜禽粪便的随意堆放，最终会导致畜禽传染病和寄生虫病的蔓延。</w:t>
      </w:r>
    </w:p>
    <w:p w14:paraId="551F4A4D">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60" w:name="_Toc26511"/>
      <w:r>
        <w:rPr>
          <w:rFonts w:hint="default" w:ascii="Times New Roman" w:hAnsi="Times New Roman" w:eastAsia="宋体" w:cs="Times New Roman"/>
          <w:color w:val="auto"/>
          <w:highlight w:val="none"/>
        </w:rPr>
        <w:t>5.7.3固废影响分析</w:t>
      </w:r>
      <w:bookmarkEnd w:id="560"/>
    </w:p>
    <w:p w14:paraId="482E6BD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根据工程分析，项目养殖过程由于疾病等原因产生的</w:t>
      </w:r>
      <w:r>
        <w:rPr>
          <w:rFonts w:hint="default" w:ascii="Times New Roman" w:hAnsi="Times New Roman" w:eastAsia="宋体" w:cs="Times New Roman"/>
          <w:color w:val="auto"/>
          <w:highlight w:val="none"/>
          <w:lang w:eastAsia="zh-CN"/>
        </w:rPr>
        <w:t>病死羊暂存于冷藏间，交由巴彦淖尔市绿之源生物技术发展有限公司进行无害化处理</w:t>
      </w:r>
      <w:r>
        <w:rPr>
          <w:rFonts w:hint="default" w:ascii="Times New Roman" w:hAnsi="Times New Roman" w:eastAsia="宋体" w:cs="Times New Roman"/>
          <w:color w:val="auto"/>
          <w:highlight w:val="none"/>
        </w:rPr>
        <w:t>；运营过程产生的</w:t>
      </w:r>
      <w:r>
        <w:rPr>
          <w:rFonts w:hint="default" w:ascii="Times New Roman" w:hAnsi="Times New Roman" w:eastAsia="宋体" w:cs="Times New Roman"/>
          <w:color w:val="auto"/>
          <w:highlight w:val="none"/>
          <w:lang w:eastAsia="zh-CN"/>
        </w:rPr>
        <w:t>医疗垃圾暂存于危废暂存间内，</w:t>
      </w:r>
      <w:r>
        <w:rPr>
          <w:rFonts w:hint="default" w:ascii="Times New Roman" w:hAnsi="Times New Roman" w:eastAsia="宋体" w:cs="Times New Roman"/>
          <w:color w:val="auto"/>
          <w:highlight w:val="none"/>
        </w:rPr>
        <w:t>交由有资质单位</w:t>
      </w:r>
      <w:r>
        <w:rPr>
          <w:rFonts w:hint="default" w:ascii="Times New Roman" w:hAnsi="Times New Roman" w:eastAsia="宋体" w:cs="Times New Roman"/>
          <w:color w:val="auto"/>
          <w:sz w:val="24"/>
          <w:szCs w:val="24"/>
          <w:highlight w:val="none"/>
        </w:rPr>
        <w:t>处理；</w:t>
      </w:r>
      <w:r>
        <w:rPr>
          <w:rFonts w:hint="default" w:ascii="Times New Roman" w:hAnsi="Times New Roman" w:eastAsia="宋体" w:cs="Times New Roman"/>
          <w:color w:val="auto"/>
          <w:sz w:val="24"/>
          <w:szCs w:val="24"/>
          <w:highlight w:val="none"/>
          <w:lang w:eastAsia="zh-CN"/>
        </w:rPr>
        <w:t>羊粪便</w:t>
      </w:r>
      <w:r>
        <w:rPr>
          <w:rFonts w:hint="default" w:ascii="Times New Roman" w:hAnsi="Times New Roman" w:eastAsia="宋体" w:cs="Times New Roman"/>
          <w:color w:val="auto"/>
          <w:sz w:val="24"/>
          <w:szCs w:val="24"/>
          <w:highlight w:val="none"/>
        </w:rPr>
        <w:t>堆肥后最终作为有机肥进行资源化利用；</w:t>
      </w:r>
      <w:r>
        <w:rPr>
          <w:rFonts w:hint="default" w:ascii="Times New Roman" w:hAnsi="Times New Roman" w:eastAsia="宋体" w:cs="Times New Roman"/>
          <w:color w:val="auto"/>
          <w:kern w:val="0"/>
          <w:sz w:val="24"/>
          <w:szCs w:val="24"/>
          <w:highlight w:val="none"/>
          <w:lang w:eastAsia="zh-CN"/>
        </w:rPr>
        <w:t>生物质热风炉炉渣、</w:t>
      </w:r>
      <w:r>
        <w:rPr>
          <w:rFonts w:hint="default" w:ascii="Times New Roman" w:hAnsi="Times New Roman" w:eastAsia="宋体" w:cs="Times New Roman"/>
          <w:color w:val="auto"/>
          <w:kern w:val="0"/>
          <w:sz w:val="24"/>
          <w:szCs w:val="24"/>
          <w:highlight w:val="none"/>
          <w:lang w:eastAsia="zh-CN"/>
        </w:rPr>
        <w:t>布袋除尘器</w:t>
      </w:r>
      <w:r>
        <w:rPr>
          <w:rFonts w:hint="default" w:ascii="Times New Roman" w:hAnsi="Times New Roman" w:eastAsia="宋体" w:cs="Times New Roman"/>
          <w:color w:val="auto"/>
          <w:kern w:val="0"/>
          <w:sz w:val="24"/>
          <w:szCs w:val="24"/>
          <w:highlight w:val="none"/>
          <w:lang w:eastAsia="zh-CN"/>
        </w:rPr>
        <w:t>收集的除尘灰暂存于全封闭灰渣库内，定期外售综合利用；</w:t>
      </w:r>
      <w:r>
        <w:rPr>
          <w:rFonts w:hint="default" w:ascii="Times New Roman" w:hAnsi="Times New Roman" w:eastAsia="宋体" w:cs="Times New Roman"/>
          <w:color w:val="auto"/>
          <w:kern w:val="0"/>
          <w:sz w:val="24"/>
          <w:szCs w:val="24"/>
          <w:highlight w:val="none"/>
          <w:lang w:eastAsia="zh-CN"/>
        </w:rPr>
        <w:t>筛分过程收集的</w:t>
      </w:r>
      <w:r>
        <w:rPr>
          <w:rFonts w:hint="default" w:ascii="Times New Roman" w:hAnsi="Times New Roman" w:eastAsia="宋体" w:cs="Times New Roman"/>
          <w:color w:val="auto"/>
          <w:kern w:val="0"/>
          <w:sz w:val="24"/>
          <w:szCs w:val="24"/>
          <w:highlight w:val="none"/>
          <w:lang w:eastAsia="zh-CN"/>
        </w:rPr>
        <w:t>碎玉米、皮屑等杂质，采用编织袋收集后</w:t>
      </w:r>
      <w:r>
        <w:rPr>
          <w:rFonts w:hint="default" w:ascii="Times New Roman" w:hAnsi="Times New Roman" w:eastAsia="宋体" w:cs="Times New Roman"/>
          <w:color w:val="auto"/>
          <w:kern w:val="0"/>
          <w:sz w:val="24"/>
          <w:szCs w:val="24"/>
          <w:highlight w:val="none"/>
          <w:lang w:eastAsia="zh-CN"/>
        </w:rPr>
        <w:t>暂存于一般固废暂存间内</w:t>
      </w:r>
      <w:r>
        <w:rPr>
          <w:rFonts w:hint="default" w:ascii="Times New Roman" w:hAnsi="Times New Roman" w:eastAsia="宋体" w:cs="Times New Roman"/>
          <w:color w:val="auto"/>
          <w:kern w:val="0"/>
          <w:sz w:val="24"/>
          <w:szCs w:val="24"/>
          <w:highlight w:val="none"/>
          <w:lang w:eastAsia="zh-CN"/>
        </w:rPr>
        <w:t>，定期</w:t>
      </w:r>
      <w:r>
        <w:rPr>
          <w:rFonts w:hint="default" w:ascii="Times New Roman" w:hAnsi="Times New Roman" w:eastAsia="宋体" w:cs="Times New Roman"/>
          <w:color w:val="auto"/>
          <w:kern w:val="0"/>
          <w:sz w:val="24"/>
          <w:szCs w:val="24"/>
          <w:highlight w:val="none"/>
          <w:lang w:val="en-US" w:eastAsia="zh-CN"/>
        </w:rPr>
        <w:t>用于</w:t>
      </w:r>
      <w:r>
        <w:rPr>
          <w:rFonts w:hint="default" w:ascii="Times New Roman" w:hAnsi="Times New Roman" w:eastAsia="宋体" w:cs="Times New Roman"/>
          <w:color w:val="auto"/>
          <w:sz w:val="24"/>
          <w:szCs w:val="24"/>
          <w:highlight w:val="none"/>
        </w:rPr>
        <w:t>饲料搅拌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生活垃圾统一收集后</w:t>
      </w:r>
      <w:r>
        <w:rPr>
          <w:rFonts w:hint="default" w:ascii="Times New Roman" w:hAnsi="Times New Roman" w:eastAsia="宋体" w:cs="Times New Roman"/>
          <w:color w:val="auto"/>
          <w:sz w:val="24"/>
          <w:szCs w:val="24"/>
          <w:highlight w:val="none"/>
          <w:lang w:bidi="zh-CN"/>
        </w:rPr>
        <w:t>清运到环卫部门指定的地点集中处理</w:t>
      </w:r>
      <w:r>
        <w:rPr>
          <w:rFonts w:hint="default" w:ascii="Times New Roman" w:hAnsi="Times New Roman" w:eastAsia="宋体" w:cs="Times New Roman"/>
          <w:color w:val="auto"/>
          <w:sz w:val="24"/>
          <w:szCs w:val="24"/>
          <w:highlight w:val="none"/>
        </w:rPr>
        <w:t>。</w:t>
      </w:r>
    </w:p>
    <w:p w14:paraId="554E886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综合以上分析，拟建项目投产后，产生的固体废物均得到综合利用和有效处置和利用，拟建项目固体废物对周围环境产生的影响较小。</w:t>
      </w:r>
    </w:p>
    <w:p w14:paraId="14C17873">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61" w:name="_Toc19722"/>
      <w:r>
        <w:rPr>
          <w:rFonts w:hint="default" w:ascii="Times New Roman" w:hAnsi="Times New Roman" w:eastAsia="宋体" w:cs="Times New Roman"/>
          <w:color w:val="auto"/>
          <w:highlight w:val="none"/>
        </w:rPr>
        <w:t>5.8运营期生态环境影响分析</w:t>
      </w:r>
      <w:bookmarkEnd w:id="561"/>
    </w:p>
    <w:p w14:paraId="178DE94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运营期对生态环境产生的影响主要表现为对土地利用格局的改变，对动植物的影响，对土壤污染影响。</w:t>
      </w:r>
    </w:p>
    <w:p w14:paraId="2CC1A196">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62" w:name="_Toc7131"/>
      <w:r>
        <w:rPr>
          <w:rFonts w:hint="default" w:ascii="Times New Roman" w:hAnsi="Times New Roman" w:eastAsia="宋体" w:cs="Times New Roman"/>
          <w:color w:val="auto"/>
          <w:highlight w:val="none"/>
        </w:rPr>
        <w:t>5.8.1土地利用影响评价</w:t>
      </w:r>
      <w:bookmarkEnd w:id="562"/>
    </w:p>
    <w:p w14:paraId="12D408E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项目的建设使土地利用格局发生了变化，这一变化将使区域内局部地块的功能彻底发生改变。项目的建设占用项目所在地大部分为牧草地，使得生态景观更加破碎化，项目区域内生态环境生产能力下降。</w:t>
      </w:r>
    </w:p>
    <w:p w14:paraId="6DA8531C">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63" w:name="_Toc8079"/>
      <w:r>
        <w:rPr>
          <w:rFonts w:hint="default" w:ascii="Times New Roman" w:hAnsi="Times New Roman" w:eastAsia="宋体" w:cs="Times New Roman"/>
          <w:color w:val="auto"/>
          <w:highlight w:val="none"/>
        </w:rPr>
        <w:t>5.8.2对动植物的影响分析</w:t>
      </w:r>
      <w:bookmarkEnd w:id="563"/>
    </w:p>
    <w:p w14:paraId="67D51DE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建设对部分陆生动物的活动区域、迁移途径、栖息区域、觅食范围等受到一定的限制。但评价区内无野生动物保护区、无国家级、省级保护动物，也不是动物迁徙地带，本项目的建设不会对连通性造成影响，基本不会对动物的生存、迁徙、生育、繁殖产生影响。</w:t>
      </w:r>
    </w:p>
    <w:p w14:paraId="230A0D16">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64" w:name="_Toc14893"/>
      <w:r>
        <w:rPr>
          <w:rFonts w:hint="default" w:ascii="Times New Roman" w:hAnsi="Times New Roman" w:eastAsia="宋体" w:cs="Times New Roman"/>
          <w:color w:val="auto"/>
          <w:highlight w:val="none"/>
        </w:rPr>
        <w:t>5.8.3对土壤的污染影响分析</w:t>
      </w:r>
      <w:bookmarkEnd w:id="564"/>
    </w:p>
    <w:p w14:paraId="41D77BF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，其</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尿液等产生的固液废物，全部以堆肥发酵处理。堆肥发酵产生的农肥还田使用在提高当地农灌区土壤有机养分之外，会对当地土壤的理化性质机构发生变化，若堆肥工艺管理不当会使残留的重金属，抗生素类等污染物进入土壤，进而被农作物吸收，间接对人体产生影响。</w:t>
      </w:r>
    </w:p>
    <w:p w14:paraId="191E023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本项目对生态环境可能造成的影响分析，建设单位主要采取在</w:t>
      </w:r>
      <w:r>
        <w:rPr>
          <w:rFonts w:hint="default" w:ascii="Times New Roman" w:hAnsi="Times New Roman" w:eastAsia="宋体" w:cs="Times New Roman"/>
          <w:color w:val="FF0000"/>
          <w:highlight w:val="none"/>
          <w:lang w:val="en-US" w:eastAsia="zh-CN"/>
        </w:rPr>
        <w:t>羊</w:t>
      </w:r>
      <w:r>
        <w:rPr>
          <w:rFonts w:hint="default" w:ascii="Times New Roman" w:hAnsi="Times New Roman" w:eastAsia="宋体" w:cs="Times New Roman"/>
          <w:color w:val="auto"/>
          <w:highlight w:val="none"/>
        </w:rPr>
        <w:t>场周围及场内道路两侧种植对硫化氢等有害气体吸收能力较强的树木，如：杨树等乔木树种，以吸收有害气体，杀灭细菌，降低其在周围环境中的浓度。</w:t>
      </w:r>
    </w:p>
    <w:p w14:paraId="77E8547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14:paraId="76C5134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项目通过对区域</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养殖实施集约化管理，并对</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养殖产生的粪污进行减量化、无害化、资源化综合利用，构建</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养殖→肥料→还田还林，对改善项目区域农业生态环境将产生积极作用</w:t>
      </w:r>
      <w:r>
        <w:rPr>
          <w:rFonts w:hint="default" w:ascii="Times New Roman" w:hAnsi="Times New Roman" w:eastAsia="宋体" w:cs="Times New Roman"/>
          <w:color w:val="auto"/>
          <w:highlight w:val="none"/>
          <w:lang w:eastAsia="zh-CN"/>
        </w:rPr>
        <w:t>。</w:t>
      </w:r>
    </w:p>
    <w:p w14:paraId="4DA1E44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0080DE9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2FFD32B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49F0C25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21BE42A1">
      <w:pPr>
        <w:pStyle w:val="3"/>
        <w:pageBreakBefore w:val="0"/>
        <w:widowControl w:val="0"/>
        <w:shd w:val="clear"/>
        <w:kinsoku/>
        <w:wordWrap/>
        <w:topLinePunct/>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565" w:name="_Toc530642958"/>
      <w:bookmarkStart w:id="566" w:name="_Toc22168"/>
      <w:r>
        <w:rPr>
          <w:rFonts w:hint="default" w:ascii="Times New Roman" w:hAnsi="Times New Roman" w:eastAsia="宋体" w:cs="Times New Roman"/>
          <w:color w:val="auto"/>
          <w:highlight w:val="none"/>
        </w:rPr>
        <w:t>6环境风险评价</w:t>
      </w:r>
      <w:bookmarkEnd w:id="565"/>
      <w:bookmarkEnd w:id="566"/>
    </w:p>
    <w:p w14:paraId="2E712CAA">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67" w:name="_Toc25651"/>
      <w:bookmarkStart w:id="568" w:name="_Toc530642959"/>
      <w:r>
        <w:rPr>
          <w:rFonts w:hint="default" w:ascii="Times New Roman" w:hAnsi="Times New Roman" w:eastAsia="宋体" w:cs="Times New Roman"/>
          <w:color w:val="auto"/>
          <w:highlight w:val="none"/>
        </w:rPr>
        <w:t>6.1风险评价目的</w:t>
      </w:r>
      <w:bookmarkEnd w:id="567"/>
      <w:bookmarkEnd w:id="568"/>
    </w:p>
    <w:p w14:paraId="6EEFF4D1">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环境风险评价目的是分析和预测建设项目存在的潜在危险、有害因素，建设项目建设和</w:t>
      </w:r>
      <w:r>
        <w:rPr>
          <w:rFonts w:hint="default" w:ascii="Times New Roman" w:hAnsi="Times New Roman" w:eastAsia="宋体" w:cs="Times New Roman"/>
          <w:color w:val="auto"/>
          <w:highlight w:val="none"/>
          <w:lang w:eastAsia="zh-CN"/>
        </w:rPr>
        <w:t>运营</w:t>
      </w:r>
      <w:r>
        <w:rPr>
          <w:rFonts w:hint="default" w:ascii="Times New Roman" w:hAnsi="Times New Roman" w:eastAsia="宋体" w:cs="Times New Roman"/>
          <w:color w:val="auto"/>
          <w:highlight w:val="none"/>
        </w:rPr>
        <w:t>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14:paraId="74E492DC">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69" w:name="_Toc4787456"/>
      <w:bookmarkStart w:id="570" w:name="_Toc530642963"/>
      <w:r>
        <w:rPr>
          <w:rFonts w:hint="default" w:ascii="Times New Roman" w:hAnsi="Times New Roman" w:eastAsia="宋体" w:cs="Times New Roman"/>
          <w:color w:val="auto"/>
          <w:szCs w:val="32"/>
          <w:highlight w:val="none"/>
        </w:rPr>
        <w:t>根据《建设项目环境风险评价技术导则》（HJ169-2018），该导则适用于涉及有毒有害和易燃易爆物质的生产、使用、贮运的建设项目可能发生的突发性事故（不包括</w:t>
      </w:r>
      <w:r>
        <w:rPr>
          <w:rFonts w:hint="default" w:ascii="Times New Roman" w:hAnsi="Times New Roman" w:eastAsia="宋体" w:cs="Times New Roman"/>
          <w:color w:val="auto"/>
          <w:szCs w:val="32"/>
          <w:highlight w:val="none"/>
          <w:lang w:eastAsia="zh-CN"/>
        </w:rPr>
        <w:t>人为</w:t>
      </w:r>
      <w:r>
        <w:rPr>
          <w:rFonts w:hint="default" w:ascii="Times New Roman" w:hAnsi="Times New Roman" w:eastAsia="宋体" w:cs="Times New Roman"/>
          <w:color w:val="auto"/>
          <w:szCs w:val="32"/>
          <w:highlight w:val="none"/>
        </w:rPr>
        <w:t>破坏及自然灾害引发的事故）的环境风险评价。</w:t>
      </w:r>
      <w:r>
        <w:rPr>
          <w:rFonts w:hint="default" w:ascii="Times New Roman" w:hAnsi="Times New Roman" w:eastAsia="宋体" w:cs="Times New Roman"/>
          <w:color w:val="auto"/>
          <w:highlight w:val="none"/>
        </w:rPr>
        <w:t>通过分析本工程主要物料的危险特性、毒理毒性及生产设施的特点进行风险识别，分析事故源项和发生概率，提出有针对性的、操作性较强的防范措施，为工程设计和环境管理提供资料和依据，以期达到规避风险，减少危害的目的。</w:t>
      </w:r>
    </w:p>
    <w:p w14:paraId="038C1518">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71" w:name="_Toc23484"/>
      <w:r>
        <w:rPr>
          <w:rFonts w:hint="default" w:ascii="Times New Roman" w:hAnsi="Times New Roman" w:eastAsia="宋体" w:cs="Times New Roman"/>
          <w:color w:val="auto"/>
          <w:highlight w:val="none"/>
        </w:rPr>
        <w:t>6.2风险调查</w:t>
      </w:r>
      <w:bookmarkEnd w:id="571"/>
    </w:p>
    <w:p w14:paraId="1B384CC6">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72" w:name="_Toc31050"/>
      <w:bookmarkStart w:id="573" w:name="_Toc17106557"/>
      <w:bookmarkStart w:id="574" w:name="_Toc32201"/>
      <w:r>
        <w:rPr>
          <w:rFonts w:hint="default" w:ascii="Times New Roman" w:hAnsi="Times New Roman" w:eastAsia="宋体" w:cs="Times New Roman"/>
          <w:color w:val="auto"/>
          <w:highlight w:val="none"/>
        </w:rPr>
        <w:t>6.2.1建设项目风险源调查</w:t>
      </w:r>
      <w:bookmarkEnd w:id="572"/>
      <w:bookmarkEnd w:id="573"/>
      <w:bookmarkEnd w:id="574"/>
    </w:p>
    <w:p w14:paraId="57F11EE5">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highlight w:val="none"/>
        </w:rPr>
        <w:t>本项目生产、使用、储存过程原辅料为精饲料、草料、饲料、产品为</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不涉及《建设项目环境风险评价技术导则》（HJ169-2018）附录B1中的“有毒有害、易燃易爆物质”的使用和储存；养殖区、</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臭气（主要成分NH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S）以无组织形式排放；危险废物主要为少量</w:t>
      </w:r>
      <w:r>
        <w:rPr>
          <w:rFonts w:hint="default" w:ascii="Times New Roman" w:hAnsi="Times New Roman" w:eastAsia="宋体" w:cs="Times New Roman"/>
          <w:color w:val="auto"/>
          <w:highlight w:val="none"/>
          <w:lang w:eastAsia="zh-CN"/>
        </w:rPr>
        <w:t>医疗垃圾、消毒用酒精</w:t>
      </w:r>
      <w:r>
        <w:rPr>
          <w:rFonts w:hint="default" w:ascii="Times New Roman" w:hAnsi="Times New Roman" w:eastAsia="宋体" w:cs="Times New Roman"/>
          <w:color w:val="auto"/>
          <w:highlight w:val="none"/>
        </w:rPr>
        <w:t>，对照附录B2，属于健康危险急性毒性物质。</w:t>
      </w:r>
    </w:p>
    <w:p w14:paraId="72CC89E0">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75" w:name="_Toc9362"/>
      <w:r>
        <w:rPr>
          <w:rFonts w:hint="default" w:ascii="Times New Roman" w:hAnsi="Times New Roman" w:eastAsia="宋体" w:cs="Times New Roman"/>
          <w:color w:val="auto"/>
          <w:highlight w:val="none"/>
        </w:rPr>
        <w:t>6.2.2环境敏感目标调查</w:t>
      </w:r>
      <w:bookmarkEnd w:id="575"/>
    </w:p>
    <w:p w14:paraId="6FCD65C2">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76" w:name="_Toc17106559"/>
      <w:bookmarkStart w:id="577" w:name="_Toc19973"/>
      <w:r>
        <w:rPr>
          <w:rFonts w:hint="default" w:ascii="Times New Roman" w:hAnsi="Times New Roman" w:eastAsia="宋体" w:cs="Times New Roman"/>
          <w:color w:val="auto"/>
          <w:highlight w:val="none"/>
        </w:rPr>
        <w:t>按照《建设项目环境风险评价技术导则》（HJ169-2018）附录D环境敏感程度（E）分级原则中要求调查5km范围内居住区、医疗卫生、文化教育、科研、行政办公等机构人口总数以及500m范围内人口总数。</w:t>
      </w:r>
    </w:p>
    <w:p w14:paraId="7D84E654">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项目选址于</w:t>
      </w:r>
      <w:r>
        <w:rPr>
          <w:rFonts w:hint="default" w:ascii="Times New Roman" w:hAnsi="Times New Roman" w:eastAsia="宋体" w:cs="Times New Roman"/>
          <w:color w:val="auto"/>
          <w:highlight w:val="none"/>
          <w:lang w:eastAsia="zh-CN"/>
        </w:rPr>
        <w:t>内蒙古自治区巴彦淖尔市五原县胜丰镇新丰村三社</w:t>
      </w:r>
      <w:r>
        <w:rPr>
          <w:rFonts w:hint="default" w:ascii="Times New Roman" w:hAnsi="Times New Roman" w:eastAsia="宋体" w:cs="Times New Roman"/>
          <w:color w:val="auto"/>
          <w:highlight w:val="none"/>
        </w:rPr>
        <w:t>，周边以草地、</w:t>
      </w:r>
      <w:r>
        <w:rPr>
          <w:rFonts w:hint="default" w:ascii="Times New Roman" w:hAnsi="Times New Roman" w:eastAsia="宋体" w:cs="Times New Roman"/>
          <w:color w:val="auto"/>
          <w:highlight w:val="none"/>
          <w:lang w:eastAsia="zh-CN"/>
        </w:rPr>
        <w:t>耕地</w:t>
      </w:r>
      <w:r>
        <w:rPr>
          <w:rFonts w:hint="default" w:ascii="Times New Roman" w:hAnsi="Times New Roman" w:eastAsia="宋体" w:cs="Times New Roman"/>
          <w:color w:val="auto"/>
          <w:highlight w:val="none"/>
        </w:rPr>
        <w:t>及设施农用地为主，5km范围内的环境敏感目标主要为村庄及散户居民，人口总数小于1万人；500m范围内人口数小于500人。</w:t>
      </w:r>
    </w:p>
    <w:p w14:paraId="02DC360D">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HJ169-2018）附录D表D.6地下水功能敏感性分区，本项目2.5km范围内无集中式饮用水水源准保护区及补给径流区；未划定准保护区的集中式饮用水水源，其保护区以外的补给径流区；6k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范围内分布有居民饮用水井，因此项目地下水环境敏感程度为较敏感区域。</w:t>
      </w:r>
    </w:p>
    <w:p w14:paraId="652B40C4">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78" w:name="_Toc9615"/>
      <w:r>
        <w:rPr>
          <w:rFonts w:hint="default" w:ascii="Times New Roman" w:hAnsi="Times New Roman" w:eastAsia="宋体" w:cs="Times New Roman"/>
          <w:color w:val="auto"/>
          <w:highlight w:val="none"/>
        </w:rPr>
        <w:t>6.3</w:t>
      </w:r>
      <w:bookmarkEnd w:id="576"/>
      <w:bookmarkEnd w:id="577"/>
      <w:bookmarkStart w:id="579" w:name="_Toc16112"/>
      <w:bookmarkStart w:id="580" w:name="_Toc17106560"/>
      <w:r>
        <w:rPr>
          <w:rFonts w:hint="default" w:ascii="Times New Roman" w:hAnsi="Times New Roman" w:eastAsia="宋体" w:cs="Times New Roman"/>
          <w:color w:val="auto"/>
          <w:highlight w:val="none"/>
        </w:rPr>
        <w:t>评价等级划分及评价范围</w:t>
      </w:r>
      <w:bookmarkEnd w:id="578"/>
    </w:p>
    <w:p w14:paraId="4E269105">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81" w:name="_Toc11788"/>
      <w:r>
        <w:rPr>
          <w:rFonts w:hint="default" w:ascii="Times New Roman" w:hAnsi="Times New Roman" w:eastAsia="宋体" w:cs="Times New Roman"/>
          <w:color w:val="auto"/>
          <w:highlight w:val="none"/>
        </w:rPr>
        <w:t>6.3.1危险物质及工艺系统危险性（P）的分级确定</w:t>
      </w:r>
      <w:bookmarkEnd w:id="579"/>
      <w:bookmarkEnd w:id="580"/>
      <w:bookmarkEnd w:id="581"/>
    </w:p>
    <w:p w14:paraId="18825303">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危险物质数量与临界量比值（Q）</w:t>
      </w:r>
    </w:p>
    <w:p w14:paraId="5DDF8B65">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根据《建设项目环境风险评价技术导则》（HJ169-2018）附录B，本项目涉及的危险物质在厂界内的最大存在总量与附录B中对应临界量的比值情况。</w:t>
      </w:r>
    </w:p>
    <w:p w14:paraId="53127EFA">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涉及多种危险物质，按下式计算物质总量与其临界量比值（Q）。</w:t>
      </w:r>
    </w:p>
    <w:p w14:paraId="3835FF06">
      <w:pPr>
        <w:pageBreakBefore w:val="0"/>
        <w:widowControl w:val="0"/>
        <w:shd w:val="clear"/>
        <w:kinsoku/>
        <w:wordWrap/>
        <w:overflowPunct w:val="0"/>
        <w:topLinePunct/>
        <w:autoSpaceDE/>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0" distR="0">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14:paraId="246FB7E4">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50C87DF0">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1</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n</w:t>
      </w:r>
      <w:r>
        <w:rPr>
          <w:rFonts w:hint="default" w:ascii="Times New Roman" w:hAnsi="Times New Roman" w:eastAsia="宋体" w:cs="Times New Roman"/>
          <w:color w:val="auto"/>
          <w:highlight w:val="none"/>
        </w:rPr>
        <w:t>——每种危险物质的最大存在总量，t；</w:t>
      </w:r>
    </w:p>
    <w:p w14:paraId="0EADDF4A">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1</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n</w:t>
      </w:r>
      <w:r>
        <w:rPr>
          <w:rFonts w:hint="default" w:ascii="Times New Roman" w:hAnsi="Times New Roman" w:eastAsia="宋体" w:cs="Times New Roman"/>
          <w:color w:val="auto"/>
          <w:highlight w:val="none"/>
        </w:rPr>
        <w:t>——每种危险物质的临界量，t。</w:t>
      </w:r>
    </w:p>
    <w:p w14:paraId="18A41D1E">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当Q＜1时，该项目环境风险潜势为I。</w:t>
      </w:r>
    </w:p>
    <w:p w14:paraId="7B66EE11">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当Q≥1时，将Q值划分为：（1）1≤Q＜10；（2）10≤Q＜100；（3）Q≥100。</w:t>
      </w:r>
    </w:p>
    <w:p w14:paraId="66CABDD5">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危险废物主要为少量</w:t>
      </w:r>
      <w:r>
        <w:rPr>
          <w:rFonts w:hint="default" w:ascii="Times New Roman" w:hAnsi="Times New Roman" w:eastAsia="宋体" w:cs="Times New Roman"/>
          <w:color w:val="auto"/>
          <w:highlight w:val="none"/>
          <w:lang w:eastAsia="zh-CN"/>
        </w:rPr>
        <w:t>医疗垃圾、消毒用酒精</w:t>
      </w:r>
      <w:r>
        <w:rPr>
          <w:rFonts w:hint="default" w:ascii="Times New Roman" w:hAnsi="Times New Roman" w:eastAsia="宋体" w:cs="Times New Roman"/>
          <w:color w:val="auto"/>
          <w:highlight w:val="none"/>
        </w:rPr>
        <w:t>，对照附录B2，</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属于健康危险急性毒性物质，临界量为5t</w:t>
      </w:r>
      <w:r>
        <w:rPr>
          <w:rFonts w:hint="default" w:ascii="Times New Roman" w:hAnsi="Times New Roman" w:eastAsia="宋体" w:cs="Times New Roman"/>
          <w:color w:val="auto"/>
          <w:highlight w:val="none"/>
          <w:lang w:eastAsia="zh-CN"/>
        </w:rPr>
        <w:t>；消毒用酒精</w:t>
      </w:r>
      <w:r>
        <w:rPr>
          <w:rFonts w:hint="default" w:ascii="Times New Roman" w:hAnsi="Times New Roman" w:eastAsia="宋体" w:cs="Times New Roman"/>
          <w:color w:val="auto"/>
          <w:highlight w:val="none"/>
          <w:lang w:val="en-US" w:eastAsia="zh-CN"/>
        </w:rPr>
        <w:t>无</w:t>
      </w:r>
      <w:r>
        <w:rPr>
          <w:rFonts w:hint="default" w:ascii="Times New Roman" w:hAnsi="Times New Roman" w:eastAsia="宋体" w:cs="Times New Roman"/>
          <w:color w:val="auto"/>
          <w:highlight w:val="none"/>
        </w:rPr>
        <w:t>临界量</w:t>
      </w:r>
      <w:r>
        <w:rPr>
          <w:rFonts w:hint="default" w:ascii="Times New Roman" w:hAnsi="Times New Roman" w:eastAsia="宋体" w:cs="Times New Roman"/>
          <w:color w:val="auto"/>
          <w:highlight w:val="none"/>
          <w:lang w:val="en-US" w:eastAsia="zh-CN"/>
        </w:rPr>
        <w:t>。</w:t>
      </w:r>
    </w:p>
    <w:p w14:paraId="78D8921A">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shd w:val="clear" w:color="auto" w:fill="FFFFFF"/>
        </w:rPr>
      </w:pPr>
      <w:r>
        <w:rPr>
          <w:rFonts w:hint="default" w:ascii="Times New Roman" w:hAnsi="Times New Roman" w:eastAsia="宋体" w:cs="Times New Roman"/>
          <w:color w:val="auto"/>
          <w:highlight w:val="none"/>
          <w:lang w:val="en-US" w:eastAsia="zh-CN"/>
        </w:rPr>
        <w:t>因此，</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年产生量0.</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5t，Q＜1，风险潜势为I。</w:t>
      </w:r>
    </w:p>
    <w:p w14:paraId="15E50707">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82" w:name="_Toc489892353"/>
      <w:bookmarkStart w:id="583" w:name="_Toc17106563"/>
      <w:bookmarkStart w:id="584" w:name="_Toc492626842"/>
      <w:bookmarkStart w:id="585" w:name="_Toc405365980"/>
      <w:bookmarkStart w:id="586" w:name="_Toc6648"/>
      <w:bookmarkStart w:id="587" w:name="_Toc30315"/>
      <w:r>
        <w:rPr>
          <w:rFonts w:hint="default" w:ascii="Times New Roman" w:hAnsi="Times New Roman" w:eastAsia="宋体" w:cs="Times New Roman"/>
          <w:color w:val="auto"/>
          <w:highlight w:val="none"/>
        </w:rPr>
        <w:t>6.3.2环境影响评价等级</w:t>
      </w:r>
      <w:bookmarkEnd w:id="582"/>
      <w:bookmarkEnd w:id="583"/>
      <w:bookmarkEnd w:id="584"/>
      <w:bookmarkEnd w:id="585"/>
      <w:bookmarkEnd w:id="586"/>
      <w:r>
        <w:rPr>
          <w:rFonts w:hint="default" w:ascii="Times New Roman" w:hAnsi="Times New Roman" w:eastAsia="宋体" w:cs="Times New Roman"/>
          <w:color w:val="auto"/>
          <w:highlight w:val="none"/>
        </w:rPr>
        <w:t>及评价范围</w:t>
      </w:r>
      <w:bookmarkEnd w:id="587"/>
    </w:p>
    <w:p w14:paraId="36DED0AC">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HJ169-2018），环境风险评价工作等级划分为一级、二级、三级、简单分析。根据建设项目涉及的物质及工艺系统危险性和所在地的环境敏感性确定环境风险潜势，按照下表确定评价工作等级。</w:t>
      </w:r>
    </w:p>
    <w:p w14:paraId="43AC094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表6.3-1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环境风险评价工作等级划分表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518"/>
        <w:gridCol w:w="1793"/>
        <w:gridCol w:w="2068"/>
        <w:gridCol w:w="1518"/>
      </w:tblGrid>
      <w:tr w14:paraId="1B1BA5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2" w:type="dxa"/>
            <w:tcBorders>
              <w:top w:val="single" w:color="auto" w:sz="4" w:space="0"/>
              <w:left w:val="single" w:color="auto" w:sz="4" w:space="0"/>
            </w:tcBorders>
            <w:tcMar>
              <w:left w:w="0" w:type="dxa"/>
              <w:right w:w="0" w:type="dxa"/>
            </w:tcMar>
            <w:vAlign w:val="center"/>
          </w:tcPr>
          <w:p w14:paraId="0F1C74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环境风险潜势</w:t>
            </w:r>
          </w:p>
        </w:tc>
        <w:tc>
          <w:tcPr>
            <w:tcW w:w="1663" w:type="dxa"/>
            <w:tcBorders>
              <w:top w:val="single" w:color="auto" w:sz="4" w:space="0"/>
            </w:tcBorders>
            <w:tcMar>
              <w:left w:w="0" w:type="dxa"/>
              <w:right w:w="0" w:type="dxa"/>
            </w:tcMar>
            <w:vAlign w:val="center"/>
          </w:tcPr>
          <w:p w14:paraId="115482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4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Ⅳ</w: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4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Ⅳ</w: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w:t>
            </w:r>
          </w:p>
        </w:tc>
        <w:tc>
          <w:tcPr>
            <w:tcW w:w="1965" w:type="dxa"/>
            <w:tcBorders>
              <w:top w:val="single" w:color="auto" w:sz="4" w:space="0"/>
            </w:tcBorders>
            <w:tcMar>
              <w:left w:w="0" w:type="dxa"/>
              <w:right w:w="0" w:type="dxa"/>
            </w:tcMar>
            <w:vAlign w:val="center"/>
          </w:tcPr>
          <w:p w14:paraId="3F281E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3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Ⅲ</w:t>
            </w:r>
            <w:r>
              <w:rPr>
                <w:rFonts w:hint="default" w:ascii="Times New Roman" w:hAnsi="Times New Roman" w:eastAsia="宋体" w:cs="Times New Roman"/>
                <w:color w:val="auto"/>
                <w:sz w:val="21"/>
                <w:szCs w:val="21"/>
                <w:highlight w:val="none"/>
              </w:rPr>
              <w:fldChar w:fldCharType="end"/>
            </w:r>
          </w:p>
        </w:tc>
        <w:tc>
          <w:tcPr>
            <w:tcW w:w="2267" w:type="dxa"/>
            <w:tcBorders>
              <w:top w:val="single" w:color="auto" w:sz="4" w:space="0"/>
            </w:tcBorders>
            <w:tcMar>
              <w:left w:w="0" w:type="dxa"/>
              <w:right w:w="0" w:type="dxa"/>
            </w:tcMar>
            <w:vAlign w:val="center"/>
          </w:tcPr>
          <w:p w14:paraId="582705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2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eastAsia="zh-CN"/>
              </w:rPr>
              <w:t>Ⅱ</w:t>
            </w:r>
            <w:r>
              <w:rPr>
                <w:rFonts w:hint="default" w:ascii="Times New Roman" w:hAnsi="Times New Roman" w:eastAsia="宋体" w:cs="Times New Roman"/>
                <w:color w:val="auto"/>
                <w:sz w:val="21"/>
                <w:szCs w:val="21"/>
                <w:highlight w:val="none"/>
              </w:rPr>
              <w:fldChar w:fldCharType="end"/>
            </w:r>
          </w:p>
        </w:tc>
        <w:tc>
          <w:tcPr>
            <w:tcW w:w="1663" w:type="dxa"/>
            <w:tcBorders>
              <w:top w:val="single" w:color="auto" w:sz="4" w:space="0"/>
              <w:right w:val="single" w:color="auto" w:sz="4" w:space="0"/>
            </w:tcBorders>
            <w:tcMar>
              <w:left w:w="0" w:type="dxa"/>
              <w:right w:w="0" w:type="dxa"/>
            </w:tcMar>
            <w:vAlign w:val="center"/>
          </w:tcPr>
          <w:p w14:paraId="5938CF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1 \* ROMAN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rPr>
              <w:t>I</w:t>
            </w:r>
            <w:r>
              <w:rPr>
                <w:rFonts w:hint="default" w:ascii="Times New Roman" w:hAnsi="Times New Roman" w:eastAsia="宋体" w:cs="Times New Roman"/>
                <w:color w:val="auto"/>
                <w:sz w:val="21"/>
                <w:szCs w:val="21"/>
                <w:highlight w:val="none"/>
              </w:rPr>
              <w:fldChar w:fldCharType="end"/>
            </w:r>
          </w:p>
        </w:tc>
      </w:tr>
      <w:tr w14:paraId="1B823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2" w:type="dxa"/>
            <w:tcBorders>
              <w:left w:val="single" w:color="auto" w:sz="4" w:space="0"/>
            </w:tcBorders>
            <w:tcMar>
              <w:left w:w="0" w:type="dxa"/>
              <w:right w:w="0" w:type="dxa"/>
            </w:tcMar>
            <w:vAlign w:val="center"/>
          </w:tcPr>
          <w:p w14:paraId="6A5757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评价工作等级</w:t>
            </w:r>
          </w:p>
        </w:tc>
        <w:tc>
          <w:tcPr>
            <w:tcW w:w="1663" w:type="dxa"/>
            <w:tcMar>
              <w:left w:w="0" w:type="dxa"/>
              <w:right w:w="0" w:type="dxa"/>
            </w:tcMar>
            <w:vAlign w:val="center"/>
          </w:tcPr>
          <w:p w14:paraId="2008D6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w:t>
            </w:r>
          </w:p>
        </w:tc>
        <w:tc>
          <w:tcPr>
            <w:tcW w:w="1965" w:type="dxa"/>
            <w:tcMar>
              <w:left w:w="0" w:type="dxa"/>
              <w:right w:w="0" w:type="dxa"/>
            </w:tcMar>
            <w:vAlign w:val="center"/>
          </w:tcPr>
          <w:p w14:paraId="4F8760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w:t>
            </w:r>
          </w:p>
        </w:tc>
        <w:tc>
          <w:tcPr>
            <w:tcW w:w="2267" w:type="dxa"/>
            <w:tcMar>
              <w:left w:w="0" w:type="dxa"/>
              <w:right w:w="0" w:type="dxa"/>
            </w:tcMar>
            <w:vAlign w:val="center"/>
          </w:tcPr>
          <w:p w14:paraId="4C77C69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w:t>
            </w:r>
          </w:p>
        </w:tc>
        <w:tc>
          <w:tcPr>
            <w:tcW w:w="1663" w:type="dxa"/>
            <w:tcBorders>
              <w:right w:val="single" w:color="auto" w:sz="4" w:space="0"/>
            </w:tcBorders>
            <w:tcMar>
              <w:left w:w="0" w:type="dxa"/>
              <w:right w:w="0" w:type="dxa"/>
            </w:tcMar>
            <w:vAlign w:val="center"/>
          </w:tcPr>
          <w:p w14:paraId="16EEF4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简单分析</w:t>
            </w:r>
          </w:p>
        </w:tc>
      </w:tr>
      <w:tr w14:paraId="0754B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0" w:type="dxa"/>
            <w:gridSpan w:val="5"/>
            <w:tcBorders>
              <w:left w:val="single" w:color="auto" w:sz="4" w:space="0"/>
              <w:bottom w:val="single" w:color="auto" w:sz="4" w:space="0"/>
              <w:right w:val="single" w:color="auto" w:sz="4" w:space="0"/>
            </w:tcBorders>
            <w:tcMar>
              <w:left w:w="0" w:type="dxa"/>
              <w:right w:w="0" w:type="dxa"/>
            </w:tcMar>
            <w:vAlign w:val="center"/>
          </w:tcPr>
          <w:p w14:paraId="454551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简单分析是相对于详细评价工作内容而言，在描述危险物质、环境影响途径、环境危害后果、风险防范措施等方面给出定性的说明</w:t>
            </w:r>
          </w:p>
        </w:tc>
      </w:tr>
      <w:bookmarkEnd w:id="569"/>
    </w:tbl>
    <w:p w14:paraId="0DC8BCCB">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上表可知，本项目环境风险潜势I级，本次环境风险评价等级为简单分析，不设评价范围。根据《建设项目环境风险评价技术导则》（HJ169-2018）简单分析是相对于详细评价工作内容而言，在描述危险物质、环境影响途径、环境危害后果、风险防范措施等方面给出定性的说明。</w:t>
      </w:r>
    </w:p>
    <w:p w14:paraId="454180B4">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88" w:name="_Toc11067"/>
      <w:r>
        <w:rPr>
          <w:rFonts w:hint="default" w:ascii="Times New Roman" w:hAnsi="Times New Roman" w:eastAsia="宋体" w:cs="Times New Roman"/>
          <w:color w:val="auto"/>
          <w:highlight w:val="none"/>
        </w:rPr>
        <w:t>6.4环境风险分析</w:t>
      </w:r>
      <w:bookmarkEnd w:id="588"/>
    </w:p>
    <w:p w14:paraId="1BC424BF">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89" w:name="_Toc17106565"/>
      <w:bookmarkStart w:id="590" w:name="_Toc489892348"/>
      <w:bookmarkStart w:id="591" w:name="_Toc2227"/>
      <w:bookmarkStart w:id="592" w:name="_Toc492626837"/>
      <w:bookmarkStart w:id="593" w:name="_Toc919"/>
      <w:bookmarkStart w:id="594" w:name="_Toc405365975"/>
      <w:r>
        <w:rPr>
          <w:rFonts w:hint="default" w:ascii="Times New Roman" w:hAnsi="Times New Roman" w:eastAsia="宋体" w:cs="Times New Roman"/>
          <w:color w:val="auto"/>
          <w:highlight w:val="none"/>
        </w:rPr>
        <w:t>6.4.1物质危险性识别</w:t>
      </w:r>
      <w:bookmarkEnd w:id="589"/>
      <w:bookmarkEnd w:id="590"/>
      <w:bookmarkEnd w:id="591"/>
      <w:bookmarkEnd w:id="592"/>
      <w:bookmarkEnd w:id="593"/>
      <w:bookmarkEnd w:id="594"/>
    </w:p>
    <w:p w14:paraId="10D0A8D2">
      <w:pPr>
        <w:pageBreakBefore w:val="0"/>
        <w:widowControl w:val="0"/>
        <w:shd w:val="clear"/>
        <w:kinsoku/>
        <w:wordWrap/>
        <w:overflowPunct w:val="0"/>
        <w:topLinePunct/>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本项目生产、使用、储存过程原辅料为精饲料、草料、饲料、产品为</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不涉及《建设项目环境风险评价技术导则》（HJ169-2018）附录B1中的“有毒有害、易燃易爆物质”的使用和储存；养殖区、</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臭气（主要成分NH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S）以无组织形式排放；危险废物主要为少量</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，对照附录B2，属于健康危险急性毒性物质。</w:t>
      </w:r>
    </w:p>
    <w:p w14:paraId="574ACA1B">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595" w:name="_Toc19332"/>
      <w:bookmarkStart w:id="596" w:name="_Toc19642"/>
      <w:bookmarkStart w:id="597" w:name="_Toc17106568"/>
      <w:r>
        <w:rPr>
          <w:rFonts w:hint="default" w:ascii="Times New Roman" w:hAnsi="Times New Roman" w:eastAsia="宋体" w:cs="Times New Roman"/>
          <w:color w:val="auto"/>
          <w:highlight w:val="none"/>
        </w:rPr>
        <w:t>6.4.2生产系统危险性识别</w:t>
      </w:r>
      <w:bookmarkEnd w:id="595"/>
    </w:p>
    <w:p w14:paraId="13C21206">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598" w:name="_Toc18033"/>
      <w:r>
        <w:rPr>
          <w:rFonts w:hint="default" w:ascii="Times New Roman" w:hAnsi="Times New Roman" w:eastAsia="宋体" w:cs="Times New Roman"/>
          <w:color w:val="auto"/>
          <w:highlight w:val="none"/>
        </w:rPr>
        <w:t>污染单元</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的硬化地面、防渗设</w:t>
      </w:r>
      <w:r>
        <w:rPr>
          <w:rFonts w:hint="default" w:ascii="Times New Roman" w:hAnsi="Times New Roman" w:eastAsia="宋体" w:cs="Times New Roman"/>
          <w:color w:val="auto"/>
          <w:highlight w:val="none"/>
          <w:lang w:eastAsia="zh-CN"/>
        </w:rPr>
        <w:t>施</w:t>
      </w:r>
      <w:r>
        <w:rPr>
          <w:rFonts w:hint="default" w:ascii="Times New Roman" w:hAnsi="Times New Roman" w:eastAsia="宋体" w:cs="Times New Roman"/>
          <w:color w:val="auto"/>
          <w:highlight w:val="none"/>
        </w:rPr>
        <w:t>出现破损，出现污水渗漏的情况。</w:t>
      </w:r>
    </w:p>
    <w:p w14:paraId="73C0CBA7">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针对养殖企业的一些养殖区、</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等场地发生硬化面破损，即使物料或</w:t>
      </w:r>
      <w:r>
        <w:rPr>
          <w:rFonts w:hint="default" w:ascii="Times New Roman" w:hAnsi="Times New Roman" w:eastAsia="宋体" w:cs="Times New Roman"/>
          <w:color w:val="auto"/>
          <w:highlight w:val="none"/>
          <w:lang w:eastAsia="zh-CN"/>
        </w:rPr>
        <w:t>尿液</w:t>
      </w:r>
      <w:r>
        <w:rPr>
          <w:rFonts w:hint="default" w:ascii="Times New Roman" w:hAnsi="Times New Roman" w:eastAsia="宋体" w:cs="Times New Roman"/>
          <w:color w:val="auto"/>
          <w:highlight w:val="none"/>
        </w:rPr>
        <w:t>等泄漏，对地下水造成潜在危害这一现象，按照目前的管理规范，必须及时采取措施，防止物料或污水漫流渗漏，且在建设中，应针对不同区域采取相应的防治措施。对于泄漏初期短时间物料暴露而污染的少量土壤，则会通过挖出进行处置，以免其渗入地下水。</w:t>
      </w:r>
    </w:p>
    <w:p w14:paraId="5C44950C">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在项目</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等污染单元等这些半地下水非可视部位发生渗漏时，才可能有污染物通过漏点，逐步渗入包气带并可能进入地下水。</w:t>
      </w:r>
    </w:p>
    <w:p w14:paraId="5E99FBA3">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由地下水预测结果可知，在发生意外泄漏事故的情况下，在非正常情况下，污染物泄漏量增加，但只要防渗措施不出现问题，对地下水造成污染的风险较低，如果叠加出现防渗层破损情况，则对</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附近地下水造成影响，污染风险较大。由预测结果可知，增加防渗设施后能有效地降低对地下水环境的影响。因此，应对厂区内实施严格的防渗、建立完善的地下水监测系统，强化地下水应急排水措施。当发生污染物</w:t>
      </w:r>
      <w:r>
        <w:rPr>
          <w:rFonts w:hint="default" w:ascii="Times New Roman" w:hAnsi="Times New Roman" w:eastAsia="宋体" w:cs="Times New Roman"/>
          <w:color w:val="auto"/>
          <w:highlight w:val="none"/>
          <w:lang w:eastAsia="zh-CN"/>
        </w:rPr>
        <w:t>泄漏事故</w:t>
      </w:r>
      <w:r>
        <w:rPr>
          <w:rFonts w:hint="default" w:ascii="Times New Roman" w:hAnsi="Times New Roman" w:eastAsia="宋体" w:cs="Times New Roman"/>
          <w:color w:val="auto"/>
          <w:highlight w:val="none"/>
        </w:rPr>
        <w:t>后，必须立即启动应急预案，参照预测结果，分析污染事故的发展趋势，并提出下一步预防和防治措施，迅速控制或切断事件灾害链，对污水进行封闭、截流，抽出污水送污水</w:t>
      </w:r>
      <w:r>
        <w:rPr>
          <w:rFonts w:hint="default" w:ascii="Times New Roman" w:hAnsi="Times New Roman" w:eastAsia="宋体" w:cs="Times New Roman"/>
          <w:color w:val="auto"/>
          <w:highlight w:val="none"/>
          <w:lang w:eastAsia="zh-CN"/>
        </w:rPr>
        <w:t>处理厂</w:t>
      </w:r>
      <w:r>
        <w:rPr>
          <w:rFonts w:hint="default" w:ascii="Times New Roman" w:hAnsi="Times New Roman" w:eastAsia="宋体" w:cs="Times New Roman"/>
          <w:color w:val="auto"/>
          <w:highlight w:val="none"/>
        </w:rPr>
        <w:t>集中处理，使污染地下水扩散得到有效抑制，最大限度地保护下游地下水水质安全，将损失降到最低限度。根据建设项目的生产特征，结合物质危险性识别，对项目功能系统划分功能单元，确定潜在的危险单元及重点风险源。</w:t>
      </w:r>
    </w:p>
    <w:bookmarkEnd w:id="598"/>
    <w:p w14:paraId="0B4942A7">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599" w:name="_Toc17552"/>
      <w:r>
        <w:rPr>
          <w:rFonts w:hint="default" w:ascii="Times New Roman" w:hAnsi="Times New Roman" w:eastAsia="宋体" w:cs="Times New Roman"/>
          <w:color w:val="auto"/>
          <w:highlight w:val="none"/>
        </w:rPr>
        <w:t>6.5风险事故情形分析</w:t>
      </w:r>
      <w:bookmarkEnd w:id="599"/>
    </w:p>
    <w:p w14:paraId="43F33B57">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造成火灾的原因，纵然是多种多样的，但最本质的条件不外是可燃物、火源和足够的氧气。对</w:t>
      </w:r>
      <w:r>
        <w:rPr>
          <w:rFonts w:hint="default" w:ascii="Times New Roman" w:hAnsi="Times New Roman" w:eastAsia="宋体" w:cs="Times New Roman"/>
          <w:color w:val="auto"/>
          <w:kern w:val="0"/>
          <w:sz w:val="24"/>
          <w:szCs w:val="24"/>
          <w:highlight w:val="none"/>
          <w:lang w:eastAsia="zh-CN"/>
        </w:rPr>
        <w:t>草棚、</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kern w:val="0"/>
          <w:sz w:val="24"/>
          <w:szCs w:val="24"/>
          <w:highlight w:val="none"/>
        </w:rPr>
        <w:t>来说，饲料粉尘的引爆具有最大的破坏威力。</w:t>
      </w:r>
    </w:p>
    <w:p w14:paraId="40D9FE6F">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可燃物粉尘的爆炸浓度有一个区段，不同物质粉尘的爆炸浓度有不同的上下限。粮食类粉尘的最小爆炸浓度为55g/m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左右，最大爆炸压力约9.2kg/cm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左右，压力最大升高率为9.2kg/cm</w:t>
      </w:r>
      <w:r>
        <w:rPr>
          <w:rFonts w:hint="default" w:ascii="Times New Roman" w:hAnsi="Times New Roman" w:eastAsia="宋体" w:cs="Times New Roman"/>
          <w:color w:val="auto"/>
          <w:kern w:val="0"/>
          <w:sz w:val="24"/>
          <w:szCs w:val="24"/>
          <w:highlight w:val="none"/>
          <w:vertAlign w:val="superscript"/>
        </w:rPr>
        <w:t>2</w:t>
      </w:r>
      <w:r>
        <w:rPr>
          <w:rFonts w:hint="default" w:ascii="Times New Roman" w:hAnsi="Times New Roman" w:eastAsia="宋体" w:cs="Times New Roman"/>
          <w:color w:val="auto"/>
          <w:kern w:val="0"/>
          <w:sz w:val="24"/>
          <w:szCs w:val="24"/>
          <w:highlight w:val="none"/>
        </w:rPr>
        <w:t>s，燃点大约为400~600℃，最小点火能量40~160mJ。</w:t>
      </w:r>
    </w:p>
    <w:p w14:paraId="66D1AFC4">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火源常见的有：摩擦过热，金属撞击火花，静电放电，电器触头闪火，灯具积尘燃烧，积粮自燃，以及外来明火等。</w:t>
      </w:r>
    </w:p>
    <w:p w14:paraId="3993950E">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建设单位应严格按照国家规范的要求进行设计和建设。在设计和建设过程中要严格按照现行的消防技术规范和标准进行设计、施工。充分考虑建筑物的总体布局、耐火等级、防火间距、防火分区和防火分隔措施，根据仓库的使用性质按规范要求设置火灾自动报警、自动灭火设施，从本质上防止火灾发生和控制灾害的发展。在设计过程中，着眼于物资储存量大和一旦发生火灾就有发生重大火灾的可能，重点规划布置库区的防火间距、消防车道、堆垛组距、垛距等安全间距。同时项目在设计过程中工艺和装置系统应考虑以下方面措施：</w:t>
      </w:r>
    </w:p>
    <w:p w14:paraId="1EB65A31">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（1）饲料搅拌设备要有灵敏度高的过载保护装置，料位自动监视、自动停车、自动切换等控制系统和显示报警装置。</w:t>
      </w:r>
    </w:p>
    <w:p w14:paraId="360FECF6">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rPr>
        <w:t>）设备布局要考虑安全通道，日常生产中要保持通道畅通。</w:t>
      </w:r>
    </w:p>
    <w:p w14:paraId="6988923E">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）为防静电积聚，输送设备应接地良好。</w:t>
      </w:r>
    </w:p>
    <w:p w14:paraId="5C9C1BB1">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rPr>
        <w:t>）电机电器和灯具要采用防尘防爆型或封闭式的。</w:t>
      </w:r>
    </w:p>
    <w:p w14:paraId="071E5FC7">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rPr>
        <w:t>）要特别注意斗式提升机的防火安全，应使料斗和皮带牢固固定，要有良好的张紧装置和过载保护，避免料斗与机壳摩擦引起火花</w:t>
      </w:r>
      <w:r>
        <w:rPr>
          <w:rFonts w:hint="default" w:ascii="Times New Roman" w:hAnsi="Times New Roman" w:eastAsia="宋体" w:cs="Times New Roman"/>
          <w:color w:val="auto"/>
          <w:kern w:val="0"/>
          <w:sz w:val="24"/>
          <w:szCs w:val="24"/>
          <w:highlight w:val="none"/>
          <w:lang w:eastAsia="zh-CN"/>
        </w:rPr>
        <w:t>。</w:t>
      </w:r>
    </w:p>
    <w:p w14:paraId="5071DEF0">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rPr>
        <w:t>）清理去杂系统要设有磁性装置，并使其经常保持有效状态。</w:t>
      </w:r>
    </w:p>
    <w:p w14:paraId="1B12351C">
      <w:pPr>
        <w:keepNext w:val="0"/>
        <w:keepLines w:val="0"/>
        <w:pageBreakBefore w:val="0"/>
        <w:widowControl w:val="0"/>
        <w:shd w:val="clear"/>
        <w:kinsoku/>
        <w:wordWrap/>
        <w:overflowPunct/>
        <w:topLinePunct/>
        <w:autoSpaceDE w:val="0"/>
        <w:autoSpaceDN w:val="0"/>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rPr>
        <w:t>）整个作业区应装有疏散报警装置，使所有地方的工作人员能听到和看到信号。</w:t>
      </w:r>
    </w:p>
    <w:p w14:paraId="75263499">
      <w:pPr>
        <w:keepNext w:val="0"/>
        <w:keepLines w:val="0"/>
        <w:pageBreakBefore w:val="0"/>
        <w:widowControl w:val="0"/>
        <w:shd w:val="clear"/>
        <w:kinsoku/>
        <w:wordWrap/>
        <w:overflowPunct/>
        <w:topLinePunct/>
        <w:autoSpaceDE w:val="0"/>
        <w:bidi w:val="0"/>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kern w:val="0"/>
          <w:sz w:val="24"/>
          <w:szCs w:val="24"/>
          <w:highlight w:val="none"/>
          <w:lang w:eastAsia="zh-CN"/>
        </w:rPr>
        <w:t>草棚</w:t>
      </w:r>
      <w:r>
        <w:rPr>
          <w:rFonts w:hint="default" w:ascii="Times New Roman" w:hAnsi="Times New Roman" w:eastAsia="宋体" w:cs="Times New Roman"/>
          <w:color w:val="auto"/>
          <w:kern w:val="0"/>
          <w:sz w:val="24"/>
          <w:szCs w:val="24"/>
          <w:highlight w:val="none"/>
        </w:rPr>
        <w:t>及配套设施的建设应满足建筑安全、设备安全和使用安全的要求</w:t>
      </w:r>
      <w:r>
        <w:rPr>
          <w:rFonts w:hint="default" w:ascii="Times New Roman" w:hAnsi="Times New Roman" w:eastAsia="宋体" w:cs="Times New Roman"/>
          <w:color w:val="auto"/>
          <w:highlight w:val="none"/>
        </w:rPr>
        <w:t>。</w:t>
      </w:r>
    </w:p>
    <w:bookmarkEnd w:id="596"/>
    <w:bookmarkEnd w:id="597"/>
    <w:p w14:paraId="14C76980">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00" w:name="_Toc23394"/>
      <w:r>
        <w:rPr>
          <w:rFonts w:hint="default" w:ascii="Times New Roman" w:hAnsi="Times New Roman" w:eastAsia="宋体" w:cs="Times New Roman"/>
          <w:color w:val="auto"/>
          <w:highlight w:val="none"/>
        </w:rPr>
        <w:t>6.6环境风险管理</w:t>
      </w:r>
      <w:bookmarkEnd w:id="600"/>
    </w:p>
    <w:p w14:paraId="4E268B0E">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01" w:name="_Toc32194"/>
      <w:r>
        <w:rPr>
          <w:rFonts w:hint="default" w:ascii="Times New Roman" w:hAnsi="Times New Roman" w:eastAsia="宋体" w:cs="Times New Roman"/>
          <w:color w:val="auto"/>
          <w:highlight w:val="none"/>
        </w:rPr>
        <w:t>6.6.1环境风险防范措施</w:t>
      </w:r>
      <w:bookmarkEnd w:id="601"/>
    </w:p>
    <w:p w14:paraId="50861678">
      <w:pPr>
        <w:pStyle w:val="7"/>
        <w:pageBreakBefore w:val="0"/>
        <w:widowControl w:val="0"/>
        <w:shd w:val="clear"/>
        <w:kinsoku/>
        <w:wordWrap/>
        <w:topLinePunct/>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602" w:name="_Toc11043"/>
      <w:bookmarkStart w:id="603" w:name="_Toc19050"/>
      <w:bookmarkStart w:id="604" w:name="_Toc23568"/>
      <w:bookmarkStart w:id="605" w:name="_Toc25636"/>
      <w:r>
        <w:rPr>
          <w:rFonts w:hint="default" w:ascii="Times New Roman" w:hAnsi="Times New Roman" w:eastAsia="宋体" w:cs="Times New Roman"/>
          <w:color w:val="auto"/>
          <w:highlight w:val="none"/>
        </w:rPr>
        <w:t>6.6.1.1废水风险防范措施</w:t>
      </w:r>
      <w:bookmarkEnd w:id="602"/>
      <w:bookmarkEnd w:id="603"/>
      <w:bookmarkEnd w:id="604"/>
      <w:bookmarkEnd w:id="605"/>
    </w:p>
    <w:p w14:paraId="1139EBFD">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（1）设备、管道设计按有关规定留有满足要求的安全系数，均按规范进行强度实验、严密性测试和防腐措施检验；工程抗震设防烈度8度。采取符合要求的静电、雷击防护措施；</w:t>
      </w:r>
    </w:p>
    <w:p w14:paraId="43CEE5AC">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（2）养殖场的排水系统应实行雨污</w:t>
      </w:r>
      <w:r>
        <w:rPr>
          <w:rFonts w:hint="default" w:ascii="Times New Roman" w:hAnsi="Times New Roman" w:eastAsia="宋体" w:cs="Times New Roman"/>
          <w:color w:val="auto"/>
          <w:highlight w:val="none"/>
          <w:lang w:eastAsia="zh-CN"/>
        </w:rPr>
        <w:t>分流</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羊圈、堆肥场</w:t>
      </w:r>
      <w:r>
        <w:rPr>
          <w:rFonts w:hint="default" w:ascii="Times New Roman" w:hAnsi="Times New Roman" w:eastAsia="宋体" w:cs="Times New Roman"/>
          <w:color w:val="auto"/>
          <w:highlight w:val="none"/>
        </w:rPr>
        <w:t>等构筑物周围设置截水沟，防止雨水进入造成溢流污染地下水。</w:t>
      </w:r>
    </w:p>
    <w:p w14:paraId="22EA863C">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（3）本项目</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按照《畜禽养殖业污染治理工程技术规范》要求</w:t>
      </w:r>
      <w:r>
        <w:rPr>
          <w:rFonts w:hint="default" w:ascii="Times New Roman" w:hAnsi="Times New Roman" w:eastAsia="宋体" w:cs="Times New Roman"/>
          <w:color w:val="auto"/>
          <w:highlight w:val="none"/>
          <w:lang w:eastAsia="zh-CN"/>
        </w:rPr>
        <w:t>采取</w:t>
      </w:r>
      <w:r>
        <w:rPr>
          <w:rFonts w:hint="default" w:ascii="Times New Roman" w:hAnsi="Times New Roman" w:eastAsia="宋体" w:cs="Times New Roman"/>
          <w:color w:val="auto"/>
          <w:highlight w:val="none"/>
        </w:rPr>
        <w:t>防渗措施。具体防渗措施要求如下：</w:t>
      </w:r>
    </w:p>
    <w:p w14:paraId="43AE9721">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等重点防渗区铺设2mm厚HDPE土工膜进行防渗，</w:t>
      </w:r>
      <w:r>
        <w:rPr>
          <w:rFonts w:hint="default" w:ascii="Times New Roman" w:hAnsi="Times New Roman" w:eastAsia="宋体" w:cs="Times New Roman"/>
          <w:color w:val="auto"/>
          <w:kern w:val="0"/>
          <w:sz w:val="24"/>
          <w:szCs w:val="24"/>
          <w:highlight w:val="none"/>
        </w:rPr>
        <w:t>或参照《</w:t>
      </w:r>
      <w:r>
        <w:rPr>
          <w:rFonts w:hint="default" w:ascii="Times New Roman" w:hAnsi="Times New Roman" w:eastAsia="宋体" w:cs="Times New Roman"/>
          <w:color w:val="auto"/>
          <w:kern w:val="0"/>
          <w:sz w:val="24"/>
          <w:szCs w:val="24"/>
          <w:highlight w:val="none"/>
          <w:lang w:eastAsia="zh-CN"/>
        </w:rPr>
        <w:t>环境影响评价技术导则</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地下水环境》（HJ610-2016）</w:t>
      </w:r>
      <w:r>
        <w:rPr>
          <w:rFonts w:hint="default" w:ascii="Times New Roman" w:hAnsi="Times New Roman" w:eastAsia="宋体" w:cs="Times New Roman"/>
          <w:color w:val="auto"/>
          <w:sz w:val="24"/>
          <w:szCs w:val="24"/>
          <w:highlight w:val="none"/>
        </w:rPr>
        <w:t>中的相</w:t>
      </w:r>
      <w:r>
        <w:rPr>
          <w:rFonts w:hint="default" w:ascii="Times New Roman" w:hAnsi="Times New Roman" w:eastAsia="宋体" w:cs="Times New Roman"/>
          <w:color w:val="auto"/>
          <w:highlight w:val="none"/>
        </w:rPr>
        <w:t>关要求进行防渗，渗透系数≤10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w:t>
      </w:r>
      <w:r>
        <w:rPr>
          <w:rFonts w:hint="default" w:ascii="Times New Roman" w:hAnsi="Times New Roman" w:eastAsia="宋体" w:cs="Times New Roman"/>
          <w:color w:val="auto"/>
          <w:highlight w:val="none"/>
          <w:lang w:eastAsia="zh-CN"/>
        </w:rPr>
        <w:t>；</w:t>
      </w:r>
    </w:p>
    <w:p w14:paraId="4B60961D">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等构筑物，均参照《一般工业固体废物贮存和填埋污染控制标准》（GB18599-2020）中的相关要求进行防渗，渗透系数≤1.0×10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w:t>
      </w:r>
    </w:p>
    <w:p w14:paraId="1E13C039">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地下水环境》（HJ610-2016），本项目地下水为三级评价，根据当地水文地质资料，</w:t>
      </w:r>
      <w:r>
        <w:rPr>
          <w:rFonts w:hint="default" w:ascii="Times New Roman" w:hAnsi="Times New Roman" w:eastAsia="宋体" w:cs="Times New Roman"/>
          <w:color w:val="FF0000"/>
          <w:highlight w:val="none"/>
          <w:lang w:eastAsia="zh-CN"/>
        </w:rPr>
        <w:t>地下水流向由西南向东北</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auto"/>
          <w:highlight w:val="none"/>
        </w:rPr>
        <w:t>本项目在厂区</w:t>
      </w:r>
      <w:r>
        <w:rPr>
          <w:rFonts w:hint="default" w:ascii="Times New Roman" w:hAnsi="Times New Roman" w:eastAsia="宋体" w:cs="Times New Roman"/>
          <w:color w:val="auto"/>
          <w:highlight w:val="none"/>
          <w:lang w:eastAsia="zh-CN"/>
        </w:rPr>
        <w:t>南侧</w:t>
      </w:r>
      <w:r>
        <w:rPr>
          <w:rFonts w:hint="default" w:ascii="Times New Roman" w:hAnsi="Times New Roman" w:eastAsia="宋体" w:cs="Times New Roman"/>
          <w:color w:val="auto"/>
          <w:highlight w:val="none"/>
        </w:rPr>
        <w:t>设置1口地下水监测井。</w:t>
      </w:r>
    </w:p>
    <w:p w14:paraId="33767A85">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（5）加强事故监控。企业内部人员应定期巡检，对于管道、</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要定期进行维护。及时发现各种可能引起养殖废水事故排放的异常情形，并在相关人员的配合下消除事故隐患。</w:t>
      </w:r>
    </w:p>
    <w:p w14:paraId="370D8221">
      <w:pPr>
        <w:pStyle w:val="7"/>
        <w:pageBreakBefore w:val="0"/>
        <w:widowControl w:val="0"/>
        <w:shd w:val="clear"/>
        <w:kinsoku/>
        <w:wordWrap/>
        <w:topLinePunct/>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606" w:name="_Toc19555"/>
      <w:bookmarkStart w:id="607" w:name="_Toc3607"/>
      <w:bookmarkStart w:id="608" w:name="_Toc17160"/>
      <w:bookmarkStart w:id="609" w:name="_Toc25224"/>
      <w:r>
        <w:rPr>
          <w:rFonts w:hint="default" w:ascii="Times New Roman" w:hAnsi="Times New Roman" w:eastAsia="宋体" w:cs="Times New Roman"/>
          <w:color w:val="auto"/>
          <w:highlight w:val="none"/>
        </w:rPr>
        <w:t>6.6.1.2管理措施</w:t>
      </w:r>
      <w:bookmarkEnd w:id="606"/>
      <w:bookmarkEnd w:id="607"/>
      <w:bookmarkEnd w:id="608"/>
      <w:bookmarkEnd w:id="609"/>
    </w:p>
    <w:p w14:paraId="6B0EEB4B">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①制定安全管理制度及建立有效的安全管理组织，确保各种有关的安全管理规定能在各个环节上得到充分落实，并能有所改进与提高；</w:t>
      </w:r>
    </w:p>
    <w:p w14:paraId="69C0DC24">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②在投产运行前，应</w:t>
      </w:r>
      <w:r>
        <w:rPr>
          <w:rFonts w:hint="default" w:ascii="Times New Roman" w:hAnsi="Times New Roman" w:eastAsia="宋体" w:cs="Times New Roman"/>
          <w:color w:val="auto"/>
          <w:highlight w:val="none"/>
          <w:lang w:eastAsia="zh-CN"/>
        </w:rPr>
        <w:t>制定</w:t>
      </w:r>
      <w:r>
        <w:rPr>
          <w:rFonts w:hint="default" w:ascii="Times New Roman" w:hAnsi="Times New Roman" w:eastAsia="宋体" w:cs="Times New Roman"/>
          <w:color w:val="auto"/>
          <w:highlight w:val="none"/>
        </w:rPr>
        <w:t>正常、异常或紧急状态下的操作手册和维修手册，并对操作、维修人员进行培训，避免因严重操作失误而造成的事故；</w:t>
      </w:r>
    </w:p>
    <w:p w14:paraId="447075AE">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③加强对工作人员安全素质方面的教育及训练，包括安全知识、安全技术、安全心理、职业卫生及排险与消防活动等，而且要时常演练与考核；</w:t>
      </w:r>
    </w:p>
    <w:p w14:paraId="46EB6AC7">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④制定应急操作规程，在规程中应说明发生事故时应采取的操作步骤，规定抢修进度，限制事故的影响；</w:t>
      </w:r>
    </w:p>
    <w:p w14:paraId="7EDFFBA3">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⑤对重要的仪器设备有完善的检查项目、维护方法；按计划进行定期维护；有专门档案（包括维护记录档案），文件齐全；</w:t>
      </w:r>
    </w:p>
    <w:p w14:paraId="2CD5A460">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⑥站区内设有醒目的“严禁烟火”标志和防火安全制度。</w:t>
      </w:r>
    </w:p>
    <w:p w14:paraId="7DA667AB">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10" w:name="_Toc20965"/>
      <w:r>
        <w:rPr>
          <w:rFonts w:hint="default" w:ascii="Times New Roman" w:hAnsi="Times New Roman" w:eastAsia="宋体" w:cs="Times New Roman"/>
          <w:color w:val="auto"/>
          <w:highlight w:val="none"/>
        </w:rPr>
        <w:t>6.6.2突发环境事件应急预案编制要求</w:t>
      </w:r>
      <w:bookmarkEnd w:id="610"/>
    </w:p>
    <w:p w14:paraId="3606DA24">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根据《建设项目环境风险评价技术导则》（HJ169-2018），按照国家、地方和相关部门要求，本次评价提出企业突发环境事件应急预案编制的原则要求：</w:t>
      </w:r>
    </w:p>
    <w:p w14:paraId="0909A5F8">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14:paraId="027500CC">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应急预案明确企业、园区/区域、地方政府环境风险应急体系。企业突发环境事件应急预案应体现分级响应、区域联动的原则，与地方政府突发环境事件应急预案相衔接，明确分级响应程序。</w:t>
      </w:r>
    </w:p>
    <w:p w14:paraId="171EF10B">
      <w:pPr>
        <w:pStyle w:val="4"/>
        <w:pageBreakBefore w:val="0"/>
        <w:widowControl w:val="0"/>
        <w:shd w:val="clear"/>
        <w:kinsoku/>
        <w:wordWrap/>
        <w:topLinePunct/>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11" w:name="_Toc15790"/>
      <w:r>
        <w:rPr>
          <w:rFonts w:hint="default" w:ascii="Times New Roman" w:hAnsi="Times New Roman" w:eastAsia="宋体" w:cs="Times New Roman"/>
          <w:color w:val="auto"/>
          <w:highlight w:val="none"/>
        </w:rPr>
        <w:t>6.7结论与建议</w:t>
      </w:r>
      <w:bookmarkEnd w:id="611"/>
    </w:p>
    <w:p w14:paraId="3E3D4103">
      <w:pPr>
        <w:pStyle w:val="6"/>
        <w:pageBreakBefore w:val="0"/>
        <w:widowControl w:val="0"/>
        <w:shd w:val="clear"/>
        <w:kinsoku/>
        <w:wordWrap/>
        <w:topLinePunct/>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12" w:name="_Toc17955"/>
      <w:r>
        <w:rPr>
          <w:rFonts w:hint="default" w:ascii="Times New Roman" w:hAnsi="Times New Roman" w:eastAsia="宋体" w:cs="Times New Roman"/>
          <w:color w:val="auto"/>
          <w:highlight w:val="none"/>
        </w:rPr>
        <w:t>6.7.1结论</w:t>
      </w:r>
      <w:bookmarkEnd w:id="612"/>
    </w:p>
    <w:p w14:paraId="0268FD8A">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项目运营期不涉及《建设项目环境风险评价技术导则》（HJ169-2018）附录B内重点关注的危险物质；根据2.6.5.1风险评价等级判定，本项目环境风险潜势为Ⅰ级，评价等级为简单分析。</w:t>
      </w:r>
    </w:p>
    <w:p w14:paraId="7D3ABD47">
      <w:pPr>
        <w:pageBreakBefore w:val="0"/>
        <w:widowControl w:val="0"/>
        <w:shd w:val="clear"/>
        <w:kinsoku/>
        <w:wordWrap/>
        <w:topLinePunct/>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项目环境风险简单分析内容见表6.7-1。</w:t>
      </w:r>
    </w:p>
    <w:p w14:paraId="01140B3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表6.7-1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建设项目环境风险简单分析内容表</w:t>
      </w:r>
    </w:p>
    <w:tbl>
      <w:tblPr>
        <w:tblStyle w:val="42"/>
        <w:tblW w:w="8277" w:type="dxa"/>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220"/>
        <w:gridCol w:w="1514"/>
        <w:gridCol w:w="1361"/>
        <w:gridCol w:w="1622"/>
        <w:gridCol w:w="1560"/>
      </w:tblGrid>
      <w:tr w14:paraId="6E9C2EE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1312C1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建设项目名称</w:t>
            </w:r>
          </w:p>
        </w:tc>
        <w:tc>
          <w:tcPr>
            <w:tcW w:w="6581" w:type="dxa"/>
            <w:gridSpan w:val="4"/>
            <w:tcBorders>
              <w:top w:val="single" w:color="auto" w:sz="4" w:space="0"/>
              <w:left w:val="single" w:color="auto" w:sz="4" w:space="0"/>
              <w:bottom w:val="single" w:color="auto" w:sz="4" w:space="0"/>
              <w:right w:val="single" w:color="auto" w:sz="4" w:space="0"/>
            </w:tcBorders>
            <w:vAlign w:val="center"/>
          </w:tcPr>
          <w:p w14:paraId="6F8867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五原县兄弟农民专业合作社肉羊育肥养殖及附属设施建设项目</w:t>
            </w:r>
          </w:p>
        </w:tc>
      </w:tr>
      <w:tr w14:paraId="31BCAE3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210F78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建设地点</w:t>
            </w:r>
          </w:p>
        </w:tc>
        <w:tc>
          <w:tcPr>
            <w:tcW w:w="1645" w:type="dxa"/>
            <w:tcBorders>
              <w:top w:val="single" w:color="auto" w:sz="4" w:space="0"/>
              <w:left w:val="single" w:color="auto" w:sz="4" w:space="0"/>
              <w:bottom w:val="single" w:color="auto" w:sz="4" w:space="0"/>
              <w:right w:val="single" w:color="auto" w:sz="4" w:space="0"/>
            </w:tcBorders>
            <w:vAlign w:val="center"/>
          </w:tcPr>
          <w:p w14:paraId="52C718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（内蒙古）自治区</w:t>
            </w:r>
          </w:p>
        </w:tc>
        <w:tc>
          <w:tcPr>
            <w:tcW w:w="1476" w:type="dxa"/>
            <w:tcBorders>
              <w:top w:val="single" w:color="auto" w:sz="4" w:space="0"/>
              <w:left w:val="single" w:color="auto" w:sz="4" w:space="0"/>
              <w:bottom w:val="single" w:color="auto" w:sz="4" w:space="0"/>
              <w:right w:val="single" w:color="auto" w:sz="4" w:space="0"/>
            </w:tcBorders>
            <w:vAlign w:val="center"/>
          </w:tcPr>
          <w:p w14:paraId="76901C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（巴彦淖尔）市</w:t>
            </w:r>
          </w:p>
        </w:tc>
        <w:tc>
          <w:tcPr>
            <w:tcW w:w="1764" w:type="dxa"/>
            <w:tcBorders>
              <w:top w:val="single" w:color="auto" w:sz="4" w:space="0"/>
              <w:left w:val="single" w:color="auto" w:sz="4" w:space="0"/>
              <w:bottom w:val="single" w:color="auto" w:sz="4" w:space="0"/>
              <w:right w:val="single" w:color="auto" w:sz="4" w:space="0"/>
            </w:tcBorders>
            <w:vAlign w:val="center"/>
          </w:tcPr>
          <w:p w14:paraId="023DA7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五原县</w:t>
            </w:r>
            <w:r>
              <w:rPr>
                <w:rFonts w:hint="default" w:ascii="Times New Roman" w:hAnsi="Times New Roman" w:eastAsia="宋体" w:cs="Times New Roman"/>
                <w:color w:val="auto"/>
                <w:sz w:val="21"/>
                <w:szCs w:val="21"/>
                <w:highlight w:val="none"/>
              </w:rPr>
              <w:t>）县</w:t>
            </w:r>
          </w:p>
        </w:tc>
        <w:tc>
          <w:tcPr>
            <w:tcW w:w="1696" w:type="dxa"/>
            <w:tcBorders>
              <w:top w:val="single" w:color="auto" w:sz="4" w:space="0"/>
              <w:left w:val="single" w:color="auto" w:sz="4" w:space="0"/>
              <w:bottom w:val="single" w:color="auto" w:sz="4" w:space="0"/>
              <w:right w:val="single" w:color="auto" w:sz="4" w:space="0"/>
            </w:tcBorders>
            <w:vAlign w:val="center"/>
          </w:tcPr>
          <w:p w14:paraId="047FCF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胜丰</w:t>
            </w:r>
            <w:r>
              <w:rPr>
                <w:rFonts w:hint="default" w:ascii="Times New Roman" w:hAnsi="Times New Roman" w:eastAsia="宋体" w:cs="Times New Roman"/>
                <w:color w:val="auto"/>
                <w:sz w:val="21"/>
                <w:szCs w:val="21"/>
                <w:highlight w:val="none"/>
                <w:lang w:eastAsia="zh-CN"/>
              </w:rPr>
              <w:t>镇新丰村三社</w:t>
            </w:r>
          </w:p>
        </w:tc>
      </w:tr>
      <w:tr w14:paraId="063CC179">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1E54A6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地理坐标</w:t>
            </w:r>
          </w:p>
        </w:tc>
        <w:tc>
          <w:tcPr>
            <w:tcW w:w="1645" w:type="dxa"/>
            <w:tcBorders>
              <w:top w:val="single" w:color="auto" w:sz="4" w:space="0"/>
              <w:left w:val="single" w:color="auto" w:sz="4" w:space="0"/>
              <w:bottom w:val="single" w:color="auto" w:sz="4" w:space="0"/>
              <w:right w:val="single" w:color="auto" w:sz="4" w:space="0"/>
            </w:tcBorders>
            <w:vAlign w:val="center"/>
          </w:tcPr>
          <w:p w14:paraId="2ED635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经度</w:t>
            </w:r>
          </w:p>
        </w:tc>
        <w:tc>
          <w:tcPr>
            <w:tcW w:w="1476" w:type="dxa"/>
            <w:tcBorders>
              <w:top w:val="single" w:color="auto" w:sz="4" w:space="0"/>
              <w:left w:val="single" w:color="auto" w:sz="4" w:space="0"/>
              <w:bottom w:val="single" w:color="auto" w:sz="4" w:space="0"/>
              <w:right w:val="single" w:color="auto" w:sz="4" w:space="0"/>
            </w:tcBorders>
            <w:vAlign w:val="center"/>
          </w:tcPr>
          <w:p w14:paraId="01D8A9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E108°22'53.938"</w:t>
            </w:r>
          </w:p>
        </w:tc>
        <w:tc>
          <w:tcPr>
            <w:tcW w:w="1764" w:type="dxa"/>
            <w:tcBorders>
              <w:top w:val="single" w:color="auto" w:sz="4" w:space="0"/>
              <w:left w:val="single" w:color="auto" w:sz="4" w:space="0"/>
              <w:bottom w:val="single" w:color="auto" w:sz="4" w:space="0"/>
              <w:right w:val="single" w:color="auto" w:sz="4" w:space="0"/>
            </w:tcBorders>
            <w:vAlign w:val="center"/>
          </w:tcPr>
          <w:p w14:paraId="707E62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纬度</w:t>
            </w:r>
          </w:p>
        </w:tc>
        <w:tc>
          <w:tcPr>
            <w:tcW w:w="1696" w:type="dxa"/>
            <w:tcBorders>
              <w:top w:val="single" w:color="auto" w:sz="4" w:space="0"/>
              <w:left w:val="single" w:color="auto" w:sz="4" w:space="0"/>
              <w:bottom w:val="single" w:color="auto" w:sz="4" w:space="0"/>
              <w:right w:val="single" w:color="auto" w:sz="4" w:space="0"/>
            </w:tcBorders>
            <w:vAlign w:val="center"/>
          </w:tcPr>
          <w:p w14:paraId="64AF63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N41°03'58.519"、</w:t>
            </w:r>
          </w:p>
        </w:tc>
      </w:tr>
      <w:tr w14:paraId="3AEF486C">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69E88F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主要危险物质及分布</w:t>
            </w:r>
          </w:p>
        </w:tc>
        <w:tc>
          <w:tcPr>
            <w:tcW w:w="6581" w:type="dxa"/>
            <w:gridSpan w:val="4"/>
            <w:tcBorders>
              <w:top w:val="single" w:color="auto" w:sz="4" w:space="0"/>
              <w:left w:val="single" w:color="auto" w:sz="4" w:space="0"/>
              <w:bottom w:val="single" w:color="auto" w:sz="4" w:space="0"/>
              <w:right w:val="single" w:color="auto" w:sz="4" w:space="0"/>
            </w:tcBorders>
            <w:vAlign w:val="center"/>
          </w:tcPr>
          <w:p w14:paraId="648538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w:t>
            </w:r>
          </w:p>
        </w:tc>
      </w:tr>
      <w:tr w14:paraId="3A5D6A18">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4DC5AB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环境影响途径及危害后果（大气、地表水、地下水等）</w:t>
            </w:r>
          </w:p>
        </w:tc>
        <w:tc>
          <w:tcPr>
            <w:tcW w:w="6581" w:type="dxa"/>
            <w:gridSpan w:val="4"/>
            <w:tcBorders>
              <w:top w:val="single" w:color="auto" w:sz="4" w:space="0"/>
              <w:left w:val="single" w:color="auto" w:sz="4" w:space="0"/>
              <w:bottom w:val="single" w:color="auto" w:sz="4" w:space="0"/>
              <w:right w:val="single" w:color="auto" w:sz="4" w:space="0"/>
            </w:tcBorders>
            <w:vAlign w:val="center"/>
          </w:tcPr>
          <w:p w14:paraId="14C077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本项目环境风险主要为</w:t>
            </w:r>
            <w:r>
              <w:rPr>
                <w:rFonts w:hint="default" w:ascii="Times New Roman" w:hAnsi="Times New Roman" w:eastAsia="宋体" w:cs="Times New Roman"/>
                <w:color w:val="auto"/>
                <w:sz w:val="21"/>
                <w:szCs w:val="21"/>
                <w:highlight w:val="none"/>
                <w:lang w:eastAsia="zh-CN"/>
              </w:rPr>
              <w:t>危废暂存间、堆肥场</w:t>
            </w:r>
            <w:r>
              <w:rPr>
                <w:rFonts w:hint="default" w:ascii="Times New Roman" w:hAnsi="Times New Roman" w:eastAsia="宋体" w:cs="Times New Roman"/>
                <w:color w:val="auto"/>
                <w:sz w:val="21"/>
                <w:szCs w:val="21"/>
                <w:highlight w:val="none"/>
              </w:rPr>
              <w:t>的硬化地面、防渗设</w:t>
            </w:r>
            <w:r>
              <w:rPr>
                <w:rFonts w:hint="default" w:ascii="Times New Roman" w:hAnsi="Times New Roman" w:eastAsia="宋体" w:cs="Times New Roman"/>
                <w:color w:val="auto"/>
                <w:sz w:val="21"/>
                <w:szCs w:val="21"/>
                <w:highlight w:val="none"/>
                <w:lang w:eastAsia="zh-CN"/>
              </w:rPr>
              <w:t>施</w:t>
            </w:r>
            <w:r>
              <w:rPr>
                <w:rFonts w:hint="default" w:ascii="Times New Roman" w:hAnsi="Times New Roman" w:eastAsia="宋体" w:cs="Times New Roman"/>
                <w:color w:val="auto"/>
                <w:sz w:val="21"/>
                <w:szCs w:val="21"/>
                <w:highlight w:val="none"/>
              </w:rPr>
              <w:t>出现破损，出现污水渗漏的情况</w:t>
            </w:r>
            <w:r>
              <w:rPr>
                <w:rFonts w:hint="default" w:ascii="Times New Roman" w:hAnsi="Times New Roman" w:eastAsia="宋体" w:cs="Times New Roman"/>
                <w:color w:val="auto"/>
                <w:sz w:val="21"/>
                <w:szCs w:val="21"/>
                <w:highlight w:val="none"/>
                <w:lang w:eastAsia="zh-CN"/>
              </w:rPr>
              <w:t>；</w:t>
            </w:r>
          </w:p>
          <w:p w14:paraId="7976DB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草棚</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日粮搅拌车间</w:t>
            </w:r>
            <w:r>
              <w:rPr>
                <w:rFonts w:hint="default" w:ascii="Times New Roman" w:hAnsi="Times New Roman" w:eastAsia="宋体" w:cs="Times New Roman"/>
                <w:color w:val="auto"/>
                <w:sz w:val="21"/>
                <w:szCs w:val="21"/>
                <w:highlight w:val="none"/>
                <w:lang w:eastAsia="zh-CN"/>
              </w:rPr>
              <w:t>发生火灾；</w:t>
            </w:r>
          </w:p>
        </w:tc>
      </w:tr>
      <w:tr w14:paraId="4AD1448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tcBorders>
              <w:top w:val="single" w:color="auto" w:sz="4" w:space="0"/>
              <w:left w:val="single" w:color="auto" w:sz="4" w:space="0"/>
              <w:bottom w:val="single" w:color="auto" w:sz="4" w:space="0"/>
              <w:right w:val="single" w:color="auto" w:sz="4" w:space="0"/>
            </w:tcBorders>
            <w:vAlign w:val="center"/>
          </w:tcPr>
          <w:p w14:paraId="288748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风险防范措施要求</w:t>
            </w:r>
          </w:p>
        </w:tc>
        <w:tc>
          <w:tcPr>
            <w:tcW w:w="6581" w:type="dxa"/>
            <w:gridSpan w:val="4"/>
            <w:tcBorders>
              <w:top w:val="single" w:color="auto" w:sz="4" w:space="0"/>
              <w:left w:val="single" w:color="auto" w:sz="4" w:space="0"/>
              <w:bottom w:val="single" w:color="auto" w:sz="4" w:space="0"/>
              <w:right w:val="single" w:color="auto" w:sz="4" w:space="0"/>
            </w:tcBorders>
            <w:vAlign w:val="center"/>
          </w:tcPr>
          <w:p w14:paraId="25C023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从技术、工艺和管理三个方面入手，采取综合措施，预防泄漏事故，详见6.6环境风险防范措施及应急要求</w:t>
            </w:r>
          </w:p>
        </w:tc>
      </w:tr>
    </w:tbl>
    <w:p w14:paraId="6572A3AD">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13" w:name="_Toc19081"/>
      <w:r>
        <w:rPr>
          <w:rFonts w:hint="default" w:ascii="Times New Roman" w:hAnsi="Times New Roman" w:eastAsia="宋体" w:cs="Times New Roman"/>
          <w:color w:val="auto"/>
          <w:highlight w:val="none"/>
        </w:rPr>
        <w:t>6.7.2建议</w:t>
      </w:r>
      <w:bookmarkEnd w:id="613"/>
    </w:p>
    <w:p w14:paraId="19C574D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（1）要求建设单位针对可能发生的重大环境风险事故制定详细的环境风险应急预案，并经过专家评审，定期进行预案演练。</w:t>
      </w:r>
    </w:p>
    <w:p w14:paraId="079C472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（2）建立企业环境风险应急机制，加强养殖区、</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的巡查，监视力度，强化风险管理。</w:t>
      </w:r>
    </w:p>
    <w:p w14:paraId="456CEC1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（3）建设单位须采取有效的防范、减缓措施，并制定突发性事故应急预案，强化安全管理，降低事故发生的可能性，使危险等级降低到可接受水平。</w:t>
      </w:r>
    </w:p>
    <w:p w14:paraId="5D32933D">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p>
    <w:bookmarkEnd w:id="570"/>
    <w:p w14:paraId="01D75354">
      <w:pPr>
        <w:pageBreakBefore w:val="0"/>
        <w:shd w:val="clear"/>
        <w:kinsoku/>
        <w:wordWrap/>
        <w:overflowPunct w:val="0"/>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2C2AF8A6">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bookmarkStart w:id="614" w:name="_Toc523322383"/>
    </w:p>
    <w:p w14:paraId="20B23416">
      <w:pPr>
        <w:pStyle w:val="3"/>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bookmarkStart w:id="615" w:name="_Toc8312"/>
      <w:bookmarkStart w:id="616" w:name="_Toc523322368"/>
      <w:r>
        <w:rPr>
          <w:rFonts w:hint="default" w:ascii="Times New Roman" w:hAnsi="Times New Roman" w:eastAsia="宋体" w:cs="Times New Roman"/>
          <w:color w:val="auto"/>
          <w:highlight w:val="none"/>
        </w:rPr>
        <w:t>7环境保护措施及其可行性论证</w:t>
      </w:r>
      <w:bookmarkEnd w:id="615"/>
      <w:bookmarkEnd w:id="616"/>
    </w:p>
    <w:p w14:paraId="4BCE30C1">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617" w:name="_Toc523322369"/>
      <w:bookmarkStart w:id="618" w:name="_Toc32755"/>
      <w:r>
        <w:rPr>
          <w:rFonts w:hint="default" w:ascii="Times New Roman" w:hAnsi="Times New Roman" w:eastAsia="宋体" w:cs="Times New Roman"/>
          <w:color w:val="auto"/>
          <w:highlight w:val="none"/>
        </w:rPr>
        <w:t>7.1施工期环境保护措施</w:t>
      </w:r>
      <w:bookmarkEnd w:id="617"/>
      <w:bookmarkEnd w:id="618"/>
    </w:p>
    <w:p w14:paraId="23A12C3C">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19" w:name="_Toc7299"/>
      <w:bookmarkStart w:id="620" w:name="_Toc23965"/>
      <w:bookmarkStart w:id="621" w:name="_Toc523322370"/>
      <w:r>
        <w:rPr>
          <w:rFonts w:hint="default" w:ascii="Times New Roman" w:hAnsi="Times New Roman" w:eastAsia="宋体" w:cs="Times New Roman"/>
          <w:color w:val="auto"/>
          <w:highlight w:val="none"/>
        </w:rPr>
        <w:t>7.1.1施工期大气环境保护措施</w:t>
      </w:r>
      <w:bookmarkEnd w:id="619"/>
      <w:bookmarkEnd w:id="620"/>
      <w:bookmarkEnd w:id="621"/>
    </w:p>
    <w:p w14:paraId="3438FE2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根据施工期大气环境影响分析结果、根据相关法律法规确定本项目施工期大气环境保护措施，具体措施如下：</w:t>
      </w:r>
    </w:p>
    <w:p w14:paraId="6E1AD15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22" w:name="_Toc9324"/>
      <w:bookmarkStart w:id="623" w:name="_Toc9551"/>
      <w:bookmarkStart w:id="624" w:name="_Toc12416"/>
      <w:bookmarkStart w:id="625" w:name="_Toc29165"/>
      <w:r>
        <w:rPr>
          <w:rFonts w:hint="default" w:ascii="Times New Roman" w:hAnsi="Times New Roman" w:eastAsia="宋体" w:cs="Times New Roman"/>
          <w:color w:val="auto"/>
          <w:highlight w:val="none"/>
        </w:rPr>
        <w:t>（1）整体防治措施：</w:t>
      </w:r>
      <w:bookmarkEnd w:id="622"/>
      <w:bookmarkEnd w:id="623"/>
      <w:bookmarkEnd w:id="624"/>
      <w:bookmarkEnd w:id="625"/>
    </w:p>
    <w:p w14:paraId="1A64EEA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①建设单位应当将防治扬尘污染的费用列入工程造价，并在施工承包合同中明确施工单位扬尘污染防治责任。施工单位应当制定具体的施工扬尘污染防治实施方案。</w:t>
      </w:r>
    </w:p>
    <w:p w14:paraId="0A7D3B4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②施工单位应当在施工</w:t>
      </w:r>
      <w:r>
        <w:rPr>
          <w:rFonts w:hint="default" w:ascii="Times New Roman" w:hAnsi="Times New Roman" w:eastAsia="宋体" w:cs="Times New Roman"/>
          <w:color w:val="auto"/>
          <w:highlight w:val="none"/>
          <w:lang w:eastAsia="zh-CN"/>
        </w:rPr>
        <w:t>场地</w:t>
      </w:r>
      <w:r>
        <w:rPr>
          <w:rFonts w:hint="default" w:ascii="Times New Roman" w:hAnsi="Times New Roman" w:eastAsia="宋体" w:cs="Times New Roman"/>
          <w:color w:val="auto"/>
          <w:highlight w:val="none"/>
        </w:rPr>
        <w:t>洒水抑尘、车辆等有效防尘降尘措施，对施工场地及施工道路每天洒水抑尘作业4～5次，可使扬尘量减少70%左右。</w:t>
      </w:r>
    </w:p>
    <w:p w14:paraId="0DD3A06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加强施工现场运输车辆管理，注重车辆的维护保养，严禁使用冒黑烟车辆，限制车速，严禁超高、超载运输；保证所运物品无撒漏、扬散，防止建筑材料、垃圾和尘土飞扬、洒落和流溢，有效抑制粉尘和二次扬尘污染；驶出工地的车辆必须车身整洁，装载车厢完好，装载货物堆码整齐，不得污染道路。</w:t>
      </w:r>
    </w:p>
    <w:p w14:paraId="45EEEE8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④施工场区不使用油耗高、效率低、废气排放严重的施工机械，对燃油设备合理配置，加强管理，工程运输车辆尾气达标。</w:t>
      </w:r>
    </w:p>
    <w:p w14:paraId="15073F3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⑤加快施工进度，尽量缩短工期。</w:t>
      </w:r>
    </w:p>
    <w:p w14:paraId="3553345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26" w:name="_Toc500"/>
      <w:bookmarkStart w:id="627" w:name="_Toc12472"/>
      <w:bookmarkStart w:id="628" w:name="_Toc3150"/>
      <w:bookmarkStart w:id="629" w:name="_Toc5027"/>
      <w:r>
        <w:rPr>
          <w:rFonts w:hint="default" w:ascii="Times New Roman" w:hAnsi="Times New Roman" w:eastAsia="宋体" w:cs="Times New Roman"/>
          <w:color w:val="auto"/>
          <w:highlight w:val="none"/>
        </w:rPr>
        <w:t>（2）扬尘防治措施</w:t>
      </w:r>
      <w:bookmarkEnd w:id="626"/>
      <w:bookmarkEnd w:id="627"/>
      <w:bookmarkEnd w:id="628"/>
      <w:bookmarkEnd w:id="629"/>
    </w:p>
    <w:p w14:paraId="4BF72D7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①料场集中堆放的采取覆盖并保持其表面湿润或固化处理，并在堆场表面用防尘网进行遮盖，以防止风蚀防尘措施。</w:t>
      </w:r>
    </w:p>
    <w:p w14:paraId="2A58169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②对开挖等施工作业面（点）进行封闭施工或者采取洒水等控尘降尘措施。</w:t>
      </w:r>
    </w:p>
    <w:p w14:paraId="093F59E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③采取分段施工，分段回填、分段恢复，减少裸露地面面积和土方堆置。</w:t>
      </w:r>
    </w:p>
    <w:p w14:paraId="64FE7CD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④当出现4级及以上风力天气情况时，禁止土方施工，并</w:t>
      </w:r>
      <w:r>
        <w:rPr>
          <w:rFonts w:hint="default" w:ascii="Times New Roman" w:hAnsi="Times New Roman" w:eastAsia="宋体" w:cs="Times New Roman"/>
          <w:color w:val="auto"/>
          <w:highlight w:val="none"/>
          <w:lang w:eastAsia="zh-CN"/>
        </w:rPr>
        <w:t>做好</w:t>
      </w:r>
      <w:r>
        <w:rPr>
          <w:rFonts w:hint="default" w:ascii="Times New Roman" w:hAnsi="Times New Roman" w:eastAsia="宋体" w:cs="Times New Roman"/>
          <w:color w:val="auto"/>
          <w:highlight w:val="none"/>
        </w:rPr>
        <w:t>遮掩、洒水抑尘工作。</w:t>
      </w:r>
    </w:p>
    <w:p w14:paraId="583724E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⑤施工完成后，及时进行表土覆盖和植被恢复，防止基础裸露。</w:t>
      </w:r>
    </w:p>
    <w:p w14:paraId="53DC600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⑥运输车辆严禁超限运输并在运输物料及土方上覆盖苫布，严禁物料散落和起尘；运输车辆</w:t>
      </w:r>
      <w:r>
        <w:rPr>
          <w:rFonts w:hint="default" w:ascii="Times New Roman" w:hAnsi="Times New Roman" w:eastAsia="宋体" w:cs="Times New Roman"/>
          <w:color w:val="auto"/>
          <w:highlight w:val="none"/>
          <w:lang w:eastAsia="zh-CN"/>
        </w:rPr>
        <w:t>减速</w:t>
      </w:r>
      <w:r>
        <w:rPr>
          <w:rFonts w:hint="default" w:ascii="Times New Roman" w:hAnsi="Times New Roman" w:eastAsia="宋体" w:cs="Times New Roman"/>
          <w:color w:val="auto"/>
          <w:highlight w:val="none"/>
        </w:rPr>
        <w:t>慢行，固定行车路线，干燥大风天气对</w:t>
      </w:r>
      <w:r>
        <w:rPr>
          <w:rFonts w:hint="default" w:ascii="Times New Roman" w:hAnsi="Times New Roman" w:eastAsia="宋体" w:cs="Times New Roman"/>
          <w:color w:val="auto"/>
          <w:highlight w:val="none"/>
          <w:lang w:eastAsia="zh-CN"/>
        </w:rPr>
        <w:t>途经</w:t>
      </w:r>
      <w:r>
        <w:rPr>
          <w:rFonts w:hint="default" w:ascii="Times New Roman" w:hAnsi="Times New Roman" w:eastAsia="宋体" w:cs="Times New Roman"/>
          <w:color w:val="auto"/>
          <w:highlight w:val="none"/>
        </w:rPr>
        <w:t>敏感点路段运输道路洒水抑尘。</w:t>
      </w:r>
    </w:p>
    <w:p w14:paraId="74676EC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⑦对临时占地采取严格处理措施，取土过程中及时对取土面加盖，防止生成新尘源；对于临时堆土场及时洒水，并加盖，防止形成新尘源。</w:t>
      </w:r>
    </w:p>
    <w:p w14:paraId="4FC3700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⑧施工垃圾应及时清运，集中堆放的采取覆盖并保持其表面湿润或固化处理，并在土堆表面用防尘网进行遮盖，以防止风蚀。</w:t>
      </w:r>
    </w:p>
    <w:p w14:paraId="27AB76D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⑨可能产生扬尘污染的建筑材料在库房存放，避免露天堆放，或者严密遮盖或采用洒水、遮盖物或喷洒遮盖剂等措施防止扬尘。</w:t>
      </w:r>
    </w:p>
    <w:p w14:paraId="6C3A71A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通过上述各项措施，可基本控制建筑施工扬尘的产生，降低施工扬尘对周围环境的影响。</w:t>
      </w:r>
    </w:p>
    <w:p w14:paraId="369B34A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施工期间大气污染防治措施目前较成熟，实践表明只要管理和工程措施到位，完全能够满足环保要求。</w:t>
      </w:r>
    </w:p>
    <w:p w14:paraId="1FCC2041">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30" w:name="_Toc523322371"/>
      <w:bookmarkStart w:id="631" w:name="_Toc6972"/>
      <w:bookmarkStart w:id="632" w:name="_Toc14469"/>
      <w:r>
        <w:rPr>
          <w:rFonts w:hint="default" w:ascii="Times New Roman" w:hAnsi="Times New Roman" w:eastAsia="宋体" w:cs="Times New Roman"/>
          <w:color w:val="auto"/>
          <w:highlight w:val="none"/>
        </w:rPr>
        <w:t>7.1.2施工期水环境保护措施</w:t>
      </w:r>
      <w:bookmarkEnd w:id="630"/>
      <w:bookmarkEnd w:id="631"/>
      <w:bookmarkEnd w:id="632"/>
    </w:p>
    <w:p w14:paraId="4E02C8B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（1）加强施工机械管理，防止油的跑、冒、滴、漏。</w:t>
      </w:r>
    </w:p>
    <w:p w14:paraId="12B993C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（2）项目施工期生活污水</w:t>
      </w:r>
      <w:r>
        <w:rPr>
          <w:rFonts w:hint="default" w:ascii="Times New Roman" w:hAnsi="Times New Roman" w:eastAsia="宋体" w:cs="Times New Roman"/>
          <w:color w:val="auto"/>
          <w:highlight w:val="none"/>
          <w:lang w:val="en-US" w:eastAsia="zh-CN"/>
        </w:rPr>
        <w:t>排入临时旱厕，定期由当地环卫部门清运处置</w:t>
      </w:r>
      <w:r>
        <w:rPr>
          <w:rFonts w:hint="default" w:ascii="Times New Roman" w:hAnsi="Times New Roman" w:eastAsia="宋体" w:cs="Times New Roman"/>
          <w:color w:val="auto"/>
          <w:highlight w:val="none"/>
        </w:rPr>
        <w:t>。</w:t>
      </w:r>
    </w:p>
    <w:p w14:paraId="7C1FBA8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施工过程中贯彻“一水多用、重复利用、节约用水”的原则，尽量减少废水的排放量。施工期间废水污染防治措施可行，能够满足环保要求。</w:t>
      </w:r>
    </w:p>
    <w:p w14:paraId="26FA013E">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33" w:name="_Toc523322372"/>
      <w:bookmarkStart w:id="634" w:name="_Toc29520"/>
      <w:bookmarkStart w:id="635" w:name="_Toc31217"/>
      <w:r>
        <w:rPr>
          <w:rFonts w:hint="default" w:ascii="Times New Roman" w:hAnsi="Times New Roman" w:eastAsia="宋体" w:cs="Times New Roman"/>
          <w:color w:val="auto"/>
          <w:highlight w:val="none"/>
        </w:rPr>
        <w:t>7.1.3施工期声环境保护措施</w:t>
      </w:r>
      <w:bookmarkEnd w:id="633"/>
      <w:bookmarkEnd w:id="634"/>
      <w:bookmarkEnd w:id="635"/>
    </w:p>
    <w:p w14:paraId="6EEF0F1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bookmarkStart w:id="636" w:name="_Toc14156"/>
      <w:r>
        <w:rPr>
          <w:rFonts w:hint="default" w:ascii="Times New Roman" w:hAnsi="Times New Roman" w:eastAsia="宋体" w:cs="Times New Roman"/>
          <w:color w:val="auto"/>
          <w:highlight w:val="none"/>
        </w:rPr>
        <w:t>（1）在满足施工需要的前提下，尽可能选择低噪先进设备，并严格控制高噪声设备的施工时间。</w:t>
      </w:r>
    </w:p>
    <w:p w14:paraId="154E31A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（2）加强设备的维护保养，避免由于设备性能差而使机械噪声增大的现象。</w:t>
      </w:r>
    </w:p>
    <w:p w14:paraId="43DE20E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（3）施工单位应高度重视噪声影响，合理安排作业时间。</w:t>
      </w:r>
    </w:p>
    <w:p w14:paraId="49FCE55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（4）加快施工进度，尽量缩短工期。</w:t>
      </w:r>
    </w:p>
    <w:p w14:paraId="71F1C9E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（5）加强环境宣传和教育，认真落实各项降噪措施，做到文明施工。</w:t>
      </w:r>
    </w:p>
    <w:p w14:paraId="1A775C9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工程施工期噪声污染防治措施较为成熟，技术经济可行。</w:t>
      </w:r>
    </w:p>
    <w:p w14:paraId="63869C2B">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37" w:name="_Toc5286"/>
      <w:bookmarkStart w:id="638" w:name="_Toc523322373"/>
      <w:r>
        <w:rPr>
          <w:rFonts w:hint="default" w:ascii="Times New Roman" w:hAnsi="Times New Roman" w:eastAsia="宋体" w:cs="Times New Roman"/>
          <w:color w:val="auto"/>
          <w:highlight w:val="none"/>
        </w:rPr>
        <w:t>7.1.4施工期固体废物处理措施</w:t>
      </w:r>
      <w:bookmarkEnd w:id="636"/>
      <w:bookmarkEnd w:id="637"/>
      <w:bookmarkEnd w:id="638"/>
    </w:p>
    <w:p w14:paraId="05BD6E6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39" w:name="_Toc6666"/>
      <w:bookmarkStart w:id="640" w:name="_Toc14963"/>
      <w:bookmarkStart w:id="641" w:name="_Toc2891"/>
      <w:bookmarkStart w:id="642" w:name="_Toc14924"/>
      <w:r>
        <w:rPr>
          <w:rFonts w:hint="default" w:ascii="Times New Roman" w:hAnsi="Times New Roman" w:eastAsia="宋体" w:cs="Times New Roman"/>
          <w:color w:val="auto"/>
          <w:highlight w:val="none"/>
        </w:rPr>
        <w:t>（1）废包装物、建筑垃圾</w:t>
      </w:r>
      <w:bookmarkEnd w:id="639"/>
      <w:bookmarkEnd w:id="640"/>
      <w:bookmarkEnd w:id="641"/>
      <w:bookmarkEnd w:id="642"/>
    </w:p>
    <w:p w14:paraId="76B7024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工程建筑垃圾及时运至指定渣场规范处置。采用密闭车辆运输，并对进出工程场地的运输车辆轮胎进行清洗，避免将泥土带入道路。</w:t>
      </w:r>
    </w:p>
    <w:p w14:paraId="60A0AF0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outlineLvl w:val="2"/>
        <w:rPr>
          <w:rFonts w:hint="default" w:ascii="Times New Roman" w:hAnsi="Times New Roman" w:eastAsia="宋体" w:cs="Times New Roman"/>
          <w:color w:val="auto"/>
          <w:highlight w:val="none"/>
        </w:rPr>
      </w:pPr>
      <w:bookmarkStart w:id="643" w:name="_Toc25279"/>
      <w:bookmarkStart w:id="644" w:name="_Toc32565"/>
      <w:bookmarkStart w:id="645" w:name="_Toc10208"/>
      <w:bookmarkStart w:id="646" w:name="_Toc29190"/>
      <w:r>
        <w:rPr>
          <w:rFonts w:hint="default" w:ascii="Times New Roman" w:hAnsi="Times New Roman" w:eastAsia="宋体" w:cs="Times New Roman"/>
          <w:color w:val="auto"/>
          <w:highlight w:val="none"/>
        </w:rPr>
        <w:t>（2）生活垃圾</w:t>
      </w:r>
      <w:bookmarkEnd w:id="643"/>
      <w:bookmarkEnd w:id="644"/>
      <w:bookmarkEnd w:id="645"/>
      <w:bookmarkEnd w:id="646"/>
    </w:p>
    <w:p w14:paraId="5BE4E38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生活垃圾集中收集后</w:t>
      </w:r>
      <w:r>
        <w:rPr>
          <w:rFonts w:hint="default" w:ascii="Times New Roman" w:hAnsi="Times New Roman" w:eastAsia="宋体" w:cs="Times New Roman"/>
          <w:color w:val="auto"/>
          <w:highlight w:val="none"/>
          <w:lang w:bidi="zh-CN"/>
        </w:rPr>
        <w:t>清运到环卫部门指定的地点集中处理</w:t>
      </w:r>
      <w:r>
        <w:rPr>
          <w:rFonts w:hint="default" w:ascii="Times New Roman" w:hAnsi="Times New Roman" w:eastAsia="宋体" w:cs="Times New Roman"/>
          <w:color w:val="auto"/>
          <w:highlight w:val="none"/>
        </w:rPr>
        <w:t>。</w:t>
      </w:r>
    </w:p>
    <w:p w14:paraId="11C3AB8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采取上述污染防治措施，施工期固体废物对环境的影响很小。</w:t>
      </w:r>
    </w:p>
    <w:p w14:paraId="7136734F">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47" w:name="_Toc14215"/>
      <w:r>
        <w:rPr>
          <w:rFonts w:hint="default" w:ascii="Times New Roman" w:hAnsi="Times New Roman" w:eastAsia="宋体" w:cs="Times New Roman"/>
          <w:color w:val="auto"/>
          <w:highlight w:val="none"/>
        </w:rPr>
        <w:t>7.1.5施工期生态环境保护措施</w:t>
      </w:r>
      <w:bookmarkEnd w:id="647"/>
    </w:p>
    <w:p w14:paraId="747CBA3F">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648" w:name="_Toc11476"/>
      <w:bookmarkStart w:id="649" w:name="_Toc29493"/>
      <w:bookmarkStart w:id="650" w:name="_Toc26345"/>
      <w:bookmarkStart w:id="651" w:name="_Toc24423"/>
      <w:r>
        <w:rPr>
          <w:rFonts w:hint="default" w:ascii="Times New Roman" w:hAnsi="Times New Roman" w:eastAsia="宋体" w:cs="Times New Roman"/>
          <w:color w:val="auto"/>
          <w:highlight w:val="none"/>
        </w:rPr>
        <w:t>7.1.5.1主体工程施工期生态保护措施</w:t>
      </w:r>
      <w:bookmarkEnd w:id="648"/>
      <w:bookmarkEnd w:id="649"/>
      <w:bookmarkEnd w:id="650"/>
      <w:bookmarkEnd w:id="651"/>
    </w:p>
    <w:p w14:paraId="7DF92B1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本项目施工期对生态环境的影响较小，但仍需采取如下措施：</w:t>
      </w:r>
    </w:p>
    <w:p w14:paraId="5F613D2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（1）为消减施工队伍对植被的影响，在工程施工区设置警示牌，标明施工活动区，严令禁止到非施工区域活动，非施工区严禁烟火等破坏性活动。</w:t>
      </w:r>
    </w:p>
    <w:p w14:paraId="6F16E18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（2）在施工期间对施工人员加强施工区生态保护的宣传教育，以公告、宣传册发放等形式，教育施工人员，通过制度化禁止施工人员捕食蛙类、鸟类、兽类，以减轻施工对当地陆生动植物的影响。</w:t>
      </w:r>
    </w:p>
    <w:p w14:paraId="0E23234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（3）工程施工结束后，场区内施工临时占地应采取绿化措施，进行植被恢复；同时对</w:t>
      </w:r>
      <w:r>
        <w:rPr>
          <w:rFonts w:hint="default" w:ascii="Times New Roman" w:hAnsi="Times New Roman" w:eastAsia="宋体" w:cs="Times New Roman"/>
          <w:color w:val="auto"/>
          <w:highlight w:val="none"/>
          <w:lang w:val="en-US" w:eastAsia="zh-CN"/>
        </w:rPr>
        <w:t>养殖</w:t>
      </w:r>
      <w:r>
        <w:rPr>
          <w:rFonts w:hint="default" w:ascii="Times New Roman" w:hAnsi="Times New Roman" w:eastAsia="宋体" w:cs="Times New Roman"/>
          <w:color w:val="auto"/>
          <w:highlight w:val="none"/>
        </w:rPr>
        <w:t>场也尽可能进行绿化。</w:t>
      </w:r>
    </w:p>
    <w:p w14:paraId="1B7E44F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加强场区的绿化工作、对改善场区内小环境有重要意义。绿化可以吸尘灭菌、降低噪声、净化空气、防疫隔离、防暑防寒。如按冬季主风的上风向设防风林、在</w:t>
      </w:r>
      <w:r>
        <w:rPr>
          <w:rFonts w:hint="default" w:ascii="Times New Roman" w:hAnsi="Times New Roman" w:eastAsia="宋体" w:cs="Times New Roman"/>
          <w:color w:val="auto"/>
          <w:highlight w:val="none"/>
          <w:lang w:eastAsia="zh-CN"/>
        </w:rPr>
        <w:t>养殖</w:t>
      </w:r>
      <w:r>
        <w:rPr>
          <w:rFonts w:hint="default" w:ascii="Times New Roman" w:hAnsi="Times New Roman" w:eastAsia="宋体" w:cs="Times New Roman"/>
          <w:color w:val="auto"/>
          <w:highlight w:val="none"/>
        </w:rPr>
        <w:t>场的周围设隔离林、</w:t>
      </w:r>
      <w:r>
        <w:rPr>
          <w:rFonts w:hint="default" w:ascii="Times New Roman" w:hAnsi="Times New Roman" w:eastAsia="宋体" w:cs="Times New Roman"/>
          <w:color w:val="auto"/>
          <w:highlight w:val="none"/>
          <w:lang w:eastAsia="zh-CN"/>
        </w:rPr>
        <w:t>生活区和养殖区之间</w:t>
      </w:r>
      <w:r>
        <w:rPr>
          <w:rFonts w:hint="default" w:ascii="Times New Roman" w:hAnsi="Times New Roman" w:eastAsia="宋体" w:cs="Times New Roman"/>
          <w:color w:val="auto"/>
          <w:highlight w:val="none"/>
        </w:rPr>
        <w:t>设隔离林、道路两旁</w:t>
      </w:r>
      <w:r>
        <w:rPr>
          <w:rFonts w:hint="default" w:ascii="Times New Roman" w:hAnsi="Times New Roman" w:eastAsia="宋体" w:cs="Times New Roman"/>
          <w:color w:val="auto"/>
          <w:highlight w:val="none"/>
          <w:lang w:eastAsia="zh-CN"/>
        </w:rPr>
        <w:t>进行遮阴</w:t>
      </w:r>
      <w:r>
        <w:rPr>
          <w:rFonts w:hint="default" w:ascii="Times New Roman" w:hAnsi="Times New Roman" w:eastAsia="宋体" w:cs="Times New Roman"/>
          <w:color w:val="auto"/>
          <w:highlight w:val="none"/>
        </w:rPr>
        <w:t>绿化、场区裸露地面上种植花草。同时还应</w:t>
      </w:r>
      <w:r>
        <w:rPr>
          <w:rFonts w:hint="default" w:ascii="Times New Roman" w:hAnsi="Times New Roman" w:eastAsia="宋体" w:cs="Times New Roman"/>
          <w:color w:val="auto"/>
          <w:highlight w:val="none"/>
          <w:lang w:eastAsia="zh-CN"/>
        </w:rPr>
        <w:t>科学地选择</w:t>
      </w:r>
      <w:r>
        <w:rPr>
          <w:rFonts w:hint="default" w:ascii="Times New Roman" w:hAnsi="Times New Roman" w:eastAsia="宋体" w:cs="Times New Roman"/>
          <w:color w:val="auto"/>
          <w:highlight w:val="none"/>
        </w:rPr>
        <w:t>园艺花卉品种，充分利用植物的环境修复功能。经研究发现，绿色植物对空气污染具有很好的净化作用，不光是叶子，植物的根以及土壤里的细菌都能有效清除有害气体。建议在</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场周围栽种当地常见的较高大绿色植物，形成绿色屏障。</w:t>
      </w:r>
    </w:p>
    <w:p w14:paraId="2D3DF02C">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2"/>
        <w:rPr>
          <w:rFonts w:hint="default" w:ascii="Times New Roman" w:hAnsi="Times New Roman" w:eastAsia="宋体" w:cs="Times New Roman"/>
          <w:color w:val="auto"/>
          <w:highlight w:val="none"/>
        </w:rPr>
      </w:pPr>
      <w:bookmarkStart w:id="652" w:name="_Toc32306"/>
      <w:bookmarkStart w:id="653" w:name="_Toc4776"/>
      <w:bookmarkStart w:id="654" w:name="_Toc1505"/>
      <w:bookmarkStart w:id="655" w:name="_Toc12529"/>
      <w:r>
        <w:rPr>
          <w:rFonts w:hint="default" w:ascii="Times New Roman" w:hAnsi="Times New Roman" w:eastAsia="宋体" w:cs="Times New Roman"/>
          <w:color w:val="auto"/>
          <w:highlight w:val="none"/>
        </w:rPr>
        <w:t>7.1.5.2水土流失保护措施</w:t>
      </w:r>
      <w:bookmarkEnd w:id="652"/>
      <w:bookmarkEnd w:id="653"/>
      <w:bookmarkEnd w:id="654"/>
      <w:bookmarkEnd w:id="655"/>
    </w:p>
    <w:p w14:paraId="2651FBA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的建设对项目涉及区域水土保持的影响主要发生在施工期，由于表土的开挖、植被的破坏，使抵抗流失力强的表层土壤受到影响；遇到下雨天，将造成严重的水土流失。环评要求建设单位采取以下措施控制水土流失情况：</w:t>
      </w:r>
    </w:p>
    <w:p w14:paraId="79D4C69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①进一步优化主体工程设计，在既保证主体工程顺利施工的条件下，同时兼顾水土保持的要求。</w:t>
      </w:r>
    </w:p>
    <w:p w14:paraId="5FF31B3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区内进行防治。既有利于阻挡水、土外流，防止对四周造成危害，又有利于施工管理。</w:t>
      </w:r>
    </w:p>
    <w:p w14:paraId="694111C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③增加临时排水措施和沉沙池工程。本工程全面扰动地表，施工建设期土体裸露面积大、裸露时间较长，雨季易产生严重水土流失，因此在采取永久性防治措施之前，应采取临时性措施，控制施工期水土流失。</w:t>
      </w:r>
    </w:p>
    <w:p w14:paraId="242B179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划定表土临时堆置区。为了保护和充分利用不可再生的表土资源，提高工程绿化时的造林成活率，减少工程绿化的造林成本，须设置表土临时堆置区，并对其采取临时性水土保持措施防止水土流失。在项目场地平整前，剥离场内部分表层腐殖土并集中堆置，并采取必要的防护，待工程基本建成后将腐殖土覆盖在绿化区域。</w:t>
      </w:r>
    </w:p>
    <w:p w14:paraId="5CE1325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14:paraId="70FDBD7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⑥项目建设应满足消防及交通要求，项目道路及给排水管网一次敷设到位，避免改沟改路，尤其应防止沟渠受截而使水流冲刷改道，造成水土流失。</w:t>
      </w:r>
    </w:p>
    <w:p w14:paraId="6A2521A4">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56" w:name="_Toc523322375"/>
      <w:bookmarkStart w:id="657" w:name="_Toc6205"/>
      <w:r>
        <w:rPr>
          <w:rFonts w:hint="default" w:ascii="Times New Roman" w:hAnsi="Times New Roman" w:eastAsia="宋体" w:cs="Times New Roman"/>
          <w:color w:val="auto"/>
          <w:highlight w:val="none"/>
        </w:rPr>
        <w:t>7.1.6小结</w:t>
      </w:r>
      <w:bookmarkEnd w:id="656"/>
      <w:bookmarkEnd w:id="657"/>
    </w:p>
    <w:p w14:paraId="47AAABD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14:paraId="62FE38BC">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658" w:name="_Toc26719"/>
      <w:bookmarkStart w:id="659" w:name="_Toc530642990"/>
      <w:r>
        <w:rPr>
          <w:rFonts w:hint="default" w:ascii="Times New Roman" w:hAnsi="Times New Roman" w:eastAsia="宋体" w:cs="Times New Roman"/>
          <w:color w:val="auto"/>
          <w:highlight w:val="none"/>
        </w:rPr>
        <w:t>7.2运营期大气污染防治措施及可行性</w:t>
      </w:r>
      <w:bookmarkEnd w:id="658"/>
      <w:bookmarkEnd w:id="659"/>
    </w:p>
    <w:p w14:paraId="42A81EA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本项目运营后产生的废气主要有</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臭气等污染源，为了减少废气对周围环境的影响，需采取如下措施。</w:t>
      </w:r>
    </w:p>
    <w:p w14:paraId="4BCCB249">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60" w:name="_Toc792"/>
      <w:r>
        <w:rPr>
          <w:rFonts w:hint="default" w:ascii="Times New Roman" w:hAnsi="Times New Roman" w:eastAsia="宋体" w:cs="Times New Roman"/>
          <w:color w:val="auto"/>
          <w:highlight w:val="none"/>
        </w:rPr>
        <w:t>7.2.1恶臭污染防治措施</w:t>
      </w:r>
      <w:bookmarkEnd w:id="660"/>
    </w:p>
    <w:p w14:paraId="79304EB3">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7.2.1.1</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恶臭防治措施</w:t>
      </w:r>
    </w:p>
    <w:p w14:paraId="125F888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养殖场有味气体来源于多个方面，例如动物呼吸、饲料、动物粪便及粪污处理系统等，其中以</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的粪便的味道为主，会挥发出氨、硫化氢等恶臭物质。在国际上，通常根据嗅觉判别标准，将臭气强度划分为6级，恶臭强度分级见下表。</w:t>
      </w:r>
    </w:p>
    <w:p w14:paraId="003C20F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表7.2-1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恶臭强度分级法</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6572"/>
      </w:tblGrid>
      <w:tr w14:paraId="25B27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top w:val="single" w:color="auto" w:sz="4" w:space="0"/>
              <w:left w:val="single" w:color="auto" w:sz="4" w:space="0"/>
            </w:tcBorders>
            <w:vAlign w:val="center"/>
          </w:tcPr>
          <w:p w14:paraId="7739A78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强度</w:t>
            </w:r>
          </w:p>
        </w:tc>
        <w:tc>
          <w:tcPr>
            <w:tcW w:w="7161" w:type="dxa"/>
            <w:tcBorders>
              <w:top w:val="single" w:color="auto" w:sz="4" w:space="0"/>
              <w:right w:val="single" w:color="auto" w:sz="4" w:space="0"/>
            </w:tcBorders>
            <w:vAlign w:val="center"/>
          </w:tcPr>
          <w:p w14:paraId="73B2AD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指标</w:t>
            </w:r>
          </w:p>
        </w:tc>
      </w:tr>
      <w:tr w14:paraId="36E125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tcBorders>
            <w:vAlign w:val="center"/>
          </w:tcPr>
          <w:p w14:paraId="2087B7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w:t>
            </w:r>
          </w:p>
        </w:tc>
        <w:tc>
          <w:tcPr>
            <w:tcW w:w="7161" w:type="dxa"/>
            <w:tcBorders>
              <w:right w:val="single" w:color="auto" w:sz="4" w:space="0"/>
            </w:tcBorders>
            <w:vAlign w:val="center"/>
          </w:tcPr>
          <w:p w14:paraId="51774A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无味</w:t>
            </w:r>
          </w:p>
        </w:tc>
      </w:tr>
      <w:tr w14:paraId="3162E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tcBorders>
            <w:vAlign w:val="center"/>
          </w:tcPr>
          <w:p w14:paraId="5D48146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c>
          <w:tcPr>
            <w:tcW w:w="7161" w:type="dxa"/>
            <w:tcBorders>
              <w:right w:val="single" w:color="auto" w:sz="4" w:space="0"/>
            </w:tcBorders>
            <w:vAlign w:val="center"/>
          </w:tcPr>
          <w:p w14:paraId="483ABD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勉强能感觉到气味</w:t>
            </w:r>
          </w:p>
        </w:tc>
      </w:tr>
      <w:tr w14:paraId="0D8A5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tcBorders>
            <w:vAlign w:val="center"/>
          </w:tcPr>
          <w:p w14:paraId="02FC55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w:t>
            </w:r>
          </w:p>
        </w:tc>
        <w:tc>
          <w:tcPr>
            <w:tcW w:w="7161" w:type="dxa"/>
            <w:tcBorders>
              <w:right w:val="single" w:color="auto" w:sz="4" w:space="0"/>
            </w:tcBorders>
            <w:vAlign w:val="center"/>
          </w:tcPr>
          <w:p w14:paraId="0F365B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气味很弱但能分辨其性质</w:t>
            </w:r>
          </w:p>
        </w:tc>
      </w:tr>
      <w:tr w14:paraId="18DA7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tcBorders>
            <w:vAlign w:val="center"/>
          </w:tcPr>
          <w:p w14:paraId="7A5ACC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w:t>
            </w:r>
          </w:p>
        </w:tc>
        <w:tc>
          <w:tcPr>
            <w:tcW w:w="7161" w:type="dxa"/>
            <w:tcBorders>
              <w:right w:val="single" w:color="auto" w:sz="4" w:space="0"/>
            </w:tcBorders>
            <w:vAlign w:val="center"/>
          </w:tcPr>
          <w:p w14:paraId="6DC25B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很容易感觉到气味</w:t>
            </w:r>
          </w:p>
        </w:tc>
      </w:tr>
      <w:tr w14:paraId="5EB7F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tcBorders>
            <w:vAlign w:val="center"/>
          </w:tcPr>
          <w:p w14:paraId="3EA977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w:t>
            </w:r>
          </w:p>
        </w:tc>
        <w:tc>
          <w:tcPr>
            <w:tcW w:w="7161" w:type="dxa"/>
            <w:tcBorders>
              <w:right w:val="single" w:color="auto" w:sz="4" w:space="0"/>
            </w:tcBorders>
            <w:vAlign w:val="center"/>
          </w:tcPr>
          <w:p w14:paraId="171AB5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强烈的气味</w:t>
            </w:r>
          </w:p>
        </w:tc>
      </w:tr>
      <w:tr w14:paraId="5EBCE9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tcBorders>
              <w:left w:val="single" w:color="auto" w:sz="4" w:space="0"/>
              <w:bottom w:val="single" w:color="auto" w:sz="4" w:space="0"/>
            </w:tcBorders>
            <w:vAlign w:val="center"/>
          </w:tcPr>
          <w:p w14:paraId="18E3F0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w:t>
            </w:r>
          </w:p>
        </w:tc>
        <w:tc>
          <w:tcPr>
            <w:tcW w:w="7161" w:type="dxa"/>
            <w:tcBorders>
              <w:bottom w:val="single" w:color="auto" w:sz="4" w:space="0"/>
              <w:right w:val="single" w:color="auto" w:sz="4" w:space="0"/>
            </w:tcBorders>
            <w:vAlign w:val="center"/>
          </w:tcPr>
          <w:p w14:paraId="3E6D2D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无法忍受的极强气味</w:t>
            </w:r>
          </w:p>
        </w:tc>
      </w:tr>
    </w:tbl>
    <w:p w14:paraId="43D93B8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据初步统计，与养殖场有关的恶臭物质多达23种，大多为氨、硫化氢、硫醇类、酮类、胺类、吲哚类和醛类，国外研究出七种主要与养殖场有关的恶臭物质的浓度与臭气强度之间的关系，见下表。</w:t>
      </w:r>
    </w:p>
    <w:p w14:paraId="21568B3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表7.2-2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恶臭物质浓度与臭气强度的关系mg/m</w:t>
      </w:r>
      <w:r>
        <w:rPr>
          <w:rFonts w:hint="default" w:ascii="Times New Roman" w:hAnsi="Times New Roman" w:eastAsia="宋体" w:cs="Times New Roman"/>
          <w:color w:val="auto"/>
          <w:sz w:val="24"/>
          <w:szCs w:val="24"/>
          <w:highlight w:val="none"/>
          <w:vertAlign w:val="superscript"/>
        </w:rPr>
        <w:t>3</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962"/>
        <w:gridCol w:w="1035"/>
        <w:gridCol w:w="1036"/>
        <w:gridCol w:w="1037"/>
        <w:gridCol w:w="1036"/>
        <w:gridCol w:w="1037"/>
        <w:gridCol w:w="1035"/>
      </w:tblGrid>
      <w:tr w14:paraId="66741B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5AE553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臭气强度</w:t>
            </w:r>
          </w:p>
        </w:tc>
        <w:tc>
          <w:tcPr>
            <w:tcW w:w="1045" w:type="dxa"/>
            <w:tcBorders>
              <w:top w:val="single" w:color="auto" w:sz="4" w:space="0"/>
              <w:left w:val="single" w:color="auto" w:sz="4" w:space="0"/>
              <w:bottom w:val="single" w:color="auto" w:sz="4" w:space="0"/>
              <w:right w:val="single" w:color="auto" w:sz="4" w:space="0"/>
            </w:tcBorders>
            <w:vAlign w:val="center"/>
          </w:tcPr>
          <w:p w14:paraId="4E6988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w:t>
            </w:r>
          </w:p>
        </w:tc>
        <w:tc>
          <w:tcPr>
            <w:tcW w:w="1126" w:type="dxa"/>
            <w:tcBorders>
              <w:top w:val="single" w:color="auto" w:sz="4" w:space="0"/>
              <w:left w:val="single" w:color="auto" w:sz="4" w:space="0"/>
              <w:bottom w:val="single" w:color="auto" w:sz="4" w:space="0"/>
              <w:right w:val="single" w:color="auto" w:sz="4" w:space="0"/>
            </w:tcBorders>
            <w:vAlign w:val="center"/>
          </w:tcPr>
          <w:p w14:paraId="30EF46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硫醇</w:t>
            </w:r>
          </w:p>
        </w:tc>
        <w:tc>
          <w:tcPr>
            <w:tcW w:w="1127" w:type="dxa"/>
            <w:tcBorders>
              <w:top w:val="single" w:color="auto" w:sz="4" w:space="0"/>
              <w:left w:val="single" w:color="auto" w:sz="4" w:space="0"/>
              <w:bottom w:val="single" w:color="auto" w:sz="4" w:space="0"/>
              <w:right w:val="single" w:color="auto" w:sz="4" w:space="0"/>
            </w:tcBorders>
            <w:vAlign w:val="center"/>
          </w:tcPr>
          <w:p w14:paraId="63ECFB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硫化氢</w:t>
            </w:r>
          </w:p>
        </w:tc>
        <w:tc>
          <w:tcPr>
            <w:tcW w:w="1128" w:type="dxa"/>
            <w:tcBorders>
              <w:top w:val="single" w:color="auto" w:sz="4" w:space="0"/>
              <w:left w:val="single" w:color="auto" w:sz="4" w:space="0"/>
              <w:bottom w:val="single" w:color="auto" w:sz="4" w:space="0"/>
              <w:right w:val="single" w:color="auto" w:sz="4" w:space="0"/>
            </w:tcBorders>
            <w:vAlign w:val="center"/>
          </w:tcPr>
          <w:p w14:paraId="74F1AD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甲基硫</w:t>
            </w:r>
          </w:p>
        </w:tc>
        <w:tc>
          <w:tcPr>
            <w:tcW w:w="1127" w:type="dxa"/>
            <w:tcBorders>
              <w:top w:val="single" w:color="auto" w:sz="4" w:space="0"/>
              <w:left w:val="single" w:color="auto" w:sz="4" w:space="0"/>
              <w:bottom w:val="single" w:color="auto" w:sz="4" w:space="0"/>
              <w:right w:val="single" w:color="auto" w:sz="4" w:space="0"/>
            </w:tcBorders>
            <w:vAlign w:val="center"/>
          </w:tcPr>
          <w:p w14:paraId="3E3CEA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二甲硫</w:t>
            </w:r>
          </w:p>
        </w:tc>
        <w:tc>
          <w:tcPr>
            <w:tcW w:w="1128" w:type="dxa"/>
            <w:tcBorders>
              <w:top w:val="single" w:color="auto" w:sz="4" w:space="0"/>
              <w:left w:val="single" w:color="auto" w:sz="4" w:space="0"/>
              <w:bottom w:val="single" w:color="auto" w:sz="4" w:space="0"/>
              <w:right w:val="single" w:color="auto" w:sz="4" w:space="0"/>
            </w:tcBorders>
            <w:vAlign w:val="center"/>
          </w:tcPr>
          <w:p w14:paraId="22C1BA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三甲胺</w:t>
            </w:r>
          </w:p>
        </w:tc>
        <w:tc>
          <w:tcPr>
            <w:tcW w:w="1125" w:type="dxa"/>
            <w:tcBorders>
              <w:top w:val="single" w:color="auto" w:sz="4" w:space="0"/>
              <w:left w:val="single" w:color="auto" w:sz="4" w:space="0"/>
              <w:bottom w:val="single" w:color="auto" w:sz="4" w:space="0"/>
              <w:right w:val="single" w:color="auto" w:sz="4" w:space="0"/>
            </w:tcBorders>
            <w:vAlign w:val="center"/>
          </w:tcPr>
          <w:p w14:paraId="13AD41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乙醛</w:t>
            </w:r>
          </w:p>
        </w:tc>
      </w:tr>
      <w:tr w14:paraId="3D6976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4B1308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045" w:type="dxa"/>
            <w:tcBorders>
              <w:top w:val="single" w:color="auto" w:sz="4" w:space="0"/>
              <w:left w:val="single" w:color="auto" w:sz="4" w:space="0"/>
              <w:bottom w:val="single" w:color="auto" w:sz="4" w:space="0"/>
              <w:right w:val="single" w:color="auto" w:sz="4" w:space="0"/>
            </w:tcBorders>
            <w:vAlign w:val="center"/>
          </w:tcPr>
          <w:p w14:paraId="3B978B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p>
        </w:tc>
        <w:tc>
          <w:tcPr>
            <w:tcW w:w="1126" w:type="dxa"/>
            <w:tcBorders>
              <w:top w:val="single" w:color="auto" w:sz="4" w:space="0"/>
              <w:left w:val="single" w:color="auto" w:sz="4" w:space="0"/>
              <w:bottom w:val="single" w:color="auto" w:sz="4" w:space="0"/>
              <w:right w:val="single" w:color="auto" w:sz="4" w:space="0"/>
            </w:tcBorders>
            <w:vAlign w:val="center"/>
          </w:tcPr>
          <w:p w14:paraId="10A7DA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0.0001</w:t>
            </w:r>
          </w:p>
        </w:tc>
        <w:tc>
          <w:tcPr>
            <w:tcW w:w="1127" w:type="dxa"/>
            <w:tcBorders>
              <w:top w:val="single" w:color="auto" w:sz="4" w:space="0"/>
              <w:left w:val="single" w:color="auto" w:sz="4" w:space="0"/>
              <w:bottom w:val="single" w:color="auto" w:sz="4" w:space="0"/>
              <w:right w:val="single" w:color="auto" w:sz="4" w:space="0"/>
            </w:tcBorders>
            <w:vAlign w:val="center"/>
          </w:tcPr>
          <w:p w14:paraId="01406D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0.0005</w:t>
            </w:r>
          </w:p>
        </w:tc>
        <w:tc>
          <w:tcPr>
            <w:tcW w:w="1128" w:type="dxa"/>
            <w:tcBorders>
              <w:top w:val="single" w:color="auto" w:sz="4" w:space="0"/>
              <w:left w:val="single" w:color="auto" w:sz="4" w:space="0"/>
              <w:bottom w:val="single" w:color="auto" w:sz="4" w:space="0"/>
              <w:right w:val="single" w:color="auto" w:sz="4" w:space="0"/>
            </w:tcBorders>
            <w:vAlign w:val="center"/>
          </w:tcPr>
          <w:p w14:paraId="197E92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0.0001</w:t>
            </w:r>
          </w:p>
        </w:tc>
        <w:tc>
          <w:tcPr>
            <w:tcW w:w="1127" w:type="dxa"/>
            <w:tcBorders>
              <w:top w:val="single" w:color="auto" w:sz="4" w:space="0"/>
              <w:left w:val="single" w:color="auto" w:sz="4" w:space="0"/>
              <w:bottom w:val="single" w:color="auto" w:sz="4" w:space="0"/>
              <w:right w:val="single" w:color="auto" w:sz="4" w:space="0"/>
            </w:tcBorders>
            <w:vAlign w:val="center"/>
          </w:tcPr>
          <w:p w14:paraId="137EE8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0.0003</w:t>
            </w:r>
          </w:p>
        </w:tc>
        <w:tc>
          <w:tcPr>
            <w:tcW w:w="1128" w:type="dxa"/>
            <w:tcBorders>
              <w:top w:val="single" w:color="auto" w:sz="4" w:space="0"/>
              <w:left w:val="single" w:color="auto" w:sz="4" w:space="0"/>
              <w:bottom w:val="single" w:color="auto" w:sz="4" w:space="0"/>
              <w:right w:val="single" w:color="auto" w:sz="4" w:space="0"/>
            </w:tcBorders>
            <w:vAlign w:val="center"/>
          </w:tcPr>
          <w:p w14:paraId="698DD0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0.0001</w:t>
            </w:r>
          </w:p>
        </w:tc>
        <w:tc>
          <w:tcPr>
            <w:tcW w:w="1125" w:type="dxa"/>
            <w:tcBorders>
              <w:top w:val="single" w:color="auto" w:sz="4" w:space="0"/>
              <w:left w:val="single" w:color="auto" w:sz="4" w:space="0"/>
              <w:bottom w:val="single" w:color="auto" w:sz="4" w:space="0"/>
              <w:right w:val="single" w:color="auto" w:sz="4" w:space="0"/>
            </w:tcBorders>
            <w:vAlign w:val="center"/>
          </w:tcPr>
          <w:p w14:paraId="4EC7A3E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0.002</w:t>
            </w:r>
          </w:p>
        </w:tc>
      </w:tr>
      <w:tr w14:paraId="3B8DF2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2203AE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045" w:type="dxa"/>
            <w:tcBorders>
              <w:top w:val="single" w:color="auto" w:sz="4" w:space="0"/>
              <w:left w:val="single" w:color="auto" w:sz="4" w:space="0"/>
              <w:bottom w:val="single" w:color="auto" w:sz="4" w:space="0"/>
              <w:right w:val="single" w:color="auto" w:sz="4" w:space="0"/>
            </w:tcBorders>
            <w:vAlign w:val="center"/>
          </w:tcPr>
          <w:p w14:paraId="0733B5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p>
        </w:tc>
        <w:tc>
          <w:tcPr>
            <w:tcW w:w="1126" w:type="dxa"/>
            <w:tcBorders>
              <w:top w:val="single" w:color="auto" w:sz="4" w:space="0"/>
              <w:left w:val="single" w:color="auto" w:sz="4" w:space="0"/>
              <w:bottom w:val="single" w:color="auto" w:sz="4" w:space="0"/>
              <w:right w:val="single" w:color="auto" w:sz="4" w:space="0"/>
            </w:tcBorders>
            <w:vAlign w:val="center"/>
          </w:tcPr>
          <w:p w14:paraId="0387FB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0.0007</w:t>
            </w:r>
          </w:p>
        </w:tc>
        <w:tc>
          <w:tcPr>
            <w:tcW w:w="1127" w:type="dxa"/>
            <w:tcBorders>
              <w:top w:val="single" w:color="auto" w:sz="4" w:space="0"/>
              <w:left w:val="single" w:color="auto" w:sz="4" w:space="0"/>
              <w:bottom w:val="single" w:color="auto" w:sz="4" w:space="0"/>
              <w:right w:val="single" w:color="auto" w:sz="4" w:space="0"/>
            </w:tcBorders>
            <w:vAlign w:val="center"/>
          </w:tcPr>
          <w:p w14:paraId="026E3C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0.006</w:t>
            </w:r>
          </w:p>
        </w:tc>
        <w:tc>
          <w:tcPr>
            <w:tcW w:w="1128" w:type="dxa"/>
            <w:tcBorders>
              <w:top w:val="single" w:color="auto" w:sz="4" w:space="0"/>
              <w:left w:val="single" w:color="auto" w:sz="4" w:space="0"/>
              <w:bottom w:val="single" w:color="auto" w:sz="4" w:space="0"/>
              <w:right w:val="single" w:color="auto" w:sz="4" w:space="0"/>
            </w:tcBorders>
            <w:vAlign w:val="center"/>
          </w:tcPr>
          <w:p w14:paraId="374178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0.002</w:t>
            </w:r>
          </w:p>
        </w:tc>
        <w:tc>
          <w:tcPr>
            <w:tcW w:w="1127" w:type="dxa"/>
            <w:tcBorders>
              <w:top w:val="single" w:color="auto" w:sz="4" w:space="0"/>
              <w:left w:val="single" w:color="auto" w:sz="4" w:space="0"/>
              <w:bottom w:val="single" w:color="auto" w:sz="4" w:space="0"/>
              <w:right w:val="single" w:color="auto" w:sz="4" w:space="0"/>
            </w:tcBorders>
            <w:vAlign w:val="center"/>
          </w:tcPr>
          <w:p w14:paraId="4FD338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0.003</w:t>
            </w:r>
          </w:p>
        </w:tc>
        <w:tc>
          <w:tcPr>
            <w:tcW w:w="1128" w:type="dxa"/>
            <w:tcBorders>
              <w:top w:val="single" w:color="auto" w:sz="4" w:space="0"/>
              <w:left w:val="single" w:color="auto" w:sz="4" w:space="0"/>
              <w:bottom w:val="single" w:color="auto" w:sz="4" w:space="0"/>
              <w:right w:val="single" w:color="auto" w:sz="4" w:space="0"/>
            </w:tcBorders>
            <w:vAlign w:val="center"/>
          </w:tcPr>
          <w:p w14:paraId="723A02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0.001</w:t>
            </w:r>
          </w:p>
        </w:tc>
        <w:tc>
          <w:tcPr>
            <w:tcW w:w="1125" w:type="dxa"/>
            <w:tcBorders>
              <w:top w:val="single" w:color="auto" w:sz="4" w:space="0"/>
              <w:left w:val="single" w:color="auto" w:sz="4" w:space="0"/>
              <w:bottom w:val="single" w:color="auto" w:sz="4" w:space="0"/>
              <w:right w:val="single" w:color="auto" w:sz="4" w:space="0"/>
            </w:tcBorders>
            <w:vAlign w:val="center"/>
          </w:tcPr>
          <w:p w14:paraId="4AA7FA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w:t>
            </w:r>
          </w:p>
        </w:tc>
      </w:tr>
      <w:tr w14:paraId="15D838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156010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w:t>
            </w:r>
          </w:p>
        </w:tc>
        <w:tc>
          <w:tcPr>
            <w:tcW w:w="1045" w:type="dxa"/>
            <w:tcBorders>
              <w:top w:val="single" w:color="auto" w:sz="4" w:space="0"/>
              <w:left w:val="single" w:color="auto" w:sz="4" w:space="0"/>
              <w:bottom w:val="single" w:color="auto" w:sz="4" w:space="0"/>
              <w:right w:val="single" w:color="auto" w:sz="4" w:space="0"/>
            </w:tcBorders>
            <w:vAlign w:val="center"/>
          </w:tcPr>
          <w:p w14:paraId="24A1D1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126" w:type="dxa"/>
            <w:tcBorders>
              <w:top w:val="single" w:color="auto" w:sz="4" w:space="0"/>
              <w:left w:val="single" w:color="auto" w:sz="4" w:space="0"/>
              <w:bottom w:val="single" w:color="auto" w:sz="4" w:space="0"/>
              <w:right w:val="single" w:color="auto" w:sz="4" w:space="0"/>
            </w:tcBorders>
            <w:vAlign w:val="center"/>
          </w:tcPr>
          <w:p w14:paraId="245F6A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0.002</w:t>
            </w:r>
          </w:p>
        </w:tc>
        <w:tc>
          <w:tcPr>
            <w:tcW w:w="1127" w:type="dxa"/>
            <w:tcBorders>
              <w:top w:val="single" w:color="auto" w:sz="4" w:space="0"/>
              <w:left w:val="single" w:color="auto" w:sz="4" w:space="0"/>
              <w:bottom w:val="single" w:color="auto" w:sz="4" w:space="0"/>
              <w:right w:val="single" w:color="auto" w:sz="4" w:space="0"/>
            </w:tcBorders>
            <w:vAlign w:val="center"/>
          </w:tcPr>
          <w:p w14:paraId="78E919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w:t>
            </w:r>
          </w:p>
        </w:tc>
        <w:tc>
          <w:tcPr>
            <w:tcW w:w="1128" w:type="dxa"/>
            <w:tcBorders>
              <w:top w:val="single" w:color="auto" w:sz="4" w:space="0"/>
              <w:left w:val="single" w:color="auto" w:sz="4" w:space="0"/>
              <w:bottom w:val="single" w:color="auto" w:sz="4" w:space="0"/>
              <w:right w:val="single" w:color="auto" w:sz="4" w:space="0"/>
            </w:tcBorders>
            <w:vAlign w:val="center"/>
          </w:tcPr>
          <w:p w14:paraId="5A1BD3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w:t>
            </w:r>
          </w:p>
        </w:tc>
        <w:tc>
          <w:tcPr>
            <w:tcW w:w="1127" w:type="dxa"/>
            <w:tcBorders>
              <w:top w:val="single" w:color="auto" w:sz="4" w:space="0"/>
              <w:left w:val="single" w:color="auto" w:sz="4" w:space="0"/>
              <w:bottom w:val="single" w:color="auto" w:sz="4" w:space="0"/>
              <w:right w:val="single" w:color="auto" w:sz="4" w:space="0"/>
            </w:tcBorders>
            <w:vAlign w:val="center"/>
          </w:tcPr>
          <w:p w14:paraId="212BC1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0.009</w:t>
            </w:r>
          </w:p>
        </w:tc>
        <w:tc>
          <w:tcPr>
            <w:tcW w:w="1128" w:type="dxa"/>
            <w:tcBorders>
              <w:top w:val="single" w:color="auto" w:sz="4" w:space="0"/>
              <w:left w:val="single" w:color="auto" w:sz="4" w:space="0"/>
              <w:bottom w:val="single" w:color="auto" w:sz="4" w:space="0"/>
              <w:right w:val="single" w:color="auto" w:sz="4" w:space="0"/>
            </w:tcBorders>
            <w:vAlign w:val="center"/>
          </w:tcPr>
          <w:p w14:paraId="2448E31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0.005</w:t>
            </w:r>
          </w:p>
        </w:tc>
        <w:tc>
          <w:tcPr>
            <w:tcW w:w="1125" w:type="dxa"/>
            <w:tcBorders>
              <w:top w:val="single" w:color="auto" w:sz="4" w:space="0"/>
              <w:left w:val="single" w:color="auto" w:sz="4" w:space="0"/>
              <w:bottom w:val="single" w:color="auto" w:sz="4" w:space="0"/>
              <w:right w:val="single" w:color="auto" w:sz="4" w:space="0"/>
            </w:tcBorders>
            <w:vAlign w:val="center"/>
          </w:tcPr>
          <w:p w14:paraId="7181AB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r>
      <w:tr w14:paraId="023314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1A11FC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045" w:type="dxa"/>
            <w:tcBorders>
              <w:top w:val="single" w:color="auto" w:sz="4" w:space="0"/>
              <w:left w:val="single" w:color="auto" w:sz="4" w:space="0"/>
              <w:bottom w:val="single" w:color="auto" w:sz="4" w:space="0"/>
              <w:right w:val="single" w:color="auto" w:sz="4" w:space="0"/>
            </w:tcBorders>
            <w:vAlign w:val="center"/>
          </w:tcPr>
          <w:p w14:paraId="43B799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26" w:type="dxa"/>
            <w:tcBorders>
              <w:top w:val="single" w:color="auto" w:sz="4" w:space="0"/>
              <w:left w:val="single" w:color="auto" w:sz="4" w:space="0"/>
              <w:bottom w:val="single" w:color="auto" w:sz="4" w:space="0"/>
              <w:right w:val="single" w:color="auto" w:sz="4" w:space="0"/>
            </w:tcBorders>
            <w:vAlign w:val="center"/>
          </w:tcPr>
          <w:p w14:paraId="2189A6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0.004</w:t>
            </w:r>
          </w:p>
        </w:tc>
        <w:tc>
          <w:tcPr>
            <w:tcW w:w="1127" w:type="dxa"/>
            <w:tcBorders>
              <w:top w:val="single" w:color="auto" w:sz="4" w:space="0"/>
              <w:left w:val="single" w:color="auto" w:sz="4" w:space="0"/>
              <w:bottom w:val="single" w:color="auto" w:sz="4" w:space="0"/>
              <w:right w:val="single" w:color="auto" w:sz="4" w:space="0"/>
            </w:tcBorders>
            <w:vAlign w:val="center"/>
          </w:tcPr>
          <w:p w14:paraId="356D53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0.06</w:t>
            </w:r>
          </w:p>
        </w:tc>
        <w:tc>
          <w:tcPr>
            <w:tcW w:w="1128" w:type="dxa"/>
            <w:tcBorders>
              <w:top w:val="single" w:color="auto" w:sz="4" w:space="0"/>
              <w:left w:val="single" w:color="auto" w:sz="4" w:space="0"/>
              <w:bottom w:val="single" w:color="auto" w:sz="4" w:space="0"/>
              <w:right w:val="single" w:color="auto" w:sz="4" w:space="0"/>
            </w:tcBorders>
            <w:vAlign w:val="center"/>
          </w:tcPr>
          <w:p w14:paraId="1202932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c>
          <w:tcPr>
            <w:tcW w:w="1127" w:type="dxa"/>
            <w:tcBorders>
              <w:top w:val="single" w:color="auto" w:sz="4" w:space="0"/>
              <w:left w:val="single" w:color="auto" w:sz="4" w:space="0"/>
              <w:bottom w:val="single" w:color="auto" w:sz="4" w:space="0"/>
              <w:right w:val="single" w:color="auto" w:sz="4" w:space="0"/>
            </w:tcBorders>
            <w:vAlign w:val="center"/>
          </w:tcPr>
          <w:p w14:paraId="03F986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0.03</w:t>
            </w:r>
          </w:p>
        </w:tc>
        <w:tc>
          <w:tcPr>
            <w:tcW w:w="1128" w:type="dxa"/>
            <w:tcBorders>
              <w:top w:val="single" w:color="auto" w:sz="4" w:space="0"/>
              <w:left w:val="single" w:color="auto" w:sz="4" w:space="0"/>
              <w:bottom w:val="single" w:color="auto" w:sz="4" w:space="0"/>
              <w:right w:val="single" w:color="auto" w:sz="4" w:space="0"/>
            </w:tcBorders>
            <w:vAlign w:val="center"/>
          </w:tcPr>
          <w:p w14:paraId="5AAA75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w:t>
            </w:r>
          </w:p>
        </w:tc>
        <w:tc>
          <w:tcPr>
            <w:tcW w:w="1125" w:type="dxa"/>
            <w:tcBorders>
              <w:top w:val="single" w:color="auto" w:sz="4" w:space="0"/>
              <w:left w:val="single" w:color="auto" w:sz="4" w:space="0"/>
              <w:bottom w:val="single" w:color="auto" w:sz="4" w:space="0"/>
              <w:right w:val="single" w:color="auto" w:sz="4" w:space="0"/>
            </w:tcBorders>
            <w:vAlign w:val="center"/>
          </w:tcPr>
          <w:p w14:paraId="00B259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p>
        </w:tc>
      </w:tr>
      <w:tr w14:paraId="2F9AEB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549BC4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w:t>
            </w:r>
          </w:p>
        </w:tc>
        <w:tc>
          <w:tcPr>
            <w:tcW w:w="1045" w:type="dxa"/>
            <w:tcBorders>
              <w:top w:val="single" w:color="auto" w:sz="4" w:space="0"/>
              <w:left w:val="single" w:color="auto" w:sz="4" w:space="0"/>
              <w:bottom w:val="single" w:color="auto" w:sz="4" w:space="0"/>
              <w:right w:val="single" w:color="auto" w:sz="4" w:space="0"/>
            </w:tcBorders>
            <w:vAlign w:val="center"/>
          </w:tcPr>
          <w:p w14:paraId="44950F8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126" w:type="dxa"/>
            <w:tcBorders>
              <w:top w:val="single" w:color="auto" w:sz="4" w:space="0"/>
              <w:left w:val="single" w:color="auto" w:sz="4" w:space="0"/>
              <w:bottom w:val="single" w:color="auto" w:sz="4" w:space="0"/>
              <w:right w:val="single" w:color="auto" w:sz="4" w:space="0"/>
            </w:tcBorders>
            <w:vAlign w:val="center"/>
          </w:tcPr>
          <w:p w14:paraId="13F736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w:t>
            </w:r>
          </w:p>
        </w:tc>
        <w:tc>
          <w:tcPr>
            <w:tcW w:w="1127" w:type="dxa"/>
            <w:tcBorders>
              <w:top w:val="single" w:color="auto" w:sz="4" w:space="0"/>
              <w:left w:val="single" w:color="auto" w:sz="4" w:space="0"/>
              <w:bottom w:val="single" w:color="auto" w:sz="4" w:space="0"/>
              <w:right w:val="single" w:color="auto" w:sz="4" w:space="0"/>
            </w:tcBorders>
            <w:vAlign w:val="center"/>
          </w:tcPr>
          <w:p w14:paraId="28298E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p>
        </w:tc>
        <w:tc>
          <w:tcPr>
            <w:tcW w:w="1128" w:type="dxa"/>
            <w:tcBorders>
              <w:top w:val="single" w:color="auto" w:sz="4" w:space="0"/>
              <w:left w:val="single" w:color="auto" w:sz="4" w:space="0"/>
              <w:bottom w:val="single" w:color="auto" w:sz="4" w:space="0"/>
              <w:right w:val="single" w:color="auto" w:sz="4" w:space="0"/>
            </w:tcBorders>
            <w:vAlign w:val="center"/>
          </w:tcPr>
          <w:p w14:paraId="121BAEC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p>
        </w:tc>
        <w:tc>
          <w:tcPr>
            <w:tcW w:w="1127" w:type="dxa"/>
            <w:tcBorders>
              <w:top w:val="single" w:color="auto" w:sz="4" w:space="0"/>
              <w:left w:val="single" w:color="auto" w:sz="4" w:space="0"/>
              <w:bottom w:val="single" w:color="auto" w:sz="4" w:space="0"/>
              <w:right w:val="single" w:color="auto" w:sz="4" w:space="0"/>
            </w:tcBorders>
            <w:vAlign w:val="center"/>
          </w:tcPr>
          <w:p w14:paraId="585DC4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p>
        </w:tc>
        <w:tc>
          <w:tcPr>
            <w:tcW w:w="1128" w:type="dxa"/>
            <w:tcBorders>
              <w:top w:val="single" w:color="auto" w:sz="4" w:space="0"/>
              <w:left w:val="single" w:color="auto" w:sz="4" w:space="0"/>
              <w:bottom w:val="single" w:color="auto" w:sz="4" w:space="0"/>
              <w:right w:val="single" w:color="auto" w:sz="4" w:space="0"/>
            </w:tcBorders>
            <w:vAlign w:val="center"/>
          </w:tcPr>
          <w:p w14:paraId="067315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0.07</w:t>
            </w:r>
          </w:p>
        </w:tc>
        <w:tc>
          <w:tcPr>
            <w:tcW w:w="1125" w:type="dxa"/>
            <w:tcBorders>
              <w:top w:val="single" w:color="auto" w:sz="4" w:space="0"/>
              <w:left w:val="single" w:color="auto" w:sz="4" w:space="0"/>
              <w:bottom w:val="single" w:color="auto" w:sz="4" w:space="0"/>
              <w:right w:val="single" w:color="auto" w:sz="4" w:space="0"/>
            </w:tcBorders>
            <w:vAlign w:val="center"/>
          </w:tcPr>
          <w:p w14:paraId="49A05B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p>
        </w:tc>
      </w:tr>
      <w:tr w14:paraId="73410D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5713E8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045" w:type="dxa"/>
            <w:tcBorders>
              <w:top w:val="single" w:color="auto" w:sz="4" w:space="0"/>
              <w:left w:val="single" w:color="auto" w:sz="4" w:space="0"/>
              <w:bottom w:val="single" w:color="auto" w:sz="4" w:space="0"/>
              <w:right w:val="single" w:color="auto" w:sz="4" w:space="0"/>
            </w:tcBorders>
            <w:vAlign w:val="center"/>
          </w:tcPr>
          <w:p w14:paraId="5CC822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126" w:type="dxa"/>
            <w:tcBorders>
              <w:top w:val="single" w:color="auto" w:sz="4" w:space="0"/>
              <w:left w:val="single" w:color="auto" w:sz="4" w:space="0"/>
              <w:bottom w:val="single" w:color="auto" w:sz="4" w:space="0"/>
              <w:right w:val="single" w:color="auto" w:sz="4" w:space="0"/>
            </w:tcBorders>
            <w:vAlign w:val="center"/>
          </w:tcPr>
          <w:p w14:paraId="727914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0.03</w:t>
            </w:r>
          </w:p>
        </w:tc>
        <w:tc>
          <w:tcPr>
            <w:tcW w:w="1127" w:type="dxa"/>
            <w:tcBorders>
              <w:top w:val="single" w:color="auto" w:sz="4" w:space="0"/>
              <w:left w:val="single" w:color="auto" w:sz="4" w:space="0"/>
              <w:bottom w:val="single" w:color="auto" w:sz="4" w:space="0"/>
              <w:right w:val="single" w:color="auto" w:sz="4" w:space="0"/>
            </w:tcBorders>
            <w:vAlign w:val="center"/>
          </w:tcPr>
          <w:p w14:paraId="44559C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w:t>
            </w:r>
          </w:p>
        </w:tc>
        <w:tc>
          <w:tcPr>
            <w:tcW w:w="1128" w:type="dxa"/>
            <w:tcBorders>
              <w:top w:val="single" w:color="auto" w:sz="4" w:space="0"/>
              <w:left w:val="single" w:color="auto" w:sz="4" w:space="0"/>
              <w:bottom w:val="single" w:color="auto" w:sz="4" w:space="0"/>
              <w:right w:val="single" w:color="auto" w:sz="4" w:space="0"/>
            </w:tcBorders>
            <w:vAlign w:val="center"/>
          </w:tcPr>
          <w:p w14:paraId="04A939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w:t>
            </w:r>
          </w:p>
        </w:tc>
        <w:tc>
          <w:tcPr>
            <w:tcW w:w="1127" w:type="dxa"/>
            <w:tcBorders>
              <w:top w:val="single" w:color="auto" w:sz="4" w:space="0"/>
              <w:left w:val="single" w:color="auto" w:sz="4" w:space="0"/>
              <w:bottom w:val="single" w:color="auto" w:sz="4" w:space="0"/>
              <w:right w:val="single" w:color="auto" w:sz="4" w:space="0"/>
            </w:tcBorders>
            <w:vAlign w:val="center"/>
          </w:tcPr>
          <w:p w14:paraId="3C9087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c>
          <w:tcPr>
            <w:tcW w:w="1128" w:type="dxa"/>
            <w:tcBorders>
              <w:top w:val="single" w:color="auto" w:sz="4" w:space="0"/>
              <w:left w:val="single" w:color="auto" w:sz="4" w:space="0"/>
              <w:bottom w:val="single" w:color="auto" w:sz="4" w:space="0"/>
              <w:right w:val="single" w:color="auto" w:sz="4" w:space="0"/>
            </w:tcBorders>
            <w:vAlign w:val="center"/>
          </w:tcPr>
          <w:p w14:paraId="1F7888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p>
        </w:tc>
        <w:tc>
          <w:tcPr>
            <w:tcW w:w="1125" w:type="dxa"/>
            <w:tcBorders>
              <w:top w:val="single" w:color="auto" w:sz="4" w:space="0"/>
              <w:left w:val="single" w:color="auto" w:sz="4" w:space="0"/>
              <w:bottom w:val="single" w:color="auto" w:sz="4" w:space="0"/>
              <w:right w:val="single" w:color="auto" w:sz="4" w:space="0"/>
            </w:tcBorders>
            <w:vAlign w:val="center"/>
          </w:tcPr>
          <w:p w14:paraId="75B296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48D3FB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5617C8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045" w:type="dxa"/>
            <w:tcBorders>
              <w:top w:val="single" w:color="auto" w:sz="4" w:space="0"/>
              <w:left w:val="single" w:color="auto" w:sz="4" w:space="0"/>
              <w:bottom w:val="single" w:color="auto" w:sz="4" w:space="0"/>
              <w:right w:val="single" w:color="auto" w:sz="4" w:space="0"/>
            </w:tcBorders>
            <w:vAlign w:val="center"/>
          </w:tcPr>
          <w:p w14:paraId="55561C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1126" w:type="dxa"/>
            <w:tcBorders>
              <w:top w:val="single" w:color="auto" w:sz="4" w:space="0"/>
              <w:left w:val="single" w:color="auto" w:sz="4" w:space="0"/>
              <w:bottom w:val="single" w:color="auto" w:sz="4" w:space="0"/>
              <w:right w:val="single" w:color="auto" w:sz="4" w:space="0"/>
            </w:tcBorders>
            <w:vAlign w:val="center"/>
          </w:tcPr>
          <w:p w14:paraId="7A770D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p>
        </w:tc>
        <w:tc>
          <w:tcPr>
            <w:tcW w:w="1127" w:type="dxa"/>
            <w:tcBorders>
              <w:top w:val="single" w:color="auto" w:sz="4" w:space="0"/>
              <w:left w:val="single" w:color="auto" w:sz="4" w:space="0"/>
              <w:bottom w:val="single" w:color="auto" w:sz="4" w:space="0"/>
              <w:right w:val="single" w:color="auto" w:sz="4" w:space="0"/>
            </w:tcBorders>
            <w:vAlign w:val="center"/>
          </w:tcPr>
          <w:p w14:paraId="4D45C1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1128" w:type="dxa"/>
            <w:tcBorders>
              <w:top w:val="single" w:color="auto" w:sz="4" w:space="0"/>
              <w:left w:val="single" w:color="auto" w:sz="4" w:space="0"/>
              <w:bottom w:val="single" w:color="auto" w:sz="4" w:space="0"/>
              <w:right w:val="single" w:color="auto" w:sz="4" w:space="0"/>
            </w:tcBorders>
            <w:vAlign w:val="center"/>
          </w:tcPr>
          <w:p w14:paraId="2A29F4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27" w:type="dxa"/>
            <w:tcBorders>
              <w:top w:val="single" w:color="auto" w:sz="4" w:space="0"/>
              <w:left w:val="single" w:color="auto" w:sz="4" w:space="0"/>
              <w:bottom w:val="single" w:color="auto" w:sz="4" w:space="0"/>
              <w:right w:val="single" w:color="auto" w:sz="4" w:space="0"/>
            </w:tcBorders>
            <w:vAlign w:val="center"/>
          </w:tcPr>
          <w:p w14:paraId="60501E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28" w:type="dxa"/>
            <w:tcBorders>
              <w:top w:val="single" w:color="auto" w:sz="4" w:space="0"/>
              <w:left w:val="single" w:color="auto" w:sz="4" w:space="0"/>
              <w:bottom w:val="single" w:color="auto" w:sz="4" w:space="0"/>
              <w:right w:val="single" w:color="auto" w:sz="4" w:space="0"/>
            </w:tcBorders>
            <w:vAlign w:val="center"/>
          </w:tcPr>
          <w:p w14:paraId="09D6A3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25" w:type="dxa"/>
            <w:tcBorders>
              <w:top w:val="single" w:color="auto" w:sz="4" w:space="0"/>
              <w:left w:val="single" w:color="auto" w:sz="4" w:space="0"/>
              <w:bottom w:val="single" w:color="auto" w:sz="4" w:space="0"/>
              <w:right w:val="single" w:color="auto" w:sz="4" w:space="0"/>
            </w:tcBorders>
            <w:vAlign w:val="center"/>
          </w:tcPr>
          <w:p w14:paraId="06AFEF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14:paraId="2B6FF1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tcBorders>
              <w:top w:val="single" w:color="auto" w:sz="4" w:space="0"/>
              <w:left w:val="single" w:color="auto" w:sz="4" w:space="0"/>
              <w:bottom w:val="single" w:color="auto" w:sz="4" w:space="0"/>
              <w:right w:val="single" w:color="auto" w:sz="4" w:space="0"/>
            </w:tcBorders>
            <w:vAlign w:val="center"/>
          </w:tcPr>
          <w:p w14:paraId="43EBF4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臭气特征</w:t>
            </w:r>
          </w:p>
        </w:tc>
        <w:tc>
          <w:tcPr>
            <w:tcW w:w="1045" w:type="dxa"/>
            <w:tcBorders>
              <w:top w:val="single" w:color="auto" w:sz="4" w:space="0"/>
              <w:left w:val="single" w:color="auto" w:sz="4" w:space="0"/>
              <w:bottom w:val="single" w:color="auto" w:sz="4" w:space="0"/>
              <w:right w:val="single" w:color="auto" w:sz="4" w:space="0"/>
            </w:tcBorders>
            <w:vAlign w:val="center"/>
          </w:tcPr>
          <w:p w14:paraId="061B79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刺激臭</w:t>
            </w:r>
          </w:p>
        </w:tc>
        <w:tc>
          <w:tcPr>
            <w:tcW w:w="1126" w:type="dxa"/>
            <w:tcBorders>
              <w:top w:val="single" w:color="auto" w:sz="4" w:space="0"/>
              <w:left w:val="single" w:color="auto" w:sz="4" w:space="0"/>
              <w:bottom w:val="single" w:color="auto" w:sz="4" w:space="0"/>
              <w:right w:val="single" w:color="auto" w:sz="4" w:space="0"/>
            </w:tcBorders>
            <w:vAlign w:val="center"/>
          </w:tcPr>
          <w:p w14:paraId="61499B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刺激臭</w:t>
            </w:r>
          </w:p>
        </w:tc>
        <w:tc>
          <w:tcPr>
            <w:tcW w:w="1127" w:type="dxa"/>
            <w:tcBorders>
              <w:top w:val="single" w:color="auto" w:sz="4" w:space="0"/>
              <w:left w:val="single" w:color="auto" w:sz="4" w:space="0"/>
              <w:bottom w:val="single" w:color="auto" w:sz="4" w:space="0"/>
              <w:right w:val="single" w:color="auto" w:sz="4" w:space="0"/>
            </w:tcBorders>
            <w:vAlign w:val="center"/>
          </w:tcPr>
          <w:p w14:paraId="1703BE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蛋味</w:t>
            </w:r>
          </w:p>
        </w:tc>
        <w:tc>
          <w:tcPr>
            <w:tcW w:w="1128" w:type="dxa"/>
            <w:tcBorders>
              <w:top w:val="single" w:color="auto" w:sz="4" w:space="0"/>
              <w:left w:val="single" w:color="auto" w:sz="4" w:space="0"/>
              <w:bottom w:val="single" w:color="auto" w:sz="4" w:space="0"/>
              <w:right w:val="single" w:color="auto" w:sz="4" w:space="0"/>
            </w:tcBorders>
            <w:vAlign w:val="center"/>
          </w:tcPr>
          <w:p w14:paraId="5E21481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刺激臭</w:t>
            </w:r>
          </w:p>
        </w:tc>
        <w:tc>
          <w:tcPr>
            <w:tcW w:w="1127" w:type="dxa"/>
            <w:tcBorders>
              <w:top w:val="single" w:color="auto" w:sz="4" w:space="0"/>
              <w:left w:val="single" w:color="auto" w:sz="4" w:space="0"/>
              <w:bottom w:val="single" w:color="auto" w:sz="4" w:space="0"/>
              <w:right w:val="single" w:color="auto" w:sz="4" w:space="0"/>
            </w:tcBorders>
            <w:vAlign w:val="center"/>
          </w:tcPr>
          <w:p w14:paraId="53F785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刺激臭</w:t>
            </w:r>
          </w:p>
        </w:tc>
        <w:tc>
          <w:tcPr>
            <w:tcW w:w="1128" w:type="dxa"/>
            <w:tcBorders>
              <w:top w:val="single" w:color="auto" w:sz="4" w:space="0"/>
              <w:left w:val="single" w:color="auto" w:sz="4" w:space="0"/>
              <w:bottom w:val="single" w:color="auto" w:sz="4" w:space="0"/>
              <w:right w:val="single" w:color="auto" w:sz="4" w:space="0"/>
            </w:tcBorders>
            <w:vAlign w:val="center"/>
          </w:tcPr>
          <w:p w14:paraId="6B677D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臭鱼味</w:t>
            </w:r>
          </w:p>
        </w:tc>
        <w:tc>
          <w:tcPr>
            <w:tcW w:w="1125" w:type="dxa"/>
            <w:tcBorders>
              <w:top w:val="single" w:color="auto" w:sz="4" w:space="0"/>
              <w:left w:val="single" w:color="auto" w:sz="4" w:space="0"/>
              <w:bottom w:val="single" w:color="auto" w:sz="4" w:space="0"/>
              <w:right w:val="single" w:color="auto" w:sz="4" w:space="0"/>
            </w:tcBorders>
            <w:vAlign w:val="center"/>
          </w:tcPr>
          <w:p w14:paraId="1708C6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刺激臭</w:t>
            </w:r>
          </w:p>
        </w:tc>
      </w:tr>
    </w:tbl>
    <w:p w14:paraId="419E5F9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在不采用任何措施的情况下，大型养殖场的恶臭气体氨的浓度一般在15</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之间，H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S的浓度在1.0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8.0mg/m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之间。由上表可知，其臭气强度为4~5级，属于无法忍受的强烈臭味。</w:t>
      </w:r>
    </w:p>
    <w:p w14:paraId="74BB886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养</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项目控制恶臭气体的主要措施是从饲料喂饲着手，合理调节饲料中的蛋白质含量，可以减少因蛋白质过剩而产生过多的恶臭气体，同时针对</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进行规范管理，并采用了相应的除臭措施，具体措施如下：</w:t>
      </w:r>
    </w:p>
    <w:p w14:paraId="7D7E35B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（1）合理设计</w:t>
      </w:r>
      <w:r>
        <w:rPr>
          <w:rFonts w:hint="default" w:ascii="Times New Roman" w:hAnsi="Times New Roman" w:eastAsia="宋体" w:cs="Times New Roman"/>
          <w:color w:val="auto"/>
          <w:highlight w:val="none"/>
          <w:lang w:eastAsia="zh-CN"/>
        </w:rPr>
        <w:t>羊圈</w:t>
      </w:r>
    </w:p>
    <w:p w14:paraId="0E14F8D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有资料表明，温度高时恶臭气体浓度高，</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在1~2周后发酵较快，粪便暴露面积大的发酵率高。项目夏季加强了</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的通风，加速粪便干燥，可减少臭气产生。</w:t>
      </w:r>
    </w:p>
    <w:p w14:paraId="14E7FA4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（2）合理选用</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饲料</w:t>
      </w:r>
    </w:p>
    <w:p w14:paraId="50C6126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排泄物中的恶臭组分复杂，但基本上可分为含硫化合物、酚类化合物、挥发性脂肪酸、氨和胺等四类。通过控制或使用饲料（全价饲料或添加生物抑制剂），粪便中粗蛋白的含量可显著地降低，有效减少未消化蛋白质的分解物排放，提高日粮消化率、减少干物质（蛋白质）排出量是减少恶臭来源的有效措施。</w:t>
      </w:r>
    </w:p>
    <w:p w14:paraId="43D2368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本项目的所有饲料采用某些添加剂，除可以提高畜禽生产性能外，还可以控制恶臭。①酶制剂，加入饲料中可以提高营养利用率；②EM液，是由光合细菌、乳酸菌群、酵母菌群等多种微生物组成的，</w:t>
      </w:r>
      <w:r>
        <w:rPr>
          <w:rFonts w:hint="default" w:ascii="Times New Roman" w:hAnsi="Times New Roman" w:eastAsia="宋体" w:cs="Times New Roman"/>
          <w:color w:val="auto"/>
          <w:highlight w:val="none"/>
          <w:shd w:val="clear" w:color="auto" w:fill="FFFFFF"/>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rPr>
          <w:rFonts w:hint="default" w:ascii="Times New Roman" w:hAnsi="Times New Roman" w:eastAsia="宋体" w:cs="Times New Roman"/>
          <w:color w:val="auto"/>
          <w:highlight w:val="none"/>
        </w:rPr>
        <w:t>；③酸化剂，低pH值可以使畜禽排泄的粪便中的氨处于非挥发性的NH</w:t>
      </w:r>
      <w:r>
        <w:rPr>
          <w:rFonts w:hint="default" w:ascii="Times New Roman" w:hAnsi="Times New Roman" w:eastAsia="宋体" w:cs="Times New Roman"/>
          <w:color w:val="auto"/>
          <w:highlight w:val="none"/>
          <w:vertAlign w:val="subscript"/>
        </w:rPr>
        <w:t>4</w:t>
      </w:r>
      <w:r>
        <w:rPr>
          <w:rFonts w:hint="default" w:ascii="Times New Roman" w:hAnsi="Times New Roman" w:eastAsia="宋体" w:cs="Times New Roman"/>
          <w:color w:val="auto"/>
          <w:highlight w:val="none"/>
          <w:vertAlign w:val="superscript"/>
        </w:rPr>
        <w:t>+</w:t>
      </w:r>
      <w:r>
        <w:rPr>
          <w:rFonts w:hint="default" w:ascii="Times New Roman" w:hAnsi="Times New Roman" w:eastAsia="宋体" w:cs="Times New Roman"/>
          <w:color w:val="auto"/>
          <w:highlight w:val="none"/>
        </w:rPr>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排泄的粪尿量增加，同时也会使粪便中的氨有效降低，从源头减少恶臭的产生。</w:t>
      </w:r>
    </w:p>
    <w:p w14:paraId="1A898CF2">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EM微生物是有效微生物群的英文缩写，它是光合细菌、乳酸菌群、酵母菌群、放线菌群、丝状菌群等5种10属80余种微生物组成的。向饲料中添加EM微生物菌群，不仅可以提高</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的免疫力，促进</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的生长，而且可以减少</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粪便恶臭。有关资料显示，使用EM微生物后，圈舍臭味明显减少，夏天苍蝇数量减少60%以上，氨气浓度降低了69.7%。根据北京环境监测中心对EM微生物除臭效果进行检测的结果，在生猪的饲料中添加EM微生物１个月后，恶臭浓度下降了90%，臭气强度下降到2.5级以下。</w:t>
      </w:r>
    </w:p>
    <w:p w14:paraId="6ACBF03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lang w:val="en-US" w:eastAsia="zh-CN"/>
        </w:rPr>
        <w:t>除臭剂</w:t>
      </w:r>
    </w:p>
    <w:p w14:paraId="30D844C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在夏、秋季节，</w:t>
      </w:r>
      <w:r>
        <w:rPr>
          <w:rFonts w:hint="default" w:ascii="Times New Roman" w:hAnsi="Times New Roman" w:eastAsia="宋体" w:cs="Times New Roman"/>
          <w:color w:val="auto"/>
          <w:highlight w:val="none"/>
          <w:lang w:val="en-US" w:eastAsia="zh-CN"/>
        </w:rPr>
        <w:t>应</w:t>
      </w:r>
      <w:r>
        <w:rPr>
          <w:rFonts w:hint="default" w:ascii="Times New Roman" w:hAnsi="Times New Roman" w:eastAsia="宋体" w:cs="Times New Roman"/>
          <w:color w:val="auto"/>
          <w:highlight w:val="none"/>
        </w:rPr>
        <w:t>使用</w:t>
      </w:r>
      <w:r>
        <w:rPr>
          <w:rFonts w:hint="default" w:ascii="Times New Roman" w:hAnsi="Times New Roman" w:eastAsia="宋体" w:cs="Times New Roman"/>
          <w:color w:val="auto"/>
          <w:highlight w:val="none"/>
          <w:lang w:eastAsia="zh-CN"/>
        </w:rPr>
        <w:t>除臭剂</w:t>
      </w:r>
      <w:r>
        <w:rPr>
          <w:rFonts w:hint="default" w:ascii="Times New Roman" w:hAnsi="Times New Roman" w:eastAsia="宋体" w:cs="Times New Roman"/>
          <w:color w:val="auto"/>
          <w:highlight w:val="none"/>
          <w:lang w:val="en-US" w:eastAsia="zh-CN"/>
        </w:rPr>
        <w:t>喷洒羊圈</w:t>
      </w:r>
      <w:r>
        <w:rPr>
          <w:rFonts w:hint="default" w:ascii="Times New Roman" w:hAnsi="Times New Roman" w:eastAsia="宋体" w:cs="Times New Roman"/>
          <w:color w:val="auto"/>
          <w:highlight w:val="none"/>
        </w:rPr>
        <w:t>，减少粪便堆积挥发的恶臭气体排放量。</w:t>
      </w:r>
    </w:p>
    <w:p w14:paraId="45481803">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7.2.1.2</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恶臭防治措施</w:t>
      </w:r>
    </w:p>
    <w:p w14:paraId="4F78F5F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的恶臭主要来自粪便及尿液产生的NH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S等恶臭有害气体，首先是在饲喂过程中</w:t>
      </w:r>
      <w:r>
        <w:rPr>
          <w:rFonts w:hint="default" w:ascii="Times New Roman" w:hAnsi="Times New Roman" w:eastAsia="宋体" w:cs="Times New Roman"/>
          <w:color w:val="auto"/>
          <w:highlight w:val="none"/>
          <w:lang w:eastAsia="zh-CN"/>
        </w:rPr>
        <w:t>合理配置</w:t>
      </w:r>
      <w:r>
        <w:rPr>
          <w:rFonts w:hint="default" w:ascii="Times New Roman" w:hAnsi="Times New Roman" w:eastAsia="宋体" w:cs="Times New Roman"/>
          <w:color w:val="auto"/>
          <w:highlight w:val="none"/>
        </w:rPr>
        <w:t>日粮，减少恶臭物质的产生，即从源头减少；及时将粪便进行好氧堆肥，避免长时间放置，可有效减少臭气的产生量；堆肥采用好氧堆肥方式，并投加减少氨释放和保氮的复合发酵剂，可以有效减少氨气等臭气的排放。</w:t>
      </w:r>
    </w:p>
    <w:p w14:paraId="2B9AD24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根据《中国论文科技在线》中的文章《复合发酵剂在</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无害化处理中的应用效果》，</w:t>
      </w:r>
      <w:r>
        <w:rPr>
          <w:rFonts w:hint="default" w:ascii="Times New Roman" w:hAnsi="Times New Roman" w:eastAsia="宋体" w:cs="Times New Roman"/>
          <w:color w:val="auto"/>
          <w:highlight w:val="none"/>
          <w:lang w:eastAsia="zh-CN"/>
        </w:rPr>
        <w:t>造成畜禽粪便堆肥恶臭的主要原因是发酵过程中产生气态代谢产物或中间产物，如氨气、硫化氢等。在恶臭扩散的同时，氮类物质的挥发造成养分损失，从而降低堆肥价值。添加外源微生物促使氮类物质向蛋白氮和硝态氮转化，调控堆肥过程中氮、碳的代谢，通过减少氮类物质分解为</w:t>
      </w:r>
      <w:r>
        <w:rPr>
          <w:rFonts w:hint="default" w:ascii="Times New Roman" w:hAnsi="Times New Roman" w:eastAsia="宋体" w:cs="Times New Roman"/>
          <w:color w:val="auto"/>
          <w:highlight w:val="none"/>
          <w:lang w:val="en-US" w:eastAsia="zh-CN"/>
        </w:rPr>
        <w:t>NH</w:t>
      </w:r>
      <w:r>
        <w:rPr>
          <w:rFonts w:hint="default" w:ascii="Times New Roman" w:hAnsi="Times New Roman" w:eastAsia="宋体" w:cs="Times New Roman"/>
          <w:color w:val="auto"/>
          <w:highlight w:val="none"/>
          <w:vertAlign w:val="subscript"/>
          <w:lang w:val="en-US" w:eastAsia="zh-CN"/>
        </w:rPr>
        <w:t>4</w:t>
      </w:r>
      <w:r>
        <w:rPr>
          <w:rFonts w:hint="default" w:ascii="Times New Roman" w:hAnsi="Times New Roman" w:eastAsia="宋体" w:cs="Times New Roman"/>
          <w:color w:val="auto"/>
          <w:highlight w:val="none"/>
          <w:vertAlign w:val="superscript"/>
          <w:lang w:val="en-US" w:eastAsia="zh-CN"/>
        </w:rPr>
        <w:t>+</w:t>
      </w:r>
      <w:r>
        <w:rPr>
          <w:rFonts w:hint="default" w:ascii="Times New Roman" w:hAnsi="Times New Roman" w:eastAsia="宋体" w:cs="Times New Roman"/>
          <w:color w:val="auto"/>
          <w:highlight w:val="none"/>
          <w:lang w:val="en-US" w:eastAsia="zh-CN"/>
        </w:rPr>
        <w:t>-N的气态挥发损失控制臭味的产生，并保留更多的氮养分。</w:t>
      </w:r>
    </w:p>
    <w:p w14:paraId="25BAA91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在使用堆肥过程中使用复合发酵剂时的臭味变化动态情况如下表：</w:t>
      </w:r>
    </w:p>
    <w:p w14:paraId="156996C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表7.2-3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堆肥</w:t>
      </w:r>
      <w:r>
        <w:rPr>
          <w:rFonts w:hint="default" w:ascii="Times New Roman" w:hAnsi="Times New Roman" w:eastAsia="宋体" w:cs="Times New Roman"/>
          <w:color w:val="auto"/>
          <w:sz w:val="24"/>
          <w:szCs w:val="24"/>
          <w:highlight w:val="none"/>
          <w:lang w:val="en-US" w:eastAsia="zh-CN"/>
        </w:rPr>
        <w:t>12d</w:t>
      </w:r>
      <w:r>
        <w:rPr>
          <w:rFonts w:hint="default" w:ascii="Times New Roman" w:hAnsi="Times New Roman" w:eastAsia="宋体" w:cs="Times New Roman"/>
          <w:color w:val="auto"/>
          <w:sz w:val="24"/>
          <w:szCs w:val="24"/>
          <w:highlight w:val="none"/>
        </w:rPr>
        <w:t>臭味变化动态情况列表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78"/>
        <w:gridCol w:w="641"/>
        <w:gridCol w:w="641"/>
        <w:gridCol w:w="641"/>
        <w:gridCol w:w="641"/>
        <w:gridCol w:w="641"/>
        <w:gridCol w:w="642"/>
        <w:gridCol w:w="642"/>
        <w:gridCol w:w="642"/>
        <w:gridCol w:w="642"/>
        <w:gridCol w:w="642"/>
        <w:gridCol w:w="642"/>
        <w:gridCol w:w="642"/>
      </w:tblGrid>
      <w:tr w14:paraId="4C5E97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10DA14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臭味</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6E16E2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37F940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580CF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772384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3F2A2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8B452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6d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AABF8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7d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62244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8d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00001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9d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6DD07E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6507D3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11d</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03476D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12d</w:t>
            </w:r>
          </w:p>
        </w:tc>
      </w:tr>
      <w:tr w14:paraId="70878B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1F481E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对照</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0415B8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Ms5</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B044C7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Ms5</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327C23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Ms5</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FF205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Ms5</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0EDF25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20E270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7F76505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CA463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250B19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35EEB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C3581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Ms3</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28601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Ms3</w:t>
            </w:r>
          </w:p>
        </w:tc>
      </w:tr>
      <w:tr w14:paraId="439DC0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2B8AEE7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处理</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9EAAE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Ms5</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3DC5B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Ms3</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7B1C4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Ms1</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78A2C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2BC095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25240C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8B1E8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BBB50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039538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577EAF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5A9DB3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37E462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Ms0</w:t>
            </w:r>
          </w:p>
        </w:tc>
      </w:tr>
      <w:tr w14:paraId="047521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03"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467343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both"/>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注：Ms0无臭味；Ms1勉强感觉到臭味；Ms2微弱的臭味；Ms3明显的臭味；Ms4很强的臭味；Ms5难以忍受的臭味。</w:t>
            </w:r>
          </w:p>
        </w:tc>
      </w:tr>
    </w:tbl>
    <w:p w14:paraId="5C3D145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从上表可以看出，复合发酵剂</w:t>
      </w:r>
      <w:r>
        <w:rPr>
          <w:rFonts w:hint="default" w:ascii="Times New Roman" w:hAnsi="Times New Roman" w:eastAsia="宋体" w:cs="Times New Roman"/>
          <w:color w:val="auto"/>
          <w:highlight w:val="none"/>
          <w:lang w:eastAsia="zh-CN"/>
        </w:rPr>
        <w:t>通过分解有机物吸收</w:t>
      </w:r>
      <w:r>
        <w:rPr>
          <w:rFonts w:hint="default" w:ascii="Times New Roman" w:hAnsi="Times New Roman" w:eastAsia="宋体" w:cs="Times New Roman"/>
          <w:color w:val="auto"/>
          <w:highlight w:val="none"/>
          <w:lang w:val="en-US" w:eastAsia="zh-CN"/>
        </w:rPr>
        <w:t>氨和硫化氢，控制堆肥过程中</w:t>
      </w:r>
      <w:r>
        <w:rPr>
          <w:rFonts w:hint="default" w:ascii="Times New Roman" w:hAnsi="Times New Roman" w:eastAsia="宋体" w:cs="Times New Roman"/>
          <w:color w:val="auto"/>
          <w:highlight w:val="none"/>
          <w:lang w:eastAsia="zh-CN"/>
        </w:rPr>
        <w:t>氮类物质的转化过程，发酵</w:t>
      </w:r>
      <w:r>
        <w:rPr>
          <w:rFonts w:hint="default" w:ascii="Times New Roman" w:hAnsi="Times New Roman" w:eastAsia="宋体" w:cs="Times New Roman"/>
          <w:color w:val="auto"/>
          <w:highlight w:val="none"/>
          <w:lang w:val="en-US" w:eastAsia="zh-CN"/>
        </w:rPr>
        <w:t>3d臭味基本去除80%，具有良好的除臭效果。因此，</w:t>
      </w:r>
      <w:r>
        <w:rPr>
          <w:rFonts w:hint="default" w:ascii="Times New Roman" w:hAnsi="Times New Roman" w:eastAsia="宋体" w:cs="Times New Roman"/>
          <w:color w:val="auto"/>
          <w:highlight w:val="none"/>
        </w:rPr>
        <w:t>在使用复合发酵剂后，</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产生的臭气可大幅减少，是可行的。</w:t>
      </w:r>
    </w:p>
    <w:p w14:paraId="51C63C1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通过以上措施可减少养殖区的臭味产生，通过考察周边各</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场的实际运行情况，也的确取得了较好的效果，场界</w:t>
      </w:r>
      <w:r>
        <w:rPr>
          <w:rFonts w:hint="default" w:ascii="Times New Roman" w:hAnsi="Times New Roman" w:eastAsia="宋体" w:cs="Times New Roman"/>
          <w:color w:val="auto"/>
          <w:highlight w:val="none"/>
          <w:lang w:eastAsia="zh-CN"/>
        </w:rPr>
        <w:t>氨和硫化氢</w:t>
      </w:r>
      <w:r>
        <w:rPr>
          <w:rFonts w:hint="default" w:ascii="Times New Roman" w:hAnsi="Times New Roman" w:eastAsia="宋体" w:cs="Times New Roman"/>
          <w:color w:val="auto"/>
          <w:highlight w:val="none"/>
        </w:rPr>
        <w:t>排放浓度满足《恶臭污染物排放标准》（GB14554-93）表1恶臭污染物厂界标准值中“二级、新扩改建”标准要求</w:t>
      </w:r>
      <w:r>
        <w:rPr>
          <w:rFonts w:hint="default" w:ascii="Times New Roman" w:hAnsi="Times New Roman" w:eastAsia="宋体" w:cs="Times New Roman"/>
          <w:color w:val="auto"/>
          <w:highlight w:val="none"/>
          <w:lang w:eastAsia="zh-CN"/>
        </w:rPr>
        <w:t>、臭气浓度排放满足</w:t>
      </w:r>
      <w:r>
        <w:rPr>
          <w:rFonts w:hint="default" w:ascii="Times New Roman" w:hAnsi="Times New Roman" w:eastAsia="宋体" w:cs="Times New Roman"/>
          <w:color w:val="auto"/>
          <w:highlight w:val="none"/>
        </w:rPr>
        <w:t>《畜禽养殖业污染物排放标准》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GB18596-2001</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7集约化畜禽养殖业恶臭污染物排放标准</w:t>
      </w:r>
      <w:r>
        <w:rPr>
          <w:rFonts w:hint="default" w:ascii="Times New Roman" w:hAnsi="Times New Roman" w:eastAsia="宋体" w:cs="Times New Roman"/>
          <w:color w:val="auto"/>
          <w:highlight w:val="none"/>
        </w:rPr>
        <w:t>，因此</w:t>
      </w:r>
      <w:r>
        <w:rPr>
          <w:rFonts w:hint="default" w:ascii="Times New Roman" w:hAnsi="Times New Roman" w:eastAsia="宋体" w:cs="Times New Roman"/>
          <w:color w:val="auto"/>
          <w:highlight w:val="none"/>
          <w:lang w:eastAsia="zh-CN"/>
        </w:rPr>
        <w:t>本项目采取的废气治理措施</w:t>
      </w:r>
      <w:r>
        <w:rPr>
          <w:rFonts w:hint="default" w:ascii="Times New Roman" w:hAnsi="Times New Roman" w:eastAsia="宋体" w:cs="Times New Roman"/>
          <w:color w:val="auto"/>
          <w:highlight w:val="none"/>
        </w:rPr>
        <w:t>是可行的。</w:t>
      </w:r>
    </w:p>
    <w:p w14:paraId="43E4CE9C">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61" w:name="_Toc46421187"/>
      <w:bookmarkStart w:id="662" w:name="_Toc31231"/>
      <w:r>
        <w:rPr>
          <w:rFonts w:hint="default" w:ascii="Times New Roman" w:hAnsi="Times New Roman" w:eastAsia="宋体" w:cs="Times New Roman"/>
          <w:color w:val="auto"/>
          <w:highlight w:val="none"/>
        </w:rPr>
        <w:t>7.2.2饲料配置粉尘</w:t>
      </w:r>
      <w:bookmarkEnd w:id="661"/>
      <w:bookmarkEnd w:id="662"/>
    </w:p>
    <w:p w14:paraId="1D1131C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项目精饲料主要为外购的成品袋装饲料，为按照一定比例将豆粕、棉籽、玉米粉</w:t>
      </w:r>
      <w:r>
        <w:rPr>
          <w:rFonts w:hint="default" w:ascii="Times New Roman" w:hAnsi="Times New Roman" w:eastAsia="宋体" w:cs="Times New Roman"/>
          <w:color w:val="auto"/>
          <w:highlight w:val="none"/>
          <w:lang w:eastAsia="zh-CN"/>
        </w:rPr>
        <w:t>，以及</w:t>
      </w:r>
      <w:r>
        <w:rPr>
          <w:rFonts w:hint="default" w:ascii="Times New Roman" w:hAnsi="Times New Roman" w:eastAsia="宋体" w:cs="Times New Roman"/>
          <w:color w:val="auto"/>
          <w:highlight w:val="none"/>
        </w:rPr>
        <w:t>各种添加剂混合而成的</w:t>
      </w:r>
      <w:r>
        <w:rPr>
          <w:rFonts w:hint="default" w:ascii="Times New Roman" w:hAnsi="Times New Roman" w:eastAsia="宋体" w:cs="Times New Roman"/>
          <w:color w:val="auto"/>
          <w:highlight w:val="none"/>
          <w:lang w:eastAsia="zh-CN"/>
        </w:rPr>
        <w:t>精料</w:t>
      </w:r>
      <w:r>
        <w:rPr>
          <w:rFonts w:hint="default" w:ascii="Times New Roman" w:hAnsi="Times New Roman" w:eastAsia="宋体" w:cs="Times New Roman"/>
          <w:color w:val="auto"/>
          <w:highlight w:val="none"/>
        </w:rPr>
        <w:t>。项目每日将精饲料以及项目储存的</w:t>
      </w:r>
      <w:r>
        <w:rPr>
          <w:rFonts w:hint="default" w:ascii="Times New Roman" w:hAnsi="Times New Roman" w:eastAsia="宋体" w:cs="Times New Roman"/>
          <w:color w:val="auto"/>
          <w:highlight w:val="none"/>
          <w:lang w:val="en-US" w:eastAsia="zh-CN"/>
        </w:rPr>
        <w:t>饲</w:t>
      </w:r>
      <w:r>
        <w:rPr>
          <w:rFonts w:hint="default" w:ascii="Times New Roman" w:hAnsi="Times New Roman" w:eastAsia="宋体" w:cs="Times New Roman"/>
          <w:color w:val="auto"/>
          <w:highlight w:val="none"/>
        </w:rPr>
        <w:t>料、青干草投入</w:t>
      </w:r>
      <w:r>
        <w:rPr>
          <w:rFonts w:hint="default" w:ascii="Times New Roman" w:hAnsi="Times New Roman" w:eastAsia="宋体" w:cs="Times New Roman"/>
          <w:color w:val="auto"/>
          <w:highlight w:val="none"/>
          <w:lang w:eastAsia="zh-CN"/>
        </w:rPr>
        <w:t>日粮搅拌机</w:t>
      </w:r>
      <w:r>
        <w:rPr>
          <w:rFonts w:hint="default" w:ascii="Times New Roman" w:hAnsi="Times New Roman" w:eastAsia="宋体" w:cs="Times New Roman"/>
          <w:color w:val="auto"/>
          <w:highlight w:val="none"/>
        </w:rPr>
        <w:t>搅拌成</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口粮，由于精饲料主要成分豆粕、棉籽、玉米粉等具有一定的粒度，而</w:t>
      </w:r>
      <w:r>
        <w:rPr>
          <w:rFonts w:hint="default" w:ascii="Times New Roman" w:hAnsi="Times New Roman" w:eastAsia="宋体" w:cs="Times New Roman"/>
          <w:color w:val="auto"/>
          <w:highlight w:val="none"/>
          <w:lang w:val="en-US" w:eastAsia="zh-CN"/>
        </w:rPr>
        <w:t>秸秆</w:t>
      </w:r>
      <w:r>
        <w:rPr>
          <w:rFonts w:hint="default" w:ascii="Times New Roman" w:hAnsi="Times New Roman" w:eastAsia="宋体" w:cs="Times New Roman"/>
          <w:color w:val="auto"/>
          <w:highlight w:val="none"/>
        </w:rPr>
        <w:t>、苜蓿等均为短段，各物料一般都有一定的湿度，不会是绝干的，另外</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rPr>
        <w:t>全封闭，配置过程中产生的颗粒物在封闭车间内沉降，及时清扫至</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。因此粉尘产生量非常少，对环境影响也较小</w:t>
      </w:r>
      <w:r>
        <w:rPr>
          <w:rFonts w:hint="default" w:ascii="Times New Roman" w:hAnsi="Times New Roman" w:eastAsia="宋体" w:cs="Times New Roman"/>
          <w:color w:val="auto"/>
          <w:highlight w:val="none"/>
          <w:lang w:eastAsia="zh-CN"/>
        </w:rPr>
        <w:t>。</w:t>
      </w:r>
    </w:p>
    <w:p w14:paraId="4852E7B5">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lang w:val="en-US" w:eastAsia="zh-CN"/>
        </w:rPr>
      </w:pPr>
      <w:bookmarkStart w:id="663" w:name="_Toc18116"/>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3热风炉废气</w:t>
      </w:r>
      <w:bookmarkEnd w:id="663"/>
    </w:p>
    <w:p w14:paraId="5CC15C2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val="0"/>
          <w:bCs w:val="0"/>
          <w:color w:val="auto"/>
          <w:sz w:val="24"/>
          <w:szCs w:val="24"/>
          <w:highlight w:val="none"/>
          <w:lang w:val="en-US" w:eastAsia="zh-CN"/>
        </w:rPr>
        <w:t>本项目生物质热风炉采用的废气防治措施为</w:t>
      </w:r>
      <w:r>
        <w:rPr>
          <w:rFonts w:hint="default" w:ascii="Times New Roman" w:hAnsi="Times New Roman" w:eastAsia="宋体" w:cs="Times New Roman"/>
          <w:b w:val="0"/>
          <w:bCs w:val="0"/>
          <w:color w:val="auto"/>
          <w:sz w:val="24"/>
          <w:szCs w:val="24"/>
          <w:highlight w:val="none"/>
          <w:lang w:val="en-US" w:eastAsia="zh-CN"/>
        </w:rPr>
        <w:t>布袋除尘器</w:t>
      </w:r>
      <w:r>
        <w:rPr>
          <w:rFonts w:hint="default" w:ascii="Times New Roman" w:hAnsi="Times New Roman" w:eastAsia="宋体" w:cs="Times New Roman"/>
          <w:b w:val="0"/>
          <w:bCs w:val="0"/>
          <w:color w:val="auto"/>
          <w:sz w:val="24"/>
          <w:szCs w:val="24"/>
          <w:highlight w:val="none"/>
          <w:lang w:val="en-US" w:eastAsia="zh-CN"/>
        </w:rPr>
        <w:t>，污染物颗粒物的防治措施</w:t>
      </w:r>
      <w:r>
        <w:rPr>
          <w:rFonts w:hint="default" w:ascii="Times New Roman" w:hAnsi="Times New Roman" w:eastAsia="宋体" w:cs="Times New Roman"/>
          <w:bCs/>
          <w:color w:val="auto"/>
          <w:kern w:val="0"/>
          <w:sz w:val="24"/>
          <w:highlight w:val="none"/>
          <w:lang w:eastAsia="zh-CN"/>
        </w:rPr>
        <w:t>属于</w:t>
      </w:r>
      <w:r>
        <w:rPr>
          <w:rFonts w:hint="default" w:ascii="Times New Roman" w:hAnsi="Times New Roman" w:eastAsia="宋体" w:cs="Times New Roman"/>
          <w:color w:val="auto"/>
          <w:sz w:val="24"/>
          <w:szCs w:val="24"/>
          <w:highlight w:val="none"/>
        </w:rPr>
        <w:t xml:space="preserve">《排污许可证申请与核发技术规范 </w:t>
      </w:r>
      <w:r>
        <w:rPr>
          <w:rFonts w:hint="default" w:ascii="Times New Roman" w:hAnsi="Times New Roman" w:eastAsia="宋体" w:cs="Times New Roman"/>
          <w:color w:val="auto"/>
          <w:sz w:val="24"/>
          <w:szCs w:val="24"/>
          <w:highlight w:val="none"/>
          <w:lang w:eastAsia="zh-CN"/>
        </w:rPr>
        <w:t>工业炉窑</w:t>
      </w:r>
      <w:r>
        <w:rPr>
          <w:rFonts w:hint="default" w:ascii="Times New Roman" w:hAnsi="Times New Roman" w:eastAsia="宋体" w:cs="Times New Roman"/>
          <w:color w:val="auto"/>
          <w:sz w:val="24"/>
          <w:szCs w:val="24"/>
          <w:highlight w:val="none"/>
        </w:rPr>
        <w:t>》（HJ</w:t>
      </w:r>
      <w:r>
        <w:rPr>
          <w:rFonts w:hint="default" w:ascii="Times New Roman" w:hAnsi="Times New Roman" w:eastAsia="宋体" w:cs="Times New Roman"/>
          <w:color w:val="auto"/>
          <w:sz w:val="24"/>
          <w:szCs w:val="24"/>
          <w:highlight w:val="none"/>
          <w:lang w:val="en-US" w:eastAsia="zh-CN"/>
        </w:rPr>
        <w:t>1121</w:t>
      </w:r>
      <w:r>
        <w:rPr>
          <w:rFonts w:hint="default" w:ascii="Times New Roman" w:hAnsi="Times New Roman" w:eastAsia="宋体" w:cs="Times New Roman"/>
          <w:color w:val="auto"/>
          <w:sz w:val="24"/>
          <w:szCs w:val="24"/>
          <w:highlight w:val="none"/>
        </w:rPr>
        <w:t>-20</w:t>
      </w:r>
      <w:r>
        <w:rPr>
          <w:rFonts w:hint="default"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附录</w:t>
      </w:r>
      <w:r>
        <w:rPr>
          <w:rFonts w:hint="default" w:ascii="Times New Roman" w:hAnsi="Times New Roman" w:eastAsia="宋体" w:cs="Times New Roman"/>
          <w:color w:val="auto"/>
          <w:sz w:val="24"/>
          <w:szCs w:val="24"/>
          <w:highlight w:val="none"/>
          <w:lang w:val="en-US" w:eastAsia="zh-CN"/>
        </w:rPr>
        <w:t>A可行性技术参考表A.1废气可行性技术参考表</w:t>
      </w:r>
      <w:r>
        <w:rPr>
          <w:rFonts w:hint="default" w:ascii="Times New Roman" w:hAnsi="Times New Roman" w:eastAsia="宋体" w:cs="Times New Roman"/>
          <w:bCs/>
          <w:color w:val="auto"/>
          <w:kern w:val="0"/>
          <w:sz w:val="24"/>
          <w:highlight w:val="none"/>
          <w:lang w:eastAsia="zh-CN"/>
        </w:rPr>
        <w:t>中可行技术</w:t>
      </w:r>
      <w:r>
        <w:rPr>
          <w:rFonts w:hint="default" w:ascii="Times New Roman" w:hAnsi="Times New Roman" w:eastAsia="宋体" w:cs="Times New Roman"/>
          <w:color w:val="auto"/>
          <w:sz w:val="24"/>
          <w:szCs w:val="24"/>
          <w:highlight w:val="none"/>
          <w:lang w:val="en-US" w:eastAsia="zh-CN"/>
        </w:rPr>
        <w:t>中用于干燥工艺的工业炉窑颗粒物</w:t>
      </w:r>
      <w:r>
        <w:rPr>
          <w:rFonts w:hint="default" w:ascii="Times New Roman" w:hAnsi="Times New Roman" w:eastAsia="宋体" w:cs="Times New Roman"/>
          <w:color w:val="auto"/>
          <w:sz w:val="24"/>
          <w:szCs w:val="24"/>
          <w:highlight w:val="none"/>
          <w:vertAlign w:val="baseline"/>
          <w:lang w:val="en-US" w:eastAsia="zh-CN"/>
        </w:rPr>
        <w:t>治理</w:t>
      </w:r>
      <w:r>
        <w:rPr>
          <w:rFonts w:hint="default" w:ascii="Times New Roman" w:hAnsi="Times New Roman" w:eastAsia="宋体" w:cs="Times New Roman"/>
          <w:color w:val="auto"/>
          <w:sz w:val="24"/>
          <w:szCs w:val="24"/>
          <w:highlight w:val="none"/>
          <w:lang w:val="en-US" w:eastAsia="zh-CN"/>
        </w:rPr>
        <w:t>可行性技术--“袋式除尘”</w:t>
      </w:r>
      <w:r>
        <w:rPr>
          <w:rFonts w:hint="default" w:ascii="Times New Roman" w:hAnsi="Times New Roman" w:eastAsia="宋体" w:cs="Times New Roman"/>
          <w:color w:val="auto"/>
          <w:highlight w:val="none"/>
          <w:lang w:eastAsia="zh-CN"/>
        </w:rPr>
        <w:t>。</w:t>
      </w:r>
    </w:p>
    <w:p w14:paraId="52F808D0">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664" w:name="_Toc30712"/>
      <w:r>
        <w:rPr>
          <w:rFonts w:hint="default" w:ascii="Times New Roman" w:hAnsi="Times New Roman" w:eastAsia="宋体" w:cs="Times New Roman"/>
          <w:color w:val="auto"/>
          <w:highlight w:val="none"/>
        </w:rPr>
        <w:t>7.3运营期水污染防治措施及可行性</w:t>
      </w:r>
      <w:bookmarkEnd w:id="664"/>
    </w:p>
    <w:p w14:paraId="087638ED">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lang w:eastAsia="zh-CN"/>
        </w:rPr>
      </w:pPr>
      <w:bookmarkStart w:id="665" w:name="_Toc46421190"/>
      <w:bookmarkStart w:id="666" w:name="_Toc23048"/>
      <w:r>
        <w:rPr>
          <w:rFonts w:hint="default" w:ascii="Times New Roman" w:hAnsi="Times New Roman" w:eastAsia="宋体" w:cs="Times New Roman"/>
          <w:color w:val="auto"/>
          <w:highlight w:val="none"/>
        </w:rPr>
        <w:t>7.3.1</w:t>
      </w:r>
      <w:bookmarkEnd w:id="665"/>
      <w:r>
        <w:rPr>
          <w:rFonts w:hint="default" w:ascii="Times New Roman" w:hAnsi="Times New Roman" w:eastAsia="宋体" w:cs="Times New Roman"/>
          <w:color w:val="auto"/>
          <w:highlight w:val="none"/>
          <w:lang w:eastAsia="zh-CN"/>
        </w:rPr>
        <w:t>废水防治措施</w:t>
      </w:r>
      <w:bookmarkEnd w:id="666"/>
    </w:p>
    <w:p w14:paraId="74229D49">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sz w:val="24"/>
          <w:szCs w:val="28"/>
          <w:highlight w:val="none"/>
        </w:rPr>
        <w:t>本项目</w:t>
      </w:r>
      <w:r>
        <w:rPr>
          <w:rFonts w:hint="default" w:ascii="Times New Roman" w:hAnsi="Times New Roman" w:eastAsia="宋体" w:cs="Times New Roman"/>
          <w:color w:val="auto"/>
          <w:kern w:val="0"/>
          <w:sz w:val="24"/>
          <w:szCs w:val="24"/>
          <w:highlight w:val="none"/>
          <w:lang w:eastAsia="zh-CN"/>
        </w:rPr>
        <w:t>羊粪便含水率较低</w:t>
      </w:r>
      <w:r>
        <w:rPr>
          <w:rFonts w:hint="default" w:ascii="Times New Roman" w:hAnsi="Times New Roman" w:eastAsia="宋体" w:cs="Times New Roman"/>
          <w:color w:val="auto"/>
          <w:kern w:val="0"/>
          <w:sz w:val="24"/>
          <w:szCs w:val="24"/>
          <w:highlight w:val="none"/>
          <w:lang w:eastAsia="zh-CN"/>
        </w:rPr>
        <w:t>，在养殖区排放的尿液大部分由于当地气候干燥蒸发，剩余尿液与粪便完全黏结混合在一起，一起运往堆肥场</w:t>
      </w:r>
      <w:r>
        <w:rPr>
          <w:rFonts w:hint="default" w:ascii="Times New Roman" w:hAnsi="Times New Roman" w:eastAsia="宋体" w:cs="Times New Roman"/>
          <w:color w:val="auto"/>
          <w:kern w:val="0"/>
          <w:sz w:val="24"/>
          <w:szCs w:val="24"/>
          <w:highlight w:val="none"/>
        </w:rPr>
        <w:t>储存并堆肥</w:t>
      </w:r>
      <w:r>
        <w:rPr>
          <w:rFonts w:hint="default" w:ascii="Times New Roman" w:hAnsi="Times New Roman" w:eastAsia="宋体" w:cs="Times New Roman"/>
          <w:color w:val="auto"/>
          <w:kern w:val="0"/>
          <w:sz w:val="24"/>
          <w:szCs w:val="24"/>
          <w:highlight w:val="none"/>
          <w:lang w:eastAsia="zh-CN"/>
        </w:rPr>
        <w:t>，因此，没有尿液排放；养殖区场地不采取水冲洗方式清理，采用消毒水每周喷洒消毒2～3次，因此，养殖区</w:t>
      </w:r>
      <w:r>
        <w:rPr>
          <w:rFonts w:hint="default" w:ascii="Times New Roman" w:hAnsi="Times New Roman" w:eastAsia="宋体" w:cs="Times New Roman"/>
          <w:color w:val="auto"/>
          <w:kern w:val="0"/>
          <w:sz w:val="24"/>
          <w:szCs w:val="24"/>
          <w:highlight w:val="none"/>
        </w:rPr>
        <w:t>不产生冲洗废水</w:t>
      </w:r>
      <w:r>
        <w:rPr>
          <w:rFonts w:hint="default" w:ascii="Times New Roman" w:hAnsi="Times New Roman" w:eastAsia="宋体" w:cs="Times New Roman"/>
          <w:color w:val="auto"/>
          <w:kern w:val="0"/>
          <w:sz w:val="24"/>
          <w:szCs w:val="24"/>
          <w:highlight w:val="none"/>
          <w:lang w:eastAsia="zh-CN"/>
        </w:rPr>
        <w:t>。</w:t>
      </w:r>
    </w:p>
    <w:p w14:paraId="25E551B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生活污水</w:t>
      </w:r>
      <w:r>
        <w:rPr>
          <w:rFonts w:hint="default" w:ascii="Times New Roman" w:hAnsi="Times New Roman" w:eastAsia="宋体" w:cs="Times New Roman"/>
          <w:color w:val="auto"/>
          <w:highlight w:val="none"/>
          <w:lang w:eastAsia="zh-CN"/>
        </w:rPr>
        <w:t>经化粪池处理</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定期由当地环卫部门清运处置</w:t>
      </w:r>
      <w:r>
        <w:rPr>
          <w:rFonts w:hint="default" w:ascii="Times New Roman" w:hAnsi="Times New Roman" w:eastAsia="宋体" w:cs="Times New Roman"/>
          <w:color w:val="auto"/>
          <w:highlight w:val="none"/>
        </w:rPr>
        <w:t>。</w:t>
      </w:r>
    </w:p>
    <w:p w14:paraId="494CAA8E">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67" w:name="_Toc24130"/>
      <w:bookmarkStart w:id="668" w:name="_Toc46421191"/>
      <w:r>
        <w:rPr>
          <w:rFonts w:hint="default" w:ascii="Times New Roman" w:hAnsi="Times New Roman" w:eastAsia="宋体" w:cs="Times New Roman"/>
          <w:color w:val="auto"/>
          <w:highlight w:val="none"/>
        </w:rPr>
        <w:t>7.3.2雨污分流措施</w:t>
      </w:r>
      <w:bookmarkEnd w:id="667"/>
      <w:bookmarkEnd w:id="668"/>
    </w:p>
    <w:p w14:paraId="0D11365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项目采用雨污分流，</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屋面设置合适坡度，以利雨水的排出；</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屋面雨水、道路雨水采用自流式排水，经过雨水管道排入厂区排水沟，沿道路排水沟排出，最终排放至场区外。本次评价对因降雨而产生可能产生二次污染提出如下要求：</w:t>
      </w:r>
    </w:p>
    <w:p w14:paraId="516C9F3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屋面设置合适坡度并在屋檐设置导流槽，将雨水导出不排入羊圈内，屋面雨水采用自流式排水，经过雨水管道排入场区排水沟排出。</w:t>
      </w:r>
    </w:p>
    <w:p w14:paraId="75F10E7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设置挡水坡道，防止雨水进入</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w:t>
      </w:r>
    </w:p>
    <w:p w14:paraId="63B57B28">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底部进行硬化防渗处理，四面设围墙及导流渠，墙高1m，</w:t>
      </w:r>
      <w:r>
        <w:rPr>
          <w:rFonts w:hint="default" w:ascii="Times New Roman" w:hAnsi="Times New Roman" w:eastAsia="宋体" w:cs="Times New Roman"/>
          <w:color w:val="auto"/>
          <w:highlight w:val="none"/>
          <w:lang w:eastAsia="zh-CN"/>
        </w:rPr>
        <w:t>防止</w:t>
      </w:r>
      <w:r>
        <w:rPr>
          <w:rFonts w:hint="default" w:ascii="Times New Roman" w:hAnsi="Times New Roman" w:eastAsia="宋体" w:cs="Times New Roman"/>
          <w:color w:val="auto"/>
          <w:highlight w:val="none"/>
        </w:rPr>
        <w:t>因雨水进入造成外溢，形成二次污染。</w:t>
      </w:r>
    </w:p>
    <w:p w14:paraId="382C698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项目清净雨水，通过场区雨水管道自流式排出。</w:t>
      </w:r>
    </w:p>
    <w:p w14:paraId="070AAABA">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综上，采用上述措施是可行的。</w:t>
      </w:r>
    </w:p>
    <w:p w14:paraId="73CFC2D8">
      <w:pPr>
        <w:pStyle w:val="4"/>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0"/>
        <w:rPr>
          <w:rFonts w:hint="default" w:ascii="Times New Roman" w:hAnsi="Times New Roman" w:eastAsia="宋体" w:cs="Times New Roman"/>
          <w:color w:val="auto"/>
          <w:highlight w:val="none"/>
        </w:rPr>
      </w:pPr>
      <w:bookmarkStart w:id="669" w:name="_Toc28672"/>
      <w:bookmarkStart w:id="670" w:name="_Toc530642992"/>
      <w:r>
        <w:rPr>
          <w:rFonts w:hint="default" w:ascii="Times New Roman" w:hAnsi="Times New Roman" w:eastAsia="宋体" w:cs="Times New Roman"/>
          <w:color w:val="auto"/>
          <w:highlight w:val="none"/>
        </w:rPr>
        <w:t>7.4运营期地下水防治措施可行性</w:t>
      </w:r>
      <w:bookmarkEnd w:id="669"/>
      <w:bookmarkEnd w:id="670"/>
    </w:p>
    <w:p w14:paraId="6F365908">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71" w:name="_Toc18032"/>
      <w:bookmarkStart w:id="672" w:name="_Toc41476842"/>
      <w:r>
        <w:rPr>
          <w:rFonts w:hint="default" w:ascii="Times New Roman" w:hAnsi="Times New Roman" w:eastAsia="宋体" w:cs="Times New Roman"/>
          <w:color w:val="auto"/>
          <w:highlight w:val="none"/>
        </w:rPr>
        <w:t>7.4.1防治原则</w:t>
      </w:r>
      <w:bookmarkEnd w:id="671"/>
      <w:bookmarkEnd w:id="672"/>
    </w:p>
    <w:p w14:paraId="5DBCFB3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地下水及土壤污染防治措施坚持“源头控制、末端防治、污染监控、应急响应相结合”的原则，即采取主动控制和被动控制相结合的措施。</w:t>
      </w:r>
    </w:p>
    <w:p w14:paraId="7A29A25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（1）主动控制，即从源头控制措施，主要包括在危废暂存间、</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采取相应措施，防止和降低污染物跑、冒、滴、漏，将污染物泄漏的环境风险事故降到最低程度。</w:t>
      </w:r>
    </w:p>
    <w:p w14:paraId="5A25B6F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被动控制，即末端控制措施，主要包括场内污染区地面的防渗措施和泄漏、渗漏污染物收集措施，即在污染区地面进行防渗处理，防止洒落地面的污染物渗入地下，并把滞留在地面的污染物收集起来，按规范妥善处置。</w:t>
      </w:r>
    </w:p>
    <w:p w14:paraId="38D2F71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（3）实施重点区域地下水污染监控系统，包括建立完善的监测制度，科学、合理场区地下水下游（</w:t>
      </w:r>
      <w:r>
        <w:rPr>
          <w:rFonts w:hint="default" w:ascii="Times New Roman" w:hAnsi="Times New Roman" w:eastAsia="宋体" w:cs="Times New Roman"/>
          <w:color w:val="auto"/>
          <w:highlight w:val="none"/>
          <w:lang w:eastAsia="zh-CN"/>
        </w:rPr>
        <w:t>场区南侧</w:t>
      </w:r>
      <w:r>
        <w:rPr>
          <w:rFonts w:hint="default" w:ascii="Times New Roman" w:hAnsi="Times New Roman" w:eastAsia="宋体" w:cs="Times New Roman"/>
          <w:color w:val="auto"/>
          <w:highlight w:val="none"/>
        </w:rPr>
        <w:t>）设置1个地下水监控井</w:t>
      </w:r>
      <w:r>
        <w:rPr>
          <w:rFonts w:hint="default" w:ascii="Times New Roman" w:hAnsi="Times New Roman" w:eastAsia="宋体" w:cs="Times New Roman"/>
          <w:color w:val="auto"/>
          <w:highlight w:val="none"/>
          <w:lang w:eastAsia="zh-CN"/>
        </w:rPr>
        <w:t>（坐标：N41°07'03"；E108°55'54"）</w:t>
      </w:r>
      <w:r>
        <w:rPr>
          <w:rFonts w:hint="default" w:ascii="Times New Roman" w:hAnsi="Times New Roman" w:eastAsia="宋体" w:cs="Times New Roman"/>
          <w:color w:val="auto"/>
          <w:highlight w:val="none"/>
        </w:rPr>
        <w:t>，及时发现污染、及时控制。</w:t>
      </w:r>
    </w:p>
    <w:p w14:paraId="550A92C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（4）应急响应措施，包括一旦发现地下水、土壤污染事故，立即启动应急预案、采取应急措施控制地下水、土壤污染，并使污染得到治理。</w:t>
      </w:r>
    </w:p>
    <w:p w14:paraId="0B0E122F">
      <w:pPr>
        <w:pStyle w:val="6"/>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outlineLvl w:val="1"/>
        <w:rPr>
          <w:rFonts w:hint="default" w:ascii="Times New Roman" w:hAnsi="Times New Roman" w:eastAsia="宋体" w:cs="Times New Roman"/>
          <w:color w:val="auto"/>
          <w:highlight w:val="none"/>
        </w:rPr>
      </w:pPr>
      <w:bookmarkStart w:id="673" w:name="_Toc41476843"/>
      <w:bookmarkStart w:id="674" w:name="_Toc11094"/>
      <w:r>
        <w:rPr>
          <w:rFonts w:hint="default" w:ascii="Times New Roman" w:hAnsi="Times New Roman" w:eastAsia="宋体" w:cs="Times New Roman"/>
          <w:color w:val="auto"/>
          <w:highlight w:val="none"/>
        </w:rPr>
        <w:t>7.4.2污染物控制对策</w:t>
      </w:r>
      <w:bookmarkEnd w:id="673"/>
      <w:bookmarkEnd w:id="674"/>
    </w:p>
    <w:p w14:paraId="48947CD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按照“源头控制、分区防控、污染监控、应急响应”原则，按照分区防控原则，拟建项目所在地分重点防渗区、一般防渗区和简单防渗区。为了防止地下水和土壤受到污染，采取的主要地下水防治措施如下：</w:t>
      </w:r>
    </w:p>
    <w:p w14:paraId="787A2F33">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7.4.2.1源头控制措施</w:t>
      </w:r>
    </w:p>
    <w:p w14:paraId="27DDB7AE">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项目运营后应加强管理，主要包括在</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区域，降低和防止污染物跑、冒、滴、漏，将污染物泄漏的环境风险事故降到最低程度，把工程分析中提到的各项废水利用措施落实到位，避免事故排放对地下水造成污染。</w:t>
      </w:r>
    </w:p>
    <w:p w14:paraId="7FBED4C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本次评价提出如下要求：</w:t>
      </w:r>
    </w:p>
    <w:p w14:paraId="77B9B11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1）场区任何废水皆禁止排入地下水中。</w:t>
      </w:r>
    </w:p>
    <w:p w14:paraId="55702FCF">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2）将拟建场区采取分区防渗，全厂根据不同区域潜在地下水污染风险性大小划分为：重点防渗区、一般防渗区和简单防渗区。</w:t>
      </w:r>
    </w:p>
    <w:p w14:paraId="1893E4B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3）在拟建场区可能发生泄漏的装置下游布置1口地下水跟踪监测井，进行地下水污染监测，发现泄漏及时切断泄漏源，</w:t>
      </w:r>
      <w:r>
        <w:rPr>
          <w:rFonts w:hint="default" w:ascii="Times New Roman" w:hAnsi="Times New Roman" w:eastAsia="宋体" w:cs="Times New Roman"/>
          <w:color w:val="auto"/>
          <w:highlight w:val="none"/>
          <w:lang w:eastAsia="zh-CN"/>
        </w:rPr>
        <w:t>减少</w:t>
      </w:r>
      <w:r>
        <w:rPr>
          <w:rFonts w:hint="default" w:ascii="Times New Roman" w:hAnsi="Times New Roman" w:eastAsia="宋体" w:cs="Times New Roman"/>
          <w:color w:val="auto"/>
          <w:highlight w:val="none"/>
        </w:rPr>
        <w:t>向地下水中的泄漏量。</w:t>
      </w:r>
    </w:p>
    <w:p w14:paraId="2E397A9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）采用雨污分流自流式排水，道路雨水采用自流式排水，经过雨水管道排入养殖场排水沟，沿道路排水沟排出，最终排放至场区外。</w:t>
      </w:r>
    </w:p>
    <w:p w14:paraId="012DD56B">
      <w:pPr>
        <w:pStyle w:val="7"/>
        <w:pageBreakBefore w:val="0"/>
        <w:widowControl w:val="0"/>
        <w:shd w:val="clear"/>
        <w:kinsoku/>
        <w:wordWrap/>
        <w:overflowPunct/>
        <w:topLinePunct/>
        <w:autoSpaceDE w:val="0"/>
        <w:autoSpaceDN/>
        <w:bidi w:val="0"/>
        <w:adjustRightInd/>
        <w:snapToGrid w:val="0"/>
        <w:spacing w:before="0" w:after="0" w:line="360" w:lineRule="auto"/>
        <w:ind w:left="0" w:leftChars="0" w:right="0" w:righ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7.4.2.2分区防渗措施</w:t>
      </w:r>
    </w:p>
    <w:p w14:paraId="2E1E5BF7">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根据生产装置、辅助设施及公用工程可能泄漏</w:t>
      </w:r>
      <w:r>
        <w:rPr>
          <w:rFonts w:hint="default" w:ascii="Times New Roman" w:hAnsi="Times New Roman" w:eastAsia="宋体" w:cs="Times New Roman"/>
          <w:color w:val="auto"/>
          <w:highlight w:val="none"/>
          <w:lang w:eastAsia="zh-CN"/>
        </w:rPr>
        <w:t>的特殊</w:t>
      </w:r>
      <w:r>
        <w:rPr>
          <w:rFonts w:hint="default" w:ascii="Times New Roman" w:hAnsi="Times New Roman" w:eastAsia="宋体" w:cs="Times New Roman"/>
          <w:color w:val="auto"/>
          <w:highlight w:val="none"/>
        </w:rPr>
        <w:t>性质将项目区分为重点污染防治区、一般污染防治区和非污染防治区。为防止运营过程对地下水造成污染，在工程设计中，将分区对场区内防渗漏设施进行建设。主要考虑重点污染防治区和一般污染防治区，分别采取不同等级防渗方案：</w:t>
      </w:r>
    </w:p>
    <w:p w14:paraId="5C697BDB">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重点防渗区</w:t>
      </w:r>
    </w:p>
    <w:p w14:paraId="6D6B2574">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重点污染防治区指位于地下或者半地下的生产功能单元，污染地下水环境的污染物泄漏后不容易被及时发现或处理的区域/部位，该区域采取严格的防腐、防渗措施，重点污染防治区包括</w:t>
      </w:r>
      <w:r>
        <w:rPr>
          <w:rFonts w:hint="default" w:ascii="Times New Roman" w:hAnsi="Times New Roman" w:eastAsia="宋体" w:cs="Times New Roman"/>
          <w:color w:val="auto"/>
          <w:highlight w:val="none"/>
          <w:lang w:val="zh-CN"/>
        </w:rPr>
        <w:t>危废暂存间等</w:t>
      </w:r>
      <w:r>
        <w:rPr>
          <w:rFonts w:hint="default" w:ascii="Times New Roman" w:hAnsi="Times New Roman" w:eastAsia="宋体" w:cs="Times New Roman"/>
          <w:color w:val="auto"/>
          <w:highlight w:val="none"/>
        </w:rPr>
        <w:t>，避免</w:t>
      </w:r>
      <w:r>
        <w:rPr>
          <w:rFonts w:hint="default" w:ascii="Times New Roman" w:hAnsi="Times New Roman" w:eastAsia="宋体" w:cs="Times New Roman"/>
          <w:color w:val="auto"/>
          <w:highlight w:val="none"/>
          <w:lang w:eastAsia="zh-CN"/>
        </w:rPr>
        <w:t>泄漏</w:t>
      </w:r>
      <w:r>
        <w:rPr>
          <w:rFonts w:hint="default" w:ascii="Times New Roman" w:hAnsi="Times New Roman" w:eastAsia="宋体" w:cs="Times New Roman"/>
          <w:color w:val="auto"/>
          <w:highlight w:val="none"/>
        </w:rPr>
        <w:t>对地下水造成污染，防渗技术要求为渗透系数≤1.0×10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w:t>
      </w:r>
    </w:p>
    <w:p w14:paraId="61099135">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一般防渗区</w:t>
      </w:r>
    </w:p>
    <w:p w14:paraId="27FCE51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一般防渗区包括</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等，渗透系数按照≤1.0×10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cm/s建设。</w:t>
      </w:r>
    </w:p>
    <w:p w14:paraId="4350A361">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简单防渗区</w:t>
      </w:r>
    </w:p>
    <w:p w14:paraId="0F72B07D">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主要为</w:t>
      </w:r>
      <w:r>
        <w:rPr>
          <w:rFonts w:hint="default" w:ascii="Times New Roman" w:hAnsi="Times New Roman" w:eastAsia="宋体" w:cs="Times New Roman"/>
          <w:color w:val="auto"/>
          <w:highlight w:val="none"/>
          <w:lang w:val="en-US" w:eastAsia="zh-CN"/>
        </w:rPr>
        <w:t>草棚、</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场区道路、</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饲料通道、运输道路单元，采取水泥</w:t>
      </w:r>
      <w:r>
        <w:rPr>
          <w:rFonts w:hint="default" w:ascii="Times New Roman" w:hAnsi="Times New Roman" w:eastAsia="宋体" w:cs="Times New Roman"/>
          <w:color w:val="auto"/>
          <w:highlight w:val="none"/>
          <w:lang w:eastAsia="zh-CN"/>
        </w:rPr>
        <w:t>混凝土</w:t>
      </w:r>
      <w:r>
        <w:rPr>
          <w:rFonts w:hint="default" w:ascii="Times New Roman" w:hAnsi="Times New Roman" w:eastAsia="宋体" w:cs="Times New Roman"/>
          <w:color w:val="auto"/>
          <w:highlight w:val="none"/>
        </w:rPr>
        <w:t>硬化处理，采用粘土铺底，再在上层铺15～20cm厚抗渗</w:t>
      </w:r>
      <w:r>
        <w:rPr>
          <w:rFonts w:hint="default" w:ascii="Times New Roman" w:hAnsi="Times New Roman" w:eastAsia="宋体" w:cs="Times New Roman"/>
          <w:color w:val="auto"/>
          <w:highlight w:val="none"/>
          <w:lang w:eastAsia="zh-CN"/>
        </w:rPr>
        <w:t>混凝土</w:t>
      </w:r>
      <w:r>
        <w:rPr>
          <w:rFonts w:hint="default" w:ascii="Times New Roman" w:hAnsi="Times New Roman" w:eastAsia="宋体" w:cs="Times New Roman"/>
          <w:color w:val="auto"/>
          <w:highlight w:val="none"/>
        </w:rPr>
        <w:t>硬化的要求建设。</w:t>
      </w:r>
    </w:p>
    <w:p w14:paraId="3E2FA03C">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非防渗区</w:t>
      </w:r>
    </w:p>
    <w:p w14:paraId="44BFEE80">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非污染防治区指没有物料或污染物泄漏，不会对地下水环境造成污染的区域或部位，主要包括场区内绿化带、</w:t>
      </w:r>
      <w:r>
        <w:rPr>
          <w:rFonts w:hint="default" w:ascii="Times New Roman" w:hAnsi="Times New Roman" w:eastAsia="宋体" w:cs="Times New Roman"/>
          <w:color w:val="auto"/>
          <w:highlight w:val="none"/>
          <w:lang w:eastAsia="zh-CN"/>
        </w:rPr>
        <w:t>办公区</w:t>
      </w:r>
      <w:r>
        <w:rPr>
          <w:rFonts w:hint="default" w:ascii="Times New Roman" w:hAnsi="Times New Roman" w:eastAsia="宋体" w:cs="Times New Roman"/>
          <w:color w:val="auto"/>
          <w:highlight w:val="none"/>
        </w:rPr>
        <w:t>域等。</w:t>
      </w:r>
    </w:p>
    <w:p w14:paraId="14EF6FC6">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防渗参照的标准和规范，结合目前施工过程中的可操作性和技术水平，针对不同的防渗区域采用典型的防渗措施如下，在具体设计中应根据实际情况在满足防渗标准的前提下做必要的调整。本次评价所涉及的设计防渗分区的具体防渗要求如下，见表7.4-1。</w:t>
      </w:r>
    </w:p>
    <w:p w14:paraId="6DC2959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bookmarkStart w:id="675" w:name="_Hlk46587433"/>
      <w:r>
        <w:rPr>
          <w:rFonts w:hint="default" w:ascii="Times New Roman" w:hAnsi="Times New Roman" w:eastAsia="宋体" w:cs="Times New Roman"/>
          <w:color w:val="auto"/>
          <w:sz w:val="24"/>
          <w:szCs w:val="24"/>
          <w:highlight w:val="none"/>
        </w:rPr>
        <w:t>表7.4-1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本项目地下水分区防渗表</w:t>
      </w:r>
    </w:p>
    <w:tbl>
      <w:tblPr>
        <w:tblStyle w:val="42"/>
        <w:tblW w:w="827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556"/>
        <w:gridCol w:w="442"/>
        <w:gridCol w:w="1160"/>
        <w:gridCol w:w="3790"/>
        <w:gridCol w:w="2329"/>
      </w:tblGrid>
      <w:tr w14:paraId="1FCD924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56" w:type="dxa"/>
            <w:tcBorders>
              <w:top w:val="single" w:color="auto" w:sz="4" w:space="0"/>
              <w:left w:val="single" w:color="auto" w:sz="4" w:space="0"/>
              <w:bottom w:val="single" w:color="auto" w:sz="4" w:space="0"/>
              <w:right w:val="single" w:color="auto" w:sz="4" w:space="0"/>
            </w:tcBorders>
            <w:vAlign w:val="center"/>
          </w:tcPr>
          <w:p w14:paraId="58FE4B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602" w:type="dxa"/>
            <w:gridSpan w:val="2"/>
            <w:tcBorders>
              <w:top w:val="single" w:color="auto" w:sz="4" w:space="0"/>
              <w:left w:val="single" w:color="auto" w:sz="4" w:space="0"/>
              <w:bottom w:val="single" w:color="auto" w:sz="4" w:space="0"/>
              <w:right w:val="single" w:color="auto" w:sz="4" w:space="0"/>
            </w:tcBorders>
            <w:vAlign w:val="center"/>
          </w:tcPr>
          <w:p w14:paraId="7612C6D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防渗项目</w:t>
            </w:r>
          </w:p>
        </w:tc>
        <w:tc>
          <w:tcPr>
            <w:tcW w:w="3790" w:type="dxa"/>
            <w:tcBorders>
              <w:top w:val="single" w:color="auto" w:sz="4" w:space="0"/>
              <w:left w:val="single" w:color="auto" w:sz="4" w:space="0"/>
              <w:bottom w:val="single" w:color="auto" w:sz="4" w:space="0"/>
              <w:right w:val="single" w:color="auto" w:sz="4" w:space="0"/>
            </w:tcBorders>
            <w:vAlign w:val="center"/>
          </w:tcPr>
          <w:p w14:paraId="14EB9D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具体做法及要求</w:t>
            </w:r>
          </w:p>
        </w:tc>
        <w:tc>
          <w:tcPr>
            <w:tcW w:w="2329" w:type="dxa"/>
            <w:tcBorders>
              <w:top w:val="single" w:color="auto" w:sz="4" w:space="0"/>
              <w:left w:val="single" w:color="auto" w:sz="4" w:space="0"/>
              <w:bottom w:val="single" w:color="auto" w:sz="4" w:space="0"/>
              <w:right w:val="single" w:color="auto" w:sz="4" w:space="0"/>
            </w:tcBorders>
            <w:vAlign w:val="center"/>
          </w:tcPr>
          <w:p w14:paraId="2F4DC6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参照标准</w:t>
            </w:r>
          </w:p>
        </w:tc>
      </w:tr>
      <w:tr w14:paraId="10C8350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56" w:type="dxa"/>
            <w:tcBorders>
              <w:top w:val="single" w:color="auto" w:sz="4" w:space="0"/>
              <w:left w:val="single" w:color="auto" w:sz="4" w:space="0"/>
              <w:bottom w:val="single" w:color="auto" w:sz="4" w:space="0"/>
              <w:right w:val="single" w:color="auto" w:sz="4" w:space="0"/>
            </w:tcBorders>
            <w:vAlign w:val="center"/>
          </w:tcPr>
          <w:p w14:paraId="25CA6C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442" w:type="dxa"/>
            <w:vMerge w:val="restart"/>
            <w:tcBorders>
              <w:top w:val="single" w:color="auto" w:sz="4" w:space="0"/>
              <w:left w:val="single" w:color="auto" w:sz="4" w:space="0"/>
              <w:bottom w:val="single" w:color="auto" w:sz="4" w:space="0"/>
              <w:right w:val="single" w:color="auto" w:sz="4" w:space="0"/>
            </w:tcBorders>
            <w:vAlign w:val="center"/>
          </w:tcPr>
          <w:p w14:paraId="085821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重点防渗区</w:t>
            </w:r>
          </w:p>
        </w:tc>
        <w:tc>
          <w:tcPr>
            <w:tcW w:w="1160" w:type="dxa"/>
            <w:vMerge w:val="restart"/>
            <w:tcBorders>
              <w:top w:val="single" w:color="auto" w:sz="4" w:space="0"/>
              <w:left w:val="single" w:color="auto" w:sz="4" w:space="0"/>
              <w:right w:val="single" w:color="auto" w:sz="4" w:space="0"/>
            </w:tcBorders>
            <w:vAlign w:val="center"/>
          </w:tcPr>
          <w:p w14:paraId="78C043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危废暂存间</w:t>
            </w:r>
          </w:p>
        </w:tc>
        <w:tc>
          <w:tcPr>
            <w:tcW w:w="3790" w:type="dxa"/>
            <w:vMerge w:val="restart"/>
            <w:tcBorders>
              <w:top w:val="single" w:color="auto" w:sz="4" w:space="0"/>
              <w:left w:val="single" w:color="auto" w:sz="4" w:space="0"/>
              <w:bottom w:val="single" w:color="auto" w:sz="4" w:space="0"/>
              <w:right w:val="single" w:color="auto" w:sz="4" w:space="0"/>
            </w:tcBorders>
            <w:vAlign w:val="center"/>
          </w:tcPr>
          <w:p w14:paraId="3CB17C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渗层为敷设不小于2mm的高密度聚氯乙烯（HDPE）人工防渗膜，膜上、膜下设置“长丝无纺土工布”保护层，并铺设不小于250mm的混凝土保护层避免人畜对土工膜的破坏。混凝土抗渗系数不应低于P8，或其他材料可满足渗透系数≤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p>
        </w:tc>
        <w:tc>
          <w:tcPr>
            <w:tcW w:w="2329" w:type="dxa"/>
            <w:vMerge w:val="restart"/>
            <w:tcBorders>
              <w:top w:val="single" w:color="auto" w:sz="4" w:space="0"/>
              <w:left w:val="single" w:color="auto" w:sz="4" w:space="0"/>
              <w:bottom w:val="single" w:color="auto" w:sz="4" w:space="0"/>
              <w:right w:val="single" w:color="auto" w:sz="4" w:space="0"/>
            </w:tcBorders>
            <w:vAlign w:val="center"/>
          </w:tcPr>
          <w:p w14:paraId="2F341DD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w:t>
            </w:r>
          </w:p>
        </w:tc>
      </w:tr>
      <w:tr w14:paraId="16B5569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56" w:type="dxa"/>
            <w:tcBorders>
              <w:top w:val="single" w:color="auto" w:sz="4" w:space="0"/>
              <w:left w:val="single" w:color="auto" w:sz="4" w:space="0"/>
              <w:bottom w:val="single" w:color="auto" w:sz="4" w:space="0"/>
              <w:right w:val="single" w:color="auto" w:sz="4" w:space="0"/>
            </w:tcBorders>
            <w:vAlign w:val="center"/>
          </w:tcPr>
          <w:p w14:paraId="063F65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442" w:type="dxa"/>
            <w:vMerge w:val="continue"/>
            <w:tcBorders>
              <w:top w:val="single" w:color="auto" w:sz="4" w:space="0"/>
              <w:left w:val="single" w:color="auto" w:sz="4" w:space="0"/>
              <w:bottom w:val="single" w:color="auto" w:sz="4" w:space="0"/>
              <w:right w:val="single" w:color="auto" w:sz="4" w:space="0"/>
            </w:tcBorders>
            <w:vAlign w:val="center"/>
          </w:tcPr>
          <w:p w14:paraId="04FBFA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160" w:type="dxa"/>
            <w:vMerge w:val="continue"/>
            <w:tcBorders>
              <w:left w:val="single" w:color="auto" w:sz="4" w:space="0"/>
              <w:bottom w:val="single" w:color="auto" w:sz="4" w:space="0"/>
              <w:right w:val="single" w:color="auto" w:sz="4" w:space="0"/>
            </w:tcBorders>
            <w:vAlign w:val="center"/>
          </w:tcPr>
          <w:p w14:paraId="2D62E2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790" w:type="dxa"/>
            <w:vMerge w:val="continue"/>
            <w:tcBorders>
              <w:top w:val="single" w:color="auto" w:sz="4" w:space="0"/>
              <w:left w:val="single" w:color="auto" w:sz="4" w:space="0"/>
              <w:bottom w:val="single" w:color="auto" w:sz="4" w:space="0"/>
              <w:right w:val="single" w:color="auto" w:sz="4" w:space="0"/>
            </w:tcBorders>
            <w:vAlign w:val="center"/>
          </w:tcPr>
          <w:p w14:paraId="4EB482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329" w:type="dxa"/>
            <w:vMerge w:val="continue"/>
            <w:tcBorders>
              <w:top w:val="single" w:color="auto" w:sz="4" w:space="0"/>
              <w:left w:val="single" w:color="auto" w:sz="4" w:space="0"/>
              <w:bottom w:val="single" w:color="auto" w:sz="4" w:space="0"/>
              <w:right w:val="single" w:color="auto" w:sz="4" w:space="0"/>
            </w:tcBorders>
            <w:vAlign w:val="center"/>
          </w:tcPr>
          <w:p w14:paraId="19ED7C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0F545C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56" w:type="dxa"/>
            <w:tcBorders>
              <w:top w:val="single" w:color="auto" w:sz="4" w:space="0"/>
              <w:left w:val="single" w:color="auto" w:sz="4" w:space="0"/>
              <w:bottom w:val="single" w:color="auto" w:sz="4" w:space="0"/>
              <w:right w:val="single" w:color="auto" w:sz="4" w:space="0"/>
            </w:tcBorders>
            <w:vAlign w:val="center"/>
          </w:tcPr>
          <w:p w14:paraId="0B858B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p>
        </w:tc>
        <w:tc>
          <w:tcPr>
            <w:tcW w:w="442" w:type="dxa"/>
            <w:tcBorders>
              <w:top w:val="single" w:color="auto" w:sz="4" w:space="0"/>
              <w:left w:val="single" w:color="auto" w:sz="4" w:space="0"/>
              <w:bottom w:val="single" w:color="auto" w:sz="4" w:space="0"/>
              <w:right w:val="single" w:color="auto" w:sz="4" w:space="0"/>
            </w:tcBorders>
            <w:vAlign w:val="center"/>
          </w:tcPr>
          <w:p w14:paraId="59A881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一般防渗区</w:t>
            </w:r>
          </w:p>
        </w:tc>
        <w:tc>
          <w:tcPr>
            <w:tcW w:w="1160" w:type="dxa"/>
            <w:tcBorders>
              <w:top w:val="single" w:color="auto" w:sz="4" w:space="0"/>
              <w:left w:val="single" w:color="auto" w:sz="4" w:space="0"/>
              <w:right w:val="single" w:color="auto" w:sz="4" w:space="0"/>
            </w:tcBorders>
            <w:vAlign w:val="center"/>
          </w:tcPr>
          <w:p w14:paraId="19A3BB6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、化粪池</w:t>
            </w:r>
          </w:p>
        </w:tc>
        <w:tc>
          <w:tcPr>
            <w:tcW w:w="3790" w:type="dxa"/>
            <w:tcBorders>
              <w:top w:val="single" w:color="auto" w:sz="4" w:space="0"/>
              <w:left w:val="single" w:color="auto" w:sz="4" w:space="0"/>
              <w:bottom w:val="single" w:color="auto" w:sz="4" w:space="0"/>
              <w:right w:val="single" w:color="auto" w:sz="4" w:space="0"/>
            </w:tcBorders>
            <w:vAlign w:val="center"/>
          </w:tcPr>
          <w:p w14:paraId="706119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防渗层为敷设不小于</w:t>
            </w:r>
            <w:r>
              <w:rPr>
                <w:rFonts w:hint="default"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mm的高密度聚氯乙烯（HDPE）人工防渗膜，膜上、膜下设置“长丝无纺土工布”保护层，并铺设不小于100mm的混凝土保护层，或其他材料可满足渗透系数≤</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tc>
        <w:tc>
          <w:tcPr>
            <w:tcW w:w="2329" w:type="dxa"/>
            <w:tcBorders>
              <w:top w:val="single" w:color="auto" w:sz="4" w:space="0"/>
              <w:left w:val="single" w:color="auto" w:sz="4" w:space="0"/>
              <w:bottom w:val="single" w:color="auto" w:sz="4" w:space="0"/>
              <w:right w:val="single" w:color="auto" w:sz="4" w:space="0"/>
            </w:tcBorders>
            <w:vAlign w:val="center"/>
          </w:tcPr>
          <w:p w14:paraId="3F3E79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具备“防渗、防雨、防溢”的三防措施，畜禽粪便的贮存相关要求，应具备防渗、通风、防雨的三防措施；雨污分流满足《畜禽养殖业污染防治技术规范》（HJ/T81-2001）要求</w:t>
            </w:r>
            <w:r>
              <w:rPr>
                <w:rFonts w:hint="default" w:ascii="Times New Roman" w:hAnsi="Times New Roman" w:eastAsia="宋体" w:cs="Times New Roman"/>
                <w:color w:val="auto"/>
                <w:sz w:val="21"/>
                <w:szCs w:val="21"/>
                <w:highlight w:val="none"/>
                <w:lang w:eastAsia="zh-CN"/>
              </w:rPr>
              <w:t>；</w:t>
            </w:r>
          </w:p>
          <w:p w14:paraId="7BE8C2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参照《一般工业固体废物贮存和填埋污染控制标准》（GB18599-2020）</w:t>
            </w:r>
          </w:p>
        </w:tc>
      </w:tr>
      <w:tr w14:paraId="613D44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56" w:type="dxa"/>
            <w:tcBorders>
              <w:top w:val="single" w:color="auto" w:sz="4" w:space="0"/>
              <w:left w:val="single" w:color="auto" w:sz="4" w:space="0"/>
              <w:bottom w:val="single" w:color="auto" w:sz="4" w:space="0"/>
              <w:right w:val="single" w:color="auto" w:sz="4" w:space="0"/>
            </w:tcBorders>
            <w:vAlign w:val="center"/>
          </w:tcPr>
          <w:p w14:paraId="7A1E1F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4</w:t>
            </w:r>
          </w:p>
        </w:tc>
        <w:tc>
          <w:tcPr>
            <w:tcW w:w="442" w:type="dxa"/>
            <w:tcBorders>
              <w:top w:val="single" w:color="auto" w:sz="4" w:space="0"/>
              <w:left w:val="single" w:color="auto" w:sz="4" w:space="0"/>
              <w:bottom w:val="single" w:color="auto" w:sz="4" w:space="0"/>
              <w:right w:val="single" w:color="auto" w:sz="4" w:space="0"/>
            </w:tcBorders>
            <w:vAlign w:val="center"/>
          </w:tcPr>
          <w:p w14:paraId="52E6EC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简单防渗区</w:t>
            </w:r>
          </w:p>
        </w:tc>
        <w:tc>
          <w:tcPr>
            <w:tcW w:w="1160" w:type="dxa"/>
            <w:tcBorders>
              <w:top w:val="single" w:color="auto" w:sz="4" w:space="0"/>
              <w:left w:val="single" w:color="auto" w:sz="4" w:space="0"/>
              <w:bottom w:val="single" w:color="auto" w:sz="4" w:space="0"/>
              <w:right w:val="single" w:color="auto" w:sz="4" w:space="0"/>
            </w:tcBorders>
            <w:vAlign w:val="center"/>
          </w:tcPr>
          <w:p w14:paraId="20A3B9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草棚、</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rPr>
              <w:t>、场区道路、</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饲料通道、运输道路</w:t>
            </w:r>
          </w:p>
        </w:tc>
        <w:tc>
          <w:tcPr>
            <w:tcW w:w="3790" w:type="dxa"/>
            <w:tcBorders>
              <w:top w:val="single" w:color="auto" w:sz="4" w:space="0"/>
              <w:left w:val="single" w:color="auto" w:sz="4" w:space="0"/>
              <w:bottom w:val="single" w:color="auto" w:sz="4" w:space="0"/>
              <w:right w:val="single" w:color="auto" w:sz="4" w:space="0"/>
            </w:tcBorders>
            <w:vAlign w:val="center"/>
          </w:tcPr>
          <w:p w14:paraId="324D6E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采取水泥硬化处理，采用粘土铺底，再在上层铺15～20cm厚抗渗水泥</w:t>
            </w:r>
            <w:r>
              <w:rPr>
                <w:rFonts w:hint="default" w:ascii="Times New Roman" w:hAnsi="Times New Roman" w:eastAsia="宋体" w:cs="Times New Roman"/>
                <w:color w:val="auto"/>
                <w:sz w:val="21"/>
                <w:szCs w:val="21"/>
                <w:highlight w:val="none"/>
                <w:lang w:eastAsia="zh-CN"/>
              </w:rPr>
              <w:t>混凝</w:t>
            </w:r>
            <w:r>
              <w:rPr>
                <w:rFonts w:hint="default" w:ascii="Times New Roman" w:hAnsi="Times New Roman" w:eastAsia="宋体" w:cs="Times New Roman"/>
                <w:color w:val="auto"/>
                <w:sz w:val="21"/>
                <w:szCs w:val="21"/>
                <w:highlight w:val="none"/>
              </w:rPr>
              <w:t>土硬化的要求</w:t>
            </w:r>
          </w:p>
        </w:tc>
        <w:tc>
          <w:tcPr>
            <w:tcW w:w="2329" w:type="dxa"/>
            <w:tcBorders>
              <w:top w:val="single" w:color="auto" w:sz="4" w:space="0"/>
              <w:left w:val="single" w:color="auto" w:sz="4" w:space="0"/>
              <w:bottom w:val="single" w:color="auto" w:sz="4" w:space="0"/>
              <w:right w:val="single" w:color="auto" w:sz="4" w:space="0"/>
            </w:tcBorders>
            <w:vAlign w:val="center"/>
          </w:tcPr>
          <w:p w14:paraId="052FC8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2D1EDD6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本项目的防渗要求如下：</w:t>
      </w:r>
    </w:p>
    <w:p w14:paraId="5FC382E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重点防渗区</w:t>
      </w:r>
    </w:p>
    <w:p w14:paraId="7982838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的建设应按照《危险废物贮存污染控制标准》（</w:t>
      </w:r>
      <w:r>
        <w:rPr>
          <w:rFonts w:hint="default" w:ascii="Times New Roman" w:hAnsi="Times New Roman" w:eastAsia="宋体" w:cs="Times New Roman"/>
          <w:color w:val="auto"/>
          <w:highlight w:val="none"/>
          <w:lang w:eastAsia="zh-CN"/>
        </w:rPr>
        <w:t>GB18597-2023</w:t>
      </w:r>
      <w:r>
        <w:rPr>
          <w:rFonts w:hint="default" w:ascii="Times New Roman" w:hAnsi="Times New Roman" w:eastAsia="宋体" w:cs="Times New Roman"/>
          <w:color w:val="auto"/>
          <w:highlight w:val="none"/>
        </w:rPr>
        <w:t>）、《医疗卫生机构医疗废物管理办法》和《危险废物污染防治技术政策》的要求设置，暂存间地面及裙角必须防渗，渗透系数</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1.0×10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w:t>
      </w:r>
    </w:p>
    <w:p w14:paraId="7C0B669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建设要求：</w:t>
      </w:r>
    </w:p>
    <w:p w14:paraId="0E55C77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1）贮存场所地面须</w:t>
      </w:r>
      <w:r>
        <w:rPr>
          <w:rFonts w:hint="default" w:ascii="Times New Roman" w:hAnsi="Times New Roman" w:eastAsia="宋体" w:cs="Times New Roman"/>
          <w:color w:val="auto"/>
          <w:highlight w:val="none"/>
          <w:lang w:eastAsia="zh-CN"/>
        </w:rPr>
        <w:t>做</w:t>
      </w:r>
      <w:r>
        <w:rPr>
          <w:rFonts w:hint="default" w:ascii="Times New Roman" w:hAnsi="Times New Roman" w:eastAsia="宋体" w:cs="Times New Roman"/>
          <w:color w:val="auto"/>
          <w:highlight w:val="none"/>
        </w:rPr>
        <w:t>硬化处理，以混凝土、砖</w:t>
      </w:r>
      <w:r>
        <w:rPr>
          <w:rFonts w:hint="default" w:ascii="Times New Roman" w:hAnsi="Times New Roman" w:eastAsia="宋体" w:cs="Times New Roman"/>
          <w:color w:val="auto"/>
          <w:highlight w:val="none"/>
          <w:lang w:eastAsia="zh-CN"/>
        </w:rPr>
        <w:t>，或</w:t>
      </w:r>
      <w:r>
        <w:rPr>
          <w:rFonts w:hint="default" w:ascii="Times New Roman" w:hAnsi="Times New Roman" w:eastAsia="宋体" w:cs="Times New Roman"/>
          <w:color w:val="auto"/>
          <w:highlight w:val="none"/>
        </w:rPr>
        <w:t>经过防止腐化处理的钢材料进行建设，地面敷设2mm厚HDPE膜进行防渗处理，以防止渗漏和腐蚀。存放液体性危险废物的贮存场所必须设计导流槽和收集井。场所需要密闭且有通风口。</w:t>
      </w:r>
    </w:p>
    <w:p w14:paraId="23A2C80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内四周如果不是水泥墙（主要指彩钢房搭建的危废贮存库）时，四周要做高50cm，宽12cm的围堰（门口处围堰根据企业情况，可以降低高度，以便于搬运废油桶出入库），并用水泥抹好。危废暂存间的地面与裙脚要用坚固、防渗的材料建造，建筑材料必须与危险废物相容。</w:t>
      </w:r>
    </w:p>
    <w:p w14:paraId="503AD69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3）建筑材料必须与危险废物相容，防止鸟类和昆虫进入，照明和通风效果好；不得建在食堂或准备食物区域附近或宿舍楼附近。</w:t>
      </w:r>
    </w:p>
    <w:p w14:paraId="443CECD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4）必须设置防风、防雨、防晒、防雷、防扬散、防流失、防渗漏、</w:t>
      </w:r>
      <w:r>
        <w:rPr>
          <w:rFonts w:hint="default" w:ascii="Times New Roman" w:hAnsi="Times New Roman" w:eastAsia="宋体" w:cs="Times New Roman"/>
          <w:color w:val="auto"/>
          <w:highlight w:val="none"/>
          <w:lang w:eastAsia="zh-CN"/>
        </w:rPr>
        <w:t>泄漏液体</w:t>
      </w:r>
      <w:r>
        <w:rPr>
          <w:rFonts w:hint="default" w:ascii="Times New Roman" w:hAnsi="Times New Roman" w:eastAsia="宋体" w:cs="Times New Roman"/>
          <w:color w:val="auto"/>
          <w:highlight w:val="none"/>
        </w:rPr>
        <w:t>收集等。</w:t>
      </w:r>
    </w:p>
    <w:p w14:paraId="3C70498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一般防渗区</w:t>
      </w:r>
    </w:p>
    <w:p w14:paraId="3745760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底部基础防渗具体做法为：防渗层为敷设不小于</w:t>
      </w:r>
      <w:r>
        <w:rPr>
          <w:rFonts w:hint="default" w:ascii="Times New Roman" w:hAnsi="Times New Roman" w:eastAsia="宋体" w:cs="Times New Roman"/>
          <w:color w:val="auto"/>
          <w:highlight w:val="none"/>
          <w:lang w:val="en-US" w:eastAsia="zh-CN"/>
        </w:rPr>
        <w:t>1.5</w:t>
      </w:r>
      <w:r>
        <w:rPr>
          <w:rFonts w:hint="default" w:ascii="Times New Roman" w:hAnsi="Times New Roman" w:eastAsia="宋体" w:cs="Times New Roman"/>
          <w:color w:val="auto"/>
          <w:highlight w:val="none"/>
        </w:rPr>
        <w:t>mm的高密度聚氯乙烯（HDPE）人工防渗膜，膜上、膜下设置“长丝无纺土工布”保护层，并铺设不小于100mm的混凝土保护层，或其他材料可满足渗透系数≤10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w:t>
      </w:r>
    </w:p>
    <w:p w14:paraId="7333C62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2）对</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、化粪池采取以下防渗措施：</w:t>
      </w:r>
    </w:p>
    <w:p w14:paraId="781E671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池底及坡道采用粘土找平，底部素土夯实，夯实层以上设20mm厚1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3水泥砂浆找平层，防渗层为敷设不小于</w:t>
      </w:r>
      <w:r>
        <w:rPr>
          <w:rFonts w:hint="default" w:ascii="Times New Roman" w:hAnsi="Times New Roman" w:eastAsia="宋体" w:cs="Times New Roman"/>
          <w:color w:val="auto"/>
          <w:highlight w:val="none"/>
          <w:lang w:val="en-US" w:eastAsia="zh-CN"/>
        </w:rPr>
        <w:t>1.5</w:t>
      </w:r>
      <w:r>
        <w:rPr>
          <w:rFonts w:hint="default" w:ascii="Times New Roman" w:hAnsi="Times New Roman" w:eastAsia="宋体" w:cs="Times New Roman"/>
          <w:color w:val="auto"/>
          <w:highlight w:val="none"/>
        </w:rPr>
        <w:t>mm的高密度聚氯乙烯（HDPE）人工防渗膜，膜上、膜下设置“长丝无纺土工布”保护层，并铺设不小于100mm的混凝土保护层，或其他材料可满足渗透系数≤10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w:t>
      </w:r>
    </w:p>
    <w:p w14:paraId="52761A4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简单防渗区</w:t>
      </w:r>
    </w:p>
    <w:p w14:paraId="019DE98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对于草棚、</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rPr>
        <w:t>、场区道路、</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饲料通道、运输道路等，铺设防渗混凝土地面进行防渗</w:t>
      </w:r>
      <w:r>
        <w:rPr>
          <w:rFonts w:hint="default" w:ascii="Times New Roman" w:hAnsi="Times New Roman" w:eastAsia="宋体" w:cs="Times New Roman"/>
          <w:color w:val="auto"/>
          <w:highlight w:val="none"/>
          <w:lang w:eastAsia="zh-CN"/>
        </w:rPr>
        <w:t>。</w:t>
      </w:r>
    </w:p>
    <w:bookmarkEnd w:id="675"/>
    <w:p w14:paraId="56B2C62B">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7.4.2.3地下水环境监测管理体系</w:t>
      </w:r>
    </w:p>
    <w:p w14:paraId="7CF6B23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建立地下水环境监测管理体系，包括制定地下水环境影响跟踪监测计划、建立地下水环境影响跟踪监测制度，以便及时发现问题，采取措施。</w:t>
      </w:r>
    </w:p>
    <w:p w14:paraId="6A0FFF5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对场区防渗规范施工、加强管理可使发生废水渗漏的可能性降到最低，为将本场区建设对地下水环境造成的影响降到最低；对场区所在地周围的地下水水质进行监测，在场区周边布设污染监控井，定期监测，以便及时准确地反馈地下水水质状况。当监测出水质异常时，应当立即采取相关检修措施，对渗漏发生区域进行防渗修补，确保污染物不</w:t>
      </w:r>
      <w:r>
        <w:rPr>
          <w:rFonts w:hint="default" w:ascii="Times New Roman" w:hAnsi="Times New Roman" w:eastAsia="宋体" w:cs="Times New Roman"/>
          <w:color w:val="auto"/>
          <w:highlight w:val="none"/>
          <w:lang w:eastAsia="zh-CN"/>
        </w:rPr>
        <w:t>进入</w:t>
      </w:r>
      <w:r>
        <w:rPr>
          <w:rFonts w:hint="default" w:ascii="Times New Roman" w:hAnsi="Times New Roman" w:eastAsia="宋体" w:cs="Times New Roman"/>
          <w:color w:val="auto"/>
          <w:highlight w:val="none"/>
        </w:rPr>
        <w:t>地下水系统中，可有效降低渗漏产生的影响。</w:t>
      </w:r>
    </w:p>
    <w:p w14:paraId="215D21D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1）地下水监测原则</w:t>
      </w:r>
    </w:p>
    <w:p w14:paraId="136F831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0000FF"/>
          <w:highlight w:val="none"/>
        </w:rPr>
      </w:pPr>
      <w:r>
        <w:rPr>
          <w:rFonts w:hint="default" w:ascii="Times New Roman" w:hAnsi="Times New Roman" w:eastAsia="宋体" w:cs="Times New Roman"/>
          <w:color w:val="auto"/>
          <w:highlight w:val="none"/>
        </w:rPr>
        <w:t>水质检测项目参照《地下水质量标准》相关要求和潜在污染源特征污染因子确定。</w:t>
      </w:r>
    </w:p>
    <w:p w14:paraId="49FB545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0000FF"/>
          <w:highlight w:val="none"/>
        </w:rPr>
      </w:pPr>
      <w:r>
        <w:rPr>
          <w:rFonts w:hint="default" w:ascii="Times New Roman" w:hAnsi="Times New Roman" w:eastAsia="宋体" w:cs="Times New Roman"/>
          <w:color w:val="0000FF"/>
          <w:highlight w:val="none"/>
        </w:rPr>
        <w:t>2）跟踪监测</w:t>
      </w:r>
    </w:p>
    <w:p w14:paraId="148CD53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0000FF"/>
          <w:highlight w:val="none"/>
        </w:rPr>
        <w:t>1、监测点的布设：</w:t>
      </w:r>
      <w:r>
        <w:rPr>
          <w:rFonts w:hint="default" w:ascii="Times New Roman" w:hAnsi="Times New Roman" w:eastAsia="宋体" w:cs="Times New Roman"/>
          <w:color w:val="0000FF"/>
          <w:sz w:val="24"/>
          <w:szCs w:val="24"/>
          <w:highlight w:val="none"/>
        </w:rPr>
        <w:t>本项目</w:t>
      </w:r>
      <w:r>
        <w:rPr>
          <w:rFonts w:hint="default" w:ascii="Times New Roman" w:hAnsi="Times New Roman" w:eastAsia="宋体" w:cs="Times New Roman"/>
          <w:color w:val="0000FF"/>
          <w:sz w:val="24"/>
          <w:szCs w:val="24"/>
          <w:highlight w:val="none"/>
          <w:lang w:eastAsia="zh-CN"/>
        </w:rPr>
        <w:t>场区地下水下游（场区</w:t>
      </w:r>
      <w:r>
        <w:rPr>
          <w:rFonts w:hint="default" w:ascii="Times New Roman" w:hAnsi="Times New Roman" w:eastAsia="宋体" w:cs="Times New Roman"/>
          <w:color w:val="0000FF"/>
          <w:sz w:val="24"/>
          <w:szCs w:val="24"/>
          <w:highlight w:val="none"/>
          <w:lang w:val="en-US" w:eastAsia="zh-CN"/>
        </w:rPr>
        <w:t>东北</w:t>
      </w:r>
      <w:r>
        <w:rPr>
          <w:rFonts w:hint="default" w:ascii="Times New Roman" w:hAnsi="Times New Roman" w:eastAsia="宋体" w:cs="Times New Roman"/>
          <w:color w:val="0000FF"/>
          <w:sz w:val="24"/>
          <w:szCs w:val="24"/>
          <w:highlight w:val="none"/>
          <w:lang w:eastAsia="zh-CN"/>
        </w:rPr>
        <w:t>侧）设置</w:t>
      </w:r>
      <w:r>
        <w:rPr>
          <w:rFonts w:hint="default" w:ascii="Times New Roman" w:hAnsi="Times New Roman" w:eastAsia="宋体" w:cs="Times New Roman"/>
          <w:color w:val="0000FF"/>
          <w:sz w:val="24"/>
          <w:szCs w:val="24"/>
          <w:highlight w:val="none"/>
          <w:lang w:val="en-US" w:eastAsia="zh-CN"/>
        </w:rPr>
        <w:t>1个</w:t>
      </w:r>
      <w:r>
        <w:rPr>
          <w:rFonts w:hint="default" w:ascii="Times New Roman" w:hAnsi="Times New Roman" w:eastAsia="宋体" w:cs="Times New Roman"/>
          <w:color w:val="0000FF"/>
          <w:sz w:val="24"/>
          <w:szCs w:val="24"/>
          <w:highlight w:val="none"/>
        </w:rPr>
        <w:t>地下水监控井（坐标：108.382468918</w:t>
      </w:r>
      <w:r>
        <w:rPr>
          <w:rFonts w:hint="default"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lang w:eastAsia="zh-CN"/>
        </w:rPr>
        <w:t>，</w:t>
      </w:r>
      <w:r>
        <w:rPr>
          <w:rFonts w:hint="default" w:ascii="Times New Roman" w:hAnsi="Times New Roman" w:eastAsia="宋体" w:cs="Times New Roman"/>
          <w:color w:val="0000FF"/>
          <w:sz w:val="24"/>
          <w:szCs w:val="24"/>
          <w:highlight w:val="none"/>
        </w:rPr>
        <w:t>41.067777295</w:t>
      </w:r>
      <w:r>
        <w:rPr>
          <w:rFonts w:hint="default"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rPr>
        <w:t>），观</w:t>
      </w:r>
      <w:r>
        <w:rPr>
          <w:rFonts w:hint="default" w:ascii="Times New Roman" w:hAnsi="Times New Roman" w:eastAsia="宋体" w:cs="Times New Roman"/>
          <w:color w:val="0000FF"/>
          <w:highlight w:val="none"/>
        </w:rPr>
        <w:t>测井设置遵循溶质迁移的水流路径，兼顾考虑粪污处理单元位置，以便</w:t>
      </w:r>
      <w:r>
        <w:rPr>
          <w:rFonts w:hint="default" w:ascii="Times New Roman" w:hAnsi="Times New Roman" w:eastAsia="宋体" w:cs="Times New Roman"/>
          <w:color w:val="auto"/>
          <w:highlight w:val="none"/>
        </w:rPr>
        <w:t>一旦发生泄漏，可第一时间观测到地下水污染情况，并进行抽水，最大程度地减少地下水污染范围。地下水监测井布置功能及监测计划见表7.4-2。</w:t>
      </w:r>
    </w:p>
    <w:p w14:paraId="66915BE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表7.4-2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地下水监测孔相关参数</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365"/>
        <w:gridCol w:w="1580"/>
        <w:gridCol w:w="1580"/>
        <w:gridCol w:w="949"/>
        <w:gridCol w:w="950"/>
        <w:gridCol w:w="1147"/>
        <w:gridCol w:w="1706"/>
      </w:tblGrid>
      <w:tr w14:paraId="612D8B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3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5B5C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编号</w:t>
            </w:r>
          </w:p>
        </w:tc>
        <w:tc>
          <w:tcPr>
            <w:tcW w:w="1580" w:type="dxa"/>
            <w:vMerge w:val="restart"/>
            <w:tcBorders>
              <w:top w:val="single" w:color="auto" w:sz="4" w:space="0"/>
              <w:left w:val="single" w:color="auto" w:sz="4" w:space="0"/>
              <w:bottom w:val="single" w:color="auto" w:sz="4" w:space="0"/>
              <w:right w:val="single" w:color="auto" w:sz="4" w:space="0"/>
            </w:tcBorders>
            <w:vAlign w:val="center"/>
          </w:tcPr>
          <w:p w14:paraId="2FFDC9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经度</w:t>
            </w:r>
          </w:p>
        </w:tc>
        <w:tc>
          <w:tcPr>
            <w:tcW w:w="1580" w:type="dxa"/>
            <w:vMerge w:val="restart"/>
            <w:tcBorders>
              <w:top w:val="single" w:color="auto" w:sz="4" w:space="0"/>
              <w:left w:val="single" w:color="auto" w:sz="4" w:space="0"/>
              <w:bottom w:val="single" w:color="auto" w:sz="4" w:space="0"/>
              <w:right w:val="single" w:color="auto" w:sz="4" w:space="0"/>
            </w:tcBorders>
            <w:vAlign w:val="center"/>
          </w:tcPr>
          <w:p w14:paraId="559D70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纬度</w:t>
            </w:r>
          </w:p>
        </w:tc>
        <w:tc>
          <w:tcPr>
            <w:tcW w:w="9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F4FC9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井深（m）</w:t>
            </w:r>
          </w:p>
        </w:tc>
        <w:tc>
          <w:tcPr>
            <w:tcW w:w="950" w:type="dxa"/>
            <w:vMerge w:val="restart"/>
            <w:tcBorders>
              <w:top w:val="single" w:color="auto" w:sz="4" w:space="0"/>
              <w:left w:val="single" w:color="auto" w:sz="4" w:space="0"/>
              <w:bottom w:val="single" w:color="auto" w:sz="4" w:space="0"/>
              <w:right w:val="single" w:color="auto" w:sz="4" w:space="0"/>
            </w:tcBorders>
            <w:vAlign w:val="center"/>
          </w:tcPr>
          <w:p w14:paraId="1A6BDA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监测层位</w:t>
            </w:r>
          </w:p>
        </w:tc>
        <w:tc>
          <w:tcPr>
            <w:tcW w:w="1147" w:type="dxa"/>
            <w:vMerge w:val="restart"/>
            <w:tcBorders>
              <w:top w:val="single" w:color="auto" w:sz="4" w:space="0"/>
              <w:left w:val="single" w:color="auto" w:sz="4" w:space="0"/>
              <w:bottom w:val="single" w:color="auto" w:sz="4" w:space="0"/>
              <w:right w:val="single" w:color="auto" w:sz="4" w:space="0"/>
            </w:tcBorders>
            <w:vAlign w:val="center"/>
          </w:tcPr>
          <w:p w14:paraId="2ECE34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监测功能</w:t>
            </w:r>
          </w:p>
        </w:tc>
        <w:tc>
          <w:tcPr>
            <w:tcW w:w="1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EAB82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备注</w:t>
            </w:r>
          </w:p>
        </w:tc>
      </w:tr>
      <w:tr w14:paraId="6408FD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B569C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267145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285AD0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949" w:type="dxa"/>
            <w:vMerge w:val="continue"/>
            <w:tcBorders>
              <w:top w:val="single" w:color="auto" w:sz="4" w:space="0"/>
              <w:left w:val="single" w:color="auto" w:sz="4" w:space="0"/>
              <w:bottom w:val="single" w:color="auto" w:sz="4" w:space="0"/>
              <w:right w:val="single" w:color="auto" w:sz="4" w:space="0"/>
            </w:tcBorders>
            <w:vAlign w:val="center"/>
          </w:tcPr>
          <w:p w14:paraId="6B7821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950" w:type="dxa"/>
            <w:vMerge w:val="continue"/>
            <w:tcBorders>
              <w:top w:val="single" w:color="auto" w:sz="4" w:space="0"/>
              <w:left w:val="single" w:color="auto" w:sz="4" w:space="0"/>
              <w:bottom w:val="single" w:color="auto" w:sz="4" w:space="0"/>
              <w:right w:val="single" w:color="auto" w:sz="4" w:space="0"/>
            </w:tcBorders>
            <w:vAlign w:val="center"/>
          </w:tcPr>
          <w:p w14:paraId="7163DC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1147" w:type="dxa"/>
            <w:vMerge w:val="continue"/>
            <w:tcBorders>
              <w:top w:val="single" w:color="auto" w:sz="4" w:space="0"/>
              <w:left w:val="single" w:color="auto" w:sz="4" w:space="0"/>
              <w:bottom w:val="single" w:color="auto" w:sz="4" w:space="0"/>
              <w:right w:val="single" w:color="auto" w:sz="4" w:space="0"/>
            </w:tcBorders>
            <w:vAlign w:val="center"/>
          </w:tcPr>
          <w:p w14:paraId="609EE7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5997C45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p>
        </w:tc>
      </w:tr>
      <w:tr w14:paraId="517A1D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365" w:type="dxa"/>
            <w:tcBorders>
              <w:top w:val="single" w:color="auto" w:sz="4" w:space="0"/>
              <w:left w:val="single" w:color="auto" w:sz="4" w:space="0"/>
              <w:bottom w:val="single" w:color="auto" w:sz="4" w:space="0"/>
              <w:right w:val="single" w:color="auto" w:sz="4" w:space="0"/>
            </w:tcBorders>
            <w:shd w:val="clear" w:color="auto" w:fill="auto"/>
            <w:vAlign w:val="center"/>
          </w:tcPr>
          <w:p w14:paraId="3F6629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J1</w:t>
            </w:r>
          </w:p>
        </w:tc>
        <w:tc>
          <w:tcPr>
            <w:tcW w:w="1580" w:type="dxa"/>
            <w:tcBorders>
              <w:top w:val="single" w:color="auto" w:sz="4" w:space="0"/>
              <w:left w:val="single" w:color="auto" w:sz="4" w:space="0"/>
              <w:bottom w:val="single" w:color="auto" w:sz="4" w:space="0"/>
              <w:right w:val="single" w:color="auto" w:sz="4" w:space="0"/>
            </w:tcBorders>
            <w:vAlign w:val="center"/>
          </w:tcPr>
          <w:p w14:paraId="09FE0C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0"/>
                <w:highlight w:val="none"/>
                <w:lang w:eastAsia="zh-CN"/>
              </w:rPr>
            </w:pPr>
            <w:r>
              <w:rPr>
                <w:rFonts w:hint="default" w:ascii="Times New Roman" w:hAnsi="Times New Roman" w:eastAsia="宋体" w:cs="Times New Roman"/>
                <w:color w:val="0000FF"/>
                <w:sz w:val="21"/>
                <w:szCs w:val="20"/>
                <w:highlight w:val="none"/>
                <w:lang w:eastAsia="zh-CN"/>
              </w:rPr>
              <w:t>E108.382468918°</w:t>
            </w:r>
          </w:p>
        </w:tc>
        <w:tc>
          <w:tcPr>
            <w:tcW w:w="1580" w:type="dxa"/>
            <w:tcBorders>
              <w:top w:val="single" w:color="auto" w:sz="4" w:space="0"/>
              <w:left w:val="single" w:color="auto" w:sz="4" w:space="0"/>
              <w:bottom w:val="single" w:color="auto" w:sz="4" w:space="0"/>
              <w:right w:val="single" w:color="auto" w:sz="4" w:space="0"/>
            </w:tcBorders>
            <w:vAlign w:val="center"/>
          </w:tcPr>
          <w:p w14:paraId="1A2D8A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FF"/>
                <w:sz w:val="21"/>
                <w:szCs w:val="20"/>
                <w:highlight w:val="none"/>
              </w:rPr>
            </w:pPr>
            <w:r>
              <w:rPr>
                <w:rFonts w:hint="default" w:ascii="Times New Roman" w:hAnsi="Times New Roman" w:eastAsia="宋体" w:cs="Times New Roman"/>
                <w:color w:val="0000FF"/>
                <w:sz w:val="21"/>
                <w:szCs w:val="20"/>
                <w:highlight w:val="none"/>
              </w:rPr>
              <w:t>41.067777295°</w:t>
            </w:r>
          </w:p>
        </w:tc>
        <w:tc>
          <w:tcPr>
            <w:tcW w:w="949" w:type="dxa"/>
            <w:tcBorders>
              <w:top w:val="single" w:color="auto" w:sz="4" w:space="0"/>
              <w:left w:val="single" w:color="auto" w:sz="4" w:space="0"/>
              <w:bottom w:val="single" w:color="auto" w:sz="4" w:space="0"/>
              <w:right w:val="single" w:color="auto" w:sz="4" w:space="0"/>
            </w:tcBorders>
            <w:shd w:val="clear" w:color="auto" w:fill="auto"/>
            <w:vAlign w:val="center"/>
          </w:tcPr>
          <w:p w14:paraId="5B8929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lang w:val="en-US"/>
              </w:rPr>
            </w:pPr>
            <w:r>
              <w:rPr>
                <w:rFonts w:hint="default" w:ascii="Times New Roman" w:hAnsi="Times New Roman" w:eastAsia="宋体" w:cs="Times New Roman"/>
                <w:color w:val="auto"/>
                <w:sz w:val="21"/>
                <w:szCs w:val="20"/>
                <w:highlight w:val="none"/>
                <w:lang w:val="en-US" w:eastAsia="zh-CN"/>
              </w:rPr>
              <w:t>19</w:t>
            </w:r>
          </w:p>
        </w:tc>
        <w:tc>
          <w:tcPr>
            <w:tcW w:w="950" w:type="dxa"/>
            <w:tcBorders>
              <w:top w:val="single" w:color="auto" w:sz="4" w:space="0"/>
              <w:left w:val="single" w:color="auto" w:sz="4" w:space="0"/>
              <w:bottom w:val="single" w:color="auto" w:sz="4" w:space="0"/>
              <w:right w:val="single" w:color="auto" w:sz="4" w:space="0"/>
            </w:tcBorders>
            <w:vAlign w:val="center"/>
          </w:tcPr>
          <w:p w14:paraId="3AF48E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潜水含水层</w:t>
            </w:r>
          </w:p>
        </w:tc>
        <w:tc>
          <w:tcPr>
            <w:tcW w:w="1147" w:type="dxa"/>
            <w:tcBorders>
              <w:top w:val="single" w:color="auto" w:sz="4" w:space="0"/>
              <w:left w:val="single" w:color="auto" w:sz="4" w:space="0"/>
              <w:bottom w:val="single" w:color="auto" w:sz="4" w:space="0"/>
              <w:right w:val="single" w:color="auto" w:sz="4" w:space="0"/>
            </w:tcBorders>
            <w:vAlign w:val="center"/>
          </w:tcPr>
          <w:p w14:paraId="25BD6C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污染扩散监测点</w:t>
            </w:r>
          </w:p>
        </w:tc>
        <w:tc>
          <w:tcPr>
            <w:tcW w:w="1706" w:type="dxa"/>
            <w:tcBorders>
              <w:top w:val="single" w:color="auto" w:sz="4" w:space="0"/>
              <w:left w:val="single" w:color="auto" w:sz="4" w:space="0"/>
              <w:bottom w:val="single" w:color="auto" w:sz="4" w:space="0"/>
              <w:right w:val="single" w:color="auto" w:sz="4" w:space="0"/>
            </w:tcBorders>
            <w:shd w:val="clear" w:color="auto" w:fill="auto"/>
            <w:vAlign w:val="center"/>
          </w:tcPr>
          <w:p w14:paraId="3FC66F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监测可能产生的泄漏对下游潜水的污染</w:t>
            </w:r>
          </w:p>
        </w:tc>
      </w:tr>
    </w:tbl>
    <w:p w14:paraId="2AF8012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11A93F8B">
      <w:pPr>
        <w:pStyle w:val="19"/>
        <w:pageBreakBefore w:val="0"/>
        <w:shd w:val="clear"/>
        <w:kinsoku/>
        <w:wordWrap/>
        <w:bidi w:val="0"/>
        <w:snapToGrid w:val="0"/>
        <w:spacing w:after="0" w:line="360" w:lineRule="auto"/>
        <w:ind w:left="0" w:leftChars="0" w:right="0" w:rightChars="0" w:firstLine="0" w:firstLineChars="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4606925</wp:posOffset>
                </wp:positionH>
                <wp:positionV relativeFrom="paragraph">
                  <wp:posOffset>2202815</wp:posOffset>
                </wp:positionV>
                <wp:extent cx="690880" cy="389890"/>
                <wp:effectExtent l="4445" t="351155" r="9525" b="20955"/>
                <wp:wrapNone/>
                <wp:docPr id="75" name="自选图形 400"/>
                <wp:cNvGraphicFramePr/>
                <a:graphic xmlns:a="http://schemas.openxmlformats.org/drawingml/2006/main">
                  <a:graphicData uri="http://schemas.microsoft.com/office/word/2010/wordprocessingShape">
                    <wps:wsp>
                      <wps:cNvSpPr/>
                      <wps:spPr>
                        <a:xfrm>
                          <a:off x="0" y="0"/>
                          <a:ext cx="690880" cy="389890"/>
                        </a:xfrm>
                        <a:prstGeom prst="wedgeRectCallout">
                          <a:avLst>
                            <a:gd name="adj1" fmla="val -41636"/>
                            <a:gd name="adj2" fmla="val -134853"/>
                          </a:avLst>
                        </a:prstGeom>
                        <a:solidFill>
                          <a:srgbClr val="FFFFFF"/>
                        </a:solidFill>
                        <a:ln w="9525" cap="flat" cmpd="sng">
                          <a:solidFill>
                            <a:srgbClr val="000000"/>
                          </a:solidFill>
                          <a:prstDash val="solid"/>
                          <a:miter/>
                          <a:headEnd type="none" w="med" len="med"/>
                          <a:tailEnd type="none" w="med" len="med"/>
                        </a:ln>
                      </wps:spPr>
                      <wps:txbx>
                        <w:txbxContent>
                          <w:p w14:paraId="6E831E3A">
                            <w:pPr>
                              <w:ind w:left="0" w:leftChars="0" w:firstLine="0" w:firstLineChars="0"/>
                              <w:rPr>
                                <w:rFonts w:hint="eastAsia" w:eastAsia="宋体"/>
                                <w:lang w:eastAsia="zh-CN"/>
                              </w:rPr>
                            </w:pPr>
                            <w:r>
                              <w:rPr>
                                <w:rFonts w:hint="eastAsia"/>
                                <w:lang w:eastAsia="zh-CN"/>
                              </w:rPr>
                              <w:t>监控井</w:t>
                            </w:r>
                          </w:p>
                        </w:txbxContent>
                      </wps:txbx>
                      <wps:bodyPr upright="1"/>
                    </wps:wsp>
                  </a:graphicData>
                </a:graphic>
              </wp:anchor>
            </w:drawing>
          </mc:Choice>
          <mc:Fallback>
            <w:pict>
              <v:shape id="自选图形 400" o:spid="_x0000_s1026" o:spt="61" type="#_x0000_t61" style="position:absolute;left:0pt;margin-left:362.75pt;margin-top:173.45pt;height:30.7pt;width:54.4pt;z-index:251664384;mso-width-relative:page;mso-height-relative:page;" fillcolor="#FFFFFF" filled="t" stroked="t" coordsize="21600,21600" o:gfxdata="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b14kndAAAACwEAAA8AAAAAAAAAAQAgAAAAIgAA&#10;AGRycy9kb3ducmV2LnhtbFBLAQIUABQAAAAIAIdO4kCiG50WPAIAAJEEAAAOAAAAAAAAAAEAIAAA&#10;ACwBAABkcnMvZTJvRG9jLnhtbFBLBQYAAAAABgAGAFkBAADaBQAAAAA=&#10;" adj="1807,-18328">
                <v:fill on="t" focussize="0,0"/>
                <v:stroke color="#000000" joinstyle="miter"/>
                <v:imagedata o:title=""/>
                <o:lock v:ext="edit" aspectratio="f"/>
                <v:textbox>
                  <w:txbxContent>
                    <w:p w14:paraId="6E831E3A">
                      <w:pPr>
                        <w:ind w:left="0" w:leftChars="0" w:firstLine="0" w:firstLineChars="0"/>
                        <w:rPr>
                          <w:rFonts w:hint="eastAsia" w:eastAsia="宋体"/>
                          <w:lang w:eastAsia="zh-CN"/>
                        </w:rPr>
                      </w:pPr>
                      <w:r>
                        <w:rPr>
                          <w:rFonts w:hint="eastAsia"/>
                          <w:lang w:eastAsia="zh-CN"/>
                        </w:rPr>
                        <w:t>监控井</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4556125</wp:posOffset>
                </wp:positionH>
                <wp:positionV relativeFrom="paragraph">
                  <wp:posOffset>1802130</wp:posOffset>
                </wp:positionV>
                <wp:extent cx="107950" cy="107950"/>
                <wp:effectExtent l="4445" t="4445" r="20955" b="20955"/>
                <wp:wrapNone/>
                <wp:docPr id="73" name="椭圆 399"/>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9525" cap="flat" cmpd="sng">
                          <a:solidFill>
                            <a:srgbClr val="FF0000"/>
                          </a:solidFill>
                          <a:prstDash val="solid"/>
                          <a:headEnd type="none" w="med" len="med"/>
                          <a:tailEnd type="none" w="med" len="med"/>
                        </a:ln>
                      </wps:spPr>
                      <wps:txbx>
                        <w:txbxContent>
                          <w:p w14:paraId="7CEAD56F">
                            <w:pPr>
                              <w:jc w:val="center"/>
                            </w:pPr>
                          </w:p>
                        </w:txbxContent>
                      </wps:txbx>
                      <wps:bodyPr upright="1"/>
                    </wps:wsp>
                  </a:graphicData>
                </a:graphic>
              </wp:anchor>
            </w:drawing>
          </mc:Choice>
          <mc:Fallback>
            <w:pict>
              <v:shape id="椭圆 399" o:spid="_x0000_s1026" o:spt="3" type="#_x0000_t3" style="position:absolute;left:0pt;margin-left:358.75pt;margin-top:141.9pt;height:8.5pt;width:8.5pt;z-index:251663360;mso-width-relative:page;mso-height-relative:page;" fillcolor="#FF0000" filled="t" stroked="t" coordsize="21600,21600" o:gfxdata="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VA9BdgAAAALAQAADwAAAAAAAAABACAAAAAiAAAAZHJzL2Rvd25yZXYu&#10;eG1sUEsBAhQAFAAAAAgAh07iQFfcnM77AQAAJAQAAA4AAAAAAAAAAQAgAAAAJwEAAGRycy9lMm9E&#10;b2MueG1sUEsFBgAAAAAGAAYAWQEAAJQFAAAAAA==&#10;">
                <v:fill on="t" focussize="0,0"/>
                <v:stroke color="#FF0000" joinstyle="round"/>
                <v:imagedata o:title=""/>
                <o:lock v:ext="edit" aspectratio="f"/>
                <v:textbox>
                  <w:txbxContent>
                    <w:p w14:paraId="7CEAD56F">
                      <w:pPr>
                        <w:jc w:val="center"/>
                      </w:pPr>
                    </w:p>
                  </w:txbxContent>
                </v:textbox>
              </v:shape>
            </w:pict>
          </mc:Fallback>
        </mc:AlternateContent>
      </w:r>
      <w:r>
        <w:rPr>
          <w:rFonts w:hint="default" w:ascii="Times New Roman" w:hAnsi="Times New Roman" w:eastAsia="宋体" w:cs="Times New Roman"/>
          <w:color w:val="auto"/>
          <w:sz w:val="24"/>
          <w:highlight w:val="none"/>
        </w:rPr>
        <w:drawing>
          <wp:inline distT="0" distB="0" distL="114300" distR="114300">
            <wp:extent cx="7183120" cy="5255895"/>
            <wp:effectExtent l="0" t="0" r="17780" b="1905"/>
            <wp:docPr id="132" name="图片 132" descr="屏幕截图321213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屏幕截图32121323123"/>
                    <pic:cNvPicPr>
                      <a:picLocks noChangeAspect="1"/>
                    </pic:cNvPicPr>
                  </pic:nvPicPr>
                  <pic:blipFill>
                    <a:blip r:embed="rId87"/>
                    <a:stretch>
                      <a:fillRect/>
                    </a:stretch>
                  </pic:blipFill>
                  <pic:spPr>
                    <a:xfrm>
                      <a:off x="0" y="0"/>
                      <a:ext cx="7183120" cy="5255895"/>
                    </a:xfrm>
                    <a:prstGeom prst="rect">
                      <a:avLst/>
                    </a:prstGeom>
                  </pic:spPr>
                </pic:pic>
              </a:graphicData>
            </a:graphic>
          </wp:inline>
        </w:drawing>
      </w:r>
    </w:p>
    <w:p w14:paraId="7ADAEEC3">
      <w:pPr>
        <w:pStyle w:val="19"/>
        <w:pageBreakBefore w:val="0"/>
        <w:shd w:val="clear"/>
        <w:kinsoku/>
        <w:wordWrap/>
        <w:bidi w:val="0"/>
        <w:snapToGrid w:val="0"/>
        <w:spacing w:after="0"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图7.4-1地下水监控井布局示意图</w:t>
      </w:r>
    </w:p>
    <w:p w14:paraId="26DF866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2BE6CB4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2、监测层位及井深：监测潜水含水层，设计监测井深度为</w:t>
      </w:r>
      <w:r>
        <w:rPr>
          <w:rFonts w:hint="default" w:ascii="Times New Roman" w:hAnsi="Times New Roman" w:eastAsia="宋体" w:cs="Times New Roman"/>
          <w:color w:val="auto"/>
          <w:highlight w:val="none"/>
          <w:lang w:val="en-US" w:eastAsia="zh-CN"/>
        </w:rPr>
        <w:t>19</w:t>
      </w:r>
      <w:r>
        <w:rPr>
          <w:rFonts w:hint="default" w:ascii="Times New Roman" w:hAnsi="Times New Roman" w:eastAsia="宋体" w:cs="Times New Roman"/>
          <w:color w:val="auto"/>
          <w:highlight w:val="none"/>
        </w:rPr>
        <w:t>m，实际井深以现场施工为准。</w:t>
      </w:r>
    </w:p>
    <w:p w14:paraId="440F112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3、监测频率：投入使用前监测一次本底值，投入使用后，在正常工况下，每年监测1次，全年共监测</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次。发生事故后应加密监测，每周监测1次，直到污染消除。</w:t>
      </w:r>
    </w:p>
    <w:p w14:paraId="6B8F1F2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4、监测因子：根据场内污染物分析，污染源产生的污水特征，确定地下水监测项目为：</w:t>
      </w:r>
      <w:r>
        <w:rPr>
          <w:rFonts w:hint="default" w:ascii="Times New Roman" w:hAnsi="Times New Roman" w:eastAsia="宋体" w:cs="Times New Roman"/>
          <w:color w:val="auto"/>
          <w:kern w:val="0"/>
          <w:szCs w:val="21"/>
          <w:highlight w:val="none"/>
        </w:rPr>
        <w:t>pH、总硬度、耗氧量、硫酸盐、氯化物、硝酸盐、氨氮、亚硝酸盐、挥发性酚类、氰化物、氟、溶解性总固体、六价铬、砷、汞、铅、镉、铁、锰、</w:t>
      </w:r>
      <w:r>
        <w:rPr>
          <w:rFonts w:hint="default" w:ascii="Times New Roman" w:hAnsi="Times New Roman" w:eastAsia="宋体" w:cs="Times New Roman"/>
          <w:color w:val="auto"/>
          <w:kern w:val="0"/>
          <w:szCs w:val="21"/>
          <w:highlight w:val="none"/>
          <w:lang w:eastAsia="zh-CN"/>
        </w:rPr>
        <w:t>菌落总数</w:t>
      </w:r>
      <w:r>
        <w:rPr>
          <w:rFonts w:hint="default" w:ascii="Times New Roman" w:hAnsi="Times New Roman" w:eastAsia="宋体" w:cs="Times New Roman"/>
          <w:color w:val="auto"/>
          <w:kern w:val="0"/>
          <w:szCs w:val="21"/>
          <w:highlight w:val="none"/>
        </w:rPr>
        <w:t>、总大肠菌群共21项目，</w:t>
      </w:r>
      <w:r>
        <w:rPr>
          <w:rFonts w:hint="default" w:ascii="Times New Roman" w:hAnsi="Times New Roman" w:eastAsia="宋体" w:cs="Times New Roman"/>
          <w:color w:val="auto"/>
          <w:highlight w:val="none"/>
        </w:rPr>
        <w:t>执行《地下水质量标准》（GB/T14848-2017）Ⅲ类标准。</w:t>
      </w:r>
    </w:p>
    <w:p w14:paraId="16545A4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上述监测的结果应按项目有关规定及时建立档案，并抄送生态环境主管部门，对于常规检测数据应该进行公开，特别是对项目所在区域的居民公开，满足法律中关于知情权的要求。发现污染和水质恶化时，要及时进行处理，开展系统调查，并上报有关部门。</w:t>
      </w:r>
    </w:p>
    <w:p w14:paraId="4777DC18">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7.4.2.4应急响应措施</w:t>
      </w:r>
    </w:p>
    <w:p w14:paraId="2E63D84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一旦发现地下水污染事故，立即启动应急预案、采取应急措施控制地下水污染，并使污染得到治理。</w:t>
      </w:r>
    </w:p>
    <w:p w14:paraId="4E51833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1）在突发地下水污染事故情况下，建议采取以下应急管理措施，以保护地下水环境：</w:t>
      </w:r>
    </w:p>
    <w:p w14:paraId="2D8505E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2）立即启动应急预案；</w:t>
      </w:r>
    </w:p>
    <w:p w14:paraId="30D900C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3）查明并切断污染源。</w:t>
      </w:r>
    </w:p>
    <w:p w14:paraId="4C45F0F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4）查明地下水污染深度、范围和程度；</w:t>
      </w:r>
    </w:p>
    <w:p w14:paraId="41D7CAF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5）依据查明的地下水污染情况，合理布置浅井，并进行试抽水工作；</w:t>
      </w:r>
    </w:p>
    <w:p w14:paraId="2973C79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6）依据抽水设计方案进行施工，抽</w:t>
      </w:r>
      <w:r>
        <w:rPr>
          <w:rFonts w:hint="default" w:ascii="Times New Roman" w:hAnsi="Times New Roman" w:eastAsia="宋体" w:cs="Times New Roman"/>
          <w:color w:val="auto"/>
          <w:highlight w:val="none"/>
          <w:lang w:eastAsia="zh-CN"/>
        </w:rPr>
        <w:t>除</w:t>
      </w:r>
      <w:r>
        <w:rPr>
          <w:rFonts w:hint="default" w:ascii="Times New Roman" w:hAnsi="Times New Roman" w:eastAsia="宋体" w:cs="Times New Roman"/>
          <w:color w:val="auto"/>
          <w:highlight w:val="none"/>
        </w:rPr>
        <w:t>被污染的地下水体；</w:t>
      </w:r>
    </w:p>
    <w:p w14:paraId="777C793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7）将抽出的地下水进行集中收集处理，并送实验室进行化验分析；</w:t>
      </w:r>
    </w:p>
    <w:p w14:paraId="54B7A2B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8）监测孔中的主要污染物浓度满足《地下水质量标准（GB/T14848-93）》相关级别标准后，逐步停止抽水，并进行土壤修复治理工作。</w:t>
      </w:r>
    </w:p>
    <w:p w14:paraId="56125DE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应急管理建议：</w:t>
      </w:r>
    </w:p>
    <w:p w14:paraId="548ECEA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1）由于地下水污染具有不易发现和一旦污染很难治理的特点，因此地下水污染防控应遵循源头控制、防止渗漏、污染监测和事故应急处理的主动和被动防渗相结合的原则进行。</w:t>
      </w:r>
    </w:p>
    <w:p w14:paraId="5D659EB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2）地下水污染状况勘察是一项专业性很强的工作，一旦发生污染事故，应委托具有水文地质勘察资质的单位以水文地质工作为基础开展地下水污染勘察工作。</w:t>
      </w:r>
    </w:p>
    <w:p w14:paraId="0CABB0D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3）在具体的地下水污染治理中，往往需要多种技术结合使用。一般在治理初期，先使用物理法或水动力控制法将污染区封闭，然后尽量收集污水，最后再使用抽出处理法或原位法进行治理。</w:t>
      </w:r>
    </w:p>
    <w:p w14:paraId="1263122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4）地下水污染修复的同时还</w:t>
      </w:r>
      <w:r>
        <w:rPr>
          <w:rFonts w:hint="default" w:ascii="Times New Roman" w:hAnsi="Times New Roman" w:eastAsia="宋体" w:cs="Times New Roman"/>
          <w:color w:val="auto"/>
          <w:highlight w:val="none"/>
          <w:lang w:eastAsia="zh-CN"/>
        </w:rPr>
        <w:t>需</w:t>
      </w:r>
      <w:r>
        <w:rPr>
          <w:rFonts w:hint="default" w:ascii="Times New Roman" w:hAnsi="Times New Roman" w:eastAsia="宋体" w:cs="Times New Roman"/>
          <w:color w:val="auto"/>
          <w:highlight w:val="none"/>
        </w:rPr>
        <w:t>进行受污染岩土的修复。地下水接受包气带的入渗补给，赋存</w:t>
      </w:r>
      <w:r>
        <w:rPr>
          <w:rFonts w:hint="default" w:ascii="Times New Roman" w:hAnsi="Times New Roman" w:eastAsia="宋体" w:cs="Times New Roman"/>
          <w:color w:val="auto"/>
          <w:highlight w:val="none"/>
          <w:lang w:eastAsia="zh-CN"/>
        </w:rPr>
        <w:t>于</w:t>
      </w:r>
      <w:r>
        <w:rPr>
          <w:rFonts w:hint="default" w:ascii="Times New Roman" w:hAnsi="Times New Roman" w:eastAsia="宋体" w:cs="Times New Roman"/>
          <w:color w:val="auto"/>
          <w:highlight w:val="none"/>
        </w:rPr>
        <w:t>含水层岩土的孔隙中，地下水中的物质受岩土的控制，因此避免地下水与岩土的交叉污染，使地下水的治理行之有效，需要进行污染岩土的修复。</w:t>
      </w:r>
    </w:p>
    <w:p w14:paraId="127F0C66">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76" w:name="_Toc25204"/>
      <w:bookmarkStart w:id="677" w:name="_Toc41476844"/>
      <w:r>
        <w:rPr>
          <w:rFonts w:hint="default" w:ascii="Times New Roman" w:hAnsi="Times New Roman" w:eastAsia="宋体" w:cs="Times New Roman"/>
          <w:color w:val="auto"/>
          <w:highlight w:val="none"/>
        </w:rPr>
        <w:t>7.4.3措施可行性</w:t>
      </w:r>
      <w:bookmarkEnd w:id="676"/>
      <w:bookmarkEnd w:id="677"/>
    </w:p>
    <w:p w14:paraId="3B3C078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本报告中</w:t>
      </w:r>
      <w:r>
        <w:rPr>
          <w:rFonts w:hint="default" w:ascii="Times New Roman" w:hAnsi="Times New Roman" w:eastAsia="宋体" w:cs="Times New Roman"/>
          <w:color w:val="auto"/>
          <w:highlight w:val="none"/>
          <w:lang w:eastAsia="zh-CN"/>
        </w:rPr>
        <w:t>涉及的</w:t>
      </w:r>
      <w:r>
        <w:rPr>
          <w:rFonts w:hint="default" w:ascii="Times New Roman" w:hAnsi="Times New Roman" w:eastAsia="宋体" w:cs="Times New Roman"/>
          <w:color w:val="auto"/>
          <w:highlight w:val="none"/>
        </w:rPr>
        <w:t>地下水环境保护管理措施有构建地下水监测网、局部防渗等，其中：</w:t>
      </w:r>
    </w:p>
    <w:p w14:paraId="43E9773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（1）地下水监测孔及地下防渗措施的建设，可以依据国家相关标准实施，如《危险废物填埋污染控制标准》和《地下水环境监测技术规范》等。</w:t>
      </w:r>
    </w:p>
    <w:p w14:paraId="585C0D0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（2）监测孔的建设费、维护费和水质测试费、防渗材料的购置与铺设等费用是环境保护措施中的预算之一，建设单位应按预算执行。</w:t>
      </w:r>
    </w:p>
    <w:p w14:paraId="1C3FBA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上述分析可知，项目对地下水污染进行了严格的预防措施，不会造成污染物下渗到地下水中造成污染，本次评价提出的地下水环境保护管理措施具有可行性。</w:t>
      </w:r>
    </w:p>
    <w:p w14:paraId="5ED4731E">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78" w:name="_Toc28758"/>
      <w:r>
        <w:rPr>
          <w:rFonts w:hint="default" w:ascii="Times New Roman" w:hAnsi="Times New Roman" w:eastAsia="宋体" w:cs="Times New Roman"/>
          <w:color w:val="auto"/>
          <w:highlight w:val="none"/>
        </w:rPr>
        <w:t>7.5运营期土壤环境防治措施</w:t>
      </w:r>
      <w:bookmarkEnd w:id="678"/>
    </w:p>
    <w:p w14:paraId="4CB8B7E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土壤环境（试行）》（HJ964-2018）的要求，土壤污染防治措施主要包括源头控制措施、过程控制措施。</w:t>
      </w:r>
    </w:p>
    <w:p w14:paraId="00B58120">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79" w:name="_Toc16108"/>
      <w:r>
        <w:rPr>
          <w:rFonts w:hint="default" w:ascii="Times New Roman" w:hAnsi="Times New Roman" w:eastAsia="宋体" w:cs="Times New Roman"/>
          <w:color w:val="auto"/>
          <w:highlight w:val="none"/>
        </w:rPr>
        <w:t>7.5.1源头控制措施</w:t>
      </w:r>
      <w:bookmarkEnd w:id="679"/>
    </w:p>
    <w:p w14:paraId="7F2C355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本项目土壤污染源头控制措施主要是减少项目废气、废水、固废等污染物的产生及排放量。本环评报告主要提出如下措施：</w:t>
      </w:r>
    </w:p>
    <w:p w14:paraId="10F6EDC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（1）做好雨污分流工作。建设单位在运营过程中定期对</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等进行检查，确保正常运行，从源头上减少污染物的非正常排放量。</w:t>
      </w:r>
    </w:p>
    <w:p w14:paraId="2282E1A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（2）企业应加强对粪污治理措施的管理和维护，确保各污染物达标排放，有效减少废水污染物通过沉降进入土壤的量。</w:t>
      </w:r>
    </w:p>
    <w:p w14:paraId="33481E0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（3）企业应采用先进的养殖工艺，减少固废的产生量，并提高固废的综合利用率，减少固废的堆存量。</w:t>
      </w:r>
    </w:p>
    <w:p w14:paraId="17158A5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80" w:name="_Toc29861"/>
      <w:r>
        <w:rPr>
          <w:rFonts w:hint="default" w:ascii="Times New Roman" w:hAnsi="Times New Roman" w:eastAsia="宋体" w:cs="Times New Roman"/>
          <w:color w:val="auto"/>
          <w:highlight w:val="none"/>
        </w:rPr>
        <w:t>7.5.2过程控制措施</w:t>
      </w:r>
      <w:bookmarkEnd w:id="680"/>
    </w:p>
    <w:p w14:paraId="16A821B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项目针对土壤污染的途径提出相应的过程控制措施：</w:t>
      </w:r>
    </w:p>
    <w:p w14:paraId="45CEC7A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企业应在占地范围内采取绿化措施，以种植具有较强吸附能力的植物为主，加大对</w:t>
      </w:r>
      <w:r>
        <w:rPr>
          <w:rFonts w:hint="default" w:ascii="Times New Roman" w:hAnsi="Times New Roman" w:eastAsia="宋体" w:cs="Times New Roman"/>
          <w:color w:val="auto"/>
          <w:highlight w:val="none"/>
          <w:lang w:eastAsia="zh-CN"/>
        </w:rPr>
        <w:t>空气污染物</w:t>
      </w:r>
      <w:r>
        <w:rPr>
          <w:rFonts w:hint="default" w:ascii="Times New Roman" w:hAnsi="Times New Roman" w:eastAsia="宋体" w:cs="Times New Roman"/>
          <w:color w:val="auto"/>
          <w:highlight w:val="none"/>
        </w:rPr>
        <w:t>的吸附量，减少最终进入土壤的污染物量，从而</w:t>
      </w:r>
      <w:r>
        <w:rPr>
          <w:rFonts w:hint="default" w:ascii="Times New Roman" w:hAnsi="Times New Roman" w:eastAsia="宋体" w:cs="Times New Roman"/>
          <w:color w:val="auto"/>
          <w:highlight w:val="none"/>
          <w:lang w:eastAsia="zh-CN"/>
        </w:rPr>
        <w:t>减少</w:t>
      </w:r>
      <w:r>
        <w:rPr>
          <w:rFonts w:hint="default" w:ascii="Times New Roman" w:hAnsi="Times New Roman" w:eastAsia="宋体" w:cs="Times New Roman"/>
          <w:color w:val="auto"/>
          <w:highlight w:val="none"/>
        </w:rPr>
        <w:t>对土壤的污染。</w:t>
      </w:r>
    </w:p>
    <w:p w14:paraId="73B1E4C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81" w:name="_Toc4221"/>
      <w:r>
        <w:rPr>
          <w:rFonts w:hint="default" w:ascii="Times New Roman" w:hAnsi="Times New Roman" w:eastAsia="宋体" w:cs="Times New Roman"/>
          <w:color w:val="auto"/>
          <w:highlight w:val="none"/>
        </w:rPr>
        <w:t>7.5.3末端控制措施</w:t>
      </w:r>
      <w:bookmarkEnd w:id="681"/>
    </w:p>
    <w:p w14:paraId="01740F2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末端控制采取分区防渗原则，主要包括对重点防渗区（包括</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场地</w:t>
      </w:r>
      <w:r>
        <w:rPr>
          <w:rFonts w:hint="default" w:ascii="Times New Roman" w:hAnsi="Times New Roman" w:eastAsia="宋体" w:cs="Times New Roman"/>
          <w:color w:val="auto"/>
          <w:highlight w:val="none"/>
        </w:rPr>
        <w:t>及周围进行防渗措施，使其渗透系数≤10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cm/s，防止渗滤液污染物渗入地下。</w:t>
      </w:r>
    </w:p>
    <w:p w14:paraId="0227CB0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82" w:name="_Toc24988"/>
      <w:r>
        <w:rPr>
          <w:rFonts w:hint="default" w:ascii="Times New Roman" w:hAnsi="Times New Roman" w:eastAsia="宋体" w:cs="Times New Roman"/>
          <w:color w:val="auto"/>
          <w:highlight w:val="none"/>
        </w:rPr>
        <w:t>7.5.</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应急响应措施</w:t>
      </w:r>
      <w:bookmarkEnd w:id="682"/>
    </w:p>
    <w:p w14:paraId="0FE511F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一旦发现土壤污染事故，立即采取应急措施控制土壤、地下水污染，并使污染得到治理。</w:t>
      </w:r>
    </w:p>
    <w:p w14:paraId="4561882F">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83" w:name="_Toc530642993"/>
      <w:bookmarkStart w:id="684" w:name="_Toc11578"/>
      <w:bookmarkStart w:id="685" w:name="_Toc494206376"/>
      <w:r>
        <w:rPr>
          <w:rFonts w:hint="default" w:ascii="Times New Roman" w:hAnsi="Times New Roman" w:eastAsia="宋体" w:cs="Times New Roman"/>
          <w:color w:val="auto"/>
          <w:highlight w:val="none"/>
        </w:rPr>
        <w:t>7.6运营期声环境防治措施</w:t>
      </w:r>
      <w:bookmarkEnd w:id="683"/>
      <w:bookmarkEnd w:id="684"/>
      <w:bookmarkEnd w:id="685"/>
    </w:p>
    <w:p w14:paraId="7DF981A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本项目实施后，</w:t>
      </w:r>
      <w:r>
        <w:rPr>
          <w:rFonts w:hint="default" w:ascii="Times New Roman" w:hAnsi="Times New Roman" w:eastAsia="宋体" w:cs="Times New Roman"/>
          <w:color w:val="auto"/>
          <w:szCs w:val="24"/>
          <w:highlight w:val="none"/>
        </w:rPr>
        <w:t>产生噪声源主要来源于</w:t>
      </w:r>
      <w:r>
        <w:rPr>
          <w:rFonts w:hint="default" w:ascii="Times New Roman" w:hAnsi="Times New Roman" w:eastAsia="宋体" w:cs="Times New Roman"/>
          <w:color w:val="auto"/>
          <w:szCs w:val="24"/>
          <w:highlight w:val="none"/>
          <w:lang w:eastAsia="zh-CN"/>
        </w:rPr>
        <w:t>羊群</w:t>
      </w:r>
      <w:r>
        <w:rPr>
          <w:rFonts w:hint="default" w:ascii="Times New Roman" w:hAnsi="Times New Roman" w:eastAsia="宋体" w:cs="Times New Roman"/>
          <w:color w:val="auto"/>
          <w:szCs w:val="24"/>
          <w:highlight w:val="none"/>
        </w:rPr>
        <w:t>叫声、</w:t>
      </w:r>
      <w:r>
        <w:rPr>
          <w:rFonts w:hint="default" w:ascii="Times New Roman" w:hAnsi="Times New Roman" w:eastAsia="宋体" w:cs="Times New Roman"/>
          <w:color w:val="auto"/>
          <w:szCs w:val="24"/>
          <w:highlight w:val="none"/>
          <w:lang w:eastAsia="zh-CN"/>
        </w:rPr>
        <w:t>羊圈</w:t>
      </w:r>
      <w:r>
        <w:rPr>
          <w:rFonts w:hint="default" w:ascii="Times New Roman" w:hAnsi="Times New Roman" w:eastAsia="宋体" w:cs="Times New Roman"/>
          <w:color w:val="auto"/>
          <w:szCs w:val="24"/>
          <w:highlight w:val="none"/>
        </w:rPr>
        <w:t>排气扇以及</w:t>
      </w:r>
      <w:r>
        <w:rPr>
          <w:rFonts w:hint="default" w:ascii="Times New Roman" w:hAnsi="Times New Roman" w:eastAsia="宋体" w:cs="Times New Roman"/>
          <w:color w:val="auto"/>
          <w:szCs w:val="24"/>
          <w:highlight w:val="none"/>
          <w:lang w:eastAsia="zh-CN"/>
        </w:rPr>
        <w:t>日粮搅拌机</w:t>
      </w:r>
      <w:r>
        <w:rPr>
          <w:rFonts w:hint="default" w:ascii="Times New Roman" w:hAnsi="Times New Roman" w:eastAsia="宋体" w:cs="Times New Roman"/>
          <w:color w:val="auto"/>
          <w:szCs w:val="24"/>
          <w:highlight w:val="none"/>
        </w:rPr>
        <w:t>、水泵、出入场区车辆产生的噪声等</w:t>
      </w:r>
      <w:r>
        <w:rPr>
          <w:rFonts w:hint="default" w:ascii="Times New Roman" w:hAnsi="Times New Roman" w:eastAsia="宋体" w:cs="Times New Roman"/>
          <w:color w:val="auto"/>
          <w:highlight w:val="none"/>
        </w:rPr>
        <w:t>。为了减轻各类噪声对工人操作环境和周围声环境影响，因此本项目应加强噪声的治理工作，主要从设备选型、阻隔传播途径和受声者保护三方面入手。</w:t>
      </w:r>
    </w:p>
    <w:p w14:paraId="1D2E65F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①优先选用低噪声设备，对强噪声设备如水泵和风机等采取减振、隔声措施。水泵和风机等均放单独的房间内，采用隔声门窗或双层玻璃。</w:t>
      </w:r>
    </w:p>
    <w:p w14:paraId="6866CB2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内安装的降温排风扇应安装牢固，并加减震圈（垫），减轻噪声对操作人员及</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只的危害和影响。</w:t>
      </w:r>
    </w:p>
    <w:p w14:paraId="2F43504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w:t>
      </w:r>
      <w:r>
        <w:rPr>
          <w:rFonts w:hint="default" w:ascii="Times New Roman" w:hAnsi="Times New Roman" w:eastAsia="宋体" w:cs="Times New Roman"/>
          <w:color w:val="auto"/>
          <w:highlight w:val="none"/>
          <w:lang w:eastAsia="zh-CN"/>
        </w:rPr>
        <w:t>养殖</w:t>
      </w:r>
      <w:r>
        <w:rPr>
          <w:rFonts w:hint="default" w:ascii="Times New Roman" w:hAnsi="Times New Roman" w:eastAsia="宋体" w:cs="Times New Roman"/>
          <w:color w:val="auto"/>
          <w:highlight w:val="none"/>
        </w:rPr>
        <w:t>场场界设围墙，建隔离带，降噪林，经过生态林降噪和距离衰减后厂界噪声可满足《工业企业厂界环境噪声排放标准》（GB12348-2008）</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类区排放限值；周边居民点可满足</w:t>
      </w:r>
      <w:r>
        <w:rPr>
          <w:rFonts w:hint="default" w:ascii="Times New Roman" w:hAnsi="Times New Roman" w:eastAsia="宋体" w:cs="Times New Roman"/>
          <w:snapToGrid w:val="0"/>
          <w:color w:val="auto"/>
          <w:kern w:val="0"/>
          <w:highlight w:val="none"/>
        </w:rPr>
        <w:t>《声环境质量标准》（GB3096-2008）</w:t>
      </w:r>
      <w:r>
        <w:rPr>
          <w:rFonts w:hint="default" w:ascii="Times New Roman" w:hAnsi="Times New Roman" w:eastAsia="宋体" w:cs="Times New Roman"/>
          <w:snapToGrid w:val="0"/>
          <w:color w:val="auto"/>
          <w:kern w:val="0"/>
          <w:highlight w:val="none"/>
          <w:lang w:val="en-US" w:eastAsia="zh-CN"/>
        </w:rPr>
        <w:t>2</w:t>
      </w:r>
      <w:r>
        <w:rPr>
          <w:rFonts w:hint="default" w:ascii="Times New Roman" w:hAnsi="Times New Roman" w:eastAsia="宋体" w:cs="Times New Roman"/>
          <w:snapToGrid w:val="0"/>
          <w:color w:val="auto"/>
          <w:kern w:val="0"/>
          <w:highlight w:val="none"/>
        </w:rPr>
        <w:t>类标准。</w:t>
      </w:r>
    </w:p>
    <w:p w14:paraId="772AB55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④根据生产实际情况，合理调度汽车运输；优化运输路线，使运输路线尽量选择距离居民敏感点较远、地域较开阔的地段。</w:t>
      </w:r>
    </w:p>
    <w:p w14:paraId="36EA154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⑤运输车辆应做到缓速行驶，减少鸣笛或尽量避免鸣笛来减少运输车辆进入</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场对周围声环境的影响。</w:t>
      </w:r>
    </w:p>
    <w:p w14:paraId="5909B6B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⑥货物运输车辆在村庄、</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场门前做到不鸣或少鸣笛，以减轻交通噪声对外环境的影响。货物运输车辆夜间在途经村庄或在场界内时禁止鸣笛。</w:t>
      </w:r>
    </w:p>
    <w:p w14:paraId="26BE8B8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在采取上述有效的防治措施后，项目</w:t>
      </w:r>
      <w:r>
        <w:rPr>
          <w:rFonts w:hint="default" w:ascii="Times New Roman" w:hAnsi="Times New Roman" w:eastAsia="宋体" w:cs="Times New Roman"/>
          <w:color w:val="auto"/>
          <w:highlight w:val="none"/>
          <w:lang w:eastAsia="zh-CN"/>
        </w:rPr>
        <w:t>养殖</w:t>
      </w:r>
      <w:r>
        <w:rPr>
          <w:rFonts w:hint="default" w:ascii="Times New Roman" w:hAnsi="Times New Roman" w:eastAsia="宋体" w:cs="Times New Roman"/>
          <w:color w:val="auto"/>
          <w:highlight w:val="none"/>
        </w:rPr>
        <w:t>场界噪声可达到《工业企业厂界环境噪声排放标准》（GB12348-2008）</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1工业企业厂界环境噪声排放限值中</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类功能区排放限值</w:t>
      </w:r>
      <w:r>
        <w:rPr>
          <w:rFonts w:hint="default" w:ascii="Times New Roman" w:hAnsi="Times New Roman" w:eastAsia="宋体" w:cs="Times New Roman"/>
          <w:color w:val="auto"/>
          <w:highlight w:val="none"/>
        </w:rPr>
        <w:t>，产噪设备对周围声环境影响较小。</w:t>
      </w:r>
    </w:p>
    <w:p w14:paraId="142E96AC">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86" w:name="_Toc18075"/>
      <w:bookmarkStart w:id="687" w:name="_Toc530642994"/>
      <w:r>
        <w:rPr>
          <w:rFonts w:hint="default" w:ascii="Times New Roman" w:hAnsi="Times New Roman" w:eastAsia="宋体" w:cs="Times New Roman"/>
          <w:color w:val="auto"/>
          <w:highlight w:val="none"/>
        </w:rPr>
        <w:t>7.7运营期固体废物污染防治措施</w:t>
      </w:r>
      <w:bookmarkEnd w:id="686"/>
      <w:bookmarkEnd w:id="687"/>
    </w:p>
    <w:p w14:paraId="373690E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本项目固体废物的处理将遵循环境健康风险预防、安全无害以及固体废物“减量化、资源化、无害化及生态化”的原则进行，</w:t>
      </w:r>
      <w:r>
        <w:rPr>
          <w:rFonts w:hint="default" w:ascii="Times New Roman" w:hAnsi="Times New Roman" w:eastAsia="宋体" w:cs="Times New Roman"/>
          <w:color w:val="auto"/>
          <w:highlight w:val="none"/>
          <w:lang w:eastAsia="zh-CN"/>
        </w:rPr>
        <w:t>有效地解决</w:t>
      </w:r>
      <w:r>
        <w:rPr>
          <w:rFonts w:hint="default" w:ascii="Times New Roman" w:hAnsi="Times New Roman" w:eastAsia="宋体" w:cs="Times New Roman"/>
          <w:color w:val="auto"/>
          <w:highlight w:val="none"/>
        </w:rPr>
        <w:t>集约化养殖场的环境污染问题，达到变废为宝、化害为利、综合利用的目的。</w:t>
      </w:r>
    </w:p>
    <w:p w14:paraId="5DB6486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88" w:name="_Toc6712"/>
      <w:r>
        <w:rPr>
          <w:rFonts w:hint="default" w:ascii="Times New Roman" w:hAnsi="Times New Roman" w:eastAsia="宋体" w:cs="Times New Roman"/>
          <w:color w:val="auto"/>
          <w:highlight w:val="none"/>
        </w:rPr>
        <w:t>7.7.1固体废物处置合理性分析</w:t>
      </w:r>
      <w:bookmarkEnd w:id="688"/>
    </w:p>
    <w:p w14:paraId="594745F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）羊粪便</w:t>
      </w:r>
    </w:p>
    <w:p w14:paraId="1977F263">
      <w:pPr>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肉羊养殖过程中会产生羊粪便</w:t>
      </w:r>
      <w:r>
        <w:rPr>
          <w:rFonts w:hint="default" w:ascii="Times New Roman" w:hAnsi="Times New Roman" w:eastAsia="宋体" w:cs="Times New Roman"/>
          <w:color w:val="auto"/>
          <w:highlight w:val="none"/>
        </w:rPr>
        <w:t>。根据《畜禽养殖业污染治理工程技术规范》（HJ497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2009）附录A</w:t>
      </w:r>
      <w:r>
        <w:rPr>
          <w:rFonts w:hint="default" w:ascii="Times New Roman" w:hAnsi="Times New Roman" w:eastAsia="宋体" w:cs="Times New Roman"/>
          <w:color w:val="auto"/>
          <w:highlight w:val="none"/>
          <w:lang w:val="en-US" w:eastAsia="zh-CN"/>
        </w:rPr>
        <w:t>猪</w:t>
      </w:r>
      <w:r>
        <w:rPr>
          <w:rFonts w:hint="default" w:ascii="Times New Roman" w:hAnsi="Times New Roman" w:eastAsia="宋体" w:cs="Times New Roman"/>
          <w:color w:val="auto"/>
          <w:highlight w:val="none"/>
          <w:lang w:val="en-US" w:eastAsia="zh-CN"/>
        </w:rPr>
        <w:t>粪便产生量为2.0</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FF0000"/>
          <w:highlight w:val="none"/>
          <w:lang w:val="en-US" w:eastAsia="zh-CN"/>
        </w:rPr>
        <w:t>按</w:t>
      </w:r>
      <w:r>
        <w:rPr>
          <w:rFonts w:hint="default" w:ascii="Times New Roman" w:hAnsi="Times New Roman" w:eastAsia="宋体" w:cs="Times New Roman"/>
          <w:color w:val="FF0000"/>
          <w:highlight w:val="none"/>
        </w:rPr>
        <w:t>换算比例3只羊折算成1头猪</w:t>
      </w:r>
      <w:r>
        <w:rPr>
          <w:rFonts w:hint="default" w:ascii="Times New Roman" w:hAnsi="Times New Roman" w:eastAsia="宋体" w:cs="Times New Roman"/>
          <w:color w:val="FF0000"/>
          <w:highlight w:val="none"/>
          <w:lang w:val="en-US" w:eastAsia="zh-CN"/>
        </w:rPr>
        <w:t>计算，</w:t>
      </w:r>
      <w:r>
        <w:rPr>
          <w:rFonts w:hint="default" w:ascii="Times New Roman" w:hAnsi="Times New Roman" w:eastAsia="宋体" w:cs="Times New Roman"/>
          <w:color w:val="auto"/>
          <w:highlight w:val="none"/>
          <w:lang w:val="en-US" w:eastAsia="zh-CN"/>
        </w:rPr>
        <w:t>羊</w:t>
      </w:r>
      <w:r>
        <w:rPr>
          <w:rFonts w:hint="default" w:ascii="Times New Roman" w:hAnsi="Times New Roman" w:eastAsia="宋体" w:cs="Times New Roman"/>
          <w:color w:val="auto"/>
          <w:highlight w:val="none"/>
          <w:lang w:val="en-US" w:eastAsia="zh-CN"/>
        </w:rPr>
        <w:t>粪便</w:t>
      </w:r>
      <w:r>
        <w:rPr>
          <w:rFonts w:hint="default" w:ascii="Times New Roman" w:hAnsi="Times New Roman" w:eastAsia="宋体" w:cs="Times New Roman"/>
          <w:color w:val="auto"/>
          <w:highlight w:val="none"/>
        </w:rPr>
        <w:t>产生量以</w:t>
      </w:r>
      <w:r>
        <w:rPr>
          <w:rFonts w:hint="default" w:ascii="Times New Roman" w:hAnsi="Times New Roman" w:eastAsia="宋体" w:cs="Times New Roman"/>
          <w:color w:val="auto"/>
          <w:highlight w:val="none"/>
          <w:lang w:val="en-US" w:eastAsia="zh-CN"/>
        </w:rPr>
        <w:t>0.67</w:t>
      </w:r>
      <w:r>
        <w:rPr>
          <w:rFonts w:hint="default" w:ascii="Times New Roman" w:hAnsi="Times New Roman" w:eastAsia="宋体" w:cs="Times New Roman"/>
          <w:color w:val="auto"/>
          <w:highlight w:val="none"/>
        </w:rPr>
        <w:t>kg/</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•d计。</w:t>
      </w:r>
    </w:p>
    <w:p w14:paraId="72C20D8B">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eastAsia="zh-CN"/>
        </w:rPr>
        <w:t>本项目</w:t>
      </w:r>
      <w:r>
        <w:rPr>
          <w:rFonts w:hint="default" w:ascii="Times New Roman" w:hAnsi="Times New Roman" w:eastAsia="宋体" w:cs="Times New Roman"/>
          <w:color w:val="FF0000"/>
          <w:highlight w:val="none"/>
          <w:lang w:val="en-US" w:eastAsia="zh-CN"/>
        </w:rPr>
        <w:t>存栏23000只</w:t>
      </w:r>
      <w:r>
        <w:rPr>
          <w:rFonts w:hint="default" w:ascii="Times New Roman" w:hAnsi="Times New Roman" w:eastAsia="宋体" w:cs="Times New Roman"/>
          <w:color w:val="FF0000"/>
          <w:highlight w:val="none"/>
          <w:lang w:val="en-US" w:eastAsia="zh-CN"/>
        </w:rPr>
        <w:t>肉羊</w:t>
      </w:r>
      <w:r>
        <w:rPr>
          <w:rFonts w:hint="default" w:ascii="Times New Roman" w:hAnsi="Times New Roman" w:eastAsia="宋体" w:cs="Times New Roman"/>
          <w:color w:val="FF0000"/>
          <w:highlight w:val="none"/>
          <w:lang w:val="en-US" w:eastAsia="zh-CN"/>
        </w:rPr>
        <w:t>，则羊粪便产生量为</w:t>
      </w:r>
      <w:r>
        <w:rPr>
          <w:rFonts w:hint="default" w:ascii="Times New Roman" w:hAnsi="Times New Roman" w:eastAsia="宋体" w:cs="Times New Roman"/>
          <w:color w:val="FF0000"/>
          <w:highlight w:val="none"/>
          <w:lang w:val="en-US" w:eastAsia="zh-CN"/>
        </w:rPr>
        <w:t>15.41</w:t>
      </w:r>
      <w:r>
        <w:rPr>
          <w:rFonts w:hint="default" w:ascii="Times New Roman" w:hAnsi="Times New Roman" w:eastAsia="宋体" w:cs="Times New Roman"/>
          <w:color w:val="FF0000"/>
          <w:highlight w:val="none"/>
          <w:lang w:val="en-US" w:eastAsia="zh-CN"/>
        </w:rPr>
        <w:t>t/d，全年运营365天，则</w:t>
      </w:r>
      <w:r>
        <w:rPr>
          <w:rFonts w:hint="default" w:ascii="Times New Roman" w:hAnsi="Times New Roman" w:eastAsia="宋体" w:cs="Times New Roman"/>
          <w:color w:val="FF0000"/>
          <w:highlight w:val="none"/>
          <w:lang w:val="en-US" w:eastAsia="zh-CN"/>
        </w:rPr>
        <w:t>羊粪便产生量为</w:t>
      </w:r>
      <w:r>
        <w:rPr>
          <w:rFonts w:hint="default" w:ascii="Times New Roman" w:hAnsi="Times New Roman" w:eastAsia="宋体" w:cs="Times New Roman"/>
          <w:color w:val="FF0000"/>
          <w:highlight w:val="none"/>
          <w:lang w:val="en-US" w:eastAsia="zh-CN"/>
        </w:rPr>
        <w:t>5624.65</w:t>
      </w:r>
      <w:r>
        <w:rPr>
          <w:rFonts w:hint="default" w:ascii="Times New Roman" w:hAnsi="Times New Roman" w:eastAsia="宋体" w:cs="Times New Roman"/>
          <w:color w:val="FF0000"/>
          <w:highlight w:val="none"/>
          <w:lang w:val="en-US" w:eastAsia="zh-CN"/>
        </w:rPr>
        <w:t>t/a，属于一般工业固体废物。</w:t>
      </w:r>
    </w:p>
    <w:p w14:paraId="4FEB7BC5">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rPr>
        <w:t>本项目清粪方式采用干清粪工艺</w:t>
      </w:r>
      <w:r>
        <w:rPr>
          <w:rFonts w:hint="default" w:ascii="Times New Roman" w:hAnsi="Times New Roman" w:eastAsia="宋体" w:cs="Times New Roman"/>
          <w:color w:val="FF0000"/>
          <w:highlight w:val="none"/>
          <w:lang w:eastAsia="zh-CN"/>
        </w:rPr>
        <w:t>，采取机械方式将羊粪便及时、单独清出，同时，将羊粪便运至堆肥场进行无害化堆肥处理，作为有机肥外售还田综合利用。</w:t>
      </w:r>
    </w:p>
    <w:p w14:paraId="48F6836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highlight w:val="none"/>
          <w:lang w:eastAsia="zh-CN"/>
        </w:rPr>
        <w:t>病死羊</w:t>
      </w:r>
    </w:p>
    <w:p w14:paraId="442984C8">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肉羊养殖过程</w:t>
      </w:r>
      <w:r>
        <w:rPr>
          <w:rFonts w:hint="default" w:ascii="Times New Roman" w:hAnsi="Times New Roman" w:eastAsia="宋体" w:cs="Times New Roman"/>
          <w:color w:val="auto"/>
          <w:highlight w:val="none"/>
        </w:rPr>
        <w:t>中</w:t>
      </w:r>
      <w:r>
        <w:rPr>
          <w:rFonts w:hint="default" w:ascii="Times New Roman" w:hAnsi="Times New Roman" w:eastAsia="宋体" w:cs="Times New Roman"/>
          <w:color w:val="auto"/>
          <w:highlight w:val="none"/>
          <w:lang w:eastAsia="zh-CN"/>
        </w:rPr>
        <w:t>不可避免地产生</w:t>
      </w:r>
      <w:r>
        <w:rPr>
          <w:rFonts w:hint="default" w:ascii="Times New Roman" w:hAnsi="Times New Roman" w:eastAsia="宋体" w:cs="Times New Roman"/>
          <w:color w:val="auto"/>
          <w:highlight w:val="none"/>
          <w:lang w:val="en-US" w:eastAsia="zh-CN"/>
        </w:rPr>
        <w:t>少量</w:t>
      </w:r>
      <w:r>
        <w:rPr>
          <w:rFonts w:hint="default" w:ascii="Times New Roman" w:hAnsi="Times New Roman" w:eastAsia="宋体" w:cs="Times New Roman"/>
          <w:color w:val="auto"/>
          <w:highlight w:val="none"/>
        </w:rPr>
        <w:t>病死畜，查阅相关资料及根据同类项目对比，</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的病死率按照总存栏量的2‰，则本项目全</w:t>
      </w:r>
      <w:r>
        <w:rPr>
          <w:rFonts w:hint="default" w:ascii="Times New Roman" w:hAnsi="Times New Roman" w:eastAsia="宋体" w:cs="Times New Roman"/>
          <w:color w:val="auto"/>
          <w:highlight w:val="none"/>
          <w:lang w:eastAsia="zh-CN"/>
        </w:rPr>
        <w:t>场病死羊</w:t>
      </w:r>
      <w:r>
        <w:rPr>
          <w:rFonts w:hint="default" w:ascii="Times New Roman" w:hAnsi="Times New Roman" w:eastAsia="宋体" w:cs="Times New Roman"/>
          <w:color w:val="auto"/>
          <w:highlight w:val="none"/>
        </w:rPr>
        <w:t>产生量约为</w:t>
      </w:r>
      <w:r>
        <w:rPr>
          <w:rFonts w:hint="default" w:ascii="Times New Roman" w:hAnsi="Times New Roman" w:eastAsia="宋体" w:cs="Times New Roman"/>
          <w:color w:val="auto"/>
          <w:highlight w:val="none"/>
          <w:lang w:val="en-US" w:eastAsia="zh-CN"/>
        </w:rPr>
        <w:t>138</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lang w:eastAsia="zh-CN"/>
        </w:rPr>
        <w:t>。每</w:t>
      </w:r>
      <w:r>
        <w:rPr>
          <w:rFonts w:hint="default" w:ascii="Times New Roman" w:hAnsi="Times New Roman" w:eastAsia="宋体" w:cs="Times New Roman"/>
          <w:color w:val="auto"/>
          <w:highlight w:val="none"/>
          <w:lang w:eastAsia="zh-CN"/>
        </w:rPr>
        <w:t>只</w:t>
      </w:r>
      <w:r>
        <w:rPr>
          <w:rFonts w:hint="default" w:ascii="Times New Roman" w:hAnsi="Times New Roman" w:eastAsia="宋体" w:cs="Times New Roman"/>
          <w:color w:val="auto"/>
          <w:highlight w:val="none"/>
        </w:rPr>
        <w:t>按照</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rPr>
        <w:t>kg计算，</w:t>
      </w:r>
      <w:r>
        <w:rPr>
          <w:rFonts w:hint="default" w:ascii="Times New Roman" w:hAnsi="Times New Roman" w:eastAsia="宋体" w:cs="Times New Roman"/>
          <w:color w:val="auto"/>
          <w:highlight w:val="none"/>
          <w:lang w:eastAsia="zh-CN"/>
        </w:rPr>
        <w:t>则</w:t>
      </w:r>
      <w:r>
        <w:rPr>
          <w:rFonts w:hint="default" w:ascii="Times New Roman" w:hAnsi="Times New Roman" w:eastAsia="宋体" w:cs="Times New Roman"/>
          <w:color w:val="auto"/>
          <w:highlight w:val="none"/>
        </w:rPr>
        <w:t>年产生量为</w:t>
      </w:r>
      <w:r>
        <w:rPr>
          <w:rFonts w:hint="default" w:ascii="Times New Roman" w:hAnsi="Times New Roman" w:eastAsia="宋体" w:cs="Times New Roman"/>
          <w:color w:val="auto"/>
          <w:highlight w:val="none"/>
          <w:lang w:val="en-US" w:eastAsia="zh-CN"/>
        </w:rPr>
        <w:t>2.76t</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eastAsia="zh-CN"/>
        </w:rPr>
        <w:t>。</w:t>
      </w:r>
    </w:p>
    <w:p w14:paraId="06A72041">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根据《畜禽养殖业污染防治技术政策》（环发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151号）中有关内容，畜禽尸体应按照有关卫生防疫规定单独进行妥善处置。</w:t>
      </w:r>
    </w:p>
    <w:p w14:paraId="2EBD85F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根据《畜禽规模养殖污染防治条例》（中华人民共和国国务院令第643号）的有关内容，染疫畜禽以及染疫畜禽排泄物、染疫畜禽产品、病死或者死因不明的畜禽尸体等病害畜禽养殖废弃物，应当按照有关</w:t>
      </w:r>
      <w:r>
        <w:rPr>
          <w:rFonts w:hint="default" w:ascii="Times New Roman" w:hAnsi="Times New Roman" w:eastAsia="宋体" w:cs="Times New Roman"/>
          <w:color w:val="auto"/>
          <w:highlight w:val="none"/>
          <w:lang w:eastAsia="zh-CN"/>
        </w:rPr>
        <w:t>法律法规</w:t>
      </w:r>
      <w:r>
        <w:rPr>
          <w:rFonts w:hint="default" w:ascii="Times New Roman" w:hAnsi="Times New Roman" w:eastAsia="宋体" w:cs="Times New Roman"/>
          <w:color w:val="auto"/>
          <w:highlight w:val="none"/>
        </w:rPr>
        <w:t>和国务院农牧主管部门的规定，进行深埋、化制、焚烧等无害化处理，不得随意处置；国家鼓励和支持对染疫畜禽、病死或者死因不明畜禽尸体进行集中无害化处理，并按照国家有关规定对处理费用、养殖损失给予适当补助。</w:t>
      </w:r>
    </w:p>
    <w:p w14:paraId="2FF5CB5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病死羊暂存于冷藏间，交由巴彦淖尔市绿之源生物技术发展有限公司进行无害化处理</w:t>
      </w:r>
      <w:r>
        <w:rPr>
          <w:rFonts w:hint="default" w:ascii="Times New Roman" w:hAnsi="Times New Roman" w:eastAsia="宋体" w:cs="Times New Roman"/>
          <w:color w:val="auto"/>
          <w:highlight w:val="none"/>
        </w:rPr>
        <w:t>。遇重大疫情立刻隔离病死畜</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，并将疫情上报</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农牧业局动物疫病预防控制中心。根据</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农牧业局动物疫病预防控制中心指定方式指定地点，指定方式处置病死畜</w:t>
      </w:r>
      <w:r>
        <w:rPr>
          <w:rFonts w:hint="default" w:ascii="Times New Roman" w:hAnsi="Times New Roman" w:eastAsia="宋体" w:cs="Times New Roman"/>
          <w:color w:val="auto"/>
          <w:highlight w:val="none"/>
          <w:lang w:eastAsia="zh-CN"/>
        </w:rPr>
        <w:t>。</w:t>
      </w:r>
    </w:p>
    <w:p w14:paraId="70BFBE83">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0000FF"/>
          <w:sz w:val="24"/>
          <w:szCs w:val="24"/>
          <w:highlight w:val="none"/>
          <w:lang w:val="en-US" w:eastAsia="zh-CN"/>
        </w:rPr>
      </w:pPr>
      <w:r>
        <w:rPr>
          <w:rFonts w:hint="default" w:ascii="Times New Roman" w:hAnsi="Times New Roman" w:eastAsia="宋体" w:cs="Times New Roman"/>
          <w:b w:val="0"/>
          <w:bCs w:val="0"/>
          <w:color w:val="0000FF"/>
          <w:sz w:val="24"/>
          <w:szCs w:val="24"/>
          <w:highlight w:val="none"/>
          <w:lang w:val="en-US" w:eastAsia="zh-CN"/>
        </w:rPr>
        <w:t>（3）造粒车间布袋除尘器收集的除尘灰</w:t>
      </w:r>
    </w:p>
    <w:p w14:paraId="04CFE38D">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0000FF"/>
          <w:sz w:val="24"/>
          <w:szCs w:val="24"/>
          <w:highlight w:val="none"/>
          <w:lang w:val="en-US" w:eastAsia="zh-CN"/>
        </w:rPr>
      </w:pPr>
      <w:r>
        <w:rPr>
          <w:rFonts w:hint="default" w:ascii="Times New Roman" w:hAnsi="Times New Roman" w:eastAsia="宋体" w:cs="Times New Roman"/>
          <w:b w:val="0"/>
          <w:bCs w:val="0"/>
          <w:color w:val="0000FF"/>
          <w:sz w:val="24"/>
          <w:szCs w:val="24"/>
          <w:highlight w:val="none"/>
          <w:lang w:val="en-US" w:eastAsia="zh-CN"/>
        </w:rPr>
        <w:t>造粒车间布袋除尘器收集的除尘灰，收集量为</w:t>
      </w:r>
      <w:r>
        <w:rPr>
          <w:rFonts w:hint="default" w:ascii="Times New Roman" w:hAnsi="Times New Roman" w:eastAsia="宋体" w:cs="Times New Roman"/>
          <w:b w:val="0"/>
          <w:bCs w:val="0"/>
          <w:color w:val="0000FF"/>
          <w:sz w:val="24"/>
          <w:szCs w:val="24"/>
          <w:highlight w:val="none"/>
          <w:lang w:val="en-US" w:eastAsia="zh-CN"/>
        </w:rPr>
        <w:t>0.488</w:t>
      </w:r>
      <w:r>
        <w:rPr>
          <w:rFonts w:hint="default" w:ascii="Times New Roman" w:hAnsi="Times New Roman" w:eastAsia="宋体" w:cs="Times New Roman"/>
          <w:b w:val="0"/>
          <w:bCs w:val="0"/>
          <w:color w:val="0000FF"/>
          <w:sz w:val="24"/>
          <w:szCs w:val="24"/>
          <w:highlight w:val="none"/>
          <w:lang w:val="en-US" w:eastAsia="zh-CN"/>
        </w:rPr>
        <w:t>t/a，属于一般工业固体废物，采用袋装后暂存于一般固废暂存间，收集后作为原料回用于生产。</w:t>
      </w:r>
    </w:p>
    <w:p w14:paraId="3CEF39B0">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）碎玉米、皮屑等杂质</w:t>
      </w:r>
    </w:p>
    <w:p w14:paraId="469D31AE">
      <w:pPr>
        <w:keepNext w:val="0"/>
        <w:keepLines w:val="0"/>
        <w:pageBreakBefore w:val="0"/>
        <w:widowControl w:val="0"/>
        <w:suppressLineNumbers w:val="0"/>
        <w:shd w:val="clear"/>
        <w:tabs>
          <w:tab w:val="center" w:pos="4153"/>
          <w:tab w:val="right" w:pos="8306"/>
        </w:tabs>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outlineLvl w:val="2"/>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highlight w:val="none"/>
          <w:lang w:eastAsia="zh-CN"/>
        </w:rPr>
        <w:t>玉米粒烘干线</w:t>
      </w:r>
      <w:r>
        <w:rPr>
          <w:rFonts w:hint="default" w:ascii="Times New Roman" w:hAnsi="Times New Roman" w:eastAsia="宋体" w:cs="Times New Roman"/>
          <w:b w:val="0"/>
          <w:bCs w:val="0"/>
          <w:color w:val="auto"/>
          <w:sz w:val="24"/>
          <w:szCs w:val="24"/>
          <w:highlight w:val="none"/>
          <w:lang w:val="en-US" w:eastAsia="zh-CN"/>
        </w:rPr>
        <w:t>消耗</w:t>
      </w:r>
      <w:r>
        <w:rPr>
          <w:rFonts w:hint="default" w:ascii="Times New Roman" w:hAnsi="Times New Roman" w:eastAsia="宋体" w:cs="Times New Roman"/>
          <w:b w:val="0"/>
          <w:bCs w:val="0"/>
          <w:color w:val="auto"/>
          <w:sz w:val="24"/>
          <w:szCs w:val="24"/>
          <w:highlight w:val="none"/>
          <w:lang w:eastAsia="zh-CN"/>
        </w:rPr>
        <w:t>原料</w:t>
      </w:r>
      <w:r>
        <w:rPr>
          <w:rFonts w:hint="default" w:ascii="Times New Roman" w:hAnsi="Times New Roman" w:eastAsia="宋体" w:cs="Times New Roman"/>
          <w:b w:val="0"/>
          <w:bCs w:val="0"/>
          <w:color w:val="auto"/>
          <w:sz w:val="24"/>
          <w:szCs w:val="24"/>
          <w:highlight w:val="none"/>
          <w:lang w:val="en-US" w:eastAsia="zh-CN"/>
        </w:rPr>
        <w:t>玉米粒量为</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000t/a，含有的玉米粒皮屑量按1‰计算，则玉米粒皮屑</w:t>
      </w:r>
      <w:r>
        <w:rPr>
          <w:rFonts w:hint="default" w:ascii="Times New Roman" w:hAnsi="Times New Roman" w:eastAsia="宋体" w:cs="Times New Roman"/>
          <w:color w:val="auto"/>
          <w:sz w:val="24"/>
          <w:szCs w:val="24"/>
          <w:highlight w:val="none"/>
          <w:lang w:val="en-US" w:eastAsia="zh-CN"/>
        </w:rPr>
        <w:t>量为</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t/a，皮屑排放量为</w:t>
      </w:r>
      <w:r>
        <w:rPr>
          <w:rFonts w:hint="default" w:ascii="Times New Roman" w:hAnsi="Times New Roman" w:eastAsia="宋体" w:cs="Times New Roman"/>
          <w:color w:val="auto"/>
          <w:sz w:val="24"/>
          <w:szCs w:val="24"/>
          <w:highlight w:val="none"/>
          <w:lang w:val="en-US" w:eastAsia="zh-CN"/>
        </w:rPr>
        <w:t>0.008</w:t>
      </w:r>
      <w:r>
        <w:rPr>
          <w:rFonts w:hint="default" w:ascii="Times New Roman" w:hAnsi="Times New Roman" w:eastAsia="宋体" w:cs="Times New Roman"/>
          <w:color w:val="auto"/>
          <w:sz w:val="24"/>
          <w:szCs w:val="24"/>
          <w:highlight w:val="none"/>
          <w:lang w:val="en-US" w:eastAsia="zh-CN"/>
        </w:rPr>
        <w:t>t/a，则</w:t>
      </w:r>
      <w:r>
        <w:rPr>
          <w:rFonts w:hint="default" w:ascii="Times New Roman" w:hAnsi="Times New Roman" w:eastAsia="宋体" w:cs="Times New Roman"/>
          <w:b w:val="0"/>
          <w:bCs w:val="0"/>
          <w:color w:val="auto"/>
          <w:sz w:val="24"/>
          <w:szCs w:val="24"/>
          <w:highlight w:val="none"/>
          <w:lang w:val="en-US" w:eastAsia="zh-CN"/>
        </w:rPr>
        <w:t>筛分过程收集的</w:t>
      </w:r>
      <w:r>
        <w:rPr>
          <w:rFonts w:hint="default" w:ascii="Times New Roman" w:hAnsi="Times New Roman" w:eastAsia="宋体" w:cs="Times New Roman"/>
          <w:b w:val="0"/>
          <w:bCs w:val="0"/>
          <w:color w:val="auto"/>
          <w:sz w:val="24"/>
          <w:szCs w:val="24"/>
          <w:highlight w:val="none"/>
          <w:lang w:val="en-US" w:eastAsia="zh-CN"/>
        </w:rPr>
        <w:t>碎玉米、皮屑等杂质量为</w:t>
      </w:r>
      <w:r>
        <w:rPr>
          <w:rFonts w:hint="default" w:ascii="Times New Roman" w:hAnsi="Times New Roman" w:eastAsia="宋体" w:cs="Times New Roman"/>
          <w:b w:val="0"/>
          <w:bCs w:val="0"/>
          <w:color w:val="auto"/>
          <w:sz w:val="24"/>
          <w:szCs w:val="24"/>
          <w:highlight w:val="none"/>
          <w:lang w:val="en-US" w:eastAsia="zh-CN"/>
        </w:rPr>
        <w:t>7.992</w:t>
      </w:r>
      <w:r>
        <w:rPr>
          <w:rFonts w:hint="default" w:ascii="Times New Roman" w:hAnsi="Times New Roman" w:eastAsia="宋体" w:cs="Times New Roman"/>
          <w:b w:val="0"/>
          <w:bCs w:val="0"/>
          <w:color w:val="auto"/>
          <w:sz w:val="24"/>
          <w:szCs w:val="24"/>
          <w:highlight w:val="none"/>
          <w:lang w:val="en-US" w:eastAsia="zh-CN"/>
        </w:rPr>
        <w:t>t/a，</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采用编织袋收集后暂存于</w:t>
      </w:r>
      <w:r>
        <w:rPr>
          <w:rFonts w:hint="default" w:ascii="Times New Roman" w:hAnsi="Times New Roman" w:eastAsia="宋体" w:cs="Times New Roman"/>
          <w:b w:val="0"/>
          <w:bCs w:val="0"/>
          <w:color w:val="auto"/>
          <w:sz w:val="24"/>
          <w:szCs w:val="24"/>
          <w:highlight w:val="none"/>
          <w:lang w:val="en-US" w:eastAsia="zh-CN"/>
        </w:rPr>
        <w:t>一般固废暂存间</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作为饲料回用</w:t>
      </w:r>
      <w:r>
        <w:rPr>
          <w:rFonts w:hint="default" w:ascii="Times New Roman" w:hAnsi="Times New Roman" w:eastAsia="宋体" w:cs="Times New Roman"/>
          <w:b w:val="0"/>
          <w:bCs w:val="0"/>
          <w:color w:val="auto"/>
          <w:sz w:val="24"/>
          <w:szCs w:val="24"/>
          <w:highlight w:val="none"/>
          <w:lang w:val="en-US" w:eastAsia="zh-CN"/>
        </w:rPr>
        <w:t>。</w:t>
      </w:r>
    </w:p>
    <w:p w14:paraId="093EBD35">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炉渣</w:t>
      </w:r>
    </w:p>
    <w:p w14:paraId="17434BB1">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4"/>
          <w:highlight w:val="none"/>
        </w:rPr>
        <w:t>《污染</w:t>
      </w:r>
      <w:r>
        <w:rPr>
          <w:rFonts w:hint="default" w:ascii="Times New Roman" w:hAnsi="Times New Roman" w:eastAsia="宋体" w:cs="Times New Roman"/>
          <w:color w:val="auto"/>
          <w:sz w:val="24"/>
          <w:szCs w:val="24"/>
          <w:highlight w:val="none"/>
        </w:rPr>
        <w:t>源强核算技术指南锅炉》（HJ991-2018），本项目炉渣产生量根据下式计算：</w:t>
      </w:r>
    </w:p>
    <w:p w14:paraId="7BB75CEF">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255895" cy="1851025"/>
            <wp:effectExtent l="0" t="0" r="1905" b="15875"/>
            <wp:docPr id="7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1"/>
                    <pic:cNvPicPr>
                      <a:picLocks noChangeAspect="1"/>
                    </pic:cNvPicPr>
                  </pic:nvPicPr>
                  <pic:blipFill>
                    <a:blip r:embed="rId36"/>
                    <a:stretch>
                      <a:fillRect/>
                    </a:stretch>
                  </pic:blipFill>
                  <pic:spPr>
                    <a:xfrm>
                      <a:off x="0" y="0"/>
                      <a:ext cx="5255895" cy="1851025"/>
                    </a:xfrm>
                    <a:prstGeom prst="rect">
                      <a:avLst/>
                    </a:prstGeom>
                    <a:noFill/>
                    <a:ln>
                      <a:noFill/>
                    </a:ln>
                  </pic:spPr>
                </pic:pic>
              </a:graphicData>
            </a:graphic>
          </wp:inline>
        </w:drawing>
      </w:r>
    </w:p>
    <w:p w14:paraId="04C472D2">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FF0000"/>
          <w:highlight w:val="none"/>
          <w:lang w:val="en-US" w:eastAsia="zh-CN"/>
        </w:rPr>
        <w:t>生物质燃料</w:t>
      </w:r>
      <w:r>
        <w:rPr>
          <w:rFonts w:hint="default" w:ascii="Times New Roman" w:hAnsi="Times New Roman" w:eastAsia="宋体" w:cs="Times New Roman"/>
          <w:color w:val="auto"/>
          <w:sz w:val="24"/>
          <w:szCs w:val="24"/>
          <w:highlight w:val="none"/>
        </w:rPr>
        <w:t>消耗总量为</w:t>
      </w:r>
      <w:r>
        <w:rPr>
          <w:rFonts w:hint="default" w:ascii="Times New Roman" w:hAnsi="Times New Roman" w:eastAsia="宋体" w:cs="Times New Roman"/>
          <w:color w:val="auto"/>
          <w:sz w:val="24"/>
          <w:szCs w:val="24"/>
          <w:highlight w:val="none"/>
          <w:lang w:val="en-US" w:eastAsia="zh-CN"/>
        </w:rPr>
        <w:t>1296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灰分的质量分数为11.48%</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根据《污染源强核算技术指南锅炉》（HJ991-2018）附录B，本项目</w:t>
      </w:r>
      <w:r>
        <w:rPr>
          <w:rFonts w:hint="default" w:ascii="Times New Roman" w:hAnsi="Times New Roman" w:eastAsia="宋体" w:cs="Times New Roman"/>
          <w:color w:val="auto"/>
          <w:sz w:val="24"/>
          <w:szCs w:val="24"/>
          <w:highlight w:val="none"/>
          <w:lang w:val="en-US" w:eastAsia="zh-CN"/>
        </w:rPr>
        <w:t>热风炉</w:t>
      </w:r>
      <w:r>
        <w:rPr>
          <w:rFonts w:hint="default" w:ascii="Times New Roman" w:hAnsi="Times New Roman" w:eastAsia="宋体" w:cs="Times New Roman"/>
          <w:color w:val="auto"/>
          <w:sz w:val="24"/>
          <w:szCs w:val="24"/>
          <w:highlight w:val="none"/>
        </w:rPr>
        <w:t>机械不完全燃烧热损失按10%计；</w:t>
      </w:r>
      <w:r>
        <w:rPr>
          <w:rFonts w:hint="default" w:ascii="Times New Roman" w:hAnsi="Times New Roman" w:eastAsia="宋体" w:cs="Times New Roman"/>
          <w:color w:val="auto"/>
          <w:sz w:val="24"/>
          <w:szCs w:val="24"/>
          <w:highlight w:val="none"/>
          <w:lang w:eastAsia="zh-CN"/>
        </w:rPr>
        <w:t>收到基低位发热量</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19.921</w:t>
      </w:r>
      <w:r>
        <w:rPr>
          <w:rFonts w:hint="default" w:ascii="Times New Roman" w:hAnsi="Times New Roman" w:eastAsia="宋体" w:cs="Times New Roman"/>
          <w:color w:val="auto"/>
          <w:sz w:val="24"/>
          <w:szCs w:val="24"/>
          <w:highlight w:val="none"/>
        </w:rPr>
        <w:t>MJ/kg</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炉</w:t>
      </w:r>
      <w:r>
        <w:rPr>
          <w:rFonts w:hint="default" w:ascii="Times New Roman" w:hAnsi="Times New Roman" w:eastAsia="宋体" w:cs="Times New Roman"/>
          <w:color w:val="auto"/>
          <w:sz w:val="24"/>
          <w:szCs w:val="24"/>
          <w:highlight w:val="none"/>
        </w:rPr>
        <w:t>渣产生量为</w:t>
      </w:r>
      <w:r>
        <w:rPr>
          <w:rFonts w:hint="default" w:ascii="Times New Roman" w:hAnsi="Times New Roman" w:eastAsia="宋体" w:cs="Times New Roman"/>
          <w:color w:val="auto"/>
          <w:sz w:val="24"/>
          <w:szCs w:val="24"/>
          <w:highlight w:val="none"/>
          <w:lang w:val="en-US" w:eastAsia="zh-CN"/>
        </w:rPr>
        <w:t>225.006</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rPr>
        <w:t>堆存于</w:t>
      </w:r>
      <w:r>
        <w:rPr>
          <w:rFonts w:hint="default" w:ascii="Times New Roman" w:hAnsi="Times New Roman" w:eastAsia="宋体" w:cs="Times New Roman"/>
          <w:color w:val="auto"/>
          <w:sz w:val="24"/>
          <w:szCs w:val="24"/>
          <w:highlight w:val="none"/>
          <w:lang w:eastAsia="zh-CN"/>
        </w:rPr>
        <w:t>全封闭灰渣库</w:t>
      </w:r>
      <w:r>
        <w:rPr>
          <w:rFonts w:hint="default" w:ascii="Times New Roman" w:hAnsi="Times New Roman" w:eastAsia="宋体" w:cs="Times New Roman"/>
          <w:color w:val="auto"/>
          <w:sz w:val="24"/>
          <w:szCs w:val="24"/>
          <w:highlight w:val="none"/>
        </w:rPr>
        <w:t>内，定期外售综合利用</w:t>
      </w:r>
      <w:r>
        <w:rPr>
          <w:rFonts w:hint="default" w:ascii="Times New Roman" w:hAnsi="Times New Roman" w:eastAsia="宋体" w:cs="Times New Roman"/>
          <w:color w:val="auto"/>
          <w:sz w:val="24"/>
          <w:szCs w:val="24"/>
          <w:highlight w:val="none"/>
          <w:lang w:val="en-US" w:eastAsia="zh-CN"/>
        </w:rPr>
        <w:t>。</w:t>
      </w:r>
    </w:p>
    <w:p w14:paraId="20BEBEEA">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灰渣库</w:t>
      </w:r>
      <w:r>
        <w:rPr>
          <w:rFonts w:hint="default" w:ascii="Times New Roman" w:hAnsi="Times New Roman" w:eastAsia="宋体" w:cs="Times New Roman"/>
          <w:b w:val="0"/>
          <w:bCs w:val="0"/>
          <w:color w:val="auto"/>
          <w:sz w:val="24"/>
          <w:szCs w:val="24"/>
          <w:highlight w:val="none"/>
        </w:rPr>
        <w:t>按照《一般工业固体废物贮存和填埋污染控制标准》（GB18599-2020）中Ⅱ类场技术要求建设</w:t>
      </w:r>
      <w:r>
        <w:rPr>
          <w:rFonts w:hint="default" w:ascii="Times New Roman" w:hAnsi="Times New Roman" w:eastAsia="宋体" w:cs="Times New Roman"/>
          <w:color w:val="auto"/>
          <w:sz w:val="24"/>
          <w:szCs w:val="24"/>
          <w:highlight w:val="none"/>
        </w:rPr>
        <w:t>，地面采用防渗混凝土+环氧地坪漆铺设，渗透系数≤</w:t>
      </w:r>
      <w:r>
        <w:rPr>
          <w:rFonts w:hint="default" w:ascii="Times New Roman" w:hAnsi="Times New Roman" w:eastAsia="宋体" w:cs="Times New Roman"/>
          <w:b w:val="0"/>
          <w:bCs w:val="0"/>
          <w:color w:val="auto"/>
          <w:sz w:val="24"/>
          <w:szCs w:val="24"/>
          <w:highlight w:val="none"/>
        </w:rPr>
        <w:t>10</w:t>
      </w:r>
      <w:r>
        <w:rPr>
          <w:rFonts w:hint="default" w:ascii="Times New Roman" w:hAnsi="Times New Roman" w:eastAsia="宋体" w:cs="Times New Roman"/>
          <w:b w:val="0"/>
          <w:bCs w:val="0"/>
          <w:color w:val="auto"/>
          <w:sz w:val="24"/>
          <w:szCs w:val="24"/>
          <w:highlight w:val="none"/>
          <w:vertAlign w:val="superscript"/>
        </w:rPr>
        <w:t>-7</w:t>
      </w:r>
      <w:r>
        <w:rPr>
          <w:rFonts w:hint="default" w:ascii="Times New Roman" w:hAnsi="Times New Roman" w:eastAsia="宋体" w:cs="Times New Roman"/>
          <w:b w:val="0"/>
          <w:bCs w:val="0"/>
          <w:color w:val="auto"/>
          <w:sz w:val="24"/>
          <w:szCs w:val="24"/>
          <w:highlight w:val="none"/>
        </w:rPr>
        <w:t>cm/s。</w:t>
      </w:r>
    </w:p>
    <w:p w14:paraId="311EA30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32"/>
          <w:highlight w:val="none"/>
        </w:rPr>
      </w:pPr>
      <w:r>
        <w:rPr>
          <w:rFonts w:hint="default" w:ascii="Times New Roman" w:hAnsi="Times New Roman" w:eastAsia="宋体" w:cs="Times New Roman"/>
          <w:b w:val="0"/>
          <w:bCs w:val="0"/>
          <w:color w:val="auto"/>
          <w:sz w:val="24"/>
          <w:szCs w:val="32"/>
          <w:highlight w:val="none"/>
        </w:rPr>
        <w:t>（</w:t>
      </w:r>
      <w:r>
        <w:rPr>
          <w:rFonts w:hint="default" w:ascii="Times New Roman" w:hAnsi="Times New Roman" w:eastAsia="宋体" w:cs="Times New Roman"/>
          <w:b w:val="0"/>
          <w:bCs w:val="0"/>
          <w:color w:val="auto"/>
          <w:sz w:val="24"/>
          <w:szCs w:val="32"/>
          <w:highlight w:val="none"/>
          <w:lang w:val="en-US" w:eastAsia="zh-CN"/>
        </w:rPr>
        <w:t>6</w:t>
      </w:r>
      <w:r>
        <w:rPr>
          <w:rFonts w:hint="default" w:ascii="Times New Roman" w:hAnsi="Times New Roman" w:eastAsia="宋体" w:cs="Times New Roman"/>
          <w:b w:val="0"/>
          <w:bCs w:val="0"/>
          <w:color w:val="auto"/>
          <w:sz w:val="24"/>
          <w:szCs w:val="32"/>
          <w:highlight w:val="none"/>
        </w:rPr>
        <w:t>）</w:t>
      </w:r>
      <w:r>
        <w:rPr>
          <w:rFonts w:hint="default" w:ascii="Times New Roman" w:hAnsi="Times New Roman" w:eastAsia="宋体" w:cs="Times New Roman"/>
          <w:b w:val="0"/>
          <w:bCs w:val="0"/>
          <w:color w:val="0000FF"/>
          <w:sz w:val="24"/>
          <w:szCs w:val="24"/>
          <w:highlight w:val="none"/>
          <w:lang w:val="en-US" w:eastAsia="zh-CN"/>
        </w:rPr>
        <w:t>生物质热风炉</w:t>
      </w:r>
      <w:r>
        <w:rPr>
          <w:rFonts w:hint="default" w:ascii="Times New Roman" w:hAnsi="Times New Roman" w:eastAsia="宋体" w:cs="Times New Roman"/>
          <w:b w:val="0"/>
          <w:bCs w:val="0"/>
          <w:color w:val="0000FF"/>
          <w:sz w:val="24"/>
          <w:szCs w:val="24"/>
          <w:highlight w:val="none"/>
          <w:lang w:val="en-US" w:eastAsia="zh-CN"/>
        </w:rPr>
        <w:t>布袋除尘器收集的</w:t>
      </w:r>
      <w:r>
        <w:rPr>
          <w:rFonts w:hint="default" w:ascii="Times New Roman" w:hAnsi="Times New Roman" w:eastAsia="宋体" w:cs="Times New Roman"/>
          <w:b w:val="0"/>
          <w:bCs w:val="0"/>
          <w:color w:val="auto"/>
          <w:sz w:val="24"/>
          <w:szCs w:val="32"/>
          <w:highlight w:val="none"/>
        </w:rPr>
        <w:t>除尘灰</w:t>
      </w:r>
    </w:p>
    <w:p w14:paraId="3954471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rPr>
        <w:t>本项目</w:t>
      </w:r>
      <w:r>
        <w:rPr>
          <w:rFonts w:hint="default" w:ascii="Times New Roman" w:hAnsi="Times New Roman" w:eastAsia="宋体" w:cs="Times New Roman"/>
          <w:b w:val="0"/>
          <w:bCs w:val="0"/>
          <w:color w:val="auto"/>
          <w:sz w:val="24"/>
          <w:szCs w:val="24"/>
          <w:highlight w:val="none"/>
          <w:lang w:val="en-US" w:eastAsia="zh-CN"/>
        </w:rPr>
        <w:t>1台3t/h生物质热风炉颗粒物产生量为</w:t>
      </w:r>
      <w:r>
        <w:rPr>
          <w:rFonts w:hint="default" w:ascii="Times New Roman" w:hAnsi="Times New Roman" w:eastAsia="宋体" w:cs="Times New Roman"/>
          <w:b w:val="0"/>
          <w:bCs w:val="0"/>
          <w:color w:val="auto"/>
          <w:sz w:val="24"/>
          <w:szCs w:val="24"/>
          <w:highlight w:val="none"/>
          <w:lang w:val="en-US" w:eastAsia="zh-CN"/>
        </w:rPr>
        <w:t>0.648</w:t>
      </w:r>
      <w:r>
        <w:rPr>
          <w:rFonts w:hint="default" w:ascii="Times New Roman" w:hAnsi="Times New Roman" w:eastAsia="宋体" w:cs="Times New Roman"/>
          <w:b w:val="0"/>
          <w:bCs w:val="0"/>
          <w:color w:val="auto"/>
          <w:sz w:val="24"/>
          <w:szCs w:val="24"/>
          <w:highlight w:val="none"/>
          <w:lang w:val="en-US" w:eastAsia="zh-CN"/>
        </w:rPr>
        <w:t>t/a，经</w:t>
      </w:r>
      <w:r>
        <w:rPr>
          <w:rFonts w:hint="default" w:ascii="Times New Roman" w:hAnsi="Times New Roman" w:eastAsia="宋体" w:cs="Times New Roman"/>
          <w:b w:val="0"/>
          <w:bCs w:val="0"/>
          <w:color w:val="auto"/>
          <w:sz w:val="24"/>
          <w:szCs w:val="24"/>
          <w:highlight w:val="none"/>
          <w:lang w:val="en-US" w:eastAsia="zh-CN"/>
        </w:rPr>
        <w:t>布袋除尘器</w:t>
      </w:r>
      <w:r>
        <w:rPr>
          <w:rFonts w:hint="default" w:ascii="Times New Roman" w:hAnsi="Times New Roman" w:eastAsia="宋体" w:cs="Times New Roman"/>
          <w:b w:val="0"/>
          <w:bCs w:val="0"/>
          <w:color w:val="auto"/>
          <w:sz w:val="24"/>
          <w:szCs w:val="24"/>
          <w:highlight w:val="none"/>
          <w:lang w:val="en-US" w:eastAsia="zh-CN"/>
        </w:rPr>
        <w:t>处理颗粒物排放量</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0.032</w:t>
      </w:r>
      <w:r>
        <w:rPr>
          <w:rFonts w:hint="default" w:ascii="Times New Roman" w:hAnsi="Times New Roman" w:eastAsia="宋体" w:cs="Times New Roman"/>
          <w:color w:val="auto"/>
          <w:sz w:val="24"/>
          <w:szCs w:val="24"/>
          <w:highlight w:val="none"/>
          <w:lang w:val="en-US" w:eastAsia="zh-CN"/>
        </w:rPr>
        <w:t>t/a，则</w:t>
      </w:r>
      <w:r>
        <w:rPr>
          <w:rFonts w:hint="default" w:ascii="Times New Roman" w:hAnsi="Times New Roman" w:eastAsia="宋体" w:cs="Times New Roman"/>
          <w:color w:val="auto"/>
          <w:sz w:val="24"/>
          <w:szCs w:val="24"/>
          <w:highlight w:val="none"/>
          <w:lang w:eastAsia="zh-CN"/>
        </w:rPr>
        <w:t>布袋除尘器</w:t>
      </w:r>
      <w:r>
        <w:rPr>
          <w:rFonts w:hint="default" w:ascii="Times New Roman" w:hAnsi="Times New Roman" w:eastAsia="宋体" w:cs="Times New Roman"/>
          <w:color w:val="auto"/>
          <w:sz w:val="24"/>
          <w:szCs w:val="24"/>
          <w:highlight w:val="none"/>
        </w:rPr>
        <w:t>收集的烟尘量为</w:t>
      </w:r>
      <w:r>
        <w:rPr>
          <w:rFonts w:hint="default" w:ascii="Times New Roman" w:hAnsi="Times New Roman" w:eastAsia="宋体" w:cs="Times New Roman"/>
          <w:color w:val="auto"/>
          <w:sz w:val="24"/>
          <w:szCs w:val="24"/>
          <w:highlight w:val="none"/>
          <w:lang w:val="en-US" w:eastAsia="zh-CN"/>
        </w:rPr>
        <w:t>0.616</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0000FF"/>
          <w:highlight w:val="none"/>
          <w:lang w:val="en-US" w:eastAsia="zh-CN"/>
        </w:rPr>
        <w:t>属于一般工业固体废物</w:t>
      </w:r>
      <w:r>
        <w:rPr>
          <w:rFonts w:hint="default" w:ascii="Times New Roman" w:hAnsi="Times New Roman" w:eastAsia="宋体" w:cs="Times New Roman"/>
          <w:color w:val="auto"/>
          <w:sz w:val="24"/>
          <w:szCs w:val="24"/>
          <w:highlight w:val="none"/>
        </w:rPr>
        <w:t>，堆存于</w:t>
      </w:r>
      <w:r>
        <w:rPr>
          <w:rFonts w:hint="default" w:ascii="Times New Roman" w:hAnsi="Times New Roman" w:eastAsia="宋体" w:cs="Times New Roman"/>
          <w:color w:val="auto"/>
          <w:sz w:val="24"/>
          <w:szCs w:val="24"/>
          <w:highlight w:val="none"/>
          <w:lang w:eastAsia="zh-CN"/>
        </w:rPr>
        <w:t>全封闭灰渣库</w:t>
      </w:r>
      <w:r>
        <w:rPr>
          <w:rFonts w:hint="default" w:ascii="Times New Roman" w:hAnsi="Times New Roman" w:eastAsia="宋体" w:cs="Times New Roman"/>
          <w:color w:val="auto"/>
          <w:sz w:val="24"/>
          <w:szCs w:val="24"/>
          <w:highlight w:val="none"/>
        </w:rPr>
        <w:t>内，定期外售综合利用。</w:t>
      </w:r>
    </w:p>
    <w:p w14:paraId="5336432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32"/>
          <w:highlight w:val="none"/>
          <w:lang w:eastAsia="zh-CN"/>
        </w:rPr>
      </w:pPr>
      <w:r>
        <w:rPr>
          <w:rFonts w:hint="default" w:ascii="Times New Roman" w:hAnsi="Times New Roman" w:eastAsia="宋体" w:cs="Times New Roman"/>
          <w:b w:val="0"/>
          <w:bCs w:val="0"/>
          <w:color w:val="auto"/>
          <w:sz w:val="24"/>
          <w:szCs w:val="32"/>
          <w:highlight w:val="none"/>
          <w:lang w:eastAsia="zh-CN"/>
        </w:rPr>
        <w:t>灰渣储存区</w:t>
      </w:r>
      <w:r>
        <w:rPr>
          <w:rFonts w:hint="default" w:ascii="Times New Roman" w:hAnsi="Times New Roman" w:eastAsia="宋体" w:cs="Times New Roman"/>
          <w:b w:val="0"/>
          <w:bCs w:val="0"/>
          <w:color w:val="auto"/>
          <w:sz w:val="24"/>
          <w:szCs w:val="32"/>
          <w:highlight w:val="none"/>
        </w:rPr>
        <w:t>按照《一般工业固体废物贮存和填埋污染控制标准》（GB18599-2020）中Ⅱ类场技术要求建设</w:t>
      </w:r>
      <w:r>
        <w:rPr>
          <w:rFonts w:hint="default" w:ascii="Times New Roman" w:hAnsi="Times New Roman" w:eastAsia="宋体" w:cs="Times New Roman"/>
          <w:color w:val="auto"/>
          <w:sz w:val="24"/>
          <w:szCs w:val="24"/>
          <w:highlight w:val="none"/>
        </w:rPr>
        <w:t>，地面采用防渗混凝土+环氧地坪漆铺设，渗透系数≤10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w:t>
      </w:r>
      <w:r>
        <w:rPr>
          <w:rFonts w:hint="default" w:ascii="Times New Roman" w:hAnsi="Times New Roman" w:eastAsia="宋体" w:cs="Times New Roman"/>
          <w:b w:val="0"/>
          <w:bCs w:val="0"/>
          <w:color w:val="auto"/>
          <w:sz w:val="24"/>
          <w:szCs w:val="32"/>
          <w:highlight w:val="none"/>
          <w:lang w:eastAsia="zh-CN"/>
        </w:rPr>
        <w:t>。</w:t>
      </w:r>
    </w:p>
    <w:p w14:paraId="4B406024">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医疗垃圾</w:t>
      </w:r>
    </w:p>
    <w:p w14:paraId="183E08AF">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医疗垃圾主要产生于防疫、检查过程中所产生的消毒和医用品废弃物</w:t>
      </w:r>
      <w:r>
        <w:rPr>
          <w:rFonts w:hint="default" w:ascii="Times New Roman" w:hAnsi="Times New Roman" w:eastAsia="宋体" w:cs="Times New Roman"/>
          <w:color w:val="auto"/>
          <w:highlight w:val="none"/>
          <w:lang w:val="en-US" w:eastAsia="zh-CN"/>
        </w:rPr>
        <w:t>等</w:t>
      </w:r>
      <w:r>
        <w:rPr>
          <w:rFonts w:hint="default" w:ascii="Times New Roman" w:hAnsi="Times New Roman" w:eastAsia="宋体" w:cs="Times New Roman"/>
          <w:color w:val="auto"/>
          <w:highlight w:val="none"/>
        </w:rPr>
        <w:t>，查阅相关资料及根据同类项目对比</w:t>
      </w:r>
      <w:r>
        <w:rPr>
          <w:rFonts w:hint="default" w:ascii="Times New Roman" w:hAnsi="Times New Roman" w:eastAsia="宋体" w:cs="Times New Roman"/>
          <w:color w:val="auto"/>
          <w:sz w:val="24"/>
          <w:highlight w:val="none"/>
        </w:rPr>
        <w:t>，医疗垃圾产生量为0.</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1kg/</w:t>
      </w:r>
      <w:r>
        <w:rPr>
          <w:rFonts w:hint="default" w:ascii="Times New Roman" w:hAnsi="Times New Roman" w:eastAsia="宋体" w:cs="Times New Roman"/>
          <w:color w:val="auto"/>
          <w:sz w:val="24"/>
          <w:highlight w:val="none"/>
          <w:lang w:val="en-US" w:eastAsia="zh-CN"/>
        </w:rPr>
        <w:t>只·</w:t>
      </w: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highlight w:val="none"/>
        </w:rPr>
        <w:t>，产生量约</w:t>
      </w:r>
      <w:r>
        <w:rPr>
          <w:rFonts w:hint="default" w:ascii="Times New Roman" w:hAnsi="Times New Roman" w:eastAsia="宋体" w:cs="Times New Roman"/>
          <w:color w:val="auto"/>
          <w:highlight w:val="none"/>
          <w:lang w:val="en-US" w:eastAsia="zh-CN"/>
        </w:rPr>
        <w:t>0.69</w:t>
      </w:r>
      <w:r>
        <w:rPr>
          <w:rFonts w:hint="default" w:ascii="Times New Roman" w:hAnsi="Times New Roman" w:eastAsia="宋体" w:cs="Times New Roman"/>
          <w:color w:val="auto"/>
          <w:highlight w:val="none"/>
        </w:rPr>
        <w:t>t/a。根据《国家危险废物名录》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2021年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的规定，</w:t>
      </w:r>
      <w:r>
        <w:rPr>
          <w:rFonts w:hint="default" w:ascii="Times New Roman" w:hAnsi="Times New Roman" w:eastAsia="宋体" w:cs="Times New Roman"/>
          <w:color w:val="auto"/>
          <w:highlight w:val="none"/>
          <w:lang w:val="en-US" w:eastAsia="zh-CN"/>
        </w:rPr>
        <w:t>废物类别为</w:t>
      </w:r>
      <w:r>
        <w:rPr>
          <w:rFonts w:hint="default" w:ascii="Times New Roman" w:hAnsi="Times New Roman" w:eastAsia="宋体" w:cs="Times New Roman"/>
          <w:color w:val="auto"/>
          <w:highlight w:val="none"/>
        </w:rPr>
        <w:t>HW01医疗废物，</w:t>
      </w:r>
      <w:r>
        <w:rPr>
          <w:rFonts w:hint="default" w:ascii="Times New Roman" w:hAnsi="Times New Roman" w:eastAsia="宋体" w:cs="Times New Roman"/>
          <w:color w:val="auto"/>
          <w:highlight w:val="none"/>
          <w:lang w:eastAsia="zh-CN"/>
        </w:rPr>
        <w:t>废物代码</w:t>
      </w:r>
      <w:r>
        <w:rPr>
          <w:rFonts w:hint="default" w:ascii="Times New Roman" w:hAnsi="Times New Roman" w:eastAsia="宋体" w:cs="Times New Roman"/>
          <w:color w:val="auto"/>
          <w:highlight w:val="none"/>
        </w:rPr>
        <w:t>为</w:t>
      </w:r>
      <w:r>
        <w:rPr>
          <w:rFonts w:hint="default" w:ascii="Times New Roman" w:hAnsi="Times New Roman" w:eastAsia="宋体" w:cs="Times New Roman"/>
          <w:color w:val="auto"/>
          <w:highlight w:val="none"/>
          <w:lang w:eastAsia="zh-CN"/>
        </w:rPr>
        <w:t>841-00</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-01、841-00</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-01、841-005-01。</w:t>
      </w:r>
      <w:r>
        <w:rPr>
          <w:rFonts w:hint="default" w:ascii="Times New Roman" w:hAnsi="Times New Roman" w:eastAsia="宋体" w:cs="Times New Roman"/>
          <w:color w:val="auto"/>
          <w:highlight w:val="none"/>
        </w:rPr>
        <w:t>根据《医疗废物管理条例》中的要求，本项目设置</w:t>
      </w:r>
      <w:r>
        <w:rPr>
          <w:rFonts w:hint="default" w:ascii="Times New Roman" w:hAnsi="Times New Roman" w:eastAsia="宋体" w:cs="Times New Roman"/>
          <w:color w:val="auto"/>
          <w:highlight w:val="none"/>
          <w:lang w:eastAsia="zh-CN"/>
        </w:rPr>
        <w:t>危废暂存间内</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定期</w:t>
      </w:r>
      <w:r>
        <w:rPr>
          <w:rFonts w:hint="default" w:ascii="Times New Roman" w:hAnsi="Times New Roman" w:eastAsia="宋体" w:cs="Times New Roman"/>
          <w:color w:val="auto"/>
          <w:highlight w:val="none"/>
        </w:rPr>
        <w:t>交由有医疗废物处理资质的单位进行集中清运、处理。</w:t>
      </w:r>
    </w:p>
    <w:p w14:paraId="5E66A9A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面积设置为10m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，建设按照《危险废物贮存污染控制标准》（</w:t>
      </w:r>
      <w:r>
        <w:rPr>
          <w:rFonts w:hint="default" w:ascii="Times New Roman" w:hAnsi="Times New Roman" w:eastAsia="宋体" w:cs="Times New Roman"/>
          <w:color w:val="auto"/>
          <w:highlight w:val="none"/>
          <w:lang w:eastAsia="zh-CN"/>
        </w:rPr>
        <w:t>GB18597-2023</w:t>
      </w:r>
      <w:r>
        <w:rPr>
          <w:rFonts w:hint="default" w:ascii="Times New Roman" w:hAnsi="Times New Roman" w:eastAsia="宋体" w:cs="Times New Roman"/>
          <w:color w:val="auto"/>
          <w:highlight w:val="none"/>
        </w:rPr>
        <w:t>）、《医疗卫生机构医疗废物管理办法》和《危险废物污染防治技术政策》的要求设置。暂存间地面铺HDPE膜防渗，渗透系数</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highlight w:val="none"/>
        </w:rPr>
        <w:t>1.0×10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cm/s。暂存间的地面与裙脚要用坚固、防渗的材料建造，建筑材料必须与危险废物相容。危险废物垃圾集中收集暂存、转移委外处理过程中，建设单位须按照相关规定填报转移联单，做好台账。</w:t>
      </w:r>
    </w:p>
    <w:p w14:paraId="5AF8228E">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生活垃圾</w:t>
      </w:r>
    </w:p>
    <w:p w14:paraId="22983D2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生活垃圾按0.5kg/人</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d计，项目劳动定员</w:t>
      </w:r>
      <w:r>
        <w:rPr>
          <w:rFonts w:hint="default" w:ascii="Times New Roman" w:hAnsi="Times New Roman" w:eastAsia="宋体" w:cs="Times New Roman"/>
          <w:color w:val="auto"/>
          <w:highlight w:val="none"/>
          <w:lang w:val="en-US" w:eastAsia="zh-CN"/>
        </w:rPr>
        <w:t>50人</w:t>
      </w:r>
      <w:r>
        <w:rPr>
          <w:rFonts w:hint="default" w:ascii="Times New Roman" w:hAnsi="Times New Roman" w:eastAsia="宋体" w:cs="Times New Roman"/>
          <w:color w:val="auto"/>
          <w:highlight w:val="none"/>
        </w:rPr>
        <w:t>，产生量</w:t>
      </w:r>
      <w:r>
        <w:rPr>
          <w:rFonts w:hint="default" w:ascii="Times New Roman" w:hAnsi="Times New Roman" w:eastAsia="宋体" w:cs="Times New Roman"/>
          <w:color w:val="auto"/>
          <w:highlight w:val="none"/>
          <w:lang w:val="en-US" w:eastAsia="zh-CN"/>
        </w:rPr>
        <w:t>25kg</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d</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9.125t/a</w:t>
      </w:r>
      <w:r>
        <w:rPr>
          <w:rFonts w:hint="default" w:ascii="Times New Roman" w:hAnsi="Times New Roman" w:eastAsia="宋体" w:cs="Times New Roman"/>
          <w:color w:val="auto"/>
          <w:highlight w:val="none"/>
        </w:rPr>
        <w:t>）。生活垃圾</w:t>
      </w:r>
      <w:r>
        <w:rPr>
          <w:rFonts w:hint="default" w:ascii="Times New Roman" w:hAnsi="Times New Roman" w:eastAsia="宋体" w:cs="Times New Roman"/>
          <w:color w:val="auto"/>
          <w:highlight w:val="none"/>
          <w:lang w:bidi="zh-CN"/>
        </w:rPr>
        <w:t>清运到环卫部门指定的地点集中处理</w:t>
      </w:r>
      <w:r>
        <w:rPr>
          <w:rFonts w:hint="default" w:ascii="Times New Roman" w:hAnsi="Times New Roman" w:eastAsia="宋体" w:cs="Times New Roman"/>
          <w:color w:val="auto"/>
          <w:highlight w:val="none"/>
        </w:rPr>
        <w:t>。</w:t>
      </w:r>
    </w:p>
    <w:p w14:paraId="449976D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根据以上的分析可知，本项目所采取的固体废物污染物防治措施是可行的。</w:t>
      </w:r>
    </w:p>
    <w:p w14:paraId="767616E5">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89" w:name="_Toc26271"/>
      <w:r>
        <w:rPr>
          <w:rFonts w:hint="default" w:ascii="Times New Roman" w:hAnsi="Times New Roman" w:eastAsia="宋体" w:cs="Times New Roman"/>
          <w:color w:val="auto"/>
          <w:highlight w:val="none"/>
        </w:rPr>
        <w:t>7.7.2危险废物管理</w:t>
      </w:r>
      <w:bookmarkEnd w:id="689"/>
    </w:p>
    <w:p w14:paraId="01C6B72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危险废物环境管理相关规定</w:t>
      </w:r>
    </w:p>
    <w:p w14:paraId="3351179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危险废物环境管理应按照《中华人民共和国固体废物污染环境防治法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国家危险废物名录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危险废物贮存污染控制标准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危险废物污染防治技术政策》等相关规定执行，对危险废物的产生、收集、运输、分类、检测、包装、综合利用、贮存和处理等进行全过程控制，使危险废物减量化、资源化和无害化。</w:t>
      </w:r>
    </w:p>
    <w:p w14:paraId="2B317B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项目建设单位必须执行国家的有关</w:t>
      </w:r>
      <w:r>
        <w:rPr>
          <w:rFonts w:hint="default" w:ascii="Times New Roman" w:hAnsi="Times New Roman" w:eastAsia="宋体" w:cs="Times New Roman"/>
          <w:color w:val="auto"/>
          <w:highlight w:val="none"/>
          <w:lang w:eastAsia="zh-CN"/>
        </w:rPr>
        <w:t>法律法规</w:t>
      </w:r>
      <w:r>
        <w:rPr>
          <w:rFonts w:hint="default" w:ascii="Times New Roman" w:hAnsi="Times New Roman" w:eastAsia="宋体" w:cs="Times New Roman"/>
          <w:color w:val="auto"/>
          <w:highlight w:val="none"/>
        </w:rPr>
        <w:t>，自觉接受环保部门的监督和日常检查，在危险废物管理工作中应做到：</w:t>
      </w:r>
    </w:p>
    <w:p w14:paraId="47381B8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①在项目审批登记时应填写《危险废物申报单》，正式投产后，应</w:t>
      </w:r>
      <w:r>
        <w:rPr>
          <w:rFonts w:hint="default" w:ascii="Times New Roman" w:hAnsi="Times New Roman" w:eastAsia="宋体" w:cs="Times New Roman"/>
          <w:color w:val="auto"/>
          <w:highlight w:val="none"/>
          <w:lang w:eastAsia="zh-CN"/>
        </w:rPr>
        <w:t>受理</w:t>
      </w:r>
      <w:r>
        <w:rPr>
          <w:rFonts w:hint="default" w:ascii="Times New Roman" w:hAnsi="Times New Roman" w:eastAsia="宋体" w:cs="Times New Roman"/>
          <w:color w:val="auto"/>
          <w:highlight w:val="none"/>
        </w:rPr>
        <w:t>危险废物申报登记手续，填写《危险废物申报登记》，当生产或废物产生情况与申报登记发生较大变化时应及时办理登记手续。</w:t>
      </w:r>
    </w:p>
    <w:p w14:paraId="66EAA27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②必须按照有关危险废物包装、标识及贮存技术规范的要求建设危险废物污染防治设施。收集、贮存、运输、利用、处置危险废物的设施、场所，必须设置危险废物识别标志。</w:t>
      </w:r>
    </w:p>
    <w:p w14:paraId="5242ED1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③制定危险废物管理计划：内容齐全，危险废物的产生环节、种类、危害特性、产生量、利用处置方式描述清晰：报环保部门备案。</w:t>
      </w:r>
    </w:p>
    <w:p w14:paraId="1B3D674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④应建立危险废物岗位操作管理制度。</w:t>
      </w:r>
    </w:p>
    <w:p w14:paraId="4013B63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⑤必须将其危险废物交给有“危险废物经营许可证”的单位进行运输、利用、处理、处置，严禁擅自倾倒、混入生活垃圾中处置。</w:t>
      </w:r>
    </w:p>
    <w:p w14:paraId="56EF580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⑥与危险废物处理处置单位签订废物处理合同。</w:t>
      </w:r>
    </w:p>
    <w:p w14:paraId="63C7D18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7 \* GB3 \* MERGEFORMAT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⑦</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转移危险废物时需严格按照要求填写《危险废物转移联单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危险废物管理手册》季报表。制定培训计划，并开展相关培训。</w:t>
      </w:r>
    </w:p>
    <w:p w14:paraId="7BCA69A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根据上述分析可知，项目产生的危险废物经过合理</w:t>
      </w:r>
      <w:r>
        <w:rPr>
          <w:rFonts w:hint="default"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处理后，不外排，实现了固体废物零排放。</w:t>
      </w:r>
    </w:p>
    <w:p w14:paraId="3C32847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本项目在采取有效的措施后，能利用的废物均被有效利用，不能利用的固废也均能得到妥善处置，实现了固体废物零排放，因此本项目排放的固体废物经上述处理后不会对周围环境产生影响。</w:t>
      </w:r>
    </w:p>
    <w:p w14:paraId="3680C8CF">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690" w:name="_Toc7288"/>
      <w:bookmarkStart w:id="691" w:name="_Toc471227807"/>
      <w:r>
        <w:rPr>
          <w:rFonts w:hint="default" w:ascii="Times New Roman" w:hAnsi="Times New Roman" w:eastAsia="宋体" w:cs="Times New Roman"/>
          <w:color w:val="auto"/>
          <w:highlight w:val="none"/>
        </w:rPr>
        <w:t>7.8粪污资源化利用措施可行性分析</w:t>
      </w:r>
      <w:bookmarkEnd w:id="690"/>
      <w:bookmarkEnd w:id="691"/>
    </w:p>
    <w:p w14:paraId="5677757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根据《畜禽养殖污染防治管理办法》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国家环境保护总局9号令</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、《畜禽养殖业污染物排放标准》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GB18596-2001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、《畜禽养殖业污染防治技术规范》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HJ/T81</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2001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畜禽养殖业污染治理工程技术规范》（HJ497-2009）等的相关要求，畜禽养殖业的污染防治应优先考虑综合利用和资源化的技术路线，以“资源化利用、容量化控制、减量化处置、无害化处理、生态化发展、低廉化治理”为原则，以管促</w:t>
      </w:r>
      <w:r>
        <w:rPr>
          <w:rFonts w:hint="default" w:ascii="Times New Roman" w:hAnsi="Times New Roman" w:eastAsia="宋体" w:cs="Times New Roman"/>
          <w:color w:val="auto"/>
          <w:highlight w:val="none"/>
          <w:lang w:eastAsia="zh-CN"/>
        </w:rPr>
        <w:t>治</w:t>
      </w:r>
      <w:r>
        <w:rPr>
          <w:rFonts w:hint="default" w:ascii="Times New Roman" w:hAnsi="Times New Roman" w:eastAsia="宋体" w:cs="Times New Roman"/>
          <w:color w:val="auto"/>
          <w:highlight w:val="none"/>
        </w:rPr>
        <w:t>，化害为利，变废为宝，将畜禽养殖产生的废物转化为种植业可利用的资源，最终实现种养结合、互为促进的良性生态农业生产链，促进农业生产和生态环境的协调发展。</w:t>
      </w:r>
    </w:p>
    <w:p w14:paraId="1DD6DAF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本次评价的环境保护措施主要从“资源化利用、容量化控制、减量化处置、无害化处理、生态化发展、低廉化治理”等方面进行经济、技术论证。</w:t>
      </w:r>
    </w:p>
    <w:p w14:paraId="43B6EF79">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92" w:name="_Toc16337"/>
      <w:r>
        <w:rPr>
          <w:rFonts w:hint="default" w:ascii="Times New Roman" w:hAnsi="Times New Roman" w:eastAsia="宋体" w:cs="Times New Roman"/>
          <w:color w:val="auto"/>
          <w:highlight w:val="none"/>
        </w:rPr>
        <w:t>7.8.1粪污资源化利用可行性</w:t>
      </w:r>
      <w:bookmarkEnd w:id="692"/>
    </w:p>
    <w:p w14:paraId="550A1F8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羊粪便产生</w:t>
      </w:r>
      <w:r>
        <w:rPr>
          <w:rFonts w:hint="default" w:ascii="Times New Roman" w:hAnsi="Times New Roman" w:eastAsia="宋体" w:cs="Times New Roman"/>
          <w:color w:val="auto"/>
          <w:highlight w:val="none"/>
        </w:rPr>
        <w:t>量为</w:t>
      </w:r>
      <w:r>
        <w:rPr>
          <w:rFonts w:hint="default" w:ascii="Times New Roman" w:hAnsi="Times New Roman" w:eastAsia="宋体" w:cs="Times New Roman"/>
          <w:color w:val="auto"/>
          <w:szCs w:val="21"/>
          <w:highlight w:val="none"/>
          <w:lang w:val="en-US" w:eastAsia="zh-CN"/>
        </w:rPr>
        <w:t>5624.65</w:t>
      </w:r>
      <w:r>
        <w:rPr>
          <w:rFonts w:hint="default" w:ascii="Times New Roman" w:hAnsi="Times New Roman" w:eastAsia="宋体" w:cs="Times New Roman"/>
          <w:color w:val="auto"/>
          <w:highlight w:val="none"/>
        </w:rPr>
        <w:t>t/a，项目采用“（固）堆肥发酵+土地消纳”的种养结合的</w:t>
      </w:r>
      <w:r>
        <w:rPr>
          <w:rFonts w:hint="default" w:ascii="Times New Roman" w:hAnsi="Times New Roman" w:eastAsia="宋体" w:cs="Times New Roman"/>
          <w:color w:val="auto"/>
          <w:highlight w:val="none"/>
          <w:lang w:eastAsia="zh-CN"/>
        </w:rPr>
        <w:t>有机肥</w:t>
      </w:r>
      <w:r>
        <w:rPr>
          <w:rFonts w:hint="default" w:ascii="Times New Roman" w:hAnsi="Times New Roman" w:eastAsia="宋体" w:cs="Times New Roman"/>
          <w:color w:val="auto"/>
          <w:highlight w:val="none"/>
        </w:rPr>
        <w:t>资源化利用处理模式，堆肥处理后，</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经完全发酵后</w:t>
      </w:r>
      <w:r>
        <w:rPr>
          <w:rFonts w:hint="default" w:ascii="Times New Roman" w:hAnsi="Times New Roman" w:eastAsia="宋体" w:cs="Times New Roman"/>
          <w:color w:val="auto"/>
          <w:highlight w:val="none"/>
          <w:lang w:eastAsia="zh-CN"/>
        </w:rPr>
        <w:t>，形成</w:t>
      </w:r>
      <w:r>
        <w:rPr>
          <w:rFonts w:hint="default" w:ascii="Times New Roman" w:hAnsi="Times New Roman" w:eastAsia="宋体" w:cs="Times New Roman"/>
          <w:color w:val="auto"/>
          <w:highlight w:val="none"/>
        </w:rPr>
        <w:t>有机肥</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每半年还田一次，实现粪便的资源化综合利用。</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占地面积</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00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lang w:val="en-US" w:eastAsia="zh-CN"/>
        </w:rPr>
        <w:t>。</w:t>
      </w:r>
    </w:p>
    <w:p w14:paraId="5D254A0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的粪便中含有N、P、K、微量矿物质、各种有机物等，而作物的生长也正是需要N、P、K、微量矿物质、各种有机物等。基于这个事实，项目通过对</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的粪便进行收集、储存、运输，最后还田，达到既充分利用</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的营养价值</w:t>
      </w:r>
      <w:r>
        <w:rPr>
          <w:rFonts w:hint="default" w:ascii="Times New Roman" w:hAnsi="Times New Roman" w:eastAsia="宋体" w:cs="Times New Roman"/>
          <w:color w:val="auto"/>
          <w:highlight w:val="none"/>
          <w:lang w:eastAsia="zh-CN"/>
        </w:rPr>
        <w:t>又很好地</w:t>
      </w:r>
      <w:r>
        <w:rPr>
          <w:rFonts w:hint="default" w:ascii="Times New Roman" w:hAnsi="Times New Roman" w:eastAsia="宋体" w:cs="Times New Roman"/>
          <w:color w:val="auto"/>
          <w:highlight w:val="none"/>
        </w:rPr>
        <w:t>解决了</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对环境的污染难题，变害为宝。</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的主要成分见下表。</w:t>
      </w:r>
    </w:p>
    <w:p w14:paraId="25892CA3">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表7.8-1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羊粪便</w:t>
      </w:r>
      <w:r>
        <w:rPr>
          <w:rFonts w:hint="default" w:ascii="Times New Roman" w:hAnsi="Times New Roman" w:eastAsia="宋体" w:cs="Times New Roman"/>
          <w:color w:val="auto"/>
          <w:sz w:val="24"/>
          <w:szCs w:val="24"/>
          <w:highlight w:val="none"/>
        </w:rPr>
        <w:t>组成表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25"/>
        <w:gridCol w:w="1229"/>
        <w:gridCol w:w="832"/>
        <w:gridCol w:w="832"/>
        <w:gridCol w:w="832"/>
        <w:gridCol w:w="832"/>
        <w:gridCol w:w="832"/>
        <w:gridCol w:w="832"/>
        <w:gridCol w:w="831"/>
      </w:tblGrid>
      <w:tr w14:paraId="38CE6E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2" w:type="dxa"/>
            <w:tcBorders>
              <w:top w:val="single" w:color="auto" w:sz="4" w:space="0"/>
              <w:left w:val="single" w:color="auto" w:sz="4" w:space="0"/>
              <w:bottom w:val="single" w:color="auto" w:sz="4" w:space="0"/>
              <w:right w:val="single" w:color="auto" w:sz="4" w:space="0"/>
            </w:tcBorders>
            <w:vAlign w:val="center"/>
          </w:tcPr>
          <w:p w14:paraId="6473FF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粪便组成</w:t>
            </w:r>
          </w:p>
        </w:tc>
        <w:tc>
          <w:tcPr>
            <w:tcW w:w="1345" w:type="dxa"/>
            <w:tcBorders>
              <w:top w:val="single" w:color="auto" w:sz="4" w:space="0"/>
              <w:left w:val="single" w:color="auto" w:sz="4" w:space="0"/>
              <w:bottom w:val="single" w:color="auto" w:sz="4" w:space="0"/>
              <w:right w:val="single" w:color="auto" w:sz="4" w:space="0"/>
            </w:tcBorders>
            <w:vAlign w:val="center"/>
          </w:tcPr>
          <w:p w14:paraId="59BFC0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挥发性固体</w:t>
            </w:r>
          </w:p>
        </w:tc>
        <w:tc>
          <w:tcPr>
            <w:tcW w:w="902" w:type="dxa"/>
            <w:tcBorders>
              <w:top w:val="single" w:color="auto" w:sz="4" w:space="0"/>
              <w:left w:val="single" w:color="auto" w:sz="4" w:space="0"/>
              <w:bottom w:val="single" w:color="auto" w:sz="4" w:space="0"/>
              <w:right w:val="single" w:color="auto" w:sz="4" w:space="0"/>
            </w:tcBorders>
            <w:vAlign w:val="center"/>
          </w:tcPr>
          <w:p w14:paraId="0FCA34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粗脂肪</w:t>
            </w:r>
          </w:p>
        </w:tc>
        <w:tc>
          <w:tcPr>
            <w:tcW w:w="902" w:type="dxa"/>
            <w:tcBorders>
              <w:top w:val="single" w:color="auto" w:sz="4" w:space="0"/>
              <w:left w:val="single" w:color="auto" w:sz="4" w:space="0"/>
              <w:bottom w:val="single" w:color="auto" w:sz="4" w:space="0"/>
              <w:right w:val="single" w:color="auto" w:sz="4" w:space="0"/>
            </w:tcBorders>
            <w:vAlign w:val="center"/>
          </w:tcPr>
          <w:p w14:paraId="164C165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木质素</w:t>
            </w:r>
          </w:p>
        </w:tc>
        <w:tc>
          <w:tcPr>
            <w:tcW w:w="902" w:type="dxa"/>
            <w:tcBorders>
              <w:top w:val="single" w:color="auto" w:sz="4" w:space="0"/>
              <w:left w:val="single" w:color="auto" w:sz="4" w:space="0"/>
              <w:bottom w:val="single" w:color="auto" w:sz="4" w:space="0"/>
              <w:right w:val="single" w:color="auto" w:sz="4" w:space="0"/>
            </w:tcBorders>
            <w:vAlign w:val="center"/>
          </w:tcPr>
          <w:p w14:paraId="570AE6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纤维素</w:t>
            </w:r>
          </w:p>
        </w:tc>
        <w:tc>
          <w:tcPr>
            <w:tcW w:w="903" w:type="dxa"/>
            <w:tcBorders>
              <w:top w:val="single" w:color="auto" w:sz="4" w:space="0"/>
              <w:left w:val="single" w:color="auto" w:sz="4" w:space="0"/>
              <w:bottom w:val="single" w:color="auto" w:sz="4" w:space="0"/>
              <w:right w:val="single" w:color="auto" w:sz="4" w:space="0"/>
            </w:tcBorders>
            <w:vAlign w:val="center"/>
          </w:tcPr>
          <w:p w14:paraId="385B80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蛋白质</w:t>
            </w:r>
          </w:p>
        </w:tc>
        <w:tc>
          <w:tcPr>
            <w:tcW w:w="903" w:type="dxa"/>
            <w:tcBorders>
              <w:top w:val="single" w:color="auto" w:sz="4" w:space="0"/>
              <w:left w:val="single" w:color="auto" w:sz="4" w:space="0"/>
              <w:bottom w:val="single" w:color="auto" w:sz="4" w:space="0"/>
              <w:right w:val="single" w:color="auto" w:sz="4" w:space="0"/>
            </w:tcBorders>
            <w:vAlign w:val="center"/>
          </w:tcPr>
          <w:p w14:paraId="30F696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含氮量</w:t>
            </w:r>
          </w:p>
        </w:tc>
        <w:tc>
          <w:tcPr>
            <w:tcW w:w="903" w:type="dxa"/>
            <w:tcBorders>
              <w:top w:val="single" w:color="auto" w:sz="4" w:space="0"/>
              <w:left w:val="single" w:color="auto" w:sz="4" w:space="0"/>
              <w:bottom w:val="single" w:color="auto" w:sz="4" w:space="0"/>
              <w:right w:val="single" w:color="auto" w:sz="4" w:space="0"/>
            </w:tcBorders>
            <w:vAlign w:val="center"/>
          </w:tcPr>
          <w:p w14:paraId="65DCD1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含碳量</w:t>
            </w:r>
          </w:p>
        </w:tc>
        <w:tc>
          <w:tcPr>
            <w:tcW w:w="901" w:type="dxa"/>
            <w:tcBorders>
              <w:top w:val="single" w:color="auto" w:sz="4" w:space="0"/>
              <w:left w:val="single" w:color="auto" w:sz="4" w:space="0"/>
              <w:bottom w:val="single" w:color="auto" w:sz="4" w:space="0"/>
              <w:right w:val="single" w:color="auto" w:sz="4" w:space="0"/>
            </w:tcBorders>
            <w:vAlign w:val="center"/>
          </w:tcPr>
          <w:p w14:paraId="42284A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碳氮比</w:t>
            </w:r>
          </w:p>
        </w:tc>
      </w:tr>
      <w:tr w14:paraId="0C678A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2" w:type="dxa"/>
            <w:tcBorders>
              <w:top w:val="single" w:color="auto" w:sz="4" w:space="0"/>
              <w:left w:val="single" w:color="auto" w:sz="4" w:space="0"/>
              <w:bottom w:val="single" w:color="auto" w:sz="4" w:space="0"/>
              <w:right w:val="single" w:color="auto" w:sz="4" w:space="0"/>
            </w:tcBorders>
            <w:vAlign w:val="center"/>
          </w:tcPr>
          <w:p w14:paraId="1205AE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含量（</w:t>
            </w:r>
            <w:r>
              <w:rPr>
                <w:rFonts w:hint="default" w:ascii="Times New Roman" w:hAnsi="Times New Roman" w:eastAsia="宋体" w:cs="Times New Roman"/>
                <w:color w:val="auto"/>
                <w:sz w:val="21"/>
                <w:szCs w:val="20"/>
                <w:highlight w:val="none"/>
                <w:lang w:eastAsia="zh-CN"/>
              </w:rPr>
              <w:t>%</w:t>
            </w:r>
            <w:r>
              <w:rPr>
                <w:rFonts w:hint="default" w:ascii="Times New Roman" w:hAnsi="Times New Roman" w:eastAsia="宋体" w:cs="Times New Roman"/>
                <w:color w:val="auto"/>
                <w:sz w:val="21"/>
                <w:szCs w:val="20"/>
                <w:highlight w:val="none"/>
              </w:rPr>
              <w:t>）</w:t>
            </w:r>
          </w:p>
        </w:tc>
        <w:tc>
          <w:tcPr>
            <w:tcW w:w="1345" w:type="dxa"/>
            <w:tcBorders>
              <w:top w:val="single" w:color="auto" w:sz="4" w:space="0"/>
              <w:left w:val="single" w:color="auto" w:sz="4" w:space="0"/>
              <w:bottom w:val="single" w:color="auto" w:sz="4" w:space="0"/>
              <w:right w:val="single" w:color="auto" w:sz="4" w:space="0"/>
            </w:tcBorders>
            <w:vAlign w:val="center"/>
          </w:tcPr>
          <w:p w14:paraId="2A2F72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76.54</w:t>
            </w:r>
          </w:p>
        </w:tc>
        <w:tc>
          <w:tcPr>
            <w:tcW w:w="902" w:type="dxa"/>
            <w:tcBorders>
              <w:top w:val="single" w:color="auto" w:sz="4" w:space="0"/>
              <w:left w:val="single" w:color="auto" w:sz="4" w:space="0"/>
              <w:bottom w:val="single" w:color="auto" w:sz="4" w:space="0"/>
              <w:right w:val="single" w:color="auto" w:sz="4" w:space="0"/>
            </w:tcBorders>
            <w:vAlign w:val="center"/>
          </w:tcPr>
          <w:p w14:paraId="0B5385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11.5</w:t>
            </w:r>
          </w:p>
        </w:tc>
        <w:tc>
          <w:tcPr>
            <w:tcW w:w="902" w:type="dxa"/>
            <w:tcBorders>
              <w:top w:val="single" w:color="auto" w:sz="4" w:space="0"/>
              <w:left w:val="single" w:color="auto" w:sz="4" w:space="0"/>
              <w:bottom w:val="single" w:color="auto" w:sz="4" w:space="0"/>
              <w:right w:val="single" w:color="auto" w:sz="4" w:space="0"/>
            </w:tcBorders>
            <w:vAlign w:val="center"/>
          </w:tcPr>
          <w:p w14:paraId="266FE9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21.49</w:t>
            </w:r>
          </w:p>
        </w:tc>
        <w:tc>
          <w:tcPr>
            <w:tcW w:w="902" w:type="dxa"/>
            <w:tcBorders>
              <w:top w:val="single" w:color="auto" w:sz="4" w:space="0"/>
              <w:left w:val="single" w:color="auto" w:sz="4" w:space="0"/>
              <w:bottom w:val="single" w:color="auto" w:sz="4" w:space="0"/>
              <w:right w:val="single" w:color="auto" w:sz="4" w:space="0"/>
            </w:tcBorders>
            <w:vAlign w:val="center"/>
          </w:tcPr>
          <w:p w14:paraId="2584012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59.95</w:t>
            </w:r>
          </w:p>
        </w:tc>
        <w:tc>
          <w:tcPr>
            <w:tcW w:w="903" w:type="dxa"/>
            <w:tcBorders>
              <w:top w:val="single" w:color="auto" w:sz="4" w:space="0"/>
              <w:left w:val="single" w:color="auto" w:sz="4" w:space="0"/>
              <w:bottom w:val="single" w:color="auto" w:sz="4" w:space="0"/>
              <w:right w:val="single" w:color="auto" w:sz="4" w:space="0"/>
            </w:tcBorders>
            <w:vAlign w:val="center"/>
          </w:tcPr>
          <w:p w14:paraId="4B2E01B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10.95</w:t>
            </w:r>
          </w:p>
        </w:tc>
        <w:tc>
          <w:tcPr>
            <w:tcW w:w="903" w:type="dxa"/>
            <w:tcBorders>
              <w:top w:val="single" w:color="auto" w:sz="4" w:space="0"/>
              <w:left w:val="single" w:color="auto" w:sz="4" w:space="0"/>
              <w:bottom w:val="single" w:color="auto" w:sz="4" w:space="0"/>
              <w:right w:val="single" w:color="auto" w:sz="4" w:space="0"/>
            </w:tcBorders>
            <w:vAlign w:val="center"/>
          </w:tcPr>
          <w:p w14:paraId="7B941C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0.60</w:t>
            </w:r>
          </w:p>
        </w:tc>
        <w:tc>
          <w:tcPr>
            <w:tcW w:w="903" w:type="dxa"/>
            <w:tcBorders>
              <w:top w:val="single" w:color="auto" w:sz="4" w:space="0"/>
              <w:left w:val="single" w:color="auto" w:sz="4" w:space="0"/>
              <w:bottom w:val="single" w:color="auto" w:sz="4" w:space="0"/>
              <w:right w:val="single" w:color="auto" w:sz="4" w:space="0"/>
            </w:tcBorders>
            <w:vAlign w:val="center"/>
          </w:tcPr>
          <w:p w14:paraId="258DDC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7.8</w:t>
            </w:r>
          </w:p>
        </w:tc>
        <w:tc>
          <w:tcPr>
            <w:tcW w:w="901" w:type="dxa"/>
            <w:tcBorders>
              <w:top w:val="single" w:color="auto" w:sz="4" w:space="0"/>
              <w:left w:val="single" w:color="auto" w:sz="4" w:space="0"/>
              <w:bottom w:val="single" w:color="auto" w:sz="4" w:space="0"/>
              <w:right w:val="single" w:color="auto" w:sz="4" w:space="0"/>
            </w:tcBorders>
            <w:vAlign w:val="center"/>
          </w:tcPr>
          <w:p w14:paraId="6B92AB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13</w:t>
            </w:r>
            <w:r>
              <w:rPr>
                <w:rFonts w:hint="default" w:ascii="Times New Roman" w:hAnsi="Times New Roman" w:eastAsia="宋体" w:cs="Times New Roman"/>
                <w:color w:val="auto"/>
                <w:sz w:val="21"/>
                <w:szCs w:val="20"/>
                <w:highlight w:val="none"/>
                <w:lang w:eastAsia="zh-CN"/>
              </w:rPr>
              <w:t>：</w:t>
            </w:r>
            <w:r>
              <w:rPr>
                <w:rFonts w:hint="default" w:ascii="Times New Roman" w:hAnsi="Times New Roman" w:eastAsia="宋体" w:cs="Times New Roman"/>
                <w:color w:val="auto"/>
                <w:sz w:val="21"/>
                <w:szCs w:val="20"/>
                <w:highlight w:val="none"/>
              </w:rPr>
              <w:t>1</w:t>
            </w:r>
          </w:p>
        </w:tc>
      </w:tr>
    </w:tbl>
    <w:p w14:paraId="24460C7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由上表可见，</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中含有大量的有机质和氮等植物必需的营养物质，是很好的有机肥料，但其中的营养成分必须经微生物降解腐熟后才能被植物吸收利用。同时，还有病原微生物和寄生虫，如果不加处理直接施用鲜粪便，则有机质在被土壤微生物降解过程中产生的热量、氨和硫化氢等物质会对植物根系产生不利，并有可能对环境造成恶臭和污染，因此必须经过无害化处理后才能施用。</w:t>
      </w:r>
    </w:p>
    <w:p w14:paraId="5130AA3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93" w:name="_Toc5257"/>
      <w:r>
        <w:rPr>
          <w:rFonts w:hint="default" w:ascii="Times New Roman" w:hAnsi="Times New Roman" w:eastAsia="宋体" w:cs="Times New Roman"/>
          <w:color w:val="auto"/>
          <w:highlight w:val="none"/>
        </w:rPr>
        <w:t>7.8.2粪污农肥还田利用合规性分析</w:t>
      </w:r>
      <w:bookmarkEnd w:id="693"/>
    </w:p>
    <w:p w14:paraId="21A73BF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根据相关管理办法、排放标准、技术规范及防治政策要求，项目</w:t>
      </w:r>
      <w:r>
        <w:rPr>
          <w:rFonts w:hint="default" w:ascii="Times New Roman" w:hAnsi="Times New Roman" w:eastAsia="宋体" w:cs="Times New Roman"/>
          <w:color w:val="auto"/>
          <w:highlight w:val="none"/>
          <w:lang w:eastAsia="zh-CN"/>
        </w:rPr>
        <w:t>有机肥</w:t>
      </w:r>
      <w:r>
        <w:rPr>
          <w:rFonts w:hint="default" w:ascii="Times New Roman" w:hAnsi="Times New Roman" w:eastAsia="宋体" w:cs="Times New Roman"/>
          <w:color w:val="auto"/>
          <w:highlight w:val="none"/>
        </w:rPr>
        <w:t>还田利用合规性分析，见下表。</w:t>
      </w:r>
    </w:p>
    <w:p w14:paraId="2E5AFAF5">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表7.8-2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有机肥</w:t>
      </w:r>
      <w:r>
        <w:rPr>
          <w:rFonts w:hint="default" w:ascii="Times New Roman" w:hAnsi="Times New Roman" w:eastAsia="宋体" w:cs="Times New Roman"/>
          <w:color w:val="auto"/>
          <w:sz w:val="24"/>
          <w:szCs w:val="24"/>
          <w:highlight w:val="none"/>
        </w:rPr>
        <w:t>还田利用合规性分析</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3463"/>
        <w:gridCol w:w="3038"/>
      </w:tblGrid>
      <w:tr w14:paraId="25C510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tcBorders>
              <w:top w:val="single" w:color="auto" w:sz="4" w:space="0"/>
              <w:left w:val="single" w:color="auto" w:sz="4" w:space="0"/>
            </w:tcBorders>
            <w:vAlign w:val="center"/>
          </w:tcPr>
          <w:p w14:paraId="27CB4EB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政策法规</w:t>
            </w:r>
          </w:p>
        </w:tc>
        <w:tc>
          <w:tcPr>
            <w:tcW w:w="3772" w:type="dxa"/>
            <w:tcBorders>
              <w:top w:val="single" w:color="auto" w:sz="4" w:space="0"/>
            </w:tcBorders>
            <w:vAlign w:val="center"/>
          </w:tcPr>
          <w:p w14:paraId="3D7B70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相关条款及规定</w:t>
            </w:r>
          </w:p>
        </w:tc>
        <w:tc>
          <w:tcPr>
            <w:tcW w:w="3307" w:type="dxa"/>
            <w:tcBorders>
              <w:top w:val="single" w:color="auto" w:sz="4" w:space="0"/>
              <w:right w:val="single" w:color="auto" w:sz="4" w:space="0"/>
            </w:tcBorders>
            <w:vAlign w:val="center"/>
          </w:tcPr>
          <w:p w14:paraId="154151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符合性分析</w:t>
            </w:r>
          </w:p>
        </w:tc>
      </w:tr>
      <w:tr w14:paraId="67FE3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tcBorders>
              <w:left w:val="single" w:color="auto" w:sz="4" w:space="0"/>
            </w:tcBorders>
            <w:vAlign w:val="center"/>
          </w:tcPr>
          <w:p w14:paraId="7989CF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《畜禽养殖业污染物排放标准》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GB18596-2001</w:t>
            </w:r>
            <w:r>
              <w:rPr>
                <w:rFonts w:hint="default" w:ascii="Times New Roman" w:hAnsi="Times New Roman" w:eastAsia="宋体" w:cs="Times New Roman"/>
                <w:color w:val="auto"/>
                <w:sz w:val="21"/>
                <w:szCs w:val="21"/>
                <w:highlight w:val="none"/>
                <w:lang w:eastAsia="zh-CN"/>
              </w:rPr>
              <w:t>）</w:t>
            </w:r>
          </w:p>
        </w:tc>
        <w:tc>
          <w:tcPr>
            <w:tcW w:w="3772" w:type="dxa"/>
            <w:vAlign w:val="center"/>
          </w:tcPr>
          <w:p w14:paraId="3FB5FA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畜禽养殖业应积极通过废水和粪便的还田或其他措施对所排放的污染物进行综合利用，实现污染物的资源化。</w:t>
            </w:r>
          </w:p>
        </w:tc>
        <w:tc>
          <w:tcPr>
            <w:tcW w:w="3307" w:type="dxa"/>
            <w:tcBorders>
              <w:right w:val="single" w:color="auto" w:sz="4" w:space="0"/>
            </w:tcBorders>
            <w:vAlign w:val="center"/>
          </w:tcPr>
          <w:p w14:paraId="3A54A9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项目采用“（固）堆肥发酵+土地消纳”的种养结合的</w:t>
            </w:r>
            <w:r>
              <w:rPr>
                <w:rFonts w:hint="default" w:ascii="Times New Roman" w:hAnsi="Times New Roman" w:eastAsia="宋体" w:cs="Times New Roman"/>
                <w:color w:val="auto"/>
                <w:sz w:val="21"/>
                <w:szCs w:val="21"/>
                <w:highlight w:val="none"/>
                <w:lang w:eastAsia="zh-CN"/>
              </w:rPr>
              <w:t>有机肥</w:t>
            </w:r>
            <w:r>
              <w:rPr>
                <w:rFonts w:hint="default" w:ascii="Times New Roman" w:hAnsi="Times New Roman" w:eastAsia="宋体" w:cs="Times New Roman"/>
                <w:color w:val="auto"/>
                <w:sz w:val="21"/>
                <w:szCs w:val="21"/>
                <w:highlight w:val="none"/>
              </w:rPr>
              <w:t>资源化利用处理模式，每半年还田一次，实现粪便的资源化综合利用，化害为利，变废为宝，符合相关要求</w:t>
            </w:r>
          </w:p>
        </w:tc>
      </w:tr>
      <w:tr w14:paraId="6FED7E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tcBorders>
              <w:left w:val="single" w:color="auto" w:sz="4" w:space="0"/>
            </w:tcBorders>
            <w:vAlign w:val="center"/>
          </w:tcPr>
          <w:p w14:paraId="654B97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《畜禽规模养殖污染防治条例》（国务院令第643号）</w:t>
            </w:r>
          </w:p>
        </w:tc>
        <w:tc>
          <w:tcPr>
            <w:tcW w:w="3772" w:type="dxa"/>
            <w:vAlign w:val="center"/>
          </w:tcPr>
          <w:p w14:paraId="3553532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国家鼓励和支持采取种植和养殖相结合的方式消纳利用畜禽养殖废弃物，促进畜禽粪便、污水等废弃物就地就近利用。</w:t>
            </w:r>
          </w:p>
          <w:p w14:paraId="121A56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将畜禽粪便、污水、沼渣、沼液等用作肥料的，应当与土地的消纳能力相适应，并采取有效措施，消除可能引起传染病的微生物，防止污染环境和传播疫病。</w:t>
            </w:r>
          </w:p>
        </w:tc>
        <w:tc>
          <w:tcPr>
            <w:tcW w:w="3307" w:type="dxa"/>
            <w:tcBorders>
              <w:right w:val="single" w:color="auto" w:sz="4" w:space="0"/>
            </w:tcBorders>
            <w:vAlign w:val="center"/>
          </w:tcPr>
          <w:p w14:paraId="7EFD1D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项目采用“（固）堆肥发酵+土地消纳”的种养结合的</w:t>
            </w:r>
            <w:r>
              <w:rPr>
                <w:rFonts w:hint="default" w:ascii="Times New Roman" w:hAnsi="Times New Roman" w:eastAsia="宋体" w:cs="Times New Roman"/>
                <w:color w:val="auto"/>
                <w:sz w:val="21"/>
                <w:szCs w:val="21"/>
                <w:highlight w:val="none"/>
                <w:lang w:eastAsia="zh-CN"/>
              </w:rPr>
              <w:t>有机肥</w:t>
            </w:r>
            <w:r>
              <w:rPr>
                <w:rFonts w:hint="default" w:ascii="Times New Roman" w:hAnsi="Times New Roman" w:eastAsia="宋体" w:cs="Times New Roman"/>
                <w:color w:val="auto"/>
                <w:sz w:val="21"/>
                <w:szCs w:val="21"/>
                <w:highlight w:val="none"/>
              </w:rPr>
              <w:t>资源化利用处理模式，每半年还田一次，</w:t>
            </w:r>
            <w:r>
              <w:rPr>
                <w:rFonts w:hint="default" w:ascii="Times New Roman" w:hAnsi="Times New Roman" w:eastAsia="宋体" w:cs="Times New Roman"/>
                <w:color w:val="auto"/>
                <w:sz w:val="21"/>
                <w:szCs w:val="21"/>
                <w:highlight w:val="none"/>
                <w:lang w:eastAsia="zh-CN"/>
              </w:rPr>
              <w:t>周边</w:t>
            </w:r>
            <w:r>
              <w:rPr>
                <w:rFonts w:hint="default" w:ascii="Times New Roman" w:hAnsi="Times New Roman" w:eastAsia="宋体" w:cs="Times New Roman"/>
                <w:color w:val="auto"/>
                <w:sz w:val="21"/>
                <w:szCs w:val="21"/>
                <w:highlight w:val="none"/>
              </w:rPr>
              <w:t>配套</w:t>
            </w:r>
            <w:r>
              <w:rPr>
                <w:rFonts w:hint="default" w:ascii="Times New Roman" w:hAnsi="Times New Roman" w:eastAsia="宋体" w:cs="Times New Roman"/>
                <w:color w:val="auto"/>
                <w:sz w:val="21"/>
                <w:szCs w:val="21"/>
                <w:highlight w:val="none"/>
                <w:lang w:eastAsia="zh-CN"/>
              </w:rPr>
              <w:t>有</w:t>
            </w:r>
            <w:r>
              <w:rPr>
                <w:rFonts w:hint="default" w:ascii="Times New Roman" w:hAnsi="Times New Roman" w:eastAsia="宋体" w:cs="Times New Roman"/>
                <w:color w:val="auto"/>
                <w:sz w:val="21"/>
                <w:szCs w:val="21"/>
                <w:highlight w:val="none"/>
                <w:lang w:val="en-US" w:eastAsia="zh-CN"/>
              </w:rPr>
              <w:t>6250</w:t>
            </w:r>
            <w:r>
              <w:rPr>
                <w:rFonts w:hint="default" w:ascii="Times New Roman" w:hAnsi="Times New Roman" w:eastAsia="宋体" w:cs="Times New Roman"/>
                <w:color w:val="auto"/>
                <w:sz w:val="21"/>
                <w:szCs w:val="21"/>
                <w:highlight w:val="none"/>
                <w:lang w:eastAsia="zh-CN"/>
              </w:rPr>
              <w:t>亩</w:t>
            </w:r>
            <w:r>
              <w:rPr>
                <w:rFonts w:hint="default" w:ascii="Times New Roman" w:hAnsi="Times New Roman" w:eastAsia="宋体" w:cs="Times New Roman"/>
                <w:color w:val="auto"/>
                <w:sz w:val="21"/>
                <w:szCs w:val="21"/>
                <w:highlight w:val="none"/>
              </w:rPr>
              <w:t>消纳土地，土地消纳能力与粪污产生量相适应，符合相关要求</w:t>
            </w:r>
          </w:p>
        </w:tc>
      </w:tr>
      <w:tr w14:paraId="5BE00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tcBorders>
              <w:left w:val="single" w:color="auto" w:sz="4" w:space="0"/>
            </w:tcBorders>
            <w:vAlign w:val="center"/>
          </w:tcPr>
          <w:p w14:paraId="3BA47B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《关于进一步贯彻落实《畜禽规模养殖污染防治条例》促进养殖废弃物综合利用加强污染防治的通知》</w:t>
            </w:r>
          </w:p>
          <w:p w14:paraId="5E9D13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（内农牧畜发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228号）</w:t>
            </w:r>
          </w:p>
        </w:tc>
        <w:tc>
          <w:tcPr>
            <w:tcW w:w="3772" w:type="dxa"/>
            <w:vAlign w:val="center"/>
          </w:tcPr>
          <w:p w14:paraId="1D8488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按照生态文明建设的总体要求，全面贯彻落实《条例》和“水十条”要求，坚持源头减量、过程控制、综合利用相结合，以提高畜禽养殖废弃物综合利用水平为核心，以农牧结合、种养平衡、生态循环为基本要求，加强规划引导、优化区域布局、健全政策体系、加强科技运用、规范行业管理、强化指导服务。加强试点示范和典型引领，大力推广废弃物产生减量化、处理无害化、利用资源化。</w:t>
            </w:r>
          </w:p>
          <w:p w14:paraId="720543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因地制宜发展多种形式的畜禽生态养殖，大力推行种养结合，打通种养业协调发展通道，促进循环利用、变废为宝。</w:t>
            </w:r>
          </w:p>
        </w:tc>
        <w:tc>
          <w:tcPr>
            <w:tcW w:w="3307" w:type="dxa"/>
            <w:tcBorders>
              <w:right w:val="single" w:color="auto" w:sz="4" w:space="0"/>
            </w:tcBorders>
            <w:vAlign w:val="center"/>
          </w:tcPr>
          <w:p w14:paraId="641DB9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项目采用“（固）堆肥发酵+土地消纳”的种养结合的</w:t>
            </w:r>
            <w:r>
              <w:rPr>
                <w:rFonts w:hint="default" w:ascii="Times New Roman" w:hAnsi="Times New Roman" w:eastAsia="宋体" w:cs="Times New Roman"/>
                <w:color w:val="auto"/>
                <w:sz w:val="21"/>
                <w:szCs w:val="21"/>
                <w:highlight w:val="none"/>
                <w:lang w:eastAsia="zh-CN"/>
              </w:rPr>
              <w:t>有机肥</w:t>
            </w:r>
            <w:r>
              <w:rPr>
                <w:rFonts w:hint="default" w:ascii="Times New Roman" w:hAnsi="Times New Roman" w:eastAsia="宋体" w:cs="Times New Roman"/>
                <w:color w:val="auto"/>
                <w:sz w:val="21"/>
                <w:szCs w:val="21"/>
                <w:highlight w:val="none"/>
              </w:rPr>
              <w:t>资源化利用处理模式，每半年还田一次，配套消纳土地</w:t>
            </w:r>
            <w:r>
              <w:rPr>
                <w:rFonts w:hint="default" w:ascii="Times New Roman" w:hAnsi="Times New Roman" w:eastAsia="宋体" w:cs="Times New Roman"/>
                <w:color w:val="auto"/>
                <w:sz w:val="21"/>
                <w:szCs w:val="21"/>
                <w:highlight w:val="none"/>
                <w:lang w:val="en-US" w:eastAsia="zh-CN"/>
              </w:rPr>
              <w:t>6250</w:t>
            </w:r>
            <w:r>
              <w:rPr>
                <w:rFonts w:hint="default" w:ascii="Times New Roman" w:hAnsi="Times New Roman" w:eastAsia="宋体" w:cs="Times New Roman"/>
                <w:color w:val="auto"/>
                <w:sz w:val="21"/>
                <w:szCs w:val="21"/>
                <w:highlight w:val="none"/>
                <w:lang w:eastAsia="zh-CN"/>
              </w:rPr>
              <w:t>亩</w:t>
            </w:r>
            <w:r>
              <w:rPr>
                <w:rFonts w:hint="default" w:ascii="Times New Roman" w:hAnsi="Times New Roman" w:eastAsia="宋体" w:cs="Times New Roman"/>
                <w:color w:val="auto"/>
                <w:sz w:val="21"/>
                <w:szCs w:val="21"/>
                <w:highlight w:val="none"/>
              </w:rPr>
              <w:t>，土地消纳能力与粪污产生量相适应，种养平衡；</w:t>
            </w:r>
          </w:p>
          <w:p w14:paraId="292FAB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实现粪便的资源化综合利用，化害为利，变废为宝，符合相关要求</w:t>
            </w:r>
          </w:p>
        </w:tc>
      </w:tr>
      <w:tr w14:paraId="1A6F1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tcBorders>
              <w:left w:val="single" w:color="auto" w:sz="4" w:space="0"/>
              <w:bottom w:val="single" w:color="auto" w:sz="4" w:space="0"/>
            </w:tcBorders>
            <w:vAlign w:val="center"/>
          </w:tcPr>
          <w:p w14:paraId="0C519B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畜禽养殖业污染治理工程技术规范（HJ497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2009）</w:t>
            </w:r>
          </w:p>
        </w:tc>
        <w:tc>
          <w:tcPr>
            <w:tcW w:w="3772" w:type="dxa"/>
            <w:tcBorders>
              <w:bottom w:val="single" w:color="auto" w:sz="4" w:space="0"/>
            </w:tcBorders>
            <w:vAlign w:val="center"/>
          </w:tcPr>
          <w:p w14:paraId="284E4F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无害化处理后进行还田综合利用的，粪肥用量不能超过作物当年生长所需的养分量。在确定粪肥的最佳施用量时，应对土壤肥力和粪肥肥效进行测试评价，并符合当地环境容量的要求。同时应有一倍以上的土地用于轮作施肥，不得长期施肥于同一土地。</w:t>
            </w:r>
          </w:p>
        </w:tc>
        <w:tc>
          <w:tcPr>
            <w:tcW w:w="3307" w:type="dxa"/>
            <w:tcBorders>
              <w:bottom w:val="single" w:color="auto" w:sz="4" w:space="0"/>
              <w:right w:val="single" w:color="auto" w:sz="4" w:space="0"/>
            </w:tcBorders>
            <w:vAlign w:val="center"/>
          </w:tcPr>
          <w:p w14:paraId="70B1D7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项目每半年还田一次，粪肥用量不超过作物当年生长所需的养分量，配套消纳土地</w:t>
            </w:r>
            <w:r>
              <w:rPr>
                <w:rFonts w:hint="default" w:ascii="Times New Roman" w:hAnsi="Times New Roman" w:eastAsia="宋体" w:cs="Times New Roman"/>
                <w:color w:val="auto"/>
                <w:sz w:val="21"/>
                <w:szCs w:val="21"/>
                <w:highlight w:val="none"/>
                <w:lang w:val="en-US" w:eastAsia="zh-CN"/>
              </w:rPr>
              <w:t>6250</w:t>
            </w:r>
            <w:r>
              <w:rPr>
                <w:rFonts w:hint="default" w:ascii="Times New Roman" w:hAnsi="Times New Roman" w:eastAsia="宋体" w:cs="Times New Roman"/>
                <w:color w:val="auto"/>
                <w:sz w:val="21"/>
                <w:szCs w:val="21"/>
                <w:highlight w:val="none"/>
                <w:lang w:eastAsia="zh-CN"/>
              </w:rPr>
              <w:t>亩</w:t>
            </w:r>
            <w:r>
              <w:rPr>
                <w:rFonts w:hint="default" w:ascii="Times New Roman" w:hAnsi="Times New Roman" w:eastAsia="宋体" w:cs="Times New Roman"/>
                <w:color w:val="auto"/>
                <w:sz w:val="21"/>
                <w:szCs w:val="21"/>
                <w:highlight w:val="none"/>
              </w:rPr>
              <w:t>，实现粪便的资源化综合利用，化害为利，变废为宝，符合相关要求</w:t>
            </w:r>
          </w:p>
        </w:tc>
      </w:tr>
    </w:tbl>
    <w:p w14:paraId="1444126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shd w:val="clear" w:color="auto" w:fill="FFFFFF"/>
        </w:rPr>
      </w:pPr>
      <w:r>
        <w:rPr>
          <w:rFonts w:hint="default" w:ascii="Times New Roman" w:hAnsi="Times New Roman" w:eastAsia="宋体" w:cs="Times New Roman"/>
          <w:color w:val="auto"/>
          <w:highlight w:val="none"/>
          <w:shd w:val="clear" w:color="auto" w:fill="FFFFFF"/>
        </w:rPr>
        <w:t>项目种养结合的养</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shd w:val="clear" w:color="auto" w:fill="FFFFFF"/>
        </w:rPr>
        <w:t>模式符合《</w:t>
      </w:r>
      <w:r>
        <w:rPr>
          <w:rFonts w:hint="default" w:ascii="Times New Roman" w:hAnsi="Times New Roman" w:eastAsia="宋体" w:cs="Times New Roman"/>
          <w:color w:val="auto"/>
          <w:highlight w:val="none"/>
        </w:rPr>
        <w:t>畜禽规模养殖污染防治条例</w:t>
      </w:r>
      <w:r>
        <w:rPr>
          <w:rFonts w:hint="default" w:ascii="Times New Roman" w:hAnsi="Times New Roman" w:eastAsia="宋体" w:cs="Times New Roman"/>
          <w:color w:val="auto"/>
          <w:highlight w:val="none"/>
          <w:shd w:val="clear" w:color="auto" w:fill="FFFFFF"/>
        </w:rPr>
        <w:t>》精神和要求，积极推进种养结合、种养平衡，发展养殖业＋种植业复合型产业模式，拉长产业链条，提高粪便等废弃物资源的综合利用水平，增加盈利点，提升产业综合效益。</w:t>
      </w:r>
    </w:p>
    <w:p w14:paraId="24691E3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694" w:name="_Toc29129"/>
      <w:r>
        <w:rPr>
          <w:rFonts w:hint="default" w:ascii="Times New Roman" w:hAnsi="Times New Roman" w:eastAsia="宋体" w:cs="Times New Roman"/>
          <w:color w:val="auto"/>
          <w:highlight w:val="none"/>
        </w:rPr>
        <w:t>7.8.3粪污资源化工艺可行性分析</w:t>
      </w:r>
      <w:bookmarkEnd w:id="694"/>
    </w:p>
    <w:p w14:paraId="6CC2DA48">
      <w:pPr>
        <w:pStyle w:val="7"/>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7.8.3.1固体堆肥工艺可行分析</w:t>
      </w:r>
    </w:p>
    <w:p w14:paraId="7F61FF4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中含有大量的有机质和氮等植物必需的营养物质，是很好的有机肥料，但其中的营养成分必须经微生物降解腐熟后才能被植物吸收利用。同时，还有病原微生物和寄生虫，如果不加处理直接施用鲜粪尿，则有机质在被土壤微生物降解过程中产生的热量、氨和硫化氢等物质会对植物根系产生不利，并有可能对环境造成恶臭和污染，因此必须经过无害化处理后才能施用。</w:t>
      </w:r>
    </w:p>
    <w:p w14:paraId="0CC840A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常见的固体粪便处理方法有堆肥法、干燥法、焚烧法等。由于好氧堆肥法</w:t>
      </w:r>
      <w:r>
        <w:rPr>
          <w:rFonts w:hint="default" w:ascii="Times New Roman" w:hAnsi="Times New Roman" w:eastAsia="宋体" w:cs="Times New Roman"/>
          <w:color w:val="auto"/>
          <w:highlight w:val="none"/>
          <w:lang w:eastAsia="zh-CN"/>
        </w:rPr>
        <w:t>与其他</w:t>
      </w:r>
      <w:r>
        <w:rPr>
          <w:rFonts w:hint="default" w:ascii="Times New Roman" w:hAnsi="Times New Roman" w:eastAsia="宋体" w:cs="Times New Roman"/>
          <w:color w:val="auto"/>
          <w:highlight w:val="none"/>
        </w:rPr>
        <w:t>无害化方法相比，具有省能源、低成本、发酵产物活性强、处理过程养分损失少等优点，并且也可达到去除臭味、灭菌的目的，处理的最终产物较干燥，易包装、施用，因此，对固体粪便采用好氧堆肥法处理是最佳的处置方式。</w:t>
      </w:r>
    </w:p>
    <w:p w14:paraId="63CB4C4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主要利用</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在存储阶段同时进行好氧发酵的过程。进行搅拌使其充分通风曝气供氧并进行好氧堆肥的机械翻堆，好氧发酵可对粪便的有机物进行分解，同时也杀灭粪便中的有害微生物，如有害细菌、虫卵等。</w:t>
      </w:r>
    </w:p>
    <w:p w14:paraId="1A37426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好氧堆肥主要为通气、调节pH值、好氧发酵（升温阶段、高温阶段、降温阶段）项目经过发酵60天的长期中高温发酵，粪便中绝大多数有机物被降解，粪便也达到腐熟的程度。经发酵降解腐熟的农肥进行还田的应符合</w:t>
      </w:r>
      <w:r>
        <w:rPr>
          <w:rFonts w:hint="default" w:ascii="Times New Roman" w:hAnsi="Times New Roman" w:eastAsia="宋体" w:cs="Times New Roman"/>
          <w:bCs/>
          <w:color w:val="auto"/>
          <w:highlight w:val="none"/>
        </w:rPr>
        <w:t>《畜禽养殖业污染物排放标准》（GB18596-2001）</w:t>
      </w:r>
      <w:r>
        <w:rPr>
          <w:rFonts w:hint="default" w:ascii="Times New Roman" w:hAnsi="Times New Roman" w:eastAsia="宋体" w:cs="Times New Roman"/>
          <w:color w:val="auto"/>
          <w:highlight w:val="none"/>
        </w:rPr>
        <w:t>中废渣无害化环境标准要求，见下表。</w:t>
      </w:r>
    </w:p>
    <w:p w14:paraId="59AE30F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表7.8-3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畜禽养殖业废渣无害化环境标准</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842"/>
        <w:gridCol w:w="2841"/>
        <w:gridCol w:w="2594"/>
      </w:tblGrid>
      <w:tr w14:paraId="5C278E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92" w:type="dxa"/>
            <w:tcBorders>
              <w:top w:val="single" w:color="auto" w:sz="4" w:space="0"/>
              <w:left w:val="single" w:color="auto" w:sz="4" w:space="0"/>
              <w:bottom w:val="single" w:color="auto" w:sz="4" w:space="0"/>
              <w:right w:val="single" w:color="auto" w:sz="4" w:space="0"/>
            </w:tcBorders>
            <w:vAlign w:val="center"/>
          </w:tcPr>
          <w:p w14:paraId="5AEFDC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标准名称及编号</w:t>
            </w:r>
          </w:p>
        </w:tc>
        <w:tc>
          <w:tcPr>
            <w:tcW w:w="3091" w:type="dxa"/>
            <w:tcBorders>
              <w:top w:val="single" w:color="auto" w:sz="4" w:space="0"/>
              <w:left w:val="single" w:color="auto" w:sz="4" w:space="0"/>
              <w:bottom w:val="single" w:color="auto" w:sz="4" w:space="0"/>
              <w:right w:val="single" w:color="auto" w:sz="4" w:space="0"/>
            </w:tcBorders>
            <w:vAlign w:val="center"/>
          </w:tcPr>
          <w:p w14:paraId="37C076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控制项目</w:t>
            </w:r>
          </w:p>
        </w:tc>
        <w:tc>
          <w:tcPr>
            <w:tcW w:w="2820" w:type="dxa"/>
            <w:tcBorders>
              <w:top w:val="single" w:color="auto" w:sz="4" w:space="0"/>
              <w:left w:val="single" w:color="auto" w:sz="4" w:space="0"/>
              <w:bottom w:val="single" w:color="auto" w:sz="4" w:space="0"/>
              <w:right w:val="single" w:color="auto" w:sz="4" w:space="0"/>
            </w:tcBorders>
            <w:vAlign w:val="center"/>
          </w:tcPr>
          <w:p w14:paraId="648CC6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指标</w:t>
            </w:r>
          </w:p>
        </w:tc>
      </w:tr>
      <w:tr w14:paraId="11AB5B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92" w:type="dxa"/>
            <w:vMerge w:val="restart"/>
            <w:tcBorders>
              <w:top w:val="single" w:color="auto" w:sz="4" w:space="0"/>
              <w:left w:val="single" w:color="auto" w:sz="4" w:space="0"/>
              <w:bottom w:val="single" w:color="auto" w:sz="4" w:space="0"/>
              <w:right w:val="single" w:color="auto" w:sz="4" w:space="0"/>
            </w:tcBorders>
            <w:vAlign w:val="center"/>
          </w:tcPr>
          <w:p w14:paraId="7590360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《畜禽养殖业污染物排放标准》（GB18596-2001）</w:t>
            </w:r>
          </w:p>
        </w:tc>
        <w:tc>
          <w:tcPr>
            <w:tcW w:w="3091" w:type="dxa"/>
            <w:tcBorders>
              <w:top w:val="single" w:color="auto" w:sz="4" w:space="0"/>
              <w:left w:val="single" w:color="auto" w:sz="4" w:space="0"/>
              <w:bottom w:val="single" w:color="auto" w:sz="4" w:space="0"/>
              <w:right w:val="single" w:color="auto" w:sz="4" w:space="0"/>
            </w:tcBorders>
            <w:vAlign w:val="center"/>
          </w:tcPr>
          <w:p w14:paraId="71728B0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蛔虫卵</w:t>
            </w:r>
          </w:p>
        </w:tc>
        <w:tc>
          <w:tcPr>
            <w:tcW w:w="2820" w:type="dxa"/>
            <w:tcBorders>
              <w:top w:val="single" w:color="auto" w:sz="4" w:space="0"/>
              <w:left w:val="single" w:color="auto" w:sz="4" w:space="0"/>
              <w:bottom w:val="single" w:color="auto" w:sz="4" w:space="0"/>
              <w:right w:val="single" w:color="auto" w:sz="4" w:space="0"/>
            </w:tcBorders>
            <w:vAlign w:val="center"/>
          </w:tcPr>
          <w:p w14:paraId="1BC147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死亡率≥95%</w:t>
            </w:r>
          </w:p>
        </w:tc>
      </w:tr>
      <w:tr w14:paraId="2F4368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92" w:type="dxa"/>
            <w:vMerge w:val="continue"/>
            <w:tcBorders>
              <w:top w:val="single" w:color="auto" w:sz="4" w:space="0"/>
              <w:left w:val="single" w:color="auto" w:sz="4" w:space="0"/>
              <w:bottom w:val="single" w:color="auto" w:sz="4" w:space="0"/>
              <w:right w:val="single" w:color="auto" w:sz="4" w:space="0"/>
            </w:tcBorders>
            <w:vAlign w:val="center"/>
          </w:tcPr>
          <w:p w14:paraId="64AA76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3091" w:type="dxa"/>
            <w:tcBorders>
              <w:top w:val="single" w:color="auto" w:sz="4" w:space="0"/>
              <w:left w:val="single" w:color="auto" w:sz="4" w:space="0"/>
              <w:bottom w:val="single" w:color="auto" w:sz="4" w:space="0"/>
              <w:right w:val="single" w:color="auto" w:sz="4" w:space="0"/>
            </w:tcBorders>
            <w:vAlign w:val="center"/>
          </w:tcPr>
          <w:p w14:paraId="176E69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粪大肠菌群数</w:t>
            </w:r>
          </w:p>
        </w:tc>
        <w:tc>
          <w:tcPr>
            <w:tcW w:w="2820" w:type="dxa"/>
            <w:tcBorders>
              <w:top w:val="single" w:color="auto" w:sz="4" w:space="0"/>
              <w:left w:val="single" w:color="auto" w:sz="4" w:space="0"/>
              <w:bottom w:val="single" w:color="auto" w:sz="4" w:space="0"/>
              <w:right w:val="single" w:color="auto" w:sz="4" w:space="0"/>
            </w:tcBorders>
            <w:vAlign w:val="center"/>
          </w:tcPr>
          <w:p w14:paraId="3AF2AC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vertAlign w:val="superscript"/>
              </w:rPr>
              <w:t>5</w:t>
            </w:r>
            <w:r>
              <w:rPr>
                <w:rFonts w:hint="default" w:ascii="Times New Roman" w:hAnsi="Times New Roman" w:eastAsia="宋体" w:cs="Times New Roman"/>
                <w:color w:val="auto"/>
                <w:sz w:val="21"/>
                <w:szCs w:val="21"/>
                <w:highlight w:val="none"/>
              </w:rPr>
              <w:t>个/kg</w:t>
            </w:r>
          </w:p>
        </w:tc>
      </w:tr>
    </w:tbl>
    <w:p w14:paraId="365FF17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综上所述，项目用于还田的农肥为发酵降解腐熟的</w:t>
      </w:r>
      <w:r>
        <w:rPr>
          <w:rFonts w:hint="default" w:ascii="Times New Roman" w:hAnsi="Times New Roman" w:eastAsia="宋体" w:cs="Times New Roman"/>
          <w:color w:val="auto"/>
          <w:highlight w:val="none"/>
          <w:lang w:eastAsia="zh-CN"/>
        </w:rPr>
        <w:t>有机肥</w:t>
      </w:r>
      <w:r>
        <w:rPr>
          <w:rFonts w:hint="default" w:ascii="Times New Roman" w:hAnsi="Times New Roman" w:eastAsia="宋体" w:cs="Times New Roman"/>
          <w:color w:val="auto"/>
          <w:highlight w:val="none"/>
        </w:rPr>
        <w:t>，从工艺及无害化的要求是项目采用堆肥工艺是可行的。</w:t>
      </w:r>
    </w:p>
    <w:p w14:paraId="34B7807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sz w:val="24"/>
          <w:szCs w:val="24"/>
          <w:highlight w:val="none"/>
        </w:rPr>
      </w:pPr>
      <w:bookmarkStart w:id="695" w:name="_Toc16573"/>
      <w:r>
        <w:rPr>
          <w:rFonts w:hint="default" w:ascii="Times New Roman" w:hAnsi="Times New Roman" w:eastAsia="宋体" w:cs="Times New Roman"/>
          <w:color w:val="auto"/>
          <w:sz w:val="24"/>
          <w:szCs w:val="24"/>
          <w:highlight w:val="none"/>
        </w:rPr>
        <w:t>7.8.4还田利用可行性分析</w:t>
      </w:r>
      <w:bookmarkEnd w:id="695"/>
    </w:p>
    <w:p w14:paraId="3A9FF99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粪便作为农肥施用于农田，对于土壤来说，其机理类似于粪污土地处理系统，其净化机理包含了物理过滤、物理吸附、物理沉积、物理化学吸附、化学反应和化学沉淀、微生物对有机物的降解等过程，粪污在土地处理系统中的净化是一个综合净化过程。主要污染物的去除途径如下：</w:t>
      </w:r>
    </w:p>
    <w:p w14:paraId="631727A1">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snapToGrid w:val="0"/>
          <w:color w:val="auto"/>
          <w:kern w:val="0"/>
          <w:sz w:val="24"/>
          <w:szCs w:val="24"/>
          <w:highlight w:val="none"/>
        </w:rPr>
      </w:pPr>
      <w:bookmarkStart w:id="696" w:name="_Toc8541"/>
      <w:bookmarkStart w:id="697" w:name="_Toc471227811"/>
      <w:bookmarkStart w:id="698" w:name="_Toc512"/>
      <w:bookmarkStart w:id="699" w:name="_Toc25429"/>
      <w:bookmarkStart w:id="700" w:name="_Toc29944"/>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snapToGrid w:val="0"/>
          <w:color w:val="auto"/>
          <w:kern w:val="0"/>
          <w:sz w:val="24"/>
          <w:szCs w:val="24"/>
          <w:highlight w:val="none"/>
        </w:rPr>
        <w:t>BOD的去除</w:t>
      </w:r>
      <w:bookmarkEnd w:id="696"/>
      <w:bookmarkEnd w:id="697"/>
      <w:bookmarkEnd w:id="698"/>
      <w:bookmarkEnd w:id="699"/>
      <w:bookmarkEnd w:id="700"/>
    </w:p>
    <w:p w14:paraId="195A9F7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BOD大部分是在土壤表层土中去除的。土壤中含有大量的种类繁多的异养型微生物，它们能对被过滤、截留在土壤颗粒空隙间的悬浮有机物和溶解有机物进行生物降解，并合成微生物新细胞。当处理水的BOD负荷超过土壤微生物分解BOD的生物氧化能力时，会引起好氧状态或土壤堵塞。</w:t>
      </w:r>
    </w:p>
    <w:p w14:paraId="4B94FB98">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snapToGrid w:val="0"/>
          <w:color w:val="auto"/>
          <w:kern w:val="0"/>
          <w:sz w:val="24"/>
          <w:szCs w:val="24"/>
          <w:highlight w:val="none"/>
        </w:rPr>
      </w:pPr>
      <w:bookmarkStart w:id="701" w:name="_Toc32438"/>
      <w:bookmarkStart w:id="702" w:name="_Toc471227812"/>
      <w:bookmarkStart w:id="703" w:name="_Toc13685"/>
      <w:bookmarkStart w:id="704" w:name="_Toc30893"/>
      <w:bookmarkStart w:id="705" w:name="_Toc9892"/>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snapToGrid w:val="0"/>
          <w:color w:val="auto"/>
          <w:kern w:val="0"/>
          <w:sz w:val="24"/>
          <w:szCs w:val="24"/>
          <w:highlight w:val="none"/>
        </w:rPr>
        <w:t>磷和氮的去除</w:t>
      </w:r>
      <w:bookmarkEnd w:id="701"/>
      <w:bookmarkEnd w:id="702"/>
      <w:bookmarkEnd w:id="703"/>
      <w:bookmarkEnd w:id="704"/>
      <w:bookmarkEnd w:id="705"/>
    </w:p>
    <w:p w14:paraId="6A9DEE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在土地处理中，磷主要是通过植物吸收，化学反应和沉淀</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与土壤中的钙、铝、铁等离子形成难溶的磷酸盐</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，物理吸附和沉积</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土壤中的黏土矿物对磷酸盐的吸附和沉积</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，物理化学吸附</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离子交换、络合吸附</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等方式被去除。其去除效果受土壤结构、阳离子交换容量、铁铝氧化物和植物对磷的吸收等因素影响。氮主要是通过植物吸收，微生物脱氮</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氨化、硝化、反硝化</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，挥发、渗出</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氨在碱性条件下</w:t>
      </w:r>
      <w:r>
        <w:rPr>
          <w:rFonts w:hint="default" w:ascii="Times New Roman" w:hAnsi="Times New Roman" w:eastAsia="宋体" w:cs="Times New Roman"/>
          <w:snapToGrid w:val="0"/>
          <w:color w:val="auto"/>
          <w:kern w:val="0"/>
          <w:sz w:val="24"/>
          <w:szCs w:val="24"/>
          <w:highlight w:val="none"/>
          <w:lang w:eastAsia="zh-CN"/>
        </w:rPr>
        <w:t>溢出</w:t>
      </w:r>
      <w:r>
        <w:rPr>
          <w:rFonts w:hint="default" w:ascii="Times New Roman" w:hAnsi="Times New Roman" w:eastAsia="宋体" w:cs="Times New Roman"/>
          <w:snapToGrid w:val="0"/>
          <w:color w:val="auto"/>
          <w:kern w:val="0"/>
          <w:sz w:val="24"/>
          <w:szCs w:val="24"/>
          <w:highlight w:val="none"/>
        </w:rPr>
        <w:t>、硝酸盐的渗出</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等方式被去除。其去除率受作物的类型、生长期、对氮的吸收能力，以及土地处理系统的工艺等因素影响。</w:t>
      </w:r>
    </w:p>
    <w:p w14:paraId="5D52AA9C">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snapToGrid w:val="0"/>
          <w:color w:val="auto"/>
          <w:kern w:val="0"/>
          <w:sz w:val="24"/>
          <w:szCs w:val="24"/>
          <w:highlight w:val="none"/>
        </w:rPr>
      </w:pPr>
      <w:bookmarkStart w:id="706" w:name="_Toc6743"/>
      <w:bookmarkStart w:id="707" w:name="_Toc10606"/>
      <w:bookmarkStart w:id="708" w:name="_Toc23328"/>
      <w:bookmarkStart w:id="709" w:name="_Toc471227813"/>
      <w:bookmarkStart w:id="710" w:name="_Toc11433"/>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snapToGrid w:val="0"/>
          <w:color w:val="auto"/>
          <w:kern w:val="0"/>
          <w:sz w:val="24"/>
          <w:szCs w:val="24"/>
          <w:highlight w:val="none"/>
        </w:rPr>
        <w:t>病原体的去除</w:t>
      </w:r>
      <w:bookmarkEnd w:id="706"/>
      <w:bookmarkEnd w:id="707"/>
      <w:bookmarkEnd w:id="708"/>
      <w:bookmarkEnd w:id="709"/>
      <w:bookmarkEnd w:id="710"/>
    </w:p>
    <w:p w14:paraId="7A2673D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农肥经土壤过滤后，水中大部分的病菌和病毒可被去除，去除率可达92</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～97</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。其去除率与选用的土地处理系统工艺有关，其中地表漫流的去除率略低，但若有较长的漫流距离和停留时间，也可达到较高的去除效率。</w:t>
      </w:r>
    </w:p>
    <w:p w14:paraId="3B381F0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农肥中的废水的在下渗过程中，通过土壤的过滤、吸附、离子交换、化学反应等作用，可使水质有所改善，因此越向下渗，水质将越好。因此只要粪便经好氧发酵处理后的农肥施用量适度，就不会造成土壤和地下水的污染。</w:t>
      </w:r>
    </w:p>
    <w:p w14:paraId="5A30DA6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经过发酵后的</w:t>
      </w:r>
      <w:r>
        <w:rPr>
          <w:rFonts w:hint="default" w:ascii="Times New Roman" w:hAnsi="Times New Roman" w:eastAsia="宋体" w:cs="Times New Roman"/>
          <w:color w:val="auto"/>
          <w:sz w:val="24"/>
          <w:szCs w:val="24"/>
          <w:highlight w:val="none"/>
          <w:lang w:eastAsia="zh-CN"/>
        </w:rPr>
        <w:t>有机肥</w:t>
      </w:r>
      <w:r>
        <w:rPr>
          <w:rFonts w:hint="default" w:ascii="Times New Roman" w:hAnsi="Times New Roman" w:eastAsia="宋体" w:cs="Times New Roman"/>
          <w:color w:val="auto"/>
          <w:sz w:val="24"/>
          <w:szCs w:val="24"/>
          <w:highlight w:val="none"/>
        </w:rPr>
        <w:t>，在还田前，需要进行以下几个工作：</w:t>
      </w:r>
    </w:p>
    <w:p w14:paraId="4AC52E0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 w:val="24"/>
          <w:szCs w:val="24"/>
          <w:highlight w:val="none"/>
        </w:rPr>
        <w:t>利用时必须对</w:t>
      </w:r>
      <w:r>
        <w:rPr>
          <w:rFonts w:hint="default" w:ascii="Times New Roman" w:hAnsi="Times New Roman" w:eastAsia="宋体" w:cs="Times New Roman"/>
          <w:color w:val="auto"/>
          <w:sz w:val="24"/>
          <w:szCs w:val="24"/>
          <w:highlight w:val="none"/>
          <w:lang w:eastAsia="zh-CN"/>
        </w:rPr>
        <w:t>有机肥</w:t>
      </w:r>
      <w:r>
        <w:rPr>
          <w:rFonts w:hint="default" w:ascii="Times New Roman" w:hAnsi="Times New Roman" w:eastAsia="宋体" w:cs="Times New Roman"/>
          <w:color w:val="auto"/>
          <w:sz w:val="24"/>
          <w:szCs w:val="24"/>
          <w:highlight w:val="none"/>
        </w:rPr>
        <w:t>成分进行科学的测定。满足《畜禽规模养殖污染防治条例》（第643号）有关畜禽粪便综合利用与治理相关要求及《畜禽养殖业污染物排放标准》（GB18596-2001）中表6畜禽养殖业废渣无害化环境标准关于无害化的要求后，进行还田，避免污染食物链。</w:t>
      </w:r>
    </w:p>
    <w:p w14:paraId="4E9BFC6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 w:val="24"/>
          <w:szCs w:val="24"/>
          <w:highlight w:val="none"/>
        </w:rPr>
        <w:t>对农肥</w:t>
      </w:r>
      <w:r>
        <w:rPr>
          <w:rFonts w:hint="default" w:ascii="Times New Roman" w:hAnsi="Times New Roman" w:eastAsia="宋体" w:cs="Times New Roman"/>
          <w:color w:val="auto"/>
          <w:sz w:val="24"/>
          <w:szCs w:val="24"/>
          <w:highlight w:val="none"/>
          <w:lang w:eastAsia="zh-CN"/>
        </w:rPr>
        <w:t>所含的</w:t>
      </w:r>
      <w:r>
        <w:rPr>
          <w:rFonts w:hint="default" w:ascii="Times New Roman" w:hAnsi="Times New Roman" w:eastAsia="宋体" w:cs="Times New Roman"/>
          <w:color w:val="auto"/>
          <w:sz w:val="24"/>
          <w:szCs w:val="24"/>
          <w:highlight w:val="none"/>
        </w:rPr>
        <w:t>物质进行检测。主要检测N、P、K、微量元素、有机物质以及</w:t>
      </w:r>
      <w:r>
        <w:rPr>
          <w:rFonts w:hint="default" w:ascii="Times New Roman" w:hAnsi="Times New Roman" w:eastAsia="宋体" w:cs="Times New Roman"/>
          <w:color w:val="auto"/>
          <w:sz w:val="24"/>
          <w:szCs w:val="24"/>
          <w:highlight w:val="none"/>
          <w:lang w:eastAsia="zh-CN"/>
        </w:rPr>
        <w:t>pH值</w:t>
      </w:r>
      <w:r>
        <w:rPr>
          <w:rFonts w:hint="default" w:ascii="Times New Roman" w:hAnsi="Times New Roman" w:eastAsia="宋体" w:cs="Times New Roman"/>
          <w:color w:val="auto"/>
          <w:sz w:val="24"/>
          <w:szCs w:val="24"/>
          <w:highlight w:val="none"/>
        </w:rPr>
        <w:t>等。</w:t>
      </w:r>
    </w:p>
    <w:p w14:paraId="45B342F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 w:val="24"/>
          <w:szCs w:val="24"/>
          <w:highlight w:val="none"/>
        </w:rPr>
        <w:t>对土壤进行土化检测，测定所含N、P、K、有机物的含量。</w:t>
      </w:r>
    </w:p>
    <w:p w14:paraId="798336B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通过以上措施，项目</w:t>
      </w:r>
      <w:r>
        <w:rPr>
          <w:rFonts w:hint="default" w:ascii="Times New Roman" w:hAnsi="Times New Roman" w:eastAsia="宋体" w:cs="Times New Roman"/>
          <w:color w:val="auto"/>
          <w:sz w:val="24"/>
          <w:szCs w:val="24"/>
          <w:highlight w:val="none"/>
          <w:lang w:eastAsia="zh-CN"/>
        </w:rPr>
        <w:t>有机肥</w:t>
      </w:r>
      <w:r>
        <w:rPr>
          <w:rFonts w:hint="default" w:ascii="Times New Roman" w:hAnsi="Times New Roman" w:eastAsia="宋体" w:cs="Times New Roman"/>
          <w:color w:val="auto"/>
          <w:sz w:val="24"/>
          <w:szCs w:val="24"/>
          <w:highlight w:val="none"/>
        </w:rPr>
        <w:t>资源化还田利用是可行的。</w:t>
      </w:r>
    </w:p>
    <w:p w14:paraId="089902A5">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11" w:name="_Toc30894"/>
      <w:r>
        <w:rPr>
          <w:rFonts w:hint="default" w:ascii="Times New Roman" w:hAnsi="Times New Roman" w:eastAsia="宋体" w:cs="Times New Roman"/>
          <w:color w:val="auto"/>
          <w:highlight w:val="none"/>
        </w:rPr>
        <w:t>7.9运营期生态环境保护措施</w:t>
      </w:r>
      <w:bookmarkEnd w:id="711"/>
    </w:p>
    <w:p w14:paraId="2A6DA0A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营运期生态环境保护措施，主要为在</w:t>
      </w:r>
      <w:r>
        <w:rPr>
          <w:rFonts w:hint="default" w:ascii="Times New Roman" w:hAnsi="Times New Roman" w:eastAsia="宋体" w:cs="Times New Roman"/>
          <w:color w:val="auto"/>
          <w:highlight w:val="none"/>
          <w:lang w:eastAsia="zh-CN"/>
        </w:rPr>
        <w:t>养殖</w:t>
      </w:r>
      <w:r>
        <w:rPr>
          <w:rFonts w:hint="default" w:ascii="Times New Roman" w:hAnsi="Times New Roman" w:eastAsia="宋体" w:cs="Times New Roman"/>
          <w:color w:val="auto"/>
          <w:highlight w:val="none"/>
        </w:rPr>
        <w:t>场四周及场内道路两侧种植对</w:t>
      </w:r>
      <w:r>
        <w:rPr>
          <w:rFonts w:hint="default" w:ascii="Times New Roman" w:hAnsi="Times New Roman" w:eastAsia="宋体" w:cs="Times New Roman"/>
          <w:color w:val="auto"/>
          <w:highlight w:val="none"/>
          <w:lang w:eastAsia="zh-CN"/>
        </w:rPr>
        <w:t>氨、硫化氢气</w:t>
      </w:r>
      <w:r>
        <w:rPr>
          <w:rFonts w:hint="default" w:ascii="Times New Roman" w:hAnsi="Times New Roman" w:eastAsia="宋体" w:cs="Times New Roman"/>
          <w:color w:val="auto"/>
          <w:highlight w:val="none"/>
        </w:rPr>
        <w:t>等有害气体吸收能力较强的树木，如：杨树等乔木树种，以吸收有害气体，杀灭细菌，降低其在周围环境中的浓度。</w:t>
      </w:r>
    </w:p>
    <w:p w14:paraId="1FA0D96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绿色植物，特别是树木，对粉尘也有明显的阻挡、过滤和吸附作用。树木的枝冠能降低风速，使灰尘下降，叶子表面不平，还分泌</w:t>
      </w:r>
      <w:r>
        <w:rPr>
          <w:rFonts w:hint="default" w:ascii="Times New Roman" w:hAnsi="Times New Roman" w:eastAsia="宋体" w:cs="Times New Roman"/>
          <w:color w:val="auto"/>
          <w:highlight w:val="none"/>
          <w:lang w:eastAsia="zh-CN"/>
        </w:rPr>
        <w:t>黏性的油脂</w:t>
      </w:r>
      <w:r>
        <w:rPr>
          <w:rFonts w:hint="default" w:ascii="Times New Roman" w:hAnsi="Times New Roman" w:eastAsia="宋体" w:cs="Times New Roman"/>
          <w:color w:val="auto"/>
          <w:highlight w:val="none"/>
        </w:rPr>
        <w:t>和汁浆，能吸附空气中的尘埃。一般情况下，绿化树木能使降尘量减少</w:t>
      </w:r>
      <w:r>
        <w:rPr>
          <w:rFonts w:hint="default" w:ascii="Times New Roman" w:hAnsi="Times New Roman" w:eastAsia="宋体" w:cs="Times New Roman"/>
          <w:color w:val="auto"/>
          <w:highlight w:val="none"/>
          <w:lang w:eastAsia="zh-CN"/>
        </w:rPr>
        <w:t>23%-25%</w:t>
      </w:r>
      <w:r>
        <w:rPr>
          <w:rFonts w:hint="default" w:ascii="Times New Roman" w:hAnsi="Times New Roman" w:eastAsia="宋体" w:cs="Times New Roman"/>
          <w:color w:val="auto"/>
          <w:highlight w:val="none"/>
        </w:rPr>
        <w:t>；而飘尘量减少</w:t>
      </w:r>
      <w:r>
        <w:rPr>
          <w:rFonts w:hint="default" w:ascii="Times New Roman" w:hAnsi="Times New Roman" w:eastAsia="宋体" w:cs="Times New Roman"/>
          <w:color w:val="auto"/>
          <w:highlight w:val="none"/>
          <w:lang w:eastAsia="zh-CN"/>
        </w:rPr>
        <w:t>37%-60%</w:t>
      </w:r>
      <w:r>
        <w:rPr>
          <w:rFonts w:hint="default" w:ascii="Times New Roman" w:hAnsi="Times New Roman" w:eastAsia="宋体" w:cs="Times New Roman"/>
          <w:color w:val="auto"/>
          <w:highlight w:val="none"/>
        </w:rPr>
        <w:t>，落叶阔叶树比常绿阔叶树滞尘能力要强。</w:t>
      </w:r>
    </w:p>
    <w:p w14:paraId="7AAC2F8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因此，为了减噪和净化空气，减少异味，保护环境，应在园区根据不同地段的要求，合理搭配各种植物。在绿化的同时，充分发挥植物净化、防尘、隔噪等效应。例如废气污染源</w:t>
      </w:r>
      <w:r>
        <w:rPr>
          <w:rFonts w:hint="default" w:ascii="Times New Roman" w:hAnsi="Times New Roman" w:eastAsia="宋体" w:cs="Times New Roman"/>
          <w:color w:val="auto"/>
          <w:highlight w:val="none"/>
          <w:lang w:eastAsia="zh-CN"/>
        </w:rPr>
        <w:t>与其他</w:t>
      </w:r>
      <w:r>
        <w:rPr>
          <w:rFonts w:hint="default" w:ascii="Times New Roman" w:hAnsi="Times New Roman" w:eastAsia="宋体" w:cs="Times New Roman"/>
          <w:color w:val="auto"/>
          <w:highlight w:val="none"/>
        </w:rPr>
        <w:t>建筑物之间应设置高大阔叶乔木林带，并选择降尘、吸收效果好的树种；而在发生噪声的车间周围则应选择降噪效果明显的树种，设置较宽的防护林带。达到既发展生产，又改善和保护环境的目的。</w:t>
      </w:r>
    </w:p>
    <w:p w14:paraId="67CB6CF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绿化对于吸收有害气体，补充新鲜空气，阻隔噪声，保护生态环境，改善工作环境，美化劳动环境，改善小气候等均有着十分重要的作用。项目建成后，场区内栽种适合当地耐寒的植物及树种，场区绿化面积约为</w:t>
      </w:r>
      <w:r>
        <w:rPr>
          <w:rFonts w:hint="default" w:ascii="Times New Roman" w:hAnsi="Times New Roman" w:eastAsia="宋体" w:cs="Times New Roman"/>
          <w:color w:val="auto"/>
          <w:highlight w:val="none"/>
          <w:lang w:val="en-US" w:eastAsia="zh-CN"/>
        </w:rPr>
        <w:t>10000</w:t>
      </w:r>
      <w:r>
        <w:rPr>
          <w:rFonts w:hint="default" w:ascii="Times New Roman" w:hAnsi="Times New Roman" w:eastAsia="宋体" w:cs="Times New Roman"/>
          <w:color w:val="auto"/>
          <w:highlight w:val="none"/>
        </w:rPr>
        <w:t>平方米。</w:t>
      </w:r>
    </w:p>
    <w:p w14:paraId="0713F13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①场区林带</w:t>
      </w:r>
    </w:p>
    <w:p w14:paraId="316636F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在场界周边种植乔木和灌木混合林带，并栽种刺笆。乔木类的大叶杨、早柳、钻天杨、榆树及常绿针叶树等；灌木类的河柳、紫穗槐、侧柏等起到防风阻沙等作用。</w:t>
      </w:r>
    </w:p>
    <w:p w14:paraId="56710E6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②绿化隔离带</w:t>
      </w:r>
    </w:p>
    <w:p w14:paraId="5F5853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在各个分区之间设置绿化隔离带，一般可用杨树、榆树或灌木，以起到隔离作用；场址边缘地带种植适应当地的高大树种形成多层防护林带，建设单位规划沿</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场四周栽植模式为2米×2行模式，形成防护林。</w:t>
      </w:r>
    </w:p>
    <w:p w14:paraId="572C8F6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③道路绿化</w:t>
      </w:r>
    </w:p>
    <w:p w14:paraId="7BFAFB3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主干道两侧用适合当地气候的槐树、榆树等四季常青树种，进行绿化。</w:t>
      </w:r>
    </w:p>
    <w:p w14:paraId="0803926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④管理中心绿化</w:t>
      </w:r>
    </w:p>
    <w:p w14:paraId="6156EAA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生活管理区及场区大门周围种花种草进行绿化，净化空气，美化环境。</w:t>
      </w:r>
    </w:p>
    <w:p w14:paraId="2BA4501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采取以上措施后，建设项目对区域生态环境影响很小</w:t>
      </w:r>
      <w:r>
        <w:rPr>
          <w:rFonts w:hint="default" w:ascii="Times New Roman" w:hAnsi="Times New Roman" w:eastAsia="宋体" w:cs="Times New Roman"/>
          <w:color w:val="auto"/>
          <w:highlight w:val="none"/>
          <w:lang w:val="en-US" w:eastAsia="zh-CN"/>
        </w:rPr>
        <w:t>。</w:t>
      </w:r>
    </w:p>
    <w:p w14:paraId="60731B0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val="en-US" w:eastAsia="zh-CN"/>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2DD82AEC">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1447165</wp:posOffset>
                </wp:positionH>
                <wp:positionV relativeFrom="paragraph">
                  <wp:posOffset>1474470</wp:posOffset>
                </wp:positionV>
                <wp:extent cx="1911985" cy="492125"/>
                <wp:effectExtent l="12700" t="12700" r="18415" b="352425"/>
                <wp:wrapNone/>
                <wp:docPr id="111" name="矩形标注 111"/>
                <wp:cNvGraphicFramePr/>
                <a:graphic xmlns:a="http://schemas.openxmlformats.org/drawingml/2006/main">
                  <a:graphicData uri="http://schemas.microsoft.com/office/word/2010/wordprocessingShape">
                    <wps:wsp>
                      <wps:cNvSpPr/>
                      <wps:spPr>
                        <a:xfrm>
                          <a:off x="0" y="0"/>
                          <a:ext cx="1911985" cy="492125"/>
                        </a:xfrm>
                        <a:prstGeom prst="wedgeRectCallout">
                          <a:avLst>
                            <a:gd name="adj1" fmla="val 22633"/>
                            <a:gd name="adj2" fmla="val 118258"/>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7EE76C">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生活区周围种植花草等进行绿化，净化空气，美化环境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3.95pt;margin-top:116.1pt;height:38.75pt;width:150.55pt;z-index:251668480;v-text-anchor:middle;mso-width-relative:page;mso-height-relative:page;" filled="f" stroked="t" coordsize="21600,21600" o:gfxdata="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Sk7G81wAAAAsBAAAPAAAAAAAAAAEAIAAAACIAAABkcnMvZG93bnJldi54bWxQSwEC&#10;FAAUAAAACACHTuJAhvIlJKACAAAnBQAADgAAAAAAAAABACAAAAAmAQAAZHJzL2Uyb0RvYy54bWxQ&#10;SwUGAAAAAAYABgBZAQAAOAYAAAAA&#10;" adj="15689,36344">
                <v:fill on="f" focussize="0,0"/>
                <v:stroke weight="2pt" color="#00B050 [3204]" joinstyle="round"/>
                <v:imagedata o:title=""/>
                <o:lock v:ext="edit" aspectratio="f"/>
                <v:textbox>
                  <w:txbxContent>
                    <w:p w14:paraId="4F7EE76C">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生活区周围种植花草等进行绿化，净化空气，美化环境</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1680210</wp:posOffset>
                </wp:positionH>
                <wp:positionV relativeFrom="paragraph">
                  <wp:posOffset>2473325</wp:posOffset>
                </wp:positionV>
                <wp:extent cx="865505" cy="1311275"/>
                <wp:effectExtent l="12700" t="12700" r="645795" b="28575"/>
                <wp:wrapNone/>
                <wp:docPr id="109" name="矩形标注 109"/>
                <wp:cNvGraphicFramePr/>
                <a:graphic xmlns:a="http://schemas.openxmlformats.org/drawingml/2006/main">
                  <a:graphicData uri="http://schemas.microsoft.com/office/word/2010/wordprocessingShape">
                    <wps:wsp>
                      <wps:cNvSpPr/>
                      <wps:spPr>
                        <a:xfrm>
                          <a:off x="0" y="0"/>
                          <a:ext cx="865505" cy="1311275"/>
                        </a:xfrm>
                        <a:prstGeom prst="wedgeRectCallout">
                          <a:avLst>
                            <a:gd name="adj1" fmla="val 122927"/>
                            <a:gd name="adj2" fmla="val -47094"/>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CF43E6">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在各个分区之间种植适应当地的高大树种等进行绿化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2.3pt;margin-top:194.75pt;height:103.25pt;width:68.15pt;z-index:251666432;v-text-anchor:middle;mso-width-relative:page;mso-height-relative:page;" filled="f" stroked="t" coordsize="21600,21600" o:gfxdata="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AXxaRq2AAAAAsBAAAPAAAAAAAAAAEAIAAAACIAAABkcnMvZG93bnJldi54bWxQ&#10;SwECFAAUAAAACACHTuJA4uFZPKICAAAoBQAADgAAAAAAAAABACAAAAAnAQAAZHJzL2Uyb0RvYy54&#10;bWxQSwUGAAAAAAYABgBZAQAAOwYAAAAA&#10;" adj="37352,628">
                <v:fill on="f" focussize="0,0"/>
                <v:stroke weight="2pt" color="#00B050 [3204]" joinstyle="round"/>
                <v:imagedata o:title=""/>
                <o:lock v:ext="edit" aspectratio="f"/>
                <v:textbox>
                  <w:txbxContent>
                    <w:p w14:paraId="2ACF43E6">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在各个分区之间种植适应当地的高大树种等进行绿化</w:t>
                      </w:r>
                    </w:p>
                  </w:txbxContent>
                </v:textbox>
              </v:shape>
            </w:pict>
          </mc:Fallback>
        </mc:AlternateContent>
      </w:r>
      <w:r>
        <w:rPr>
          <w:rFonts w:hint="default" w:ascii="Times New Roman" w:hAnsi="Times New Roman" w:eastAsia="宋体" w:cs="Times New Roman"/>
          <w:color w:val="auto"/>
          <w:highlight w:val="none"/>
        </w:rPr>
        <w:drawing>
          <wp:inline distT="0" distB="0" distL="114300" distR="114300">
            <wp:extent cx="8420735" cy="4392295"/>
            <wp:effectExtent l="0" t="0" r="18415" b="825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a:picLocks noChangeAspect="1"/>
                    </pic:cNvPicPr>
                  </pic:nvPicPr>
                  <pic:blipFill>
                    <a:blip r:embed="rId88"/>
                    <a:stretch>
                      <a:fillRect/>
                    </a:stretch>
                  </pic:blipFill>
                  <pic:spPr>
                    <a:xfrm>
                      <a:off x="0" y="0"/>
                      <a:ext cx="8420735" cy="4392295"/>
                    </a:xfrm>
                    <a:prstGeom prst="rect">
                      <a:avLst/>
                    </a:prstGeom>
                    <a:noFill/>
                    <a:ln>
                      <a:noFill/>
                    </a:ln>
                  </pic:spPr>
                </pic:pic>
              </a:graphicData>
            </a:graphic>
          </wp:inline>
        </w:drawing>
      </w:r>
    </w:p>
    <w:p w14:paraId="4A9B54DA">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highlight w:val="none"/>
          <w:lang w:eastAsia="zh-CN"/>
        </w:rPr>
      </w:pPr>
    </w:p>
    <w:p w14:paraId="2C059CC3">
      <w:pPr>
        <w:keepNext w:val="0"/>
        <w:keepLines w:val="0"/>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5503545</wp:posOffset>
                </wp:positionH>
                <wp:positionV relativeFrom="paragraph">
                  <wp:posOffset>3345180</wp:posOffset>
                </wp:positionV>
                <wp:extent cx="1310640" cy="737235"/>
                <wp:effectExtent l="918210" t="12700" r="19050" b="31115"/>
                <wp:wrapNone/>
                <wp:docPr id="110" name="矩形标注 110"/>
                <wp:cNvGraphicFramePr/>
                <a:graphic xmlns:a="http://schemas.openxmlformats.org/drawingml/2006/main">
                  <a:graphicData uri="http://schemas.microsoft.com/office/word/2010/wordprocessingShape">
                    <wps:wsp>
                      <wps:cNvSpPr/>
                      <wps:spPr>
                        <a:xfrm>
                          <a:off x="0" y="0"/>
                          <a:ext cx="1310640" cy="737235"/>
                        </a:xfrm>
                        <a:prstGeom prst="wedgeRectCallout">
                          <a:avLst>
                            <a:gd name="adj1" fmla="val -119089"/>
                            <a:gd name="adj2" fmla="val -41817"/>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CE6A59">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主干道两侧种植适应当地的高大树种等进行绿化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33.35pt;margin-top:263.4pt;height:58.05pt;width:103.2pt;z-index:251667456;v-text-anchor:middle;mso-width-relative:page;mso-height-relative:page;" filled="f" stroked="t" coordsize="21600,21600" o:gfxdata="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9fgkwNoAAAAMAQAADwAAAAAAAAABACAAAAAiAAAAZHJzL2Rvd25yZXYueG1s&#10;UEsBAhQAFAAAAAgAh07iQPSpl76hAgAAKQUAAA4AAAAAAAAAAQAgAAAAKQEAAGRycy9lMm9Eb2Mu&#10;eG1sUEsFBgAAAAAGAAYAWQEAADwGAAAAAA==&#10;" adj="-14923,1768">
                <v:fill on="f" focussize="0,0"/>
                <v:stroke weight="2pt" color="#00B050 [3204]" joinstyle="round"/>
                <v:imagedata o:title=""/>
                <o:lock v:ext="edit" aspectratio="f"/>
                <v:textbox>
                  <w:txbxContent>
                    <w:p w14:paraId="69CE6A59">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主干道两侧种植适应当地的高大树种等进行绿化</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261620</wp:posOffset>
                </wp:positionH>
                <wp:positionV relativeFrom="paragraph">
                  <wp:posOffset>4145915</wp:posOffset>
                </wp:positionV>
                <wp:extent cx="1881505" cy="852170"/>
                <wp:effectExtent l="12700" t="723265" r="29845" b="24765"/>
                <wp:wrapNone/>
                <wp:docPr id="108" name="矩形标注 108"/>
                <wp:cNvGraphicFramePr/>
                <a:graphic xmlns:a="http://schemas.openxmlformats.org/drawingml/2006/main">
                  <a:graphicData uri="http://schemas.microsoft.com/office/word/2010/wordprocessingShape">
                    <wps:wsp>
                      <wps:cNvSpPr/>
                      <wps:spPr>
                        <a:xfrm>
                          <a:off x="2012950" y="2874010"/>
                          <a:ext cx="1881505" cy="852170"/>
                        </a:xfrm>
                        <a:prstGeom prst="wedgeRectCallout">
                          <a:avLst>
                            <a:gd name="adj1" fmla="val 36466"/>
                            <a:gd name="adj2" fmla="val -133383"/>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0DA60A">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在场界周边种植乔木和灌木混合林带，并栽种刺笆；场址边缘地带种植适应当地的高大树种形成多层防护林带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6pt;margin-top:326.45pt;height:67.1pt;width:148.15pt;z-index:251665408;v-text-anchor:middle;mso-width-relative:page;mso-height-relative:page;" filled="f" stroked="t" coordsize="21600,21600" o:gfxdata="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J4GHIbaAAAACgEAAA8AAAAAAAAAAQAgAAAAIgAAAGRycy9k&#10;b3ducmV2LnhtbFBLAQIUABQAAAAIAIdO4kCxstobqwIAADQFAAAOAAAAAAAAAAEAIAAAACkBAABk&#10;cnMvZTJvRG9jLnhtbFBLBQYAAAAABgAGAFkBAABGBgAAAAA=&#10;" adj="18677,-18011">
                <v:fill on="f" focussize="0,0"/>
                <v:stroke weight="2pt" color="#00B050 [3204]" joinstyle="round"/>
                <v:imagedata o:title=""/>
                <o:lock v:ext="edit" aspectratio="f"/>
                <v:textbox>
                  <w:txbxContent>
                    <w:p w14:paraId="150DA60A">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在场界周边种植乔木和灌木混合林带，并栽种刺笆；场址边缘地带种植适应当地的高大树种形成多层防护林带</w:t>
                      </w:r>
                    </w:p>
                  </w:txbxContent>
                </v:textbox>
              </v:shape>
            </w:pict>
          </mc:Fallback>
        </mc:AlternateContent>
      </w:r>
    </w:p>
    <w:p w14:paraId="5D02311A">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图7.9-1</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典型生态措施示意图</w:t>
      </w:r>
    </w:p>
    <w:p w14:paraId="4586C7C5">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b/>
          <w:bCs/>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076C6430">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12" w:name="_Toc494206378"/>
      <w:bookmarkStart w:id="713" w:name="_Toc26757"/>
      <w:bookmarkStart w:id="714" w:name="_Toc530642995"/>
      <w:r>
        <w:rPr>
          <w:rFonts w:hint="default" w:ascii="Times New Roman" w:hAnsi="Times New Roman" w:eastAsia="宋体" w:cs="Times New Roman"/>
          <w:color w:val="auto"/>
          <w:highlight w:val="none"/>
        </w:rPr>
        <w:t>7.</w:t>
      </w:r>
      <w:bookmarkEnd w:id="712"/>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运营期污染防治对策和措施及环保投资汇总</w:t>
      </w:r>
      <w:bookmarkEnd w:id="713"/>
      <w:bookmarkEnd w:id="714"/>
    </w:p>
    <w:p w14:paraId="385256D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本项目所有污染源均</w:t>
      </w:r>
      <w:r>
        <w:rPr>
          <w:rFonts w:hint="default" w:ascii="Times New Roman" w:hAnsi="Times New Roman" w:eastAsia="宋体" w:cs="Times New Roman"/>
          <w:color w:val="auto"/>
          <w:highlight w:val="none"/>
          <w:lang w:eastAsia="zh-CN"/>
        </w:rPr>
        <w:t>采取有效</w:t>
      </w:r>
      <w:r>
        <w:rPr>
          <w:rFonts w:hint="default" w:ascii="Times New Roman" w:hAnsi="Times New Roman" w:eastAsia="宋体" w:cs="Times New Roman"/>
          <w:color w:val="auto"/>
          <w:highlight w:val="none"/>
        </w:rPr>
        <w:t>的污染防治措施。环保投资项目主要有废气治理、废水治理、场区防渗、噪声治理等。总投资</w:t>
      </w:r>
      <w:r>
        <w:rPr>
          <w:rFonts w:hint="default" w:ascii="Times New Roman" w:hAnsi="Times New Roman" w:eastAsia="宋体" w:cs="Times New Roman"/>
          <w:color w:val="auto"/>
          <w:highlight w:val="none"/>
          <w:lang w:val="en-US" w:eastAsia="zh-CN"/>
        </w:rPr>
        <w:t>450</w:t>
      </w:r>
      <w:r>
        <w:rPr>
          <w:rFonts w:hint="default" w:ascii="Times New Roman" w:hAnsi="Times New Roman" w:eastAsia="宋体" w:cs="Times New Roman"/>
          <w:color w:val="auto"/>
          <w:highlight w:val="none"/>
          <w:lang w:eastAsia="zh-CN"/>
        </w:rPr>
        <w:t>万元</w:t>
      </w:r>
      <w:r>
        <w:rPr>
          <w:rFonts w:hint="default" w:ascii="Times New Roman" w:hAnsi="Times New Roman" w:eastAsia="宋体" w:cs="Times New Roman"/>
          <w:color w:val="auto"/>
          <w:highlight w:val="none"/>
        </w:rPr>
        <w:t>，其中环保投资</w:t>
      </w:r>
      <w:r>
        <w:rPr>
          <w:rFonts w:hint="default" w:ascii="Times New Roman" w:hAnsi="Times New Roman" w:eastAsia="宋体" w:cs="Times New Roman"/>
          <w:color w:val="auto"/>
          <w:highlight w:val="none"/>
          <w:lang w:eastAsia="zh-CN"/>
        </w:rPr>
        <w:t>68.5</w:t>
      </w:r>
      <w:r>
        <w:rPr>
          <w:rFonts w:hint="default" w:ascii="Times New Roman" w:hAnsi="Times New Roman" w:eastAsia="宋体" w:cs="Times New Roman"/>
          <w:color w:val="auto"/>
          <w:highlight w:val="none"/>
        </w:rPr>
        <w:t>万元，占总投资比例为</w:t>
      </w:r>
      <w:r>
        <w:rPr>
          <w:rFonts w:hint="default" w:ascii="Times New Roman" w:hAnsi="Times New Roman" w:eastAsia="宋体" w:cs="Times New Roman"/>
          <w:color w:val="auto"/>
          <w:highlight w:val="none"/>
          <w:lang w:val="en-US" w:eastAsia="zh-CN"/>
        </w:rPr>
        <w:t>15.22</w:t>
      </w:r>
      <w:r>
        <w:rPr>
          <w:rFonts w:hint="default" w:ascii="Times New Roman" w:hAnsi="Times New Roman" w:eastAsia="宋体" w:cs="Times New Roman"/>
          <w:color w:val="auto"/>
          <w:highlight w:val="none"/>
        </w:rPr>
        <w:t>%，污染防治措施及环保投资见表7.1</w:t>
      </w:r>
      <w:r>
        <w:rPr>
          <w:rFonts w:hint="default"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eastAsia="zh-CN"/>
        </w:rPr>
        <w:t>。</w:t>
      </w:r>
    </w:p>
    <w:p w14:paraId="27DAEF7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02C0179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p>
    <w:p w14:paraId="3B11EA3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18A53860">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表7.1</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项目环境保护措施一览表</w:t>
      </w:r>
    </w:p>
    <w:tbl>
      <w:tblPr>
        <w:tblStyle w:val="42"/>
        <w:tblW w:w="1360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29"/>
        <w:gridCol w:w="1231"/>
        <w:gridCol w:w="1248"/>
        <w:gridCol w:w="6716"/>
        <w:gridCol w:w="2835"/>
        <w:gridCol w:w="1047"/>
      </w:tblGrid>
      <w:tr w14:paraId="163F99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563E0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类型</w:t>
            </w:r>
          </w:p>
        </w:tc>
        <w:tc>
          <w:tcPr>
            <w:tcW w:w="1231" w:type="dxa"/>
            <w:tcBorders>
              <w:top w:val="single" w:color="auto" w:sz="4" w:space="0"/>
              <w:left w:val="single" w:color="auto" w:sz="4" w:space="0"/>
              <w:bottom w:val="single" w:color="auto" w:sz="4" w:space="0"/>
              <w:right w:val="single" w:color="auto" w:sz="4" w:space="0"/>
            </w:tcBorders>
            <w:vAlign w:val="center"/>
          </w:tcPr>
          <w:p w14:paraId="0C0248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产污点</w:t>
            </w:r>
          </w:p>
        </w:tc>
        <w:tc>
          <w:tcPr>
            <w:tcW w:w="1248" w:type="dxa"/>
            <w:tcBorders>
              <w:top w:val="single" w:color="auto" w:sz="4" w:space="0"/>
              <w:left w:val="single" w:color="auto" w:sz="4" w:space="0"/>
              <w:bottom w:val="single" w:color="auto" w:sz="4" w:space="0"/>
              <w:right w:val="single" w:color="auto" w:sz="4" w:space="0"/>
            </w:tcBorders>
            <w:vAlign w:val="center"/>
          </w:tcPr>
          <w:p w14:paraId="202184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6716" w:type="dxa"/>
            <w:tcBorders>
              <w:top w:val="single" w:color="auto" w:sz="4" w:space="0"/>
              <w:left w:val="single" w:color="auto" w:sz="4" w:space="0"/>
              <w:bottom w:val="single" w:color="auto" w:sz="4" w:space="0"/>
              <w:right w:val="single" w:color="auto" w:sz="4" w:space="0"/>
            </w:tcBorders>
            <w:vAlign w:val="center"/>
          </w:tcPr>
          <w:p w14:paraId="23D845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治理措施</w:t>
            </w:r>
          </w:p>
        </w:tc>
        <w:tc>
          <w:tcPr>
            <w:tcW w:w="2835" w:type="dxa"/>
            <w:tcBorders>
              <w:top w:val="single" w:color="auto" w:sz="4" w:space="0"/>
              <w:left w:val="single" w:color="auto" w:sz="4" w:space="0"/>
              <w:bottom w:val="single" w:color="auto" w:sz="4" w:space="0"/>
              <w:right w:val="single" w:color="auto" w:sz="4" w:space="0"/>
            </w:tcBorders>
            <w:vAlign w:val="center"/>
          </w:tcPr>
          <w:p w14:paraId="3FDB73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治理效果</w:t>
            </w:r>
          </w:p>
        </w:tc>
        <w:tc>
          <w:tcPr>
            <w:tcW w:w="1047" w:type="dxa"/>
            <w:tcBorders>
              <w:top w:val="single" w:color="auto" w:sz="4" w:space="0"/>
              <w:left w:val="single" w:color="auto" w:sz="4" w:space="0"/>
              <w:bottom w:val="single" w:color="auto" w:sz="4" w:space="0"/>
              <w:right w:val="single" w:color="auto" w:sz="4" w:space="0"/>
            </w:tcBorders>
            <w:vAlign w:val="center"/>
          </w:tcPr>
          <w:p w14:paraId="711AEEE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环保投资</w:t>
            </w:r>
          </w:p>
        </w:tc>
      </w:tr>
      <w:tr w14:paraId="1D5DBE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restart"/>
            <w:tcBorders>
              <w:top w:val="single" w:color="auto" w:sz="4" w:space="0"/>
              <w:left w:val="single" w:color="auto" w:sz="4" w:space="0"/>
              <w:right w:val="single" w:color="auto" w:sz="4" w:space="0"/>
            </w:tcBorders>
            <w:vAlign w:val="center"/>
          </w:tcPr>
          <w:p w14:paraId="70A5F37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231" w:type="dxa"/>
            <w:tcBorders>
              <w:top w:val="single" w:color="auto" w:sz="4" w:space="0"/>
              <w:left w:val="single" w:color="auto" w:sz="4" w:space="0"/>
              <w:bottom w:val="single" w:color="auto" w:sz="4" w:space="0"/>
              <w:right w:val="single" w:color="auto" w:sz="4" w:space="0"/>
            </w:tcBorders>
            <w:vAlign w:val="center"/>
          </w:tcPr>
          <w:p w14:paraId="646EAB5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羊圈</w:t>
            </w:r>
          </w:p>
        </w:tc>
        <w:tc>
          <w:tcPr>
            <w:tcW w:w="1248" w:type="dxa"/>
            <w:vMerge w:val="restart"/>
            <w:tcBorders>
              <w:top w:val="single" w:color="auto" w:sz="4" w:space="0"/>
              <w:left w:val="single" w:color="auto" w:sz="4" w:space="0"/>
              <w:bottom w:val="single" w:color="auto" w:sz="4" w:space="0"/>
              <w:right w:val="single" w:color="auto" w:sz="4" w:space="0"/>
            </w:tcBorders>
            <w:vAlign w:val="center"/>
          </w:tcPr>
          <w:p w14:paraId="3B5C69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w:t>
            </w:r>
          </w:p>
          <w:p w14:paraId="2521113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硫化氢</w:t>
            </w:r>
          </w:p>
          <w:p w14:paraId="3909DE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臭气浓度</w:t>
            </w:r>
          </w:p>
        </w:tc>
        <w:tc>
          <w:tcPr>
            <w:tcW w:w="6716" w:type="dxa"/>
            <w:tcBorders>
              <w:top w:val="single" w:color="auto" w:sz="4" w:space="0"/>
              <w:left w:val="single" w:color="auto" w:sz="4" w:space="0"/>
              <w:bottom w:val="single" w:color="auto" w:sz="4" w:space="0"/>
              <w:right w:val="single" w:color="auto" w:sz="4" w:space="0"/>
            </w:tcBorders>
            <w:vAlign w:val="center"/>
          </w:tcPr>
          <w:p w14:paraId="711276F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通过日粮设计，</w:t>
            </w:r>
            <w:r>
              <w:rPr>
                <w:rFonts w:hint="default" w:ascii="Times New Roman" w:hAnsi="Times New Roman" w:eastAsia="宋体" w:cs="Times New Roman"/>
                <w:color w:val="auto"/>
                <w:sz w:val="21"/>
                <w:szCs w:val="21"/>
                <w:highlight w:val="none"/>
              </w:rPr>
              <w:t>饲料添加EM复合微生物制剂，</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采用及时清理粪尿，加强</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通风（除冬季封闭保暖外，均为敞开式通风）</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162C12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氨和硫化氢执行</w:t>
            </w:r>
            <w:r>
              <w:rPr>
                <w:rFonts w:hint="default" w:ascii="Times New Roman" w:hAnsi="Times New Roman" w:eastAsia="宋体" w:cs="Times New Roman"/>
                <w:color w:val="auto"/>
                <w:sz w:val="21"/>
                <w:szCs w:val="21"/>
                <w:highlight w:val="none"/>
              </w:rPr>
              <w:t>《恶臭污染物排放标准》（GB14554-93）表1恶臭污染物厂界标准值中“二级、新扩改建”标准要求；</w:t>
            </w:r>
          </w:p>
          <w:p w14:paraId="3260626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臭气浓度执行</w:t>
            </w:r>
            <w:r>
              <w:rPr>
                <w:rFonts w:hint="default" w:ascii="Times New Roman" w:hAnsi="Times New Roman" w:eastAsia="宋体" w:cs="Times New Roman"/>
                <w:color w:val="auto"/>
                <w:sz w:val="21"/>
                <w:szCs w:val="21"/>
                <w:highlight w:val="none"/>
              </w:rPr>
              <w:t>《畜禽养殖业污染物排放标准》（GB18596-2001）表7集约化畜禽养殖业恶臭污染物排放标准</w:t>
            </w:r>
          </w:p>
        </w:tc>
        <w:tc>
          <w:tcPr>
            <w:tcW w:w="1047" w:type="dxa"/>
            <w:tcBorders>
              <w:top w:val="single" w:color="auto" w:sz="4" w:space="0"/>
              <w:left w:val="single" w:color="auto" w:sz="4" w:space="0"/>
              <w:bottom w:val="single" w:color="auto" w:sz="4" w:space="0"/>
              <w:right w:val="single" w:color="auto" w:sz="4" w:space="0"/>
            </w:tcBorders>
            <w:vAlign w:val="center"/>
          </w:tcPr>
          <w:p w14:paraId="03E36240">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1B1EFC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right w:val="single" w:color="auto" w:sz="4" w:space="0"/>
            </w:tcBorders>
            <w:vAlign w:val="center"/>
          </w:tcPr>
          <w:p w14:paraId="0B647C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7FC469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堆肥场</w:t>
            </w:r>
          </w:p>
        </w:tc>
        <w:tc>
          <w:tcPr>
            <w:tcW w:w="1248" w:type="dxa"/>
            <w:vMerge w:val="continue"/>
            <w:tcBorders>
              <w:top w:val="single" w:color="auto" w:sz="4" w:space="0"/>
              <w:left w:val="single" w:color="auto" w:sz="4" w:space="0"/>
              <w:bottom w:val="single" w:color="auto" w:sz="4" w:space="0"/>
              <w:right w:val="single" w:color="auto" w:sz="4" w:space="0"/>
            </w:tcBorders>
            <w:vAlign w:val="center"/>
          </w:tcPr>
          <w:p w14:paraId="62B2E1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716" w:type="dxa"/>
            <w:tcBorders>
              <w:top w:val="single" w:color="auto" w:sz="4" w:space="0"/>
              <w:left w:val="single" w:color="auto" w:sz="4" w:space="0"/>
              <w:bottom w:val="single" w:color="auto" w:sz="4" w:space="0"/>
              <w:right w:val="single" w:color="auto" w:sz="4" w:space="0"/>
            </w:tcBorders>
            <w:vAlign w:val="center"/>
          </w:tcPr>
          <w:p w14:paraId="739FEC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lang w:val="en-US" w:eastAsia="zh-CN"/>
              </w:rPr>
              <w:t>清运至</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lang w:val="en-US" w:eastAsia="zh-CN"/>
              </w:rPr>
              <w:t>采取</w:t>
            </w:r>
            <w:r>
              <w:rPr>
                <w:rFonts w:hint="default" w:ascii="Times New Roman" w:hAnsi="Times New Roman" w:eastAsia="宋体" w:cs="Times New Roman"/>
                <w:color w:val="auto"/>
                <w:kern w:val="0"/>
                <w:sz w:val="21"/>
                <w:szCs w:val="21"/>
                <w:highlight w:val="none"/>
              </w:rPr>
              <w:t>定期喷洒</w:t>
            </w:r>
            <w:r>
              <w:rPr>
                <w:rFonts w:hint="default" w:ascii="Times New Roman" w:hAnsi="Times New Roman" w:eastAsia="宋体" w:cs="Times New Roman"/>
                <w:color w:val="auto"/>
                <w:sz w:val="21"/>
                <w:szCs w:val="21"/>
                <w:highlight w:val="none"/>
              </w:rPr>
              <w:t>减少氨释放和保氮的复合菌剂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同时场区内加强绿化</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385EC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047" w:type="dxa"/>
            <w:tcBorders>
              <w:top w:val="single" w:color="auto" w:sz="4" w:space="0"/>
              <w:left w:val="single" w:color="auto" w:sz="4" w:space="0"/>
              <w:bottom w:val="single" w:color="auto" w:sz="4" w:space="0"/>
              <w:right w:val="single" w:color="auto" w:sz="4" w:space="0"/>
            </w:tcBorders>
            <w:vAlign w:val="center"/>
          </w:tcPr>
          <w:p w14:paraId="12F6AFB2">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36CF15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right w:val="single" w:color="auto" w:sz="4" w:space="0"/>
            </w:tcBorders>
            <w:vAlign w:val="center"/>
          </w:tcPr>
          <w:p w14:paraId="04CDDC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3AE535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日粮搅拌车间</w:t>
            </w:r>
          </w:p>
        </w:tc>
        <w:tc>
          <w:tcPr>
            <w:tcW w:w="1248" w:type="dxa"/>
            <w:tcBorders>
              <w:top w:val="single" w:color="auto" w:sz="4" w:space="0"/>
              <w:left w:val="single" w:color="auto" w:sz="4" w:space="0"/>
              <w:bottom w:val="single" w:color="auto" w:sz="4" w:space="0"/>
              <w:right w:val="single" w:color="auto" w:sz="4" w:space="0"/>
            </w:tcBorders>
            <w:vAlign w:val="center"/>
          </w:tcPr>
          <w:p w14:paraId="33A16C1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6716" w:type="dxa"/>
            <w:tcBorders>
              <w:top w:val="single" w:color="auto" w:sz="4" w:space="0"/>
              <w:left w:val="single" w:color="auto" w:sz="4" w:space="0"/>
              <w:bottom w:val="single" w:color="auto" w:sz="4" w:space="0"/>
              <w:right w:val="single" w:color="auto" w:sz="4" w:space="0"/>
            </w:tcBorders>
            <w:vAlign w:val="center"/>
          </w:tcPr>
          <w:p w14:paraId="6A1DCB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全封闭</w:t>
            </w:r>
            <w:r>
              <w:rPr>
                <w:rFonts w:hint="default" w:ascii="Times New Roman" w:hAnsi="Times New Roman" w:eastAsia="宋体" w:cs="Times New Roman"/>
                <w:color w:val="auto"/>
                <w:sz w:val="21"/>
                <w:szCs w:val="21"/>
                <w:highlight w:val="none"/>
                <w:lang w:eastAsia="zh-CN"/>
              </w:rPr>
              <w:t>日粮搅拌车间</w:t>
            </w:r>
          </w:p>
        </w:tc>
        <w:tc>
          <w:tcPr>
            <w:tcW w:w="2835" w:type="dxa"/>
            <w:tcBorders>
              <w:top w:val="single" w:color="auto" w:sz="4" w:space="0"/>
              <w:left w:val="single" w:color="auto" w:sz="4" w:space="0"/>
              <w:bottom w:val="single" w:color="auto" w:sz="4" w:space="0"/>
              <w:right w:val="single" w:color="auto" w:sz="4" w:space="0"/>
            </w:tcBorders>
            <w:vAlign w:val="center"/>
          </w:tcPr>
          <w:p w14:paraId="0A03AE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《大气污染物综合排放标准》（GB16297-1996）表2新污染源大气污染物排放限值中无组织排放监控浓度限值</w:t>
            </w:r>
          </w:p>
        </w:tc>
        <w:tc>
          <w:tcPr>
            <w:tcW w:w="1047" w:type="dxa"/>
            <w:tcBorders>
              <w:top w:val="single" w:color="auto" w:sz="4" w:space="0"/>
              <w:left w:val="single" w:color="auto" w:sz="4" w:space="0"/>
              <w:bottom w:val="single" w:color="auto" w:sz="4" w:space="0"/>
              <w:right w:val="single" w:color="auto" w:sz="4" w:space="0"/>
            </w:tcBorders>
            <w:vAlign w:val="center"/>
          </w:tcPr>
          <w:p w14:paraId="6306D382">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785BFC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bottom w:val="single" w:color="auto" w:sz="4" w:space="0"/>
              <w:right w:val="single" w:color="auto" w:sz="4" w:space="0"/>
            </w:tcBorders>
            <w:vAlign w:val="center"/>
          </w:tcPr>
          <w:p w14:paraId="6BA3D5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vMerge w:val="restart"/>
            <w:tcBorders>
              <w:top w:val="single" w:color="auto" w:sz="4" w:space="0"/>
              <w:left w:val="single" w:color="auto" w:sz="4" w:space="0"/>
              <w:right w:val="single" w:color="auto" w:sz="4" w:space="0"/>
            </w:tcBorders>
            <w:vAlign w:val="center"/>
          </w:tcPr>
          <w:p w14:paraId="6E2093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生物质热风炉</w:t>
            </w:r>
          </w:p>
        </w:tc>
        <w:tc>
          <w:tcPr>
            <w:tcW w:w="1248" w:type="dxa"/>
            <w:tcBorders>
              <w:top w:val="single" w:color="auto" w:sz="4" w:space="0"/>
              <w:left w:val="single" w:color="auto" w:sz="4" w:space="0"/>
              <w:bottom w:val="single" w:color="auto" w:sz="4" w:space="0"/>
              <w:right w:val="single" w:color="auto" w:sz="4" w:space="0"/>
            </w:tcBorders>
            <w:vAlign w:val="center"/>
          </w:tcPr>
          <w:p w14:paraId="5DD9B0F6">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val="0"/>
                <w:color w:val="FF0000"/>
                <w:sz w:val="21"/>
                <w:szCs w:val="21"/>
                <w:highlight w:val="none"/>
                <w:lang w:eastAsia="zh-CN"/>
              </w:rPr>
              <w:t>颗粒物</w:t>
            </w:r>
          </w:p>
        </w:tc>
        <w:tc>
          <w:tcPr>
            <w:tcW w:w="6716" w:type="dxa"/>
            <w:vMerge w:val="restart"/>
            <w:tcBorders>
              <w:top w:val="single" w:color="auto" w:sz="4" w:space="0"/>
              <w:left w:val="single" w:color="auto" w:sz="4" w:space="0"/>
              <w:right w:val="single" w:color="auto" w:sz="4" w:space="0"/>
            </w:tcBorders>
            <w:vAlign w:val="center"/>
          </w:tcPr>
          <w:p w14:paraId="5495C6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布袋除尘器</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15m</w:t>
            </w:r>
            <w:r>
              <w:rPr>
                <w:rFonts w:hint="default" w:ascii="Times New Roman" w:hAnsi="Times New Roman" w:eastAsia="宋体" w:cs="Times New Roman"/>
                <w:color w:val="auto"/>
                <w:sz w:val="21"/>
                <w:szCs w:val="21"/>
                <w:highlight w:val="none"/>
              </w:rPr>
              <w:t>排气</w:t>
            </w:r>
            <w:r>
              <w:rPr>
                <w:rFonts w:hint="default" w:ascii="Times New Roman" w:hAnsi="Times New Roman" w:eastAsia="宋体" w:cs="Times New Roman"/>
                <w:color w:val="auto"/>
                <w:sz w:val="21"/>
                <w:szCs w:val="21"/>
                <w:highlight w:val="none"/>
                <w:lang w:eastAsia="zh-CN"/>
              </w:rPr>
              <w:t>筒</w:t>
            </w:r>
          </w:p>
        </w:tc>
        <w:tc>
          <w:tcPr>
            <w:tcW w:w="2835" w:type="dxa"/>
            <w:vMerge w:val="restart"/>
            <w:tcBorders>
              <w:top w:val="single" w:color="auto" w:sz="4" w:space="0"/>
              <w:left w:val="single" w:color="auto" w:sz="4" w:space="0"/>
              <w:right w:val="single" w:color="auto" w:sz="4" w:space="0"/>
            </w:tcBorders>
            <w:vAlign w:val="center"/>
          </w:tcPr>
          <w:p w14:paraId="53F621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《工业炉窑大气污染物排放标准》（GB9078-1996）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《大气污染物综合排放标准》（GB16297-1996）</w:t>
            </w:r>
          </w:p>
        </w:tc>
        <w:tc>
          <w:tcPr>
            <w:tcW w:w="1047" w:type="dxa"/>
            <w:vMerge w:val="restart"/>
            <w:tcBorders>
              <w:top w:val="single" w:color="auto" w:sz="4" w:space="0"/>
              <w:left w:val="single" w:color="auto" w:sz="4" w:space="0"/>
              <w:right w:val="single" w:color="auto" w:sz="4" w:space="0"/>
            </w:tcBorders>
            <w:vAlign w:val="center"/>
          </w:tcPr>
          <w:p w14:paraId="53958E38">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r>
      <w:tr w14:paraId="2805FC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bottom w:val="single" w:color="auto" w:sz="4" w:space="0"/>
              <w:right w:val="single" w:color="auto" w:sz="4" w:space="0"/>
            </w:tcBorders>
            <w:vAlign w:val="center"/>
          </w:tcPr>
          <w:p w14:paraId="66672B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p>
        </w:tc>
        <w:tc>
          <w:tcPr>
            <w:tcW w:w="1231" w:type="dxa"/>
            <w:vMerge w:val="continue"/>
            <w:tcBorders>
              <w:left w:val="single" w:color="auto" w:sz="4" w:space="0"/>
              <w:right w:val="single" w:color="auto" w:sz="4" w:space="0"/>
            </w:tcBorders>
            <w:vAlign w:val="center"/>
          </w:tcPr>
          <w:p w14:paraId="461ACD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p>
        </w:tc>
        <w:tc>
          <w:tcPr>
            <w:tcW w:w="1248" w:type="dxa"/>
            <w:tcBorders>
              <w:top w:val="single" w:color="auto" w:sz="4" w:space="0"/>
              <w:left w:val="single" w:color="auto" w:sz="4" w:space="0"/>
              <w:bottom w:val="single" w:color="auto" w:sz="4" w:space="0"/>
              <w:right w:val="single" w:color="auto" w:sz="4" w:space="0"/>
            </w:tcBorders>
            <w:vAlign w:val="center"/>
          </w:tcPr>
          <w:p w14:paraId="1736CB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二氧化硫</w:t>
            </w:r>
          </w:p>
        </w:tc>
        <w:tc>
          <w:tcPr>
            <w:tcW w:w="6716" w:type="dxa"/>
            <w:vMerge w:val="continue"/>
            <w:tcBorders>
              <w:left w:val="single" w:color="auto" w:sz="4" w:space="0"/>
              <w:right w:val="single" w:color="auto" w:sz="4" w:space="0"/>
            </w:tcBorders>
            <w:vAlign w:val="center"/>
          </w:tcPr>
          <w:p w14:paraId="52DF12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2835" w:type="dxa"/>
            <w:vMerge w:val="continue"/>
            <w:tcBorders>
              <w:left w:val="single" w:color="auto" w:sz="4" w:space="0"/>
              <w:right w:val="single" w:color="auto" w:sz="4" w:space="0"/>
            </w:tcBorders>
            <w:vAlign w:val="center"/>
          </w:tcPr>
          <w:p w14:paraId="5F4269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7" w:type="dxa"/>
            <w:vMerge w:val="continue"/>
            <w:tcBorders>
              <w:left w:val="single" w:color="auto" w:sz="4" w:space="0"/>
              <w:right w:val="single" w:color="auto" w:sz="4" w:space="0"/>
            </w:tcBorders>
            <w:vAlign w:val="center"/>
          </w:tcPr>
          <w:p w14:paraId="454F3BB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r>
      <w:tr w14:paraId="0BD5A7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bottom w:val="single" w:color="auto" w:sz="4" w:space="0"/>
              <w:right w:val="single" w:color="auto" w:sz="4" w:space="0"/>
            </w:tcBorders>
            <w:vAlign w:val="center"/>
          </w:tcPr>
          <w:p w14:paraId="025DF6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p>
        </w:tc>
        <w:tc>
          <w:tcPr>
            <w:tcW w:w="1231" w:type="dxa"/>
            <w:vMerge w:val="continue"/>
            <w:tcBorders>
              <w:left w:val="single" w:color="auto" w:sz="4" w:space="0"/>
              <w:right w:val="single" w:color="auto" w:sz="4" w:space="0"/>
            </w:tcBorders>
            <w:vAlign w:val="center"/>
          </w:tcPr>
          <w:p w14:paraId="63F34B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highlight w:val="none"/>
              </w:rPr>
            </w:pPr>
          </w:p>
        </w:tc>
        <w:tc>
          <w:tcPr>
            <w:tcW w:w="1248" w:type="dxa"/>
            <w:tcBorders>
              <w:top w:val="single" w:color="auto" w:sz="4" w:space="0"/>
              <w:left w:val="single" w:color="auto" w:sz="4" w:space="0"/>
              <w:bottom w:val="single" w:color="auto" w:sz="4" w:space="0"/>
              <w:right w:val="single" w:color="auto" w:sz="4" w:space="0"/>
            </w:tcBorders>
            <w:vAlign w:val="center"/>
          </w:tcPr>
          <w:p w14:paraId="68F1BD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氮氧化物</w:t>
            </w:r>
          </w:p>
        </w:tc>
        <w:tc>
          <w:tcPr>
            <w:tcW w:w="6716" w:type="dxa"/>
            <w:vMerge w:val="continue"/>
            <w:tcBorders>
              <w:left w:val="single" w:color="auto" w:sz="4" w:space="0"/>
              <w:right w:val="single" w:color="auto" w:sz="4" w:space="0"/>
            </w:tcBorders>
            <w:vAlign w:val="center"/>
          </w:tcPr>
          <w:p w14:paraId="329259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2835" w:type="dxa"/>
            <w:vMerge w:val="continue"/>
            <w:tcBorders>
              <w:left w:val="single" w:color="auto" w:sz="4" w:space="0"/>
              <w:right w:val="single" w:color="auto" w:sz="4" w:space="0"/>
            </w:tcBorders>
            <w:vAlign w:val="center"/>
          </w:tcPr>
          <w:p w14:paraId="253331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7" w:type="dxa"/>
            <w:vMerge w:val="continue"/>
            <w:tcBorders>
              <w:left w:val="single" w:color="auto" w:sz="4" w:space="0"/>
              <w:right w:val="single" w:color="auto" w:sz="4" w:space="0"/>
            </w:tcBorders>
            <w:vAlign w:val="center"/>
          </w:tcPr>
          <w:p w14:paraId="3DA401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r>
      <w:tr w14:paraId="1C8118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bottom w:val="single" w:color="auto" w:sz="4" w:space="0"/>
              <w:right w:val="single" w:color="auto" w:sz="4" w:space="0"/>
            </w:tcBorders>
            <w:vAlign w:val="center"/>
          </w:tcPr>
          <w:p w14:paraId="4D956D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231" w:type="dxa"/>
            <w:vMerge w:val="continue"/>
            <w:tcBorders>
              <w:left w:val="single" w:color="auto" w:sz="4" w:space="0"/>
              <w:right w:val="single" w:color="auto" w:sz="4" w:space="0"/>
            </w:tcBorders>
            <w:vAlign w:val="center"/>
          </w:tcPr>
          <w:p w14:paraId="2170371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1248" w:type="dxa"/>
            <w:tcBorders>
              <w:top w:val="single" w:color="auto" w:sz="4" w:space="0"/>
              <w:left w:val="single" w:color="auto" w:sz="4" w:space="0"/>
              <w:bottom w:val="single" w:color="auto" w:sz="4" w:space="0"/>
              <w:right w:val="single" w:color="auto" w:sz="4" w:space="0"/>
            </w:tcBorders>
            <w:vAlign w:val="center"/>
          </w:tcPr>
          <w:p w14:paraId="4621D4A5">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val="en-US" w:eastAsia="zh-CN"/>
              </w:rPr>
              <w:t>汞</w:t>
            </w:r>
          </w:p>
        </w:tc>
        <w:tc>
          <w:tcPr>
            <w:tcW w:w="6716" w:type="dxa"/>
            <w:vMerge w:val="continue"/>
            <w:tcBorders>
              <w:left w:val="single" w:color="auto" w:sz="4" w:space="0"/>
              <w:right w:val="single" w:color="auto" w:sz="4" w:space="0"/>
            </w:tcBorders>
            <w:vAlign w:val="center"/>
          </w:tcPr>
          <w:p w14:paraId="510910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2835" w:type="dxa"/>
            <w:vMerge w:val="continue"/>
            <w:tcBorders>
              <w:left w:val="single" w:color="auto" w:sz="4" w:space="0"/>
              <w:right w:val="single" w:color="auto" w:sz="4" w:space="0"/>
            </w:tcBorders>
            <w:vAlign w:val="center"/>
          </w:tcPr>
          <w:p w14:paraId="207B59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7" w:type="dxa"/>
            <w:vMerge w:val="continue"/>
            <w:tcBorders>
              <w:left w:val="single" w:color="auto" w:sz="4" w:space="0"/>
              <w:right w:val="single" w:color="auto" w:sz="4" w:space="0"/>
            </w:tcBorders>
            <w:vAlign w:val="center"/>
          </w:tcPr>
          <w:p w14:paraId="1E0259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r>
      <w:tr w14:paraId="747E25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left w:val="single" w:color="auto" w:sz="4" w:space="0"/>
              <w:bottom w:val="single" w:color="auto" w:sz="4" w:space="0"/>
              <w:right w:val="single" w:color="auto" w:sz="4" w:space="0"/>
            </w:tcBorders>
            <w:vAlign w:val="center"/>
          </w:tcPr>
          <w:p w14:paraId="1A0839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231" w:type="dxa"/>
            <w:vMerge w:val="continue"/>
            <w:tcBorders>
              <w:left w:val="single" w:color="auto" w:sz="4" w:space="0"/>
              <w:bottom w:val="single" w:color="auto" w:sz="4" w:space="0"/>
              <w:right w:val="single" w:color="auto" w:sz="4" w:space="0"/>
            </w:tcBorders>
            <w:vAlign w:val="center"/>
          </w:tcPr>
          <w:p w14:paraId="3D4456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1248" w:type="dxa"/>
            <w:tcBorders>
              <w:top w:val="single" w:color="auto" w:sz="4" w:space="0"/>
              <w:left w:val="single" w:color="auto" w:sz="4" w:space="0"/>
              <w:bottom w:val="single" w:color="auto" w:sz="4" w:space="0"/>
              <w:right w:val="single" w:color="auto" w:sz="4" w:space="0"/>
            </w:tcBorders>
            <w:vAlign w:val="center"/>
          </w:tcPr>
          <w:p w14:paraId="230B1F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烟气黑度</w:t>
            </w:r>
          </w:p>
        </w:tc>
        <w:tc>
          <w:tcPr>
            <w:tcW w:w="6716" w:type="dxa"/>
            <w:vMerge w:val="continue"/>
            <w:tcBorders>
              <w:left w:val="single" w:color="auto" w:sz="4" w:space="0"/>
              <w:bottom w:val="single" w:color="auto" w:sz="4" w:space="0"/>
              <w:right w:val="single" w:color="auto" w:sz="4" w:space="0"/>
            </w:tcBorders>
            <w:vAlign w:val="center"/>
          </w:tcPr>
          <w:p w14:paraId="2485DB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2835" w:type="dxa"/>
            <w:vMerge w:val="continue"/>
            <w:tcBorders>
              <w:left w:val="single" w:color="auto" w:sz="4" w:space="0"/>
              <w:bottom w:val="single" w:color="auto" w:sz="4" w:space="0"/>
              <w:right w:val="single" w:color="auto" w:sz="4" w:space="0"/>
            </w:tcBorders>
            <w:vAlign w:val="center"/>
          </w:tcPr>
          <w:p w14:paraId="1113A5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7" w:type="dxa"/>
            <w:vMerge w:val="continue"/>
            <w:tcBorders>
              <w:left w:val="single" w:color="auto" w:sz="4" w:space="0"/>
              <w:bottom w:val="single" w:color="auto" w:sz="4" w:space="0"/>
              <w:right w:val="single" w:color="auto" w:sz="4" w:space="0"/>
            </w:tcBorders>
            <w:vAlign w:val="center"/>
          </w:tcPr>
          <w:p w14:paraId="5201BF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r>
      <w:tr w14:paraId="51F5CA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4D3FFB3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231" w:type="dxa"/>
            <w:tcBorders>
              <w:top w:val="single" w:color="auto" w:sz="4" w:space="0"/>
              <w:left w:val="single" w:color="auto" w:sz="4" w:space="0"/>
              <w:bottom w:val="single" w:color="auto" w:sz="4" w:space="0"/>
              <w:right w:val="single" w:color="auto" w:sz="4" w:space="0"/>
            </w:tcBorders>
            <w:vAlign w:val="center"/>
          </w:tcPr>
          <w:p w14:paraId="0BC0DF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248" w:type="dxa"/>
            <w:tcBorders>
              <w:top w:val="single" w:color="auto" w:sz="4" w:space="0"/>
              <w:left w:val="single" w:color="auto" w:sz="4" w:space="0"/>
              <w:bottom w:val="single" w:color="auto" w:sz="4" w:space="0"/>
              <w:right w:val="single" w:color="auto" w:sz="4" w:space="0"/>
            </w:tcBorders>
            <w:vAlign w:val="center"/>
          </w:tcPr>
          <w:p w14:paraId="0E5FB7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vertAlign w:val="subscript"/>
              </w:rPr>
              <w:t>Cr</w:t>
            </w:r>
            <w:r>
              <w:rPr>
                <w:rFonts w:hint="default" w:ascii="Times New Roman" w:hAnsi="Times New Roman" w:eastAsia="宋体" w:cs="Times New Roman"/>
                <w:color w:val="auto"/>
                <w:sz w:val="21"/>
                <w:szCs w:val="21"/>
                <w:highlight w:val="none"/>
              </w:rPr>
              <w:t>、SS、NH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6716" w:type="dxa"/>
            <w:tcBorders>
              <w:top w:val="single" w:color="auto" w:sz="4" w:space="0"/>
              <w:left w:val="single" w:color="auto" w:sz="4" w:space="0"/>
              <w:bottom w:val="single" w:color="auto" w:sz="4" w:space="0"/>
              <w:right w:val="single" w:color="auto" w:sz="4" w:space="0"/>
            </w:tcBorders>
            <w:vAlign w:val="center"/>
          </w:tcPr>
          <w:p w14:paraId="65CC6F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经化粪池处理</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定期由当地环卫部门清运处置</w:t>
            </w:r>
            <w:r>
              <w:rPr>
                <w:rFonts w:hint="default" w:ascii="Times New Roman" w:hAnsi="Times New Roman" w:eastAsia="宋体" w:cs="Times New Roman"/>
                <w:color w:val="auto"/>
                <w:sz w:val="21"/>
                <w:szCs w:val="21"/>
                <w:highlight w:val="none"/>
              </w:rPr>
              <w:t>。</w:t>
            </w:r>
          </w:p>
        </w:tc>
        <w:tc>
          <w:tcPr>
            <w:tcW w:w="2835" w:type="dxa"/>
            <w:tcBorders>
              <w:top w:val="single" w:color="auto" w:sz="4" w:space="0"/>
              <w:left w:val="single" w:color="auto" w:sz="4" w:space="0"/>
              <w:bottom w:val="single" w:color="auto" w:sz="4" w:space="0"/>
              <w:right w:val="single" w:color="auto" w:sz="4" w:space="0"/>
            </w:tcBorders>
            <w:vAlign w:val="center"/>
          </w:tcPr>
          <w:p w14:paraId="220400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47" w:type="dxa"/>
            <w:tcBorders>
              <w:top w:val="single" w:color="auto" w:sz="4" w:space="0"/>
              <w:left w:val="single" w:color="auto" w:sz="4" w:space="0"/>
              <w:bottom w:val="single" w:color="auto" w:sz="4" w:space="0"/>
              <w:right w:val="single" w:color="auto" w:sz="4" w:space="0"/>
            </w:tcBorders>
            <w:vAlign w:val="center"/>
          </w:tcPr>
          <w:p w14:paraId="3F056563">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2F30B3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13F941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vMerge w:val="restart"/>
            <w:tcBorders>
              <w:top w:val="single" w:color="auto" w:sz="4" w:space="0"/>
              <w:left w:val="single" w:color="auto" w:sz="4" w:space="0"/>
              <w:bottom w:val="single" w:color="auto" w:sz="4" w:space="0"/>
              <w:right w:val="single" w:color="auto" w:sz="4" w:space="0"/>
            </w:tcBorders>
            <w:vAlign w:val="center"/>
          </w:tcPr>
          <w:p w14:paraId="402AA9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场区雨水</w:t>
            </w:r>
          </w:p>
        </w:tc>
        <w:tc>
          <w:tcPr>
            <w:tcW w:w="1248" w:type="dxa"/>
            <w:vMerge w:val="restart"/>
            <w:tcBorders>
              <w:top w:val="single" w:color="auto" w:sz="4" w:space="0"/>
              <w:left w:val="single" w:color="auto" w:sz="4" w:space="0"/>
              <w:bottom w:val="single" w:color="auto" w:sz="4" w:space="0"/>
              <w:right w:val="single" w:color="auto" w:sz="4" w:space="0"/>
            </w:tcBorders>
            <w:vAlign w:val="center"/>
          </w:tcPr>
          <w:p w14:paraId="09DAE1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14F40F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屋面设置合适坡度并在屋檐设置导流槽，将雨水导出不排入羊圈内，屋面雨水采用自流式排水，经过雨水管道排入场区排水沟排出。</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3D97DBB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w:t>
            </w:r>
          </w:p>
        </w:tc>
        <w:tc>
          <w:tcPr>
            <w:tcW w:w="1047" w:type="dxa"/>
            <w:tcBorders>
              <w:top w:val="single" w:color="auto" w:sz="4" w:space="0"/>
              <w:left w:val="single" w:color="auto" w:sz="4" w:space="0"/>
              <w:bottom w:val="single" w:color="auto" w:sz="4" w:space="0"/>
              <w:right w:val="single" w:color="auto" w:sz="4" w:space="0"/>
            </w:tcBorders>
            <w:vAlign w:val="center"/>
          </w:tcPr>
          <w:p w14:paraId="2E2BF76E">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71BD8C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5C6427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vMerge w:val="continue"/>
            <w:tcBorders>
              <w:top w:val="single" w:color="auto" w:sz="4" w:space="0"/>
              <w:left w:val="single" w:color="auto" w:sz="4" w:space="0"/>
              <w:bottom w:val="single" w:color="auto" w:sz="4" w:space="0"/>
              <w:right w:val="single" w:color="auto" w:sz="4" w:space="0"/>
            </w:tcBorders>
            <w:vAlign w:val="center"/>
          </w:tcPr>
          <w:p w14:paraId="359132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14:paraId="48ED02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716" w:type="dxa"/>
            <w:tcBorders>
              <w:top w:val="single" w:color="auto" w:sz="4" w:space="0"/>
              <w:left w:val="single" w:color="auto" w:sz="4" w:space="0"/>
              <w:bottom w:val="single" w:color="auto" w:sz="4" w:space="0"/>
              <w:right w:val="single" w:color="auto" w:sz="4" w:space="0"/>
            </w:tcBorders>
            <w:vAlign w:val="center"/>
          </w:tcPr>
          <w:p w14:paraId="0870A6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羊圈设置挡水坡道，防止雨水进入羊圈</w:t>
            </w:r>
            <w:r>
              <w:rPr>
                <w:rFonts w:hint="default" w:ascii="Times New Roman" w:hAnsi="Times New Roman" w:eastAsia="宋体" w:cs="Times New Roman"/>
                <w:color w:val="auto"/>
                <w:sz w:val="21"/>
                <w:szCs w:val="21"/>
                <w:highlight w:val="none"/>
                <w:lang w:eastAsia="zh-CN"/>
              </w:rPr>
              <w:t>。</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5DD778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047" w:type="dxa"/>
            <w:tcBorders>
              <w:top w:val="single" w:color="auto" w:sz="4" w:space="0"/>
              <w:left w:val="single" w:color="auto" w:sz="4" w:space="0"/>
              <w:bottom w:val="single" w:color="auto" w:sz="4" w:space="0"/>
              <w:right w:val="single" w:color="auto" w:sz="4" w:space="0"/>
            </w:tcBorders>
            <w:vAlign w:val="center"/>
          </w:tcPr>
          <w:p w14:paraId="08EC4209">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r>
      <w:tr w14:paraId="2D2779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300EB9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vMerge w:val="continue"/>
            <w:tcBorders>
              <w:top w:val="single" w:color="auto" w:sz="4" w:space="0"/>
              <w:left w:val="single" w:color="auto" w:sz="4" w:space="0"/>
              <w:bottom w:val="single" w:color="auto" w:sz="4" w:space="0"/>
              <w:right w:val="single" w:color="auto" w:sz="4" w:space="0"/>
            </w:tcBorders>
            <w:vAlign w:val="center"/>
          </w:tcPr>
          <w:p w14:paraId="3C1800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14:paraId="529666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716" w:type="dxa"/>
            <w:tcBorders>
              <w:top w:val="single" w:color="auto" w:sz="4" w:space="0"/>
              <w:left w:val="single" w:color="auto" w:sz="4" w:space="0"/>
              <w:bottom w:val="single" w:color="auto" w:sz="4" w:space="0"/>
              <w:right w:val="single" w:color="auto" w:sz="4" w:space="0"/>
            </w:tcBorders>
            <w:vAlign w:val="center"/>
          </w:tcPr>
          <w:p w14:paraId="796BE7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底部进行硬化防渗处理，四面设围墙墙高</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m，出入口处及四周建设导流槽</w:t>
            </w:r>
            <w:r>
              <w:rPr>
                <w:rFonts w:hint="default" w:ascii="Times New Roman" w:hAnsi="Times New Roman" w:eastAsia="宋体" w:cs="Times New Roman"/>
                <w:color w:val="auto"/>
                <w:sz w:val="21"/>
                <w:szCs w:val="21"/>
                <w:highlight w:val="none"/>
                <w:lang w:eastAsia="zh-CN"/>
              </w:rPr>
              <w:t>，防止</w:t>
            </w:r>
            <w:r>
              <w:rPr>
                <w:rFonts w:hint="default" w:ascii="Times New Roman" w:hAnsi="Times New Roman" w:eastAsia="宋体" w:cs="Times New Roman"/>
                <w:color w:val="auto"/>
                <w:sz w:val="21"/>
                <w:szCs w:val="21"/>
                <w:highlight w:val="none"/>
              </w:rPr>
              <w:t>因雨水进入造成外溢，形成二次污染</w:t>
            </w:r>
            <w:r>
              <w:rPr>
                <w:rFonts w:hint="default" w:ascii="Times New Roman" w:hAnsi="Times New Roman" w:eastAsia="宋体" w:cs="Times New Roman"/>
                <w:color w:val="auto"/>
                <w:sz w:val="21"/>
                <w:szCs w:val="21"/>
                <w:highlight w:val="none"/>
                <w:lang w:eastAsia="zh-CN"/>
              </w:rPr>
              <w:t>。</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0F7B84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047" w:type="dxa"/>
            <w:tcBorders>
              <w:top w:val="single" w:color="auto" w:sz="4" w:space="0"/>
              <w:left w:val="single" w:color="auto" w:sz="4" w:space="0"/>
              <w:bottom w:val="single" w:color="auto" w:sz="4" w:space="0"/>
              <w:right w:val="single" w:color="auto" w:sz="4" w:space="0"/>
            </w:tcBorders>
            <w:vAlign w:val="center"/>
          </w:tcPr>
          <w:p w14:paraId="23039972">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136B4F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2B5575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1231" w:type="dxa"/>
            <w:tcBorders>
              <w:top w:val="single" w:color="auto" w:sz="4" w:space="0"/>
              <w:left w:val="single" w:color="auto" w:sz="4" w:space="0"/>
              <w:bottom w:val="single" w:color="auto" w:sz="4" w:space="0"/>
              <w:right w:val="single" w:color="auto" w:sz="4" w:space="0"/>
            </w:tcBorders>
            <w:vAlign w:val="center"/>
          </w:tcPr>
          <w:p w14:paraId="694AA1A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地下水监控井</w:t>
            </w:r>
          </w:p>
        </w:tc>
        <w:tc>
          <w:tcPr>
            <w:tcW w:w="1248" w:type="dxa"/>
            <w:tcBorders>
              <w:top w:val="single" w:color="auto" w:sz="4" w:space="0"/>
              <w:left w:val="single" w:color="auto" w:sz="4" w:space="0"/>
              <w:bottom w:val="single" w:color="auto" w:sz="4" w:space="0"/>
              <w:right w:val="single" w:color="auto" w:sz="4" w:space="0"/>
            </w:tcBorders>
            <w:vAlign w:val="center"/>
          </w:tcPr>
          <w:p w14:paraId="685A69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42312B5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eastAsia="zh-CN"/>
              </w:rPr>
              <w:t>厂区东北侧设置地下水监控井1眼</w:t>
            </w:r>
            <w:r>
              <w:rPr>
                <w:rFonts w:hint="default" w:ascii="Times New Roman" w:hAnsi="Times New Roman" w:eastAsia="宋体" w:cs="Times New Roman"/>
                <w:bCs/>
                <w:color w:val="auto"/>
                <w:sz w:val="21"/>
                <w:szCs w:val="21"/>
                <w:highlight w:val="none"/>
              </w:rPr>
              <w:t>，设置</w:t>
            </w:r>
            <w:r>
              <w:rPr>
                <w:rFonts w:hint="default" w:ascii="Times New Roman" w:hAnsi="Times New Roman" w:eastAsia="宋体" w:cs="Times New Roman"/>
                <w:bCs/>
                <w:color w:val="auto"/>
                <w:sz w:val="21"/>
                <w:szCs w:val="21"/>
                <w:highlight w:val="none"/>
                <w:lang w:eastAsia="zh-CN"/>
              </w:rPr>
              <w:t>标识</w:t>
            </w:r>
            <w:r>
              <w:rPr>
                <w:rFonts w:hint="default" w:ascii="Times New Roman" w:hAnsi="Times New Roman" w:eastAsia="宋体" w:cs="Times New Roman"/>
                <w:bCs/>
                <w:color w:val="auto"/>
                <w:sz w:val="21"/>
                <w:szCs w:val="21"/>
                <w:highlight w:val="none"/>
              </w:rPr>
              <w:t>等</w:t>
            </w:r>
          </w:p>
        </w:tc>
        <w:tc>
          <w:tcPr>
            <w:tcW w:w="2835" w:type="dxa"/>
            <w:tcBorders>
              <w:top w:val="single" w:color="auto" w:sz="4" w:space="0"/>
              <w:left w:val="single" w:color="auto" w:sz="4" w:space="0"/>
              <w:bottom w:val="single" w:color="auto" w:sz="4" w:space="0"/>
              <w:right w:val="single" w:color="auto" w:sz="4" w:space="0"/>
            </w:tcBorders>
            <w:vAlign w:val="center"/>
          </w:tcPr>
          <w:p w14:paraId="285DD2E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《地下水质量标准》（GB/T14848-2017）中Ⅲ类标准</w:t>
            </w:r>
          </w:p>
        </w:tc>
        <w:tc>
          <w:tcPr>
            <w:tcW w:w="1047" w:type="dxa"/>
            <w:tcBorders>
              <w:top w:val="single" w:color="auto" w:sz="4" w:space="0"/>
              <w:left w:val="single" w:color="auto" w:sz="4" w:space="0"/>
              <w:bottom w:val="single" w:color="auto" w:sz="4" w:space="0"/>
              <w:right w:val="single" w:color="auto" w:sz="4" w:space="0"/>
            </w:tcBorders>
            <w:vAlign w:val="center"/>
          </w:tcPr>
          <w:p w14:paraId="2701F03D">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299715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748794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0A6A7F0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工程防渗要求</w:t>
            </w:r>
          </w:p>
        </w:tc>
        <w:tc>
          <w:tcPr>
            <w:tcW w:w="1248" w:type="dxa"/>
            <w:tcBorders>
              <w:top w:val="single" w:color="auto" w:sz="4" w:space="0"/>
              <w:left w:val="single" w:color="auto" w:sz="4" w:space="0"/>
              <w:bottom w:val="single" w:color="auto" w:sz="4" w:space="0"/>
              <w:right w:val="single" w:color="auto" w:sz="4" w:space="0"/>
            </w:tcBorders>
            <w:vAlign w:val="center"/>
          </w:tcPr>
          <w:p w14:paraId="5C6B5E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0EE621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1、重点防渗区涉及</w:t>
            </w:r>
            <w:r>
              <w:rPr>
                <w:rFonts w:hint="default" w:ascii="Times New Roman" w:hAnsi="Times New Roman" w:eastAsia="宋体" w:cs="Times New Roman"/>
                <w:color w:val="auto"/>
                <w:sz w:val="21"/>
                <w:szCs w:val="21"/>
                <w:highlight w:val="none"/>
                <w:lang w:val="zh-CN"/>
              </w:rPr>
              <w:t>危废暂存间</w:t>
            </w:r>
            <w:r>
              <w:rPr>
                <w:rFonts w:hint="default" w:ascii="Times New Roman" w:hAnsi="Times New Roman" w:eastAsia="宋体" w:cs="Times New Roman"/>
                <w:color w:val="auto"/>
                <w:sz w:val="21"/>
                <w:szCs w:val="21"/>
                <w:highlight w:val="none"/>
              </w:rPr>
              <w:t>渗透系数要求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p>
          <w:p w14:paraId="69F476B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2、一般防渗区：</w:t>
            </w:r>
          </w:p>
          <w:p w14:paraId="1D7E01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1）对</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底部基础防渗具体做法为：防渗层为敷设不小于2mm的高密度聚氯乙烯（HDPE）人工防渗膜，膜上、膜下设置“长丝无纺土工布”保护层，并铺设不小于100mm的混凝土保护层，或其他材料可满足渗透系数≤10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p w14:paraId="6844610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2）对</w:t>
            </w:r>
            <w:r>
              <w:rPr>
                <w:rFonts w:hint="default" w:ascii="Times New Roman" w:hAnsi="Times New Roman" w:eastAsia="宋体" w:cs="Times New Roman"/>
                <w:color w:val="auto"/>
                <w:sz w:val="21"/>
                <w:szCs w:val="21"/>
                <w:highlight w:val="none"/>
                <w:lang w:eastAsia="zh-CN"/>
              </w:rPr>
              <w:t>化粪池</w:t>
            </w:r>
            <w:r>
              <w:rPr>
                <w:rFonts w:hint="default" w:ascii="Times New Roman" w:hAnsi="Times New Roman" w:eastAsia="宋体" w:cs="Times New Roman"/>
                <w:color w:val="auto"/>
                <w:sz w:val="21"/>
                <w:szCs w:val="21"/>
                <w:highlight w:val="none"/>
              </w:rPr>
              <w:t>采取以下防渗措施：</w:t>
            </w:r>
          </w:p>
          <w:p w14:paraId="3CBD57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池底及坡道采用粘土找平，底部素土夯实，夯实层以上设20mm厚1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3水泥砂浆找平层，防渗层为敷设不小于2mm的高密度聚氯乙烯（HDPE）人工防渗膜，膜上、膜下设置“长丝无纺土工布”保护层，并铺设不小于100mm的混凝土保护层，或其他材料可满足渗透系数≤10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p w14:paraId="10E729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3、对于</w:t>
            </w:r>
            <w:r>
              <w:rPr>
                <w:rFonts w:hint="default" w:ascii="Times New Roman" w:hAnsi="Times New Roman" w:eastAsia="宋体" w:cs="Times New Roman"/>
                <w:color w:val="auto"/>
                <w:sz w:val="21"/>
                <w:szCs w:val="21"/>
                <w:highlight w:val="none"/>
                <w:lang w:eastAsia="zh-CN"/>
              </w:rPr>
              <w:t>草棚</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场区道路等生产区，铺设防渗混凝土地面进行防渗。</w:t>
            </w:r>
          </w:p>
        </w:tc>
        <w:tc>
          <w:tcPr>
            <w:tcW w:w="2835" w:type="dxa"/>
            <w:tcBorders>
              <w:top w:val="single" w:color="auto" w:sz="4" w:space="0"/>
              <w:left w:val="single" w:color="auto" w:sz="4" w:space="0"/>
              <w:bottom w:val="single" w:color="auto" w:sz="4" w:space="0"/>
              <w:right w:val="single" w:color="auto" w:sz="4" w:space="0"/>
            </w:tcBorders>
            <w:vAlign w:val="center"/>
          </w:tcPr>
          <w:p w14:paraId="6ECFBA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《畜禽养殖业污染物排放</w:t>
            </w:r>
            <w:r>
              <w:rPr>
                <w:rFonts w:hint="default" w:ascii="Times New Roman" w:hAnsi="Times New Roman" w:eastAsia="宋体" w:cs="Times New Roman"/>
                <w:color w:val="auto"/>
                <w:sz w:val="21"/>
                <w:szCs w:val="21"/>
                <w:highlight w:val="none"/>
                <w:lang w:eastAsia="zh-CN"/>
              </w:rPr>
              <w:t>标准</w:t>
            </w:r>
            <w:r>
              <w:rPr>
                <w:rFonts w:hint="default" w:ascii="Times New Roman" w:hAnsi="Times New Roman" w:eastAsia="宋体" w:cs="Times New Roman"/>
                <w:color w:val="auto"/>
                <w:sz w:val="21"/>
                <w:szCs w:val="21"/>
                <w:highlight w:val="none"/>
              </w:rPr>
              <w:t>（GB18596-2001）》，《危险废物贮存污染控制标准》（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w:t>
            </w:r>
          </w:p>
          <w:p w14:paraId="720C49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参照《一般工业固体废物贮存和填埋污染控制标准》（GB18599-2020）</w:t>
            </w:r>
          </w:p>
        </w:tc>
        <w:tc>
          <w:tcPr>
            <w:tcW w:w="1047" w:type="dxa"/>
            <w:tcBorders>
              <w:top w:val="single" w:color="auto" w:sz="4" w:space="0"/>
              <w:left w:val="single" w:color="auto" w:sz="4" w:space="0"/>
              <w:bottom w:val="single" w:color="auto" w:sz="4" w:space="0"/>
              <w:right w:val="single" w:color="auto" w:sz="4" w:space="0"/>
            </w:tcBorders>
            <w:vAlign w:val="center"/>
          </w:tcPr>
          <w:p w14:paraId="34A0C6FB">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13BC70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28CB02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231" w:type="dxa"/>
            <w:tcBorders>
              <w:top w:val="single" w:color="auto" w:sz="4" w:space="0"/>
              <w:left w:val="single" w:color="auto" w:sz="4" w:space="0"/>
              <w:bottom w:val="single" w:color="auto" w:sz="4" w:space="0"/>
              <w:right w:val="single" w:color="auto" w:sz="4" w:space="0"/>
            </w:tcBorders>
            <w:vAlign w:val="center"/>
          </w:tcPr>
          <w:p w14:paraId="737AA3D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zh-CN"/>
              </w:rPr>
              <w:t>医疗垃圾</w:t>
            </w:r>
          </w:p>
        </w:tc>
        <w:tc>
          <w:tcPr>
            <w:tcW w:w="1248" w:type="dxa"/>
            <w:tcBorders>
              <w:top w:val="single" w:color="auto" w:sz="4" w:space="0"/>
              <w:left w:val="single" w:color="auto" w:sz="4" w:space="0"/>
              <w:bottom w:val="single" w:color="auto" w:sz="4" w:space="0"/>
              <w:right w:val="single" w:color="auto" w:sz="4" w:space="0"/>
            </w:tcBorders>
            <w:vAlign w:val="center"/>
          </w:tcPr>
          <w:p w14:paraId="0F4B17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2CF9D4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w:t>
            </w:r>
            <w:r>
              <w:rPr>
                <w:rFonts w:hint="default" w:ascii="Times New Roman" w:hAnsi="Times New Roman" w:eastAsia="宋体" w:cs="Times New Roman"/>
                <w:color w:val="auto"/>
                <w:sz w:val="21"/>
                <w:szCs w:val="21"/>
                <w:highlight w:val="none"/>
                <w:lang w:eastAsia="zh-CN"/>
              </w:rPr>
              <w:t>危废暂存间</w:t>
            </w:r>
            <w:r>
              <w:rPr>
                <w:rFonts w:hint="default" w:ascii="Times New Roman" w:hAnsi="Times New Roman" w:eastAsia="宋体" w:cs="Times New Roman"/>
                <w:color w:val="auto"/>
                <w:sz w:val="21"/>
                <w:szCs w:val="21"/>
                <w:highlight w:val="none"/>
              </w:rPr>
              <w:t>1座，建筑面积10m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，暂存运营过程产生的</w:t>
            </w:r>
            <w:r>
              <w:rPr>
                <w:rFonts w:hint="default" w:ascii="Times New Roman" w:hAnsi="Times New Roman" w:eastAsia="宋体" w:cs="Times New Roman"/>
                <w:color w:val="auto"/>
                <w:sz w:val="21"/>
                <w:szCs w:val="21"/>
                <w:highlight w:val="none"/>
                <w:lang w:eastAsia="zh-CN"/>
              </w:rPr>
              <w:t>医疗垃圾</w:t>
            </w:r>
            <w:r>
              <w:rPr>
                <w:rFonts w:hint="default" w:ascii="Times New Roman" w:hAnsi="Times New Roman" w:eastAsia="宋体" w:cs="Times New Roman"/>
                <w:color w:val="auto"/>
                <w:sz w:val="21"/>
                <w:szCs w:val="21"/>
                <w:highlight w:val="none"/>
              </w:rPr>
              <w:t>，暂存</w:t>
            </w:r>
            <w:r>
              <w:rPr>
                <w:rFonts w:hint="default" w:ascii="Times New Roman" w:hAnsi="Times New Roman" w:eastAsia="宋体" w:cs="Times New Roman"/>
                <w:color w:val="auto"/>
                <w:sz w:val="21"/>
                <w:szCs w:val="21"/>
                <w:highlight w:val="none"/>
                <w:lang w:eastAsia="zh-CN"/>
              </w:rPr>
              <w:t>定期由有资质单位处置</w:t>
            </w:r>
            <w:r>
              <w:rPr>
                <w:rFonts w:hint="default" w:ascii="Times New Roman" w:hAnsi="Times New Roman" w:eastAsia="宋体" w:cs="Times New Roman"/>
                <w:color w:val="auto"/>
                <w:sz w:val="21"/>
                <w:szCs w:val="21"/>
                <w:highlight w:val="none"/>
              </w:rPr>
              <w:t>；</w:t>
            </w:r>
          </w:p>
          <w:p w14:paraId="2F10DC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1）贮存场所地面须</w:t>
            </w:r>
            <w:r>
              <w:rPr>
                <w:rFonts w:hint="default" w:ascii="Times New Roman" w:hAnsi="Times New Roman" w:eastAsia="宋体" w:cs="Times New Roman"/>
                <w:color w:val="auto"/>
                <w:sz w:val="21"/>
                <w:szCs w:val="21"/>
                <w:highlight w:val="none"/>
                <w:lang w:eastAsia="zh-CN"/>
              </w:rPr>
              <w:t>做</w:t>
            </w:r>
            <w:r>
              <w:rPr>
                <w:rFonts w:hint="default" w:ascii="Times New Roman" w:hAnsi="Times New Roman" w:eastAsia="宋体" w:cs="Times New Roman"/>
                <w:color w:val="auto"/>
                <w:sz w:val="21"/>
                <w:szCs w:val="21"/>
                <w:highlight w:val="none"/>
              </w:rPr>
              <w:t>硬化处理，以混凝土、砖</w:t>
            </w:r>
            <w:r>
              <w:rPr>
                <w:rFonts w:hint="default" w:ascii="Times New Roman" w:hAnsi="Times New Roman" w:eastAsia="宋体" w:cs="Times New Roman"/>
                <w:color w:val="auto"/>
                <w:sz w:val="21"/>
                <w:szCs w:val="21"/>
                <w:highlight w:val="none"/>
                <w:lang w:eastAsia="zh-CN"/>
              </w:rPr>
              <w:t>，或</w:t>
            </w:r>
            <w:r>
              <w:rPr>
                <w:rFonts w:hint="default" w:ascii="Times New Roman" w:hAnsi="Times New Roman" w:eastAsia="宋体" w:cs="Times New Roman"/>
                <w:color w:val="auto"/>
                <w:sz w:val="21"/>
                <w:szCs w:val="21"/>
                <w:highlight w:val="none"/>
              </w:rPr>
              <w:t>经过防止腐化处理的钢材料进行建设，地面敷设2mm厚HDPE膜进行防渗处理，以防止渗漏和腐蚀。存放液体性危险废物的贮存场所必须设计导流槽和收集井。场所需要密闭且有通风口。</w:t>
            </w:r>
          </w:p>
          <w:p w14:paraId="083050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2）危废暂存间的地面与裙脚要用坚固、防渗的材料建造，建筑材料必须与危险废物相容。</w:t>
            </w:r>
          </w:p>
        </w:tc>
        <w:tc>
          <w:tcPr>
            <w:tcW w:w="2835" w:type="dxa"/>
            <w:tcBorders>
              <w:top w:val="single" w:color="auto" w:sz="4" w:space="0"/>
              <w:left w:val="single" w:color="auto" w:sz="4" w:space="0"/>
              <w:bottom w:val="single" w:color="auto" w:sz="4" w:space="0"/>
              <w:right w:val="single" w:color="auto" w:sz="4" w:space="0"/>
            </w:tcBorders>
            <w:vAlign w:val="center"/>
          </w:tcPr>
          <w:p w14:paraId="61B1F86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w:t>
            </w:r>
          </w:p>
        </w:tc>
        <w:tc>
          <w:tcPr>
            <w:tcW w:w="1047" w:type="dxa"/>
            <w:tcBorders>
              <w:top w:val="single" w:color="auto" w:sz="4" w:space="0"/>
              <w:left w:val="single" w:color="auto" w:sz="4" w:space="0"/>
              <w:bottom w:val="single" w:color="auto" w:sz="4" w:space="0"/>
              <w:right w:val="single" w:color="auto" w:sz="4" w:space="0"/>
            </w:tcBorders>
            <w:vAlign w:val="center"/>
          </w:tcPr>
          <w:p w14:paraId="077152E0">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0EF4D1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0683C13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329F355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病死羊</w:t>
            </w:r>
          </w:p>
        </w:tc>
        <w:tc>
          <w:tcPr>
            <w:tcW w:w="1248" w:type="dxa"/>
            <w:tcBorders>
              <w:top w:val="single" w:color="auto" w:sz="4" w:space="0"/>
              <w:left w:val="single" w:color="auto" w:sz="4" w:space="0"/>
              <w:bottom w:val="single" w:color="auto" w:sz="4" w:space="0"/>
              <w:right w:val="single" w:color="auto" w:sz="4" w:space="0"/>
            </w:tcBorders>
            <w:vAlign w:val="center"/>
          </w:tcPr>
          <w:p w14:paraId="65AE49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2566DA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交由巴彦淖尔市绿之源生物技术发展有限公司进行无害化处理。</w:t>
            </w:r>
          </w:p>
        </w:tc>
        <w:tc>
          <w:tcPr>
            <w:tcW w:w="2835" w:type="dxa"/>
            <w:tcBorders>
              <w:top w:val="single" w:color="auto" w:sz="4" w:space="0"/>
              <w:left w:val="single" w:color="auto" w:sz="4" w:space="0"/>
              <w:bottom w:val="single" w:color="auto" w:sz="4" w:space="0"/>
              <w:right w:val="single" w:color="auto" w:sz="4" w:space="0"/>
            </w:tcBorders>
            <w:vAlign w:val="center"/>
          </w:tcPr>
          <w:p w14:paraId="6BD237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《畜禽养殖业污染治理工程技术规范》（HJ497-2009）、《畜禽养殖业污染防治技术规范》（HJ/T81-2001）、《病死及病害动物无害化处理技术规范》（农医发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25号）</w:t>
            </w:r>
          </w:p>
        </w:tc>
        <w:tc>
          <w:tcPr>
            <w:tcW w:w="1047" w:type="dxa"/>
            <w:tcBorders>
              <w:top w:val="single" w:color="auto" w:sz="4" w:space="0"/>
              <w:left w:val="single" w:color="auto" w:sz="4" w:space="0"/>
              <w:bottom w:val="single" w:color="auto" w:sz="4" w:space="0"/>
              <w:right w:val="single" w:color="auto" w:sz="4" w:space="0"/>
            </w:tcBorders>
            <w:vAlign w:val="center"/>
          </w:tcPr>
          <w:p w14:paraId="3A242440">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030A48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6D27D8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101E89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炉渣、</w:t>
            </w:r>
            <w:r>
              <w:rPr>
                <w:rFonts w:hint="default" w:ascii="Times New Roman" w:hAnsi="Times New Roman" w:eastAsia="宋体" w:cs="Times New Roman"/>
                <w:color w:val="auto"/>
                <w:sz w:val="21"/>
                <w:szCs w:val="21"/>
                <w:highlight w:val="none"/>
                <w:lang w:eastAsia="zh-CN"/>
              </w:rPr>
              <w:t>除尘灰</w:t>
            </w:r>
          </w:p>
        </w:tc>
        <w:tc>
          <w:tcPr>
            <w:tcW w:w="1248" w:type="dxa"/>
            <w:tcBorders>
              <w:top w:val="single" w:color="auto" w:sz="4" w:space="0"/>
              <w:left w:val="single" w:color="auto" w:sz="4" w:space="0"/>
              <w:bottom w:val="single" w:color="auto" w:sz="4" w:space="0"/>
              <w:right w:val="single" w:color="auto" w:sz="4" w:space="0"/>
            </w:tcBorders>
            <w:vAlign w:val="center"/>
          </w:tcPr>
          <w:p w14:paraId="001171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636B7F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灰渣库</w:t>
            </w:r>
          </w:p>
        </w:tc>
        <w:tc>
          <w:tcPr>
            <w:tcW w:w="2835" w:type="dxa"/>
            <w:tcBorders>
              <w:top w:val="single" w:color="auto" w:sz="4" w:space="0"/>
              <w:left w:val="single" w:color="auto" w:sz="4" w:space="0"/>
              <w:bottom w:val="single" w:color="auto" w:sz="4" w:space="0"/>
              <w:right w:val="single" w:color="auto" w:sz="4" w:space="0"/>
            </w:tcBorders>
            <w:vAlign w:val="center"/>
          </w:tcPr>
          <w:p w14:paraId="2F6494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《一般工业固体废物贮存和填埋污染控制标准》（GB18599-2020）</w:t>
            </w:r>
          </w:p>
        </w:tc>
        <w:tc>
          <w:tcPr>
            <w:tcW w:w="1047" w:type="dxa"/>
            <w:tcBorders>
              <w:top w:val="single" w:color="auto" w:sz="4" w:space="0"/>
              <w:left w:val="single" w:color="auto" w:sz="4" w:space="0"/>
              <w:bottom w:val="single" w:color="auto" w:sz="4" w:space="0"/>
              <w:right w:val="single" w:color="auto" w:sz="4" w:space="0"/>
            </w:tcBorders>
            <w:vAlign w:val="center"/>
          </w:tcPr>
          <w:p w14:paraId="54A6713E">
            <w:pPr>
              <w:keepNext w:val="0"/>
              <w:keepLines w:val="0"/>
              <w:pageBreakBefore w:val="0"/>
              <w:shd w:val="clear"/>
              <w:kinsoku/>
              <w:wordWrap/>
              <w:overflowPunct/>
              <w:autoSpaceDN/>
              <w:bidi w:val="0"/>
              <w:adjustRightInd/>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42B3F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41D1202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15E094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羊粪便</w:t>
            </w:r>
          </w:p>
        </w:tc>
        <w:tc>
          <w:tcPr>
            <w:tcW w:w="1248" w:type="dxa"/>
            <w:tcBorders>
              <w:top w:val="single" w:color="auto" w:sz="4" w:space="0"/>
              <w:left w:val="single" w:color="auto" w:sz="4" w:space="0"/>
              <w:bottom w:val="single" w:color="auto" w:sz="4" w:space="0"/>
              <w:right w:val="single" w:color="auto" w:sz="4" w:space="0"/>
            </w:tcBorders>
            <w:vAlign w:val="center"/>
          </w:tcPr>
          <w:p w14:paraId="3BCFB5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16" w:type="dxa"/>
            <w:tcBorders>
              <w:top w:val="single" w:color="auto" w:sz="4" w:space="0"/>
              <w:left w:val="single" w:color="auto" w:sz="4" w:space="0"/>
              <w:bottom w:val="single" w:color="auto" w:sz="4" w:space="0"/>
              <w:right w:val="single" w:color="auto" w:sz="4" w:space="0"/>
            </w:tcBorders>
            <w:vAlign w:val="center"/>
          </w:tcPr>
          <w:p w14:paraId="4DDCA5B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收集经堆肥发酵后，用于还田利用；</w:t>
            </w:r>
          </w:p>
        </w:tc>
        <w:tc>
          <w:tcPr>
            <w:tcW w:w="2835" w:type="dxa"/>
            <w:tcBorders>
              <w:top w:val="single" w:color="auto" w:sz="4" w:space="0"/>
              <w:left w:val="single" w:color="auto" w:sz="4" w:space="0"/>
              <w:bottom w:val="single" w:color="auto" w:sz="4" w:space="0"/>
              <w:right w:val="single" w:color="auto" w:sz="4" w:space="0"/>
            </w:tcBorders>
            <w:vAlign w:val="center"/>
          </w:tcPr>
          <w:p w14:paraId="628B2C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资源化利用，满足《畜禽养殖业污染物排放标准》（GB18596-2001）</w:t>
            </w:r>
          </w:p>
        </w:tc>
        <w:tc>
          <w:tcPr>
            <w:tcW w:w="1047" w:type="dxa"/>
            <w:tcBorders>
              <w:top w:val="single" w:color="auto" w:sz="4" w:space="0"/>
              <w:left w:val="single" w:color="auto" w:sz="4" w:space="0"/>
              <w:bottom w:val="single" w:color="auto" w:sz="4" w:space="0"/>
              <w:right w:val="single" w:color="auto" w:sz="4" w:space="0"/>
            </w:tcBorders>
            <w:vAlign w:val="center"/>
          </w:tcPr>
          <w:p w14:paraId="7A837065">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r>
      <w:tr w14:paraId="4E1F2C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5D5076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231" w:type="dxa"/>
            <w:tcBorders>
              <w:top w:val="single" w:color="auto" w:sz="4" w:space="0"/>
              <w:left w:val="single" w:color="auto" w:sz="4" w:space="0"/>
              <w:bottom w:val="single" w:color="auto" w:sz="4" w:space="0"/>
              <w:right w:val="single" w:color="auto" w:sz="4" w:space="0"/>
            </w:tcBorders>
            <w:vAlign w:val="center"/>
          </w:tcPr>
          <w:p w14:paraId="76CC7D9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人员</w:t>
            </w:r>
          </w:p>
        </w:tc>
        <w:tc>
          <w:tcPr>
            <w:tcW w:w="1248" w:type="dxa"/>
            <w:tcBorders>
              <w:top w:val="single" w:color="auto" w:sz="4" w:space="0"/>
              <w:left w:val="single" w:color="auto" w:sz="4" w:space="0"/>
              <w:bottom w:val="single" w:color="auto" w:sz="4" w:space="0"/>
              <w:right w:val="single" w:color="auto" w:sz="4" w:space="0"/>
            </w:tcBorders>
            <w:vAlign w:val="center"/>
          </w:tcPr>
          <w:p w14:paraId="30DCB1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c>
          <w:tcPr>
            <w:tcW w:w="6716" w:type="dxa"/>
            <w:tcBorders>
              <w:top w:val="single" w:color="auto" w:sz="4" w:space="0"/>
              <w:left w:val="single" w:color="auto" w:sz="4" w:space="0"/>
              <w:bottom w:val="single" w:color="auto" w:sz="4" w:space="0"/>
              <w:right w:val="single" w:color="auto" w:sz="4" w:space="0"/>
            </w:tcBorders>
            <w:vAlign w:val="center"/>
          </w:tcPr>
          <w:p w14:paraId="50717B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场区设置垃圾桶分类收集，</w:t>
            </w:r>
            <w:r>
              <w:rPr>
                <w:rFonts w:hint="default" w:ascii="Times New Roman" w:hAnsi="Times New Roman" w:eastAsia="宋体" w:cs="Times New Roman"/>
                <w:color w:val="auto"/>
                <w:sz w:val="21"/>
                <w:szCs w:val="21"/>
                <w:highlight w:val="none"/>
                <w:lang w:bidi="zh-CN"/>
              </w:rPr>
              <w:t>清运到环卫部门指定的地点集中处理</w:t>
            </w:r>
          </w:p>
        </w:tc>
        <w:tc>
          <w:tcPr>
            <w:tcW w:w="2835" w:type="dxa"/>
            <w:tcBorders>
              <w:top w:val="single" w:color="auto" w:sz="4" w:space="0"/>
              <w:left w:val="single" w:color="auto" w:sz="4" w:space="0"/>
              <w:bottom w:val="single" w:color="auto" w:sz="4" w:space="0"/>
              <w:right w:val="single" w:color="auto" w:sz="4" w:space="0"/>
            </w:tcBorders>
            <w:vAlign w:val="center"/>
          </w:tcPr>
          <w:p w14:paraId="7B0CEC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47" w:type="dxa"/>
            <w:tcBorders>
              <w:top w:val="single" w:color="auto" w:sz="4" w:space="0"/>
              <w:left w:val="single" w:color="auto" w:sz="4" w:space="0"/>
              <w:bottom w:val="single" w:color="auto" w:sz="4" w:space="0"/>
              <w:right w:val="single" w:color="auto" w:sz="4" w:space="0"/>
            </w:tcBorders>
            <w:vAlign w:val="center"/>
          </w:tcPr>
          <w:p w14:paraId="0CF8F18A">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r>
      <w:tr w14:paraId="1E722F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69FE5E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231" w:type="dxa"/>
            <w:tcBorders>
              <w:top w:val="single" w:color="auto" w:sz="4" w:space="0"/>
              <w:left w:val="single" w:color="auto" w:sz="4" w:space="0"/>
              <w:bottom w:val="single" w:color="auto" w:sz="4" w:space="0"/>
              <w:right w:val="single" w:color="auto" w:sz="4" w:space="0"/>
            </w:tcBorders>
            <w:vAlign w:val="center"/>
          </w:tcPr>
          <w:p w14:paraId="7024CDF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风机和泵类</w:t>
            </w:r>
          </w:p>
        </w:tc>
        <w:tc>
          <w:tcPr>
            <w:tcW w:w="1248" w:type="dxa"/>
            <w:tcBorders>
              <w:top w:val="single" w:color="auto" w:sz="4" w:space="0"/>
              <w:left w:val="single" w:color="auto" w:sz="4" w:space="0"/>
              <w:bottom w:val="single" w:color="auto" w:sz="4" w:space="0"/>
              <w:right w:val="single" w:color="auto" w:sz="4" w:space="0"/>
            </w:tcBorders>
            <w:vAlign w:val="center"/>
          </w:tcPr>
          <w:p w14:paraId="4EAFAA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GB"/>
              </w:rPr>
              <w:t>噪声</w:t>
            </w:r>
          </w:p>
        </w:tc>
        <w:tc>
          <w:tcPr>
            <w:tcW w:w="6716" w:type="dxa"/>
            <w:tcBorders>
              <w:top w:val="single" w:color="auto" w:sz="4" w:space="0"/>
              <w:left w:val="single" w:color="auto" w:sz="4" w:space="0"/>
              <w:bottom w:val="single" w:color="auto" w:sz="4" w:space="0"/>
              <w:right w:val="single" w:color="auto" w:sz="4" w:space="0"/>
            </w:tcBorders>
            <w:vAlign w:val="center"/>
          </w:tcPr>
          <w:p w14:paraId="11C355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基础减振、全封闭</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rPr>
              <w:t>等措施</w:t>
            </w:r>
          </w:p>
        </w:tc>
        <w:tc>
          <w:tcPr>
            <w:tcW w:w="2835" w:type="dxa"/>
            <w:tcBorders>
              <w:top w:val="single" w:color="auto" w:sz="4" w:space="0"/>
              <w:left w:val="single" w:color="auto" w:sz="4" w:space="0"/>
              <w:bottom w:val="single" w:color="auto" w:sz="4" w:space="0"/>
              <w:right w:val="single" w:color="auto" w:sz="4" w:space="0"/>
            </w:tcBorders>
            <w:vAlign w:val="center"/>
          </w:tcPr>
          <w:p w14:paraId="2C01DE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1工业企业厂界环境噪声排放限值中</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类功能区排放限值</w:t>
            </w:r>
          </w:p>
        </w:tc>
        <w:tc>
          <w:tcPr>
            <w:tcW w:w="1047" w:type="dxa"/>
            <w:tcBorders>
              <w:top w:val="single" w:color="auto" w:sz="4" w:space="0"/>
              <w:left w:val="single" w:color="auto" w:sz="4" w:space="0"/>
              <w:bottom w:val="single" w:color="auto" w:sz="4" w:space="0"/>
              <w:right w:val="single" w:color="auto" w:sz="4" w:space="0"/>
            </w:tcBorders>
            <w:vAlign w:val="center"/>
          </w:tcPr>
          <w:p w14:paraId="4B1B32B7">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3CCFEC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63DFE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绿化</w:t>
            </w:r>
          </w:p>
        </w:tc>
        <w:tc>
          <w:tcPr>
            <w:tcW w:w="2479" w:type="dxa"/>
            <w:gridSpan w:val="2"/>
            <w:tcBorders>
              <w:top w:val="single" w:color="auto" w:sz="4" w:space="0"/>
              <w:left w:val="single" w:color="auto" w:sz="4" w:space="0"/>
              <w:bottom w:val="single" w:color="auto" w:sz="4" w:space="0"/>
              <w:right w:val="single" w:color="auto" w:sz="4" w:space="0"/>
            </w:tcBorders>
            <w:vAlign w:val="center"/>
          </w:tcPr>
          <w:p w14:paraId="511C61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绿化工程</w:t>
            </w:r>
          </w:p>
        </w:tc>
        <w:tc>
          <w:tcPr>
            <w:tcW w:w="6716" w:type="dxa"/>
            <w:tcBorders>
              <w:top w:val="single" w:color="auto" w:sz="4" w:space="0"/>
              <w:left w:val="single" w:color="auto" w:sz="4" w:space="0"/>
              <w:bottom w:val="single" w:color="auto" w:sz="4" w:space="0"/>
              <w:right w:val="single" w:color="auto" w:sz="4" w:space="0"/>
            </w:tcBorders>
            <w:vAlign w:val="center"/>
          </w:tcPr>
          <w:p w14:paraId="6BA362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在场区四周、建筑物及道路两侧要种植乔灌相间的常青树，尤其应对</w:t>
            </w:r>
            <w:r>
              <w:rPr>
                <w:rFonts w:hint="default" w:ascii="Times New Roman" w:hAnsi="Times New Roman" w:eastAsia="宋体" w:cs="Times New Roman"/>
                <w:color w:val="FF0000"/>
                <w:sz w:val="21"/>
                <w:szCs w:val="21"/>
                <w:highlight w:val="none"/>
                <w:lang w:eastAsia="zh-CN"/>
              </w:rPr>
              <w:t>羊</w:t>
            </w:r>
            <w:r>
              <w:rPr>
                <w:rFonts w:hint="default" w:ascii="Times New Roman" w:hAnsi="Times New Roman" w:eastAsia="宋体" w:cs="Times New Roman"/>
                <w:color w:val="auto"/>
                <w:sz w:val="21"/>
                <w:szCs w:val="21"/>
                <w:highlight w:val="none"/>
              </w:rPr>
              <w:t>场进行重点绿化，选择适宜的树种和草本植物，结合地区气候条件进行绿化美化工作环境，绿化面积为</w:t>
            </w:r>
            <w:r>
              <w:rPr>
                <w:rFonts w:hint="default" w:ascii="Times New Roman" w:hAnsi="Times New Roman" w:eastAsia="宋体" w:cs="Times New Roman"/>
                <w:color w:val="auto"/>
                <w:sz w:val="21"/>
                <w:szCs w:val="21"/>
                <w:highlight w:val="none"/>
                <w:lang w:eastAsia="zh-CN"/>
              </w:rPr>
              <w:t>1000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2835" w:type="dxa"/>
            <w:tcBorders>
              <w:top w:val="single" w:color="auto" w:sz="4" w:space="0"/>
              <w:left w:val="single" w:color="auto" w:sz="4" w:space="0"/>
              <w:bottom w:val="single" w:color="auto" w:sz="4" w:space="0"/>
              <w:right w:val="single" w:color="auto" w:sz="4" w:space="0"/>
            </w:tcBorders>
            <w:vAlign w:val="center"/>
          </w:tcPr>
          <w:p w14:paraId="2C22482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47" w:type="dxa"/>
            <w:tcBorders>
              <w:top w:val="single" w:color="auto" w:sz="4" w:space="0"/>
              <w:left w:val="single" w:color="auto" w:sz="4" w:space="0"/>
              <w:bottom w:val="single" w:color="auto" w:sz="4" w:space="0"/>
              <w:right w:val="single" w:color="auto" w:sz="4" w:space="0"/>
            </w:tcBorders>
            <w:vAlign w:val="center"/>
          </w:tcPr>
          <w:p w14:paraId="44ED3BFA">
            <w:pPr>
              <w:keepNext w:val="0"/>
              <w:keepLines w:val="0"/>
              <w:pageBreakBefore w:val="0"/>
              <w:widowControl/>
              <w:suppressLineNumbers w:val="0"/>
              <w:shd w:val="clear"/>
              <w:kinsoku/>
              <w:wordWrap/>
              <w:overflowPunct/>
              <w:autoSpaceDN/>
              <w:bidi w:val="0"/>
              <w:adjustRightInd/>
              <w:spacing w:line="240" w:lineRule="auto"/>
              <w:ind w:left="0" w:lef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17BBDB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24" w:type="dxa"/>
            <w:gridSpan w:val="4"/>
            <w:tcBorders>
              <w:top w:val="single" w:color="auto" w:sz="4" w:space="0"/>
              <w:left w:val="single" w:color="auto" w:sz="4" w:space="0"/>
              <w:bottom w:val="single" w:color="auto" w:sz="4" w:space="0"/>
              <w:right w:val="single" w:color="auto" w:sz="4" w:space="0"/>
            </w:tcBorders>
            <w:vAlign w:val="center"/>
          </w:tcPr>
          <w:p w14:paraId="0B3178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合计</w:t>
            </w:r>
          </w:p>
        </w:tc>
        <w:tc>
          <w:tcPr>
            <w:tcW w:w="2835" w:type="dxa"/>
            <w:tcBorders>
              <w:top w:val="single" w:color="auto" w:sz="4" w:space="0"/>
              <w:left w:val="single" w:color="auto" w:sz="4" w:space="0"/>
              <w:bottom w:val="single" w:color="auto" w:sz="4" w:space="0"/>
              <w:right w:val="single" w:color="auto" w:sz="4" w:space="0"/>
            </w:tcBorders>
            <w:vAlign w:val="center"/>
          </w:tcPr>
          <w:p w14:paraId="461A3B9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047" w:type="dxa"/>
            <w:tcBorders>
              <w:top w:val="single" w:color="auto" w:sz="4" w:space="0"/>
              <w:left w:val="single" w:color="auto" w:sz="4" w:space="0"/>
              <w:bottom w:val="single" w:color="auto" w:sz="4" w:space="0"/>
              <w:right w:val="single" w:color="auto" w:sz="4" w:space="0"/>
            </w:tcBorders>
            <w:vAlign w:val="center"/>
          </w:tcPr>
          <w:p w14:paraId="59BA24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68.5</w:t>
            </w:r>
          </w:p>
        </w:tc>
      </w:tr>
    </w:tbl>
    <w:p w14:paraId="6F7B06E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31CA61A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1EA05793">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6FB3F92B">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715" w:name="_Toc8940"/>
      <w:r>
        <w:rPr>
          <w:rFonts w:hint="default" w:ascii="Times New Roman" w:hAnsi="Times New Roman" w:eastAsia="宋体" w:cs="Times New Roman"/>
          <w:color w:val="auto"/>
          <w:highlight w:val="none"/>
        </w:rPr>
        <w:t>8环境影响经济损益分析</w:t>
      </w:r>
      <w:bookmarkEnd w:id="614"/>
      <w:bookmarkEnd w:id="715"/>
    </w:p>
    <w:p w14:paraId="25AFA85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14:paraId="202446C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14:paraId="3403A565">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16" w:name="_Toc27561"/>
      <w:bookmarkStart w:id="717" w:name="_Toc487188665"/>
      <w:bookmarkStart w:id="718" w:name="_Toc494206391"/>
      <w:bookmarkStart w:id="719" w:name="_Toc523322384"/>
      <w:r>
        <w:rPr>
          <w:rFonts w:hint="default" w:ascii="Times New Roman" w:hAnsi="Times New Roman" w:eastAsia="宋体" w:cs="Times New Roman"/>
          <w:color w:val="auto"/>
          <w:highlight w:val="none"/>
        </w:rPr>
        <w:t>8.1经济效益分析</w:t>
      </w:r>
      <w:bookmarkEnd w:id="716"/>
      <w:bookmarkEnd w:id="717"/>
      <w:bookmarkEnd w:id="718"/>
      <w:bookmarkEnd w:id="719"/>
    </w:p>
    <w:p w14:paraId="24C9D83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项目总投资</w:t>
      </w:r>
      <w:r>
        <w:rPr>
          <w:rFonts w:hint="default" w:ascii="Times New Roman" w:hAnsi="Times New Roman" w:eastAsia="宋体" w:cs="Times New Roman"/>
          <w:color w:val="auto"/>
          <w:highlight w:val="none"/>
          <w:lang w:val="en-US" w:eastAsia="zh-CN"/>
        </w:rPr>
        <w:t>450万元</w:t>
      </w:r>
      <w:r>
        <w:rPr>
          <w:rFonts w:hint="default" w:ascii="Times New Roman" w:hAnsi="Times New Roman" w:eastAsia="宋体" w:cs="Times New Roman"/>
          <w:color w:val="auto"/>
          <w:highlight w:val="none"/>
        </w:rPr>
        <w:t>，资金来源企业自筹。项目的投产运营，经济效益主要通过产品销售获得。根据项目可研，项目年运行成本及利润估算见表8.1-1。</w:t>
      </w:r>
    </w:p>
    <w:p w14:paraId="4F1068AF">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表8.1-1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运行成本及利润估算表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68"/>
        <w:gridCol w:w="5149"/>
        <w:gridCol w:w="2260"/>
      </w:tblGrid>
      <w:tr w14:paraId="689093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930" w:type="dxa"/>
            <w:tcBorders>
              <w:top w:val="single" w:color="auto" w:sz="4" w:space="0"/>
              <w:left w:val="single" w:color="auto" w:sz="4" w:space="0"/>
              <w:bottom w:val="single" w:color="auto" w:sz="4" w:space="0"/>
              <w:right w:val="single" w:color="auto" w:sz="4" w:space="0"/>
            </w:tcBorders>
            <w:vAlign w:val="center"/>
          </w:tcPr>
          <w:p w14:paraId="550D80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序号</w:t>
            </w:r>
          </w:p>
        </w:tc>
        <w:tc>
          <w:tcPr>
            <w:tcW w:w="5619" w:type="dxa"/>
            <w:tcBorders>
              <w:top w:val="single" w:color="auto" w:sz="4" w:space="0"/>
              <w:left w:val="single" w:color="auto" w:sz="4" w:space="0"/>
              <w:bottom w:val="single" w:color="auto" w:sz="4" w:space="0"/>
              <w:right w:val="single" w:color="auto" w:sz="4" w:space="0"/>
            </w:tcBorders>
            <w:vAlign w:val="center"/>
          </w:tcPr>
          <w:p w14:paraId="06346F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项目</w:t>
            </w:r>
          </w:p>
        </w:tc>
        <w:tc>
          <w:tcPr>
            <w:tcW w:w="2454" w:type="dxa"/>
            <w:tcBorders>
              <w:top w:val="single" w:color="auto" w:sz="4" w:space="0"/>
              <w:left w:val="single" w:color="auto" w:sz="4" w:space="0"/>
              <w:bottom w:val="single" w:color="auto" w:sz="4" w:space="0"/>
              <w:right w:val="single" w:color="auto" w:sz="4" w:space="0"/>
            </w:tcBorders>
            <w:vAlign w:val="center"/>
          </w:tcPr>
          <w:p w14:paraId="4CAA04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单位（万元/年）</w:t>
            </w:r>
          </w:p>
        </w:tc>
      </w:tr>
      <w:tr w14:paraId="50A654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0501D58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c>
          <w:tcPr>
            <w:tcW w:w="5619" w:type="dxa"/>
            <w:tcBorders>
              <w:top w:val="single" w:color="auto" w:sz="4" w:space="0"/>
              <w:left w:val="single" w:color="auto" w:sz="4" w:space="0"/>
              <w:bottom w:val="single" w:color="auto" w:sz="4" w:space="0"/>
              <w:right w:val="single" w:color="auto" w:sz="4" w:space="0"/>
            </w:tcBorders>
            <w:vAlign w:val="center"/>
          </w:tcPr>
          <w:p w14:paraId="468DC8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总投资</w:t>
            </w:r>
          </w:p>
        </w:tc>
        <w:tc>
          <w:tcPr>
            <w:tcW w:w="2454" w:type="dxa"/>
            <w:tcBorders>
              <w:top w:val="single" w:color="auto" w:sz="4" w:space="0"/>
              <w:left w:val="single" w:color="auto" w:sz="4" w:space="0"/>
              <w:bottom w:val="single" w:color="auto" w:sz="4" w:space="0"/>
              <w:right w:val="single" w:color="auto" w:sz="4" w:space="0"/>
            </w:tcBorders>
            <w:vAlign w:val="center"/>
          </w:tcPr>
          <w:p w14:paraId="3AEC645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450</w:t>
            </w:r>
          </w:p>
        </w:tc>
      </w:tr>
      <w:tr w14:paraId="59934D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11649A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2</w:t>
            </w:r>
          </w:p>
        </w:tc>
        <w:tc>
          <w:tcPr>
            <w:tcW w:w="5619" w:type="dxa"/>
            <w:tcBorders>
              <w:top w:val="single" w:color="auto" w:sz="4" w:space="0"/>
              <w:left w:val="single" w:color="auto" w:sz="4" w:space="0"/>
              <w:bottom w:val="single" w:color="auto" w:sz="4" w:space="0"/>
              <w:right w:val="single" w:color="auto" w:sz="4" w:space="0"/>
            </w:tcBorders>
            <w:vAlign w:val="center"/>
          </w:tcPr>
          <w:p w14:paraId="7D5DD86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总成本费用</w:t>
            </w:r>
          </w:p>
        </w:tc>
        <w:tc>
          <w:tcPr>
            <w:tcW w:w="2454" w:type="dxa"/>
            <w:tcBorders>
              <w:top w:val="single" w:color="auto" w:sz="4" w:space="0"/>
              <w:left w:val="single" w:color="auto" w:sz="4" w:space="0"/>
              <w:bottom w:val="single" w:color="auto" w:sz="4" w:space="0"/>
              <w:right w:val="single" w:color="auto" w:sz="4" w:space="0"/>
            </w:tcBorders>
            <w:vAlign w:val="center"/>
          </w:tcPr>
          <w:p w14:paraId="7D4E40D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2646</w:t>
            </w:r>
          </w:p>
        </w:tc>
      </w:tr>
      <w:tr w14:paraId="7895ED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7A54B87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3</w:t>
            </w:r>
          </w:p>
        </w:tc>
        <w:tc>
          <w:tcPr>
            <w:tcW w:w="5619" w:type="dxa"/>
            <w:tcBorders>
              <w:top w:val="single" w:color="auto" w:sz="4" w:space="0"/>
              <w:left w:val="single" w:color="auto" w:sz="4" w:space="0"/>
              <w:bottom w:val="single" w:color="auto" w:sz="4" w:space="0"/>
              <w:right w:val="single" w:color="auto" w:sz="4" w:space="0"/>
            </w:tcBorders>
            <w:vAlign w:val="center"/>
          </w:tcPr>
          <w:p w14:paraId="2B0F2D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年销售收入</w:t>
            </w:r>
          </w:p>
        </w:tc>
        <w:tc>
          <w:tcPr>
            <w:tcW w:w="2454" w:type="dxa"/>
            <w:tcBorders>
              <w:top w:val="single" w:color="auto" w:sz="4" w:space="0"/>
              <w:left w:val="single" w:color="auto" w:sz="4" w:space="0"/>
              <w:bottom w:val="single" w:color="auto" w:sz="4" w:space="0"/>
              <w:right w:val="single" w:color="auto" w:sz="4" w:space="0"/>
            </w:tcBorders>
            <w:vAlign w:val="center"/>
          </w:tcPr>
          <w:p w14:paraId="1D9EB4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3891.1</w:t>
            </w:r>
          </w:p>
        </w:tc>
      </w:tr>
      <w:tr w14:paraId="33A037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01739B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4</w:t>
            </w:r>
          </w:p>
        </w:tc>
        <w:tc>
          <w:tcPr>
            <w:tcW w:w="5619" w:type="dxa"/>
            <w:tcBorders>
              <w:top w:val="single" w:color="auto" w:sz="4" w:space="0"/>
              <w:left w:val="single" w:color="auto" w:sz="4" w:space="0"/>
              <w:bottom w:val="single" w:color="auto" w:sz="4" w:space="0"/>
              <w:right w:val="single" w:color="auto" w:sz="4" w:space="0"/>
            </w:tcBorders>
            <w:vAlign w:val="center"/>
          </w:tcPr>
          <w:p w14:paraId="2BAA89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年均利润总额</w:t>
            </w:r>
          </w:p>
        </w:tc>
        <w:tc>
          <w:tcPr>
            <w:tcW w:w="2454" w:type="dxa"/>
            <w:tcBorders>
              <w:top w:val="single" w:color="auto" w:sz="4" w:space="0"/>
              <w:left w:val="single" w:color="auto" w:sz="4" w:space="0"/>
              <w:bottom w:val="single" w:color="auto" w:sz="4" w:space="0"/>
              <w:right w:val="single" w:color="auto" w:sz="4" w:space="0"/>
            </w:tcBorders>
            <w:vAlign w:val="center"/>
          </w:tcPr>
          <w:p w14:paraId="54018E9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1884.5</w:t>
            </w:r>
          </w:p>
        </w:tc>
      </w:tr>
    </w:tbl>
    <w:p w14:paraId="351BD2B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从表8.1-1可见，本项目财务生存能力良好，工程财务指标较好，具有较强的清偿能力和抗风险能力，因而从经济方面考虑本项目可行。</w:t>
      </w:r>
    </w:p>
    <w:p w14:paraId="7D54A944">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20" w:name="_Toc487188666"/>
      <w:bookmarkStart w:id="721" w:name="_Toc494206392"/>
      <w:bookmarkStart w:id="722" w:name="_Toc523322385"/>
      <w:bookmarkStart w:id="723" w:name="_Toc10375"/>
      <w:r>
        <w:rPr>
          <w:rFonts w:hint="default" w:ascii="Times New Roman" w:hAnsi="Times New Roman" w:eastAsia="宋体" w:cs="Times New Roman"/>
          <w:color w:val="auto"/>
          <w:highlight w:val="none"/>
        </w:rPr>
        <w:t>8.2社会效益分析</w:t>
      </w:r>
      <w:bookmarkEnd w:id="720"/>
      <w:bookmarkEnd w:id="721"/>
      <w:bookmarkEnd w:id="722"/>
      <w:bookmarkEnd w:id="723"/>
    </w:p>
    <w:p w14:paraId="368E331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本项目建成投产后，不仅可以增加国家和地方财税收入，同时可以增加新的就业岗位，带动相关产业的发展，增加间接的就业机会，对促进区域经济和社会发展具有重要意义。</w:t>
      </w:r>
    </w:p>
    <w:p w14:paraId="0C88CE2E">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24" w:name="_Toc487188667"/>
      <w:bookmarkStart w:id="725" w:name="_Toc494206393"/>
      <w:bookmarkStart w:id="726" w:name="_Toc523322386"/>
      <w:bookmarkStart w:id="727" w:name="_Toc28633"/>
      <w:r>
        <w:rPr>
          <w:rFonts w:hint="default" w:ascii="Times New Roman" w:hAnsi="Times New Roman" w:eastAsia="宋体" w:cs="Times New Roman"/>
          <w:color w:val="auto"/>
          <w:highlight w:val="none"/>
        </w:rPr>
        <w:t>8.3环境效益分析</w:t>
      </w:r>
      <w:bookmarkEnd w:id="724"/>
      <w:bookmarkEnd w:id="725"/>
      <w:bookmarkEnd w:id="726"/>
      <w:bookmarkEnd w:id="727"/>
    </w:p>
    <w:p w14:paraId="3B527B1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28" w:name="_Toc523322387"/>
      <w:bookmarkStart w:id="729" w:name="_Toc494206394"/>
      <w:bookmarkStart w:id="730" w:name="_Toc487188668"/>
      <w:bookmarkStart w:id="731" w:name="_Toc5777"/>
      <w:r>
        <w:rPr>
          <w:rFonts w:hint="default" w:ascii="Times New Roman" w:hAnsi="Times New Roman" w:eastAsia="宋体" w:cs="Times New Roman"/>
          <w:color w:val="auto"/>
          <w:highlight w:val="none"/>
        </w:rPr>
        <w:t>8.3.1环保投资费用</w:t>
      </w:r>
      <w:bookmarkEnd w:id="728"/>
      <w:bookmarkEnd w:id="729"/>
      <w:bookmarkEnd w:id="730"/>
      <w:bookmarkEnd w:id="731"/>
    </w:p>
    <w:p w14:paraId="284E1DC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环保投资主要包括废气处理工程、地下水防治工程、噪声处理工程</w:t>
      </w:r>
      <w:r>
        <w:rPr>
          <w:rFonts w:hint="default" w:ascii="Times New Roman" w:hAnsi="Times New Roman" w:eastAsia="宋体" w:cs="Times New Roman"/>
          <w:color w:val="auto"/>
          <w:highlight w:val="none"/>
          <w:lang w:eastAsia="zh-CN"/>
        </w:rPr>
        <w:t>和其他</w:t>
      </w:r>
      <w:r>
        <w:rPr>
          <w:rFonts w:hint="default" w:ascii="Times New Roman" w:hAnsi="Times New Roman" w:eastAsia="宋体" w:cs="Times New Roman"/>
          <w:color w:val="auto"/>
          <w:highlight w:val="none"/>
        </w:rPr>
        <w:t>不可预见费用等。本工程总投资</w:t>
      </w:r>
      <w:r>
        <w:rPr>
          <w:rFonts w:hint="default" w:ascii="Times New Roman" w:hAnsi="Times New Roman" w:eastAsia="宋体" w:cs="Times New Roman"/>
          <w:color w:val="auto"/>
          <w:highlight w:val="none"/>
          <w:lang w:val="en-US" w:eastAsia="zh-CN"/>
        </w:rPr>
        <w:t>450万元</w:t>
      </w:r>
      <w:r>
        <w:rPr>
          <w:rFonts w:hint="default" w:ascii="Times New Roman" w:hAnsi="Times New Roman" w:eastAsia="宋体" w:cs="Times New Roman"/>
          <w:color w:val="auto"/>
          <w:highlight w:val="none"/>
        </w:rPr>
        <w:t>，其中环保投资</w:t>
      </w:r>
      <w:r>
        <w:rPr>
          <w:rFonts w:hint="default" w:ascii="Times New Roman" w:hAnsi="Times New Roman" w:eastAsia="宋体" w:cs="Times New Roman"/>
          <w:color w:val="auto"/>
          <w:highlight w:val="none"/>
          <w:lang w:eastAsia="zh-CN"/>
        </w:rPr>
        <w:t>68.5</w:t>
      </w:r>
      <w:r>
        <w:rPr>
          <w:rFonts w:hint="default" w:ascii="Times New Roman" w:hAnsi="Times New Roman" w:eastAsia="宋体" w:cs="Times New Roman"/>
          <w:color w:val="auto"/>
          <w:highlight w:val="none"/>
        </w:rPr>
        <w:t>万元，占总投资比例为</w:t>
      </w:r>
      <w:r>
        <w:rPr>
          <w:rFonts w:hint="default" w:ascii="Times New Roman" w:hAnsi="Times New Roman" w:eastAsia="宋体" w:cs="Times New Roman"/>
          <w:color w:val="auto"/>
          <w:highlight w:val="none"/>
          <w:lang w:val="en-US" w:eastAsia="zh-CN"/>
        </w:rPr>
        <w:t>1.83</w:t>
      </w:r>
      <w:r>
        <w:rPr>
          <w:rFonts w:hint="default" w:ascii="Times New Roman" w:hAnsi="Times New Roman" w:eastAsia="宋体" w:cs="Times New Roman"/>
          <w:color w:val="auto"/>
          <w:highlight w:val="none"/>
        </w:rPr>
        <w:t>%，投资分配情况见下表。</w:t>
      </w:r>
    </w:p>
    <w:p w14:paraId="342E4E5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32" w:name="_Toc523322388"/>
      <w:bookmarkStart w:id="733" w:name="_Toc494206395"/>
      <w:bookmarkStart w:id="734" w:name="_Toc487188669"/>
      <w:bookmarkStart w:id="735" w:name="_Toc2316"/>
      <w:r>
        <w:rPr>
          <w:rFonts w:hint="default" w:ascii="Times New Roman" w:hAnsi="Times New Roman" w:eastAsia="宋体" w:cs="Times New Roman"/>
          <w:color w:val="auto"/>
          <w:highlight w:val="none"/>
        </w:rPr>
        <w:t>8.3.2环保设施运行费用</w:t>
      </w:r>
      <w:bookmarkEnd w:id="732"/>
      <w:bookmarkEnd w:id="733"/>
      <w:bookmarkEnd w:id="734"/>
      <w:bookmarkEnd w:id="735"/>
    </w:p>
    <w:p w14:paraId="1E2A9A9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（1）设备运行费用</w:t>
      </w:r>
    </w:p>
    <w:p w14:paraId="745B941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1 \* GB3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环保设施折旧费C1</w:t>
      </w:r>
    </w:p>
    <w:p w14:paraId="3F62072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本项目环保设施投资折旧费由下式计算：</w:t>
      </w:r>
    </w:p>
    <w:p w14:paraId="7C513979">
      <w:pPr>
        <w:pageBreakBefore w:val="0"/>
        <w:shd w:val="clear"/>
        <w:kinsoku/>
        <w:wordWrap/>
        <w:bidi w:val="0"/>
        <w:snapToGrid w:val="0"/>
        <w:spacing w:line="360" w:lineRule="auto"/>
        <w:ind w:left="0" w:leftChars="0" w:right="0" w:rightChars="0"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C1=a×C0/n</w:t>
      </w:r>
    </w:p>
    <w:p w14:paraId="0824C45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3F7449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a——固定资产形成率，取环保投资的85%；</w:t>
      </w:r>
    </w:p>
    <w:p w14:paraId="2492FAB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C0——环保总投资（万元）</w:t>
      </w:r>
    </w:p>
    <w:p w14:paraId="06CD4DB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n——折旧年限，取10年</w:t>
      </w:r>
    </w:p>
    <w:p w14:paraId="56AA2DB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环保设施投资折旧费计算结果为</w:t>
      </w:r>
      <w:r>
        <w:rPr>
          <w:rFonts w:hint="default" w:ascii="Times New Roman" w:hAnsi="Times New Roman" w:eastAsia="宋体" w:cs="Times New Roman"/>
          <w:color w:val="auto"/>
          <w:highlight w:val="none"/>
          <w:lang w:val="en-US" w:eastAsia="zh-CN"/>
        </w:rPr>
        <w:t>16.4</w:t>
      </w:r>
      <w:r>
        <w:rPr>
          <w:rFonts w:hint="default" w:ascii="Times New Roman" w:hAnsi="Times New Roman" w:eastAsia="宋体" w:cs="Times New Roman"/>
          <w:color w:val="auto"/>
          <w:highlight w:val="none"/>
        </w:rPr>
        <w:t>万元/年。</w:t>
      </w:r>
    </w:p>
    <w:p w14:paraId="6EA3B50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2 \* GB3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环保设施运行费用C2</w:t>
      </w:r>
    </w:p>
    <w:p w14:paraId="01165BC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参照国内外企业环保设施运行费的相关资料，环保设施的年运行得用可按环保投资的5%计算。</w:t>
      </w:r>
    </w:p>
    <w:p w14:paraId="6D17CC8E">
      <w:pPr>
        <w:pageBreakBefore w:val="0"/>
        <w:shd w:val="clear"/>
        <w:kinsoku/>
        <w:wordWrap/>
        <w:bidi w:val="0"/>
        <w:snapToGrid w:val="0"/>
        <w:spacing w:line="360" w:lineRule="auto"/>
        <w:ind w:left="0" w:leftChars="0" w:right="0" w:rightChars="0"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C2=C0×5%=</w:t>
      </w:r>
      <w:r>
        <w:rPr>
          <w:rFonts w:hint="default" w:ascii="Times New Roman" w:hAnsi="Times New Roman" w:eastAsia="宋体" w:cs="Times New Roman"/>
          <w:color w:val="auto"/>
          <w:highlight w:val="none"/>
          <w:lang w:val="en-US" w:eastAsia="zh-CN"/>
        </w:rPr>
        <w:t>9.7</w:t>
      </w:r>
      <w:r>
        <w:rPr>
          <w:rFonts w:hint="default" w:ascii="Times New Roman" w:hAnsi="Times New Roman" w:eastAsia="宋体" w:cs="Times New Roman"/>
          <w:color w:val="auto"/>
          <w:highlight w:val="none"/>
        </w:rPr>
        <w:t>（万元/年）</w:t>
      </w:r>
    </w:p>
    <w:p w14:paraId="2F67C30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3 \* GB3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③</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环保管理费用C3</w:t>
      </w:r>
    </w:p>
    <w:p w14:paraId="7DC1C75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环保管理费用包括管理部门的办公费、检测费、技术咨询、学术交流和科研等费用，按环保投资的1.0%计算。</w:t>
      </w:r>
    </w:p>
    <w:p w14:paraId="07391EDB">
      <w:pPr>
        <w:pageBreakBefore w:val="0"/>
        <w:shd w:val="clear"/>
        <w:kinsoku/>
        <w:wordWrap/>
        <w:bidi w:val="0"/>
        <w:snapToGrid w:val="0"/>
        <w:spacing w:line="360" w:lineRule="auto"/>
        <w:ind w:left="0" w:leftChars="0" w:right="0" w:rightChars="0"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C3=C0×1.0%=</w:t>
      </w:r>
      <w:r>
        <w:rPr>
          <w:rFonts w:hint="default" w:ascii="Times New Roman" w:hAnsi="Times New Roman" w:eastAsia="宋体" w:cs="Times New Roman"/>
          <w:color w:val="auto"/>
          <w:highlight w:val="none"/>
          <w:lang w:val="en-US" w:eastAsia="zh-CN"/>
        </w:rPr>
        <w:t>1.9</w:t>
      </w:r>
      <w:r>
        <w:rPr>
          <w:rFonts w:hint="default" w:ascii="Times New Roman" w:hAnsi="Times New Roman" w:eastAsia="宋体" w:cs="Times New Roman"/>
          <w:color w:val="auto"/>
          <w:highlight w:val="none"/>
        </w:rPr>
        <w:t>（万元/年）</w:t>
      </w:r>
    </w:p>
    <w:p w14:paraId="1C6421E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4 \* GB3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④</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环保设施经营支出C</w:t>
      </w:r>
    </w:p>
    <w:p w14:paraId="2D2ABF5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环保设施经营支出费用为折旧费、运行费和管理费之和，即：</w:t>
      </w:r>
    </w:p>
    <w:p w14:paraId="0471A8C7">
      <w:pPr>
        <w:pageBreakBefore w:val="0"/>
        <w:shd w:val="clear"/>
        <w:kinsoku/>
        <w:wordWrap/>
        <w:bidi w:val="0"/>
        <w:snapToGrid w:val="0"/>
        <w:spacing w:line="360" w:lineRule="auto"/>
        <w:ind w:left="0" w:leftChars="0" w:right="0" w:rightChars="0"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C=C1+C2+C3=</w:t>
      </w:r>
      <w:r>
        <w:rPr>
          <w:rFonts w:hint="default" w:ascii="Times New Roman" w:hAnsi="Times New Roman" w:eastAsia="宋体" w:cs="Times New Roman"/>
          <w:color w:val="auto"/>
          <w:highlight w:val="none"/>
          <w:lang w:val="en-US" w:eastAsia="zh-CN"/>
        </w:rPr>
        <w:t>28</w:t>
      </w:r>
      <w:r>
        <w:rPr>
          <w:rFonts w:hint="default" w:ascii="Times New Roman" w:hAnsi="Times New Roman" w:eastAsia="宋体" w:cs="Times New Roman"/>
          <w:color w:val="auto"/>
          <w:highlight w:val="none"/>
        </w:rPr>
        <w:t>（万元/年）</w:t>
      </w:r>
    </w:p>
    <w:p w14:paraId="63B8ADA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项目完成后，环保投资</w:t>
      </w:r>
      <w:r>
        <w:rPr>
          <w:rFonts w:hint="default" w:ascii="Times New Roman" w:hAnsi="Times New Roman" w:eastAsia="宋体" w:cs="Times New Roman"/>
          <w:color w:val="auto"/>
          <w:highlight w:val="none"/>
          <w:lang w:eastAsia="zh-CN"/>
        </w:rPr>
        <w:t>68.5</w:t>
      </w:r>
      <w:r>
        <w:rPr>
          <w:rFonts w:hint="default" w:ascii="Times New Roman" w:hAnsi="Times New Roman" w:eastAsia="宋体" w:cs="Times New Roman"/>
          <w:color w:val="auto"/>
          <w:highlight w:val="none"/>
        </w:rPr>
        <w:t>万元，各项治理措施的运行每年还需投入经营费用（即负效益）</w:t>
      </w:r>
      <w:r>
        <w:rPr>
          <w:rFonts w:hint="default" w:ascii="Times New Roman" w:hAnsi="Times New Roman" w:eastAsia="宋体" w:cs="Times New Roman"/>
          <w:color w:val="auto"/>
          <w:highlight w:val="none"/>
          <w:lang w:val="en-US" w:eastAsia="zh-CN"/>
        </w:rPr>
        <w:t>28</w:t>
      </w:r>
      <w:r>
        <w:rPr>
          <w:rFonts w:hint="default" w:ascii="Times New Roman" w:hAnsi="Times New Roman" w:eastAsia="宋体" w:cs="Times New Roman"/>
          <w:color w:val="auto"/>
          <w:highlight w:val="none"/>
        </w:rPr>
        <w:t>万元。</w:t>
      </w:r>
    </w:p>
    <w:p w14:paraId="666FBCA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36" w:name="_Toc10149"/>
      <w:bookmarkStart w:id="737" w:name="_Toc523322389"/>
      <w:r>
        <w:rPr>
          <w:rFonts w:hint="default" w:ascii="Times New Roman" w:hAnsi="Times New Roman" w:eastAsia="宋体" w:cs="Times New Roman"/>
          <w:color w:val="auto"/>
          <w:highlight w:val="none"/>
        </w:rPr>
        <w:t>8.3.3环保效益估算</w:t>
      </w:r>
      <w:bookmarkEnd w:id="736"/>
      <w:bookmarkEnd w:id="737"/>
    </w:p>
    <w:p w14:paraId="6A25F97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环保效益即环保设施的环境经济效益，包括直接经济效益和间接经济效益。</w:t>
      </w:r>
    </w:p>
    <w:p w14:paraId="7DAA5764">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738" w:name="_Toc19545"/>
      <w:bookmarkStart w:id="739" w:name="_Toc11244"/>
      <w:bookmarkStart w:id="740" w:name="_Toc27537"/>
      <w:bookmarkStart w:id="741" w:name="_Toc3133"/>
      <w:r>
        <w:rPr>
          <w:rFonts w:hint="default" w:ascii="Times New Roman" w:hAnsi="Times New Roman" w:eastAsia="宋体" w:cs="Times New Roman"/>
          <w:color w:val="auto"/>
          <w:highlight w:val="none"/>
        </w:rPr>
        <w:t>（1）直接经济效益</w:t>
      </w:r>
      <w:bookmarkEnd w:id="738"/>
      <w:bookmarkEnd w:id="739"/>
      <w:bookmarkEnd w:id="740"/>
      <w:bookmarkEnd w:id="741"/>
    </w:p>
    <w:p w14:paraId="029AD89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直接经济效益是指实施污染治理措施后，循环利用及回收资源所产生的经济效益。对拟建项目而言，生产过程中的废水进行了循环利用，既节约能源，又减少了污染物的排放。类比同类项目，资源能源循环利用后产生的直接经济效益约为2</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0万元。</w:t>
      </w:r>
    </w:p>
    <w:p w14:paraId="66B9A6A3">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742" w:name="_Toc30807"/>
      <w:bookmarkStart w:id="743" w:name="_Toc5247"/>
      <w:bookmarkStart w:id="744" w:name="_Toc1098"/>
      <w:bookmarkStart w:id="745" w:name="_Toc16612"/>
      <w:r>
        <w:rPr>
          <w:rFonts w:hint="default" w:ascii="Times New Roman" w:hAnsi="Times New Roman" w:eastAsia="宋体" w:cs="Times New Roman"/>
          <w:color w:val="auto"/>
          <w:highlight w:val="none"/>
        </w:rPr>
        <w:t>（2）间接经济效益</w:t>
      </w:r>
      <w:bookmarkEnd w:id="742"/>
      <w:bookmarkEnd w:id="743"/>
      <w:bookmarkEnd w:id="744"/>
      <w:bookmarkEnd w:id="745"/>
    </w:p>
    <w:p w14:paraId="14AE85A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间接经济效益主要指环保设施带来的社会效益，包括环境污染损失的减少，人体健康的保护费用的减少，控制污染物达标排放免交或少交排污费、罚款和赔偿费等。</w:t>
      </w:r>
    </w:p>
    <w:p w14:paraId="3E35D07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就本项目而言，可量化的间接经济效益表现为因污染治理达标而</w:t>
      </w:r>
      <w:r>
        <w:rPr>
          <w:rFonts w:hint="default" w:ascii="Times New Roman" w:hAnsi="Times New Roman" w:eastAsia="宋体" w:cs="Times New Roman"/>
          <w:color w:val="auto"/>
          <w:highlight w:val="none"/>
          <w:lang w:eastAsia="zh-CN"/>
        </w:rPr>
        <w:t>免缴</w:t>
      </w:r>
      <w:r>
        <w:rPr>
          <w:rFonts w:hint="default" w:ascii="Times New Roman" w:hAnsi="Times New Roman" w:eastAsia="宋体" w:cs="Times New Roman"/>
          <w:color w:val="auto"/>
          <w:highlight w:val="none"/>
        </w:rPr>
        <w:t>的排污费。根据排污费收取办法，本项目污染物治理全部达标排放后，预计达标排放的废气每年可</w:t>
      </w:r>
      <w:r>
        <w:rPr>
          <w:rFonts w:hint="default" w:ascii="Times New Roman" w:hAnsi="Times New Roman" w:eastAsia="宋体" w:cs="Times New Roman"/>
          <w:color w:val="auto"/>
          <w:highlight w:val="none"/>
          <w:lang w:eastAsia="zh-CN"/>
        </w:rPr>
        <w:t>免缴</w:t>
      </w:r>
      <w:r>
        <w:rPr>
          <w:rFonts w:hint="default" w:ascii="Times New Roman" w:hAnsi="Times New Roman" w:eastAsia="宋体" w:cs="Times New Roman"/>
          <w:color w:val="auto"/>
          <w:highlight w:val="none"/>
        </w:rPr>
        <w:t>排污费约15万元。因此，拟建项目可挽回的经济损失共计约2</w:t>
      </w:r>
      <w:r>
        <w:rPr>
          <w:rFonts w:hint="default"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5万元/年。</w:t>
      </w:r>
    </w:p>
    <w:p w14:paraId="5A1F51C3">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46" w:name="_Toc523322390"/>
      <w:bookmarkStart w:id="747" w:name="_Toc23297"/>
      <w:bookmarkStart w:id="748" w:name="_Toc471227877"/>
      <w:r>
        <w:rPr>
          <w:rFonts w:hint="default" w:ascii="Times New Roman" w:hAnsi="Times New Roman" w:eastAsia="宋体" w:cs="Times New Roman"/>
          <w:color w:val="auto"/>
          <w:highlight w:val="none"/>
        </w:rPr>
        <w:t>8.3.4经济效益分析</w:t>
      </w:r>
      <w:bookmarkEnd w:id="746"/>
      <w:bookmarkEnd w:id="747"/>
      <w:bookmarkEnd w:id="748"/>
    </w:p>
    <w:p w14:paraId="0A82D8C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749" w:name="_Toc487188670"/>
      <w:bookmarkStart w:id="750" w:name="_Toc494206396"/>
      <w:r>
        <w:rPr>
          <w:rFonts w:hint="default" w:ascii="Times New Roman" w:hAnsi="Times New Roman" w:eastAsia="宋体" w:cs="Times New Roman"/>
          <w:color w:val="auto"/>
          <w:highlight w:val="none"/>
        </w:rPr>
        <w:t>经济损益（Zj）值的计算采用因采取有效的环保措施而挽回的经济损失（产生的效益）与年环保费用之比的方法来确定，即：</w:t>
      </w:r>
    </w:p>
    <w:p w14:paraId="748ACF54">
      <w:pPr>
        <w:pageBreakBefore w:val="0"/>
        <w:shd w:val="clear"/>
        <w:kinsoku/>
        <w:wordWrap/>
        <w:bidi w:val="0"/>
        <w:snapToGrid w:val="0"/>
        <w:spacing w:line="360" w:lineRule="auto"/>
        <w:ind w:left="0" w:leftChars="0"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0" distR="0">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14:paraId="63E85A0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09AE840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Sij——由于防止（或减少）损失而挽回的经济价值；</w:t>
      </w:r>
    </w:p>
    <w:p w14:paraId="7E3B46B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Hi——年环保费用。</w:t>
      </w:r>
    </w:p>
    <w:p w14:paraId="4034347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highlight w:val="none"/>
        </w:rPr>
        <w:t>根据以上分析，计算出拟建项目的经济损益值为2.79，大于1，表明拟建项目投入的环</w:t>
      </w:r>
      <w:r>
        <w:rPr>
          <w:rFonts w:hint="default" w:ascii="Times New Roman" w:hAnsi="Times New Roman" w:eastAsia="宋体" w:cs="Times New Roman"/>
          <w:color w:val="auto"/>
          <w:highlight w:val="none"/>
          <w:lang w:eastAsia="zh-CN"/>
        </w:rPr>
        <w:t>境</w:t>
      </w:r>
      <w:r>
        <w:rPr>
          <w:rFonts w:hint="default" w:ascii="Times New Roman" w:hAnsi="Times New Roman" w:eastAsia="宋体" w:cs="Times New Roman"/>
          <w:color w:val="auto"/>
          <w:highlight w:val="none"/>
        </w:rPr>
        <w:t>治理经济效益较理想。</w:t>
      </w:r>
    </w:p>
    <w:p w14:paraId="1039B6B9">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51" w:name="_Toc8239"/>
      <w:bookmarkStart w:id="752" w:name="_Toc523322391"/>
      <w:r>
        <w:rPr>
          <w:rFonts w:hint="default" w:ascii="Times New Roman" w:hAnsi="Times New Roman" w:eastAsia="宋体" w:cs="Times New Roman"/>
          <w:color w:val="auto"/>
          <w:highlight w:val="none"/>
        </w:rPr>
        <w:t>8.4小结</w:t>
      </w:r>
      <w:bookmarkEnd w:id="749"/>
      <w:bookmarkEnd w:id="750"/>
      <w:bookmarkEnd w:id="751"/>
      <w:bookmarkEnd w:id="752"/>
    </w:p>
    <w:p w14:paraId="390A3C7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本项目建成投产后，不仅可以增加国家和地方财税收入，同时可以增加新的就业岗位，带动相关产业的发展，增加间接的就业机会，对促进区域经济和社会发展具有重要意义。</w:t>
      </w:r>
    </w:p>
    <w:p w14:paraId="2C5E62A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highlight w:val="none"/>
        </w:rPr>
        <w:t>综上所述，从保护环境的角度出发，项目的效益是显著的、可行的。</w:t>
      </w:r>
    </w:p>
    <w:p w14:paraId="5C0CADA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0"/>
          <w:highlight w:val="none"/>
        </w:rPr>
      </w:pPr>
    </w:p>
    <w:p w14:paraId="133B72D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0"/>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4B89B0C5">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753" w:name="_Toc31316"/>
      <w:bookmarkStart w:id="754" w:name="_Toc523322392"/>
      <w:r>
        <w:rPr>
          <w:rFonts w:hint="default" w:ascii="Times New Roman" w:hAnsi="Times New Roman" w:eastAsia="宋体" w:cs="Times New Roman"/>
          <w:color w:val="auto"/>
          <w:highlight w:val="none"/>
        </w:rPr>
        <w:t>9环境管理与监测计划</w:t>
      </w:r>
      <w:bookmarkEnd w:id="753"/>
      <w:bookmarkEnd w:id="754"/>
    </w:p>
    <w:p w14:paraId="165C532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排放，预防风险事故并减低事故损失，使建设项目对环境的危害控制在最小范围内。</w:t>
      </w:r>
    </w:p>
    <w:p w14:paraId="2BD9A48A">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55" w:name="_Toc23365"/>
      <w:r>
        <w:rPr>
          <w:rFonts w:hint="default" w:ascii="Times New Roman" w:hAnsi="Times New Roman" w:eastAsia="宋体" w:cs="Times New Roman"/>
          <w:color w:val="auto"/>
          <w:highlight w:val="none"/>
        </w:rPr>
        <w:t>9.1污染物总量控制分析</w:t>
      </w:r>
      <w:bookmarkEnd w:id="755"/>
    </w:p>
    <w:p w14:paraId="6AE8AF88">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56" w:name="_Toc25861"/>
      <w:bookmarkStart w:id="757" w:name="_Toc530643017"/>
      <w:r>
        <w:rPr>
          <w:rFonts w:hint="default" w:ascii="Times New Roman" w:hAnsi="Times New Roman" w:eastAsia="宋体" w:cs="Times New Roman"/>
          <w:color w:val="auto"/>
          <w:highlight w:val="none"/>
        </w:rPr>
        <w:t>9.1.1原则和目标</w:t>
      </w:r>
      <w:bookmarkEnd w:id="756"/>
      <w:bookmarkEnd w:id="757"/>
    </w:p>
    <w:p w14:paraId="73913301">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对建设项目产生的污染物实行总量控制是推行可持续发展战略的需要，是一种为使某一时空环境领域达到一定环境质量目标时，将污染物负荷总量控制在自然环境的承载能力范围之内的规划管理措施。</w:t>
      </w:r>
    </w:p>
    <w:p w14:paraId="710A7C4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58" w:name="_Toc530643019"/>
      <w:bookmarkStart w:id="759" w:name="_Toc4604"/>
      <w:r>
        <w:rPr>
          <w:rFonts w:hint="default" w:ascii="Times New Roman" w:hAnsi="Times New Roman" w:eastAsia="宋体" w:cs="Times New Roman"/>
          <w:color w:val="auto"/>
          <w:highlight w:val="none"/>
        </w:rPr>
        <w:t>9.1.</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总量控制因子</w:t>
      </w:r>
      <w:bookmarkEnd w:id="758"/>
      <w:bookmarkEnd w:id="759"/>
    </w:p>
    <w:p w14:paraId="522E868A">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highlight w:val="none"/>
        </w:rPr>
        <w:t>二氧化硫</w:t>
      </w:r>
      <w:r>
        <w:rPr>
          <w:rFonts w:hint="default" w:ascii="Times New Roman" w:hAnsi="Times New Roman" w:eastAsia="宋体" w:cs="Times New Roman"/>
          <w:snapToGrid w:val="0"/>
          <w:color w:val="auto"/>
          <w:highlight w:val="none"/>
          <w:lang w:eastAsia="zh-CN"/>
        </w:rPr>
        <w:t>、氮氧化物</w:t>
      </w:r>
      <w:r>
        <w:rPr>
          <w:rFonts w:hint="default" w:ascii="Times New Roman" w:hAnsi="Times New Roman" w:eastAsia="宋体" w:cs="Times New Roman"/>
          <w:snapToGrid w:val="0"/>
          <w:color w:val="auto"/>
          <w:highlight w:val="none"/>
        </w:rPr>
        <w:t>。</w:t>
      </w:r>
    </w:p>
    <w:p w14:paraId="3D8F4A3F">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60" w:name="_Toc31907"/>
      <w:r>
        <w:rPr>
          <w:rFonts w:hint="default" w:ascii="Times New Roman" w:hAnsi="Times New Roman" w:eastAsia="宋体" w:cs="Times New Roman"/>
          <w:color w:val="auto"/>
          <w:highlight w:val="none"/>
        </w:rPr>
        <w:t>9.1.</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总量核算</w:t>
      </w:r>
      <w:bookmarkEnd w:id="760"/>
    </w:p>
    <w:p w14:paraId="7DE8F29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FF0000"/>
          <w:kern w:val="0"/>
          <w:sz w:val="24"/>
          <w:szCs w:val="24"/>
          <w:highlight w:val="none"/>
        </w:rPr>
      </w:pPr>
      <w:bookmarkStart w:id="761" w:name="_Toc530643020"/>
      <w:r>
        <w:rPr>
          <w:rFonts w:hint="default" w:ascii="Times New Roman" w:hAnsi="Times New Roman" w:eastAsia="宋体" w:cs="Times New Roman"/>
          <w:b/>
          <w:bCs/>
          <w:color w:val="FF0000"/>
          <w:kern w:val="0"/>
          <w:sz w:val="24"/>
          <w:szCs w:val="24"/>
          <w:highlight w:val="none"/>
        </w:rPr>
        <w:t>（</w:t>
      </w:r>
      <w:r>
        <w:rPr>
          <w:rFonts w:hint="default" w:ascii="Times New Roman" w:hAnsi="Times New Roman" w:eastAsia="宋体" w:cs="Times New Roman"/>
          <w:b/>
          <w:bCs/>
          <w:color w:val="FF0000"/>
          <w:kern w:val="0"/>
          <w:sz w:val="24"/>
          <w:szCs w:val="24"/>
          <w:highlight w:val="none"/>
          <w:lang w:val="en-US" w:eastAsia="zh-CN"/>
        </w:rPr>
        <w:t>1</w:t>
      </w:r>
      <w:r>
        <w:rPr>
          <w:rFonts w:hint="default" w:ascii="Times New Roman" w:hAnsi="Times New Roman" w:eastAsia="宋体" w:cs="Times New Roman"/>
          <w:b/>
          <w:bCs/>
          <w:color w:val="FF0000"/>
          <w:kern w:val="0"/>
          <w:sz w:val="24"/>
          <w:szCs w:val="24"/>
          <w:highlight w:val="none"/>
        </w:rPr>
        <w:t>）二氧化硫</w:t>
      </w:r>
    </w:p>
    <w:p w14:paraId="655B17C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根据《排放源统计调查产排污核算方法和系数手册》（公告2021年第24号）--4430工业锅炉（热力供应）行业系数手册--生物质工业锅炉，二氧化硫产污系数按17S千克/吨-原料，本项目S为0.07。</w:t>
      </w:r>
      <w:r>
        <w:rPr>
          <w:rFonts w:hint="default" w:ascii="Times New Roman" w:hAnsi="Times New Roman" w:eastAsia="宋体" w:cs="Times New Roman"/>
          <w:color w:val="FF0000"/>
          <w:kern w:val="0"/>
          <w:sz w:val="24"/>
          <w:szCs w:val="24"/>
          <w:highlight w:val="none"/>
        </w:rPr>
        <w:t>生物质成型燃料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color w:val="FF0000"/>
          <w:sz w:val="24"/>
          <w:szCs w:val="24"/>
          <w:highlight w:val="none"/>
        </w:rPr>
        <w:t>t/a，则1台</w:t>
      </w:r>
      <w:r>
        <w:rPr>
          <w:rFonts w:hint="default" w:ascii="Times New Roman" w:hAnsi="Times New Roman" w:eastAsia="宋体" w:cs="Times New Roman"/>
          <w:color w:val="FF0000"/>
          <w:sz w:val="24"/>
          <w:szCs w:val="24"/>
          <w:highlight w:val="none"/>
          <w:lang w:val="en-US" w:eastAsia="zh-CN"/>
        </w:rPr>
        <w:t>3t/h生物质热风炉</w:t>
      </w:r>
      <w:r>
        <w:rPr>
          <w:rFonts w:hint="default" w:ascii="Times New Roman" w:hAnsi="Times New Roman" w:eastAsia="宋体" w:cs="Times New Roman"/>
          <w:b w:val="0"/>
          <w:bCs w:val="0"/>
          <w:color w:val="FF0000"/>
          <w:kern w:val="0"/>
          <w:sz w:val="24"/>
          <w:szCs w:val="24"/>
          <w:highlight w:val="none"/>
          <w:lang w:val="en-US" w:eastAsia="zh-CN"/>
        </w:rPr>
        <w:t>二氧化硫产生量为1296t/a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kern w:val="0"/>
          <w:sz w:val="24"/>
          <w:szCs w:val="24"/>
          <w:highlight w:val="none"/>
          <w:lang w:val="en-US" w:eastAsia="zh-CN"/>
        </w:rPr>
        <w:t>17</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0.07</w:t>
      </w:r>
      <w:r>
        <w:rPr>
          <w:rFonts w:hint="default" w:ascii="Times New Roman" w:hAnsi="Times New Roman" w:eastAsia="宋体" w:cs="Times New Roman"/>
          <w:b w:val="0"/>
          <w:bCs w:val="0"/>
          <w:color w:val="FF0000"/>
          <w:kern w:val="0"/>
          <w:sz w:val="24"/>
          <w:szCs w:val="24"/>
          <w:highlight w:val="none"/>
          <w:lang w:val="en-US" w:eastAsia="zh-CN"/>
        </w:rPr>
        <w:t>千克/吨-原料=</w:t>
      </w:r>
      <w:r>
        <w:rPr>
          <w:rFonts w:hint="default" w:ascii="Times New Roman" w:hAnsi="Times New Roman" w:eastAsia="宋体" w:cs="Times New Roman"/>
          <w:color w:val="FF0000"/>
          <w:sz w:val="24"/>
          <w:szCs w:val="24"/>
          <w:highlight w:val="none"/>
          <w:lang w:val="en-US" w:eastAsia="zh-CN"/>
        </w:rPr>
        <w:t>1.542t/a</w:t>
      </w:r>
      <w:r>
        <w:rPr>
          <w:rFonts w:hint="default" w:ascii="Times New Roman" w:hAnsi="Times New Roman" w:eastAsia="宋体" w:cs="Times New Roman"/>
          <w:b w:val="0"/>
          <w:bCs w:val="0"/>
          <w:color w:val="FF0000"/>
          <w:kern w:val="0"/>
          <w:sz w:val="24"/>
          <w:szCs w:val="24"/>
          <w:highlight w:val="none"/>
          <w:lang w:val="en-US" w:eastAsia="zh-CN"/>
        </w:rPr>
        <w:t>。</w:t>
      </w:r>
    </w:p>
    <w:p w14:paraId="005DED0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lang w:eastAsia="zh-CN"/>
        </w:rPr>
        <w:t>进行处理，参考《排放源统计调查产排污核算方法和系数手册》（公告2021年第24号）-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highlight w:val="none"/>
          <w:lang w:val="en-US" w:eastAsia="zh-CN"/>
        </w:rPr>
        <w:t>，脱硫效率为0</w:t>
      </w:r>
      <w:r>
        <w:rPr>
          <w:rFonts w:hint="default" w:ascii="Times New Roman" w:hAnsi="Times New Roman" w:eastAsia="宋体" w:cs="Times New Roman"/>
          <w:color w:val="FF0000"/>
          <w:sz w:val="24"/>
          <w:szCs w:val="24"/>
          <w:highlight w:val="none"/>
          <w:lang w:val="en-US" w:eastAsia="zh-CN"/>
        </w:rPr>
        <w:t>。</w:t>
      </w:r>
    </w:p>
    <w:p w14:paraId="573003B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val="en-US" w:eastAsia="zh-CN"/>
        </w:rPr>
        <w:t>则1台3t/h生物质热风炉二氧化硫</w:t>
      </w:r>
      <w:r>
        <w:rPr>
          <w:rFonts w:hint="default" w:ascii="Times New Roman" w:hAnsi="Times New Roman" w:eastAsia="宋体" w:cs="Times New Roman"/>
          <w:color w:val="FF0000"/>
          <w:sz w:val="24"/>
          <w:szCs w:val="24"/>
          <w:highlight w:val="none"/>
        </w:rPr>
        <w:t>排放量</w:t>
      </w:r>
      <w:r>
        <w:rPr>
          <w:rFonts w:hint="default" w:ascii="Times New Roman" w:hAnsi="Times New Roman" w:eastAsia="宋体" w:cs="Times New Roman"/>
          <w:color w:val="FF0000"/>
          <w:sz w:val="24"/>
          <w:szCs w:val="24"/>
          <w:highlight w:val="none"/>
          <w:lang w:val="en-US" w:eastAsia="zh-CN"/>
        </w:rPr>
        <w:t>为1.542t/a</w:t>
      </w:r>
      <w:r>
        <w:rPr>
          <w:rFonts w:hint="default" w:ascii="Times New Roman" w:hAnsi="Times New Roman" w:eastAsia="宋体" w:cs="Times New Roman"/>
          <w:color w:val="FF0000"/>
          <w:sz w:val="24"/>
          <w:szCs w:val="24"/>
          <w:highlight w:val="none"/>
        </w:rPr>
        <w:t>。</w:t>
      </w:r>
    </w:p>
    <w:p w14:paraId="4D702E2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bCs/>
          <w:color w:val="FF0000"/>
          <w:sz w:val="24"/>
          <w:szCs w:val="24"/>
          <w:highlight w:val="none"/>
        </w:rPr>
        <w:t>（</w:t>
      </w:r>
      <w:r>
        <w:rPr>
          <w:rFonts w:hint="default" w:ascii="Times New Roman" w:hAnsi="Times New Roman" w:eastAsia="宋体" w:cs="Times New Roman"/>
          <w:b/>
          <w:bCs/>
          <w:color w:val="FF0000"/>
          <w:sz w:val="24"/>
          <w:szCs w:val="24"/>
          <w:highlight w:val="none"/>
          <w:lang w:val="en-US" w:eastAsia="zh-CN"/>
        </w:rPr>
        <w:t>2</w:t>
      </w:r>
      <w:r>
        <w:rPr>
          <w:rFonts w:hint="default" w:ascii="Times New Roman" w:hAnsi="Times New Roman" w:eastAsia="宋体" w:cs="Times New Roman"/>
          <w:b/>
          <w:bCs/>
          <w:color w:val="FF0000"/>
          <w:sz w:val="24"/>
          <w:szCs w:val="24"/>
          <w:highlight w:val="none"/>
        </w:rPr>
        <w:t>）氮氧化物</w:t>
      </w:r>
    </w:p>
    <w:p w14:paraId="57A8041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w:t>
      </w:r>
      <w:r>
        <w:rPr>
          <w:rFonts w:hint="default" w:ascii="Times New Roman" w:hAnsi="Times New Roman" w:eastAsia="宋体" w:cs="Times New Roman"/>
          <w:b w:val="0"/>
          <w:bCs w:val="0"/>
          <w:color w:val="FF0000"/>
          <w:sz w:val="24"/>
          <w:szCs w:val="24"/>
          <w:highlight w:val="none"/>
        </w:rPr>
        <w:t>氮氧化物</w:t>
      </w:r>
      <w:r>
        <w:rPr>
          <w:rFonts w:hint="default" w:ascii="Times New Roman" w:hAnsi="Times New Roman" w:eastAsia="宋体" w:cs="Times New Roman"/>
          <w:b w:val="0"/>
          <w:bCs w:val="0"/>
          <w:color w:val="FF0000"/>
          <w:kern w:val="0"/>
          <w:sz w:val="24"/>
          <w:szCs w:val="24"/>
          <w:highlight w:val="none"/>
          <w:lang w:val="en-US" w:eastAsia="zh-CN"/>
        </w:rPr>
        <w:t>产污系数按1.02千克/吨-原料。</w:t>
      </w:r>
      <w:r>
        <w:rPr>
          <w:rFonts w:hint="default" w:ascii="Times New Roman" w:hAnsi="Times New Roman" w:eastAsia="宋体" w:cs="Times New Roman"/>
          <w:color w:val="FF0000"/>
          <w:kern w:val="0"/>
          <w:sz w:val="24"/>
          <w:szCs w:val="24"/>
          <w:highlight w:val="none"/>
        </w:rPr>
        <w:t>生物质成型燃料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color w:val="FF0000"/>
          <w:sz w:val="24"/>
          <w:szCs w:val="24"/>
          <w:highlight w:val="none"/>
        </w:rPr>
        <w:t>t/a</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b w:val="0"/>
          <w:bCs w:val="0"/>
          <w:color w:val="FF0000"/>
          <w:kern w:val="0"/>
          <w:sz w:val="24"/>
          <w:szCs w:val="24"/>
          <w:highlight w:val="none"/>
          <w:lang w:val="en-US" w:eastAsia="zh-CN"/>
        </w:rPr>
        <w:t>则1台3t/h生物质热风炉</w:t>
      </w:r>
      <w:r>
        <w:rPr>
          <w:rFonts w:hint="default" w:ascii="Times New Roman" w:hAnsi="Times New Roman" w:eastAsia="宋体" w:cs="Times New Roman"/>
          <w:b w:val="0"/>
          <w:bCs w:val="0"/>
          <w:color w:val="FF0000"/>
          <w:sz w:val="24"/>
          <w:szCs w:val="24"/>
          <w:highlight w:val="none"/>
        </w:rPr>
        <w:t>氮氧化物</w:t>
      </w:r>
      <w:r>
        <w:rPr>
          <w:rFonts w:hint="default" w:ascii="Times New Roman" w:hAnsi="Times New Roman" w:eastAsia="宋体" w:cs="Times New Roman"/>
          <w:b w:val="0"/>
          <w:bCs w:val="0"/>
          <w:color w:val="FF0000"/>
          <w:kern w:val="0"/>
          <w:sz w:val="24"/>
          <w:szCs w:val="24"/>
          <w:highlight w:val="none"/>
          <w:lang w:val="en-US" w:eastAsia="zh-CN"/>
        </w:rPr>
        <w:t>产生量为</w:t>
      </w:r>
      <w:r>
        <w:rPr>
          <w:rFonts w:hint="default" w:ascii="Times New Roman" w:hAnsi="Times New Roman" w:eastAsia="宋体" w:cs="Times New Roman"/>
          <w:color w:val="FF0000"/>
          <w:sz w:val="24"/>
          <w:szCs w:val="24"/>
          <w:highlight w:val="none"/>
          <w:lang w:val="en-US" w:eastAsia="zh-CN"/>
        </w:rPr>
        <w:t>1296</w:t>
      </w:r>
      <w:r>
        <w:rPr>
          <w:rFonts w:hint="default" w:ascii="Times New Roman" w:hAnsi="Times New Roman" w:eastAsia="宋体" w:cs="Times New Roman"/>
          <w:b w:val="0"/>
          <w:bCs w:val="0"/>
          <w:color w:val="FF0000"/>
          <w:kern w:val="0"/>
          <w:sz w:val="24"/>
          <w:szCs w:val="24"/>
          <w:highlight w:val="none"/>
          <w:lang w:val="en-US" w:eastAsia="zh-CN"/>
        </w:rPr>
        <w:t>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kern w:val="0"/>
          <w:sz w:val="24"/>
          <w:szCs w:val="24"/>
          <w:highlight w:val="none"/>
          <w:lang w:val="en-US" w:eastAsia="zh-CN"/>
        </w:rPr>
        <w:t>1.02千克/吨-原料=1.322</w:t>
      </w:r>
      <w:r>
        <w:rPr>
          <w:rFonts w:hint="default" w:ascii="Times New Roman" w:hAnsi="Times New Roman" w:eastAsia="宋体" w:cs="Times New Roman"/>
          <w:b w:val="0"/>
          <w:bCs w:val="0"/>
          <w:color w:val="FF0000"/>
          <w:sz w:val="24"/>
          <w:szCs w:val="24"/>
          <w:highlight w:val="none"/>
          <w:lang w:val="en-US" w:eastAsia="zh-CN"/>
        </w:rPr>
        <w:t>t/a。</w:t>
      </w:r>
    </w:p>
    <w:p w14:paraId="67ABCBA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废气采用</w:t>
      </w:r>
      <w:r>
        <w:rPr>
          <w:rFonts w:hint="default" w:ascii="Times New Roman" w:hAnsi="Times New Roman" w:eastAsia="宋体" w:cs="Times New Roman"/>
          <w:color w:val="FF0000"/>
          <w:sz w:val="24"/>
          <w:szCs w:val="24"/>
          <w:highlight w:val="none"/>
          <w:lang w:eastAsia="zh-CN"/>
        </w:rPr>
        <w:t>1台布袋除尘器</w:t>
      </w:r>
      <w:r>
        <w:rPr>
          <w:rFonts w:hint="default" w:ascii="Times New Roman" w:hAnsi="Times New Roman" w:eastAsia="宋体" w:cs="Times New Roman"/>
          <w:color w:val="FF0000"/>
          <w:sz w:val="24"/>
          <w:szCs w:val="24"/>
          <w:highlight w:val="none"/>
          <w:lang w:eastAsia="zh-CN"/>
        </w:rPr>
        <w:t>进行处理，参考《排放源统计调查产排污核算方法和系数手册》（公告2021年第24号）-</w:t>
      </w:r>
      <w:r>
        <w:rPr>
          <w:rFonts w:hint="default" w:ascii="Times New Roman" w:hAnsi="Times New Roman" w:eastAsia="宋体" w:cs="Times New Roman"/>
          <w:color w:val="FF0000"/>
          <w:sz w:val="24"/>
          <w:szCs w:val="24"/>
          <w:highlight w:val="none"/>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highlight w:val="none"/>
          <w:lang w:val="en-US" w:eastAsia="zh-CN"/>
        </w:rPr>
        <w:t>，脱硝效率为0</w:t>
      </w:r>
      <w:r>
        <w:rPr>
          <w:rFonts w:hint="default" w:ascii="Times New Roman" w:hAnsi="Times New Roman" w:eastAsia="宋体" w:cs="Times New Roman"/>
          <w:color w:val="FF0000"/>
          <w:sz w:val="24"/>
          <w:szCs w:val="24"/>
          <w:highlight w:val="none"/>
          <w:lang w:val="en-US" w:eastAsia="zh-CN"/>
        </w:rPr>
        <w:t>。</w:t>
      </w:r>
    </w:p>
    <w:p w14:paraId="32DD3FC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b/>
          <w:bCs/>
          <w:color w:val="auto"/>
          <w:highlight w:val="none"/>
        </w:rPr>
      </w:pPr>
      <w:r>
        <w:rPr>
          <w:rFonts w:hint="default" w:ascii="Times New Roman" w:hAnsi="Times New Roman" w:eastAsia="宋体" w:cs="Times New Roman"/>
          <w:color w:val="FF0000"/>
          <w:sz w:val="24"/>
          <w:szCs w:val="24"/>
          <w:highlight w:val="none"/>
          <w:lang w:val="en-US" w:eastAsia="zh-CN"/>
        </w:rPr>
        <w:t>则1台3t/h生物质热风炉</w:t>
      </w:r>
      <w:r>
        <w:rPr>
          <w:rFonts w:hint="default" w:ascii="Times New Roman" w:hAnsi="Times New Roman" w:eastAsia="宋体" w:cs="Times New Roman"/>
          <w:bCs/>
          <w:color w:val="FF0000"/>
          <w:sz w:val="24"/>
          <w:szCs w:val="24"/>
          <w:highlight w:val="none"/>
        </w:rPr>
        <w:t>氮氧化物</w:t>
      </w:r>
      <w:r>
        <w:rPr>
          <w:rFonts w:hint="default" w:ascii="Times New Roman" w:hAnsi="Times New Roman" w:eastAsia="宋体" w:cs="Times New Roman"/>
          <w:color w:val="FF0000"/>
          <w:sz w:val="24"/>
          <w:szCs w:val="24"/>
          <w:highlight w:val="none"/>
        </w:rPr>
        <w:t>排放量为</w:t>
      </w:r>
      <w:r>
        <w:rPr>
          <w:rFonts w:hint="default" w:ascii="Times New Roman" w:hAnsi="Times New Roman" w:eastAsia="宋体" w:cs="Times New Roman"/>
          <w:b w:val="0"/>
          <w:bCs w:val="0"/>
          <w:color w:val="FF0000"/>
          <w:kern w:val="0"/>
          <w:sz w:val="24"/>
          <w:szCs w:val="24"/>
          <w:highlight w:val="none"/>
          <w:lang w:val="en-US" w:eastAsia="zh-CN"/>
        </w:rPr>
        <w:t>1.322</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auto"/>
          <w:highlight w:val="none"/>
        </w:rPr>
        <w:t>。</w:t>
      </w:r>
    </w:p>
    <w:p w14:paraId="34B204BD">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62" w:name="_Toc14199"/>
      <w:r>
        <w:rPr>
          <w:rFonts w:hint="default" w:ascii="Times New Roman" w:hAnsi="Times New Roman" w:eastAsia="宋体" w:cs="Times New Roman"/>
          <w:color w:val="auto"/>
          <w:highlight w:val="none"/>
        </w:rPr>
        <w:t>9.1.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污染物总量控制指标</w:t>
      </w:r>
      <w:bookmarkEnd w:id="761"/>
      <w:bookmarkEnd w:id="762"/>
    </w:p>
    <w:p w14:paraId="52997F1D">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FF0000"/>
          <w:sz w:val="24"/>
          <w:szCs w:val="24"/>
          <w:highlight w:val="none"/>
          <w:lang w:val="en-US" w:eastAsia="zh-CN"/>
        </w:rPr>
        <w:t>二氧化硫</w:t>
      </w:r>
      <w:r>
        <w:rPr>
          <w:rFonts w:hint="default" w:ascii="Times New Roman" w:hAnsi="Times New Roman" w:eastAsia="宋体" w:cs="Times New Roman"/>
          <w:color w:val="FF0000"/>
          <w:sz w:val="24"/>
          <w:szCs w:val="24"/>
          <w:highlight w:val="none"/>
          <w:lang w:val="en-US" w:eastAsia="zh-CN"/>
        </w:rPr>
        <w:t>总</w:t>
      </w:r>
      <w:r>
        <w:rPr>
          <w:rFonts w:hint="default" w:ascii="Times New Roman" w:hAnsi="Times New Roman" w:eastAsia="宋体" w:cs="Times New Roman"/>
          <w:color w:val="FF0000"/>
          <w:sz w:val="24"/>
          <w:szCs w:val="24"/>
          <w:highlight w:val="none"/>
        </w:rPr>
        <w:t>量</w:t>
      </w:r>
      <w:r>
        <w:rPr>
          <w:rFonts w:hint="default" w:ascii="Times New Roman" w:hAnsi="Times New Roman" w:eastAsia="宋体" w:cs="Times New Roman"/>
          <w:color w:val="FF0000"/>
          <w:sz w:val="24"/>
          <w:szCs w:val="24"/>
          <w:highlight w:val="none"/>
          <w:lang w:val="en-US" w:eastAsia="zh-CN"/>
        </w:rPr>
        <w:t>指标为</w:t>
      </w:r>
      <w:r>
        <w:rPr>
          <w:rFonts w:hint="default" w:ascii="Times New Roman" w:hAnsi="Times New Roman" w:eastAsia="宋体" w:cs="Times New Roman"/>
          <w:color w:val="FF0000"/>
          <w:sz w:val="24"/>
          <w:szCs w:val="24"/>
          <w:highlight w:val="none"/>
          <w:lang w:val="en-US" w:eastAsia="zh-CN"/>
        </w:rPr>
        <w:t>1.542t/a</w:t>
      </w:r>
      <w:r>
        <w:rPr>
          <w:rFonts w:hint="default"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bCs/>
          <w:color w:val="FF0000"/>
          <w:sz w:val="24"/>
          <w:szCs w:val="24"/>
          <w:highlight w:val="none"/>
        </w:rPr>
        <w:t>氮氧化物</w:t>
      </w:r>
      <w:r>
        <w:rPr>
          <w:rFonts w:hint="default" w:ascii="Times New Roman" w:hAnsi="Times New Roman" w:eastAsia="宋体" w:cs="Times New Roman"/>
          <w:color w:val="FF0000"/>
          <w:sz w:val="24"/>
          <w:szCs w:val="24"/>
          <w:highlight w:val="none"/>
          <w:lang w:val="en-US" w:eastAsia="zh-CN"/>
        </w:rPr>
        <w:t>总</w:t>
      </w:r>
      <w:r>
        <w:rPr>
          <w:rFonts w:hint="default" w:ascii="Times New Roman" w:hAnsi="Times New Roman" w:eastAsia="宋体" w:cs="Times New Roman"/>
          <w:color w:val="FF0000"/>
          <w:sz w:val="24"/>
          <w:szCs w:val="24"/>
          <w:highlight w:val="none"/>
        </w:rPr>
        <w:t>量</w:t>
      </w:r>
      <w:r>
        <w:rPr>
          <w:rFonts w:hint="default" w:ascii="Times New Roman" w:hAnsi="Times New Roman" w:eastAsia="宋体" w:cs="Times New Roman"/>
          <w:color w:val="FF0000"/>
          <w:sz w:val="24"/>
          <w:szCs w:val="24"/>
          <w:highlight w:val="none"/>
          <w:lang w:val="en-US" w:eastAsia="zh-CN"/>
        </w:rPr>
        <w:t>指标为</w:t>
      </w:r>
      <w:r>
        <w:rPr>
          <w:rFonts w:hint="default" w:ascii="Times New Roman" w:hAnsi="Times New Roman" w:eastAsia="宋体" w:cs="Times New Roman"/>
          <w:b w:val="0"/>
          <w:bCs w:val="0"/>
          <w:color w:val="FF0000"/>
          <w:kern w:val="0"/>
          <w:sz w:val="24"/>
          <w:szCs w:val="24"/>
          <w:highlight w:val="none"/>
          <w:lang w:val="en-US" w:eastAsia="zh-CN"/>
        </w:rPr>
        <w:t>1.322</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auto"/>
          <w:szCs w:val="20"/>
          <w:highlight w:val="none"/>
        </w:rPr>
        <w:t>。</w:t>
      </w:r>
    </w:p>
    <w:p w14:paraId="3A3C7EAA">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63" w:name="_Toc494206398"/>
      <w:bookmarkStart w:id="764" w:name="_Toc523322393"/>
      <w:bookmarkStart w:id="765" w:name="_Toc26705"/>
      <w:bookmarkStart w:id="766" w:name="_Toc487188672"/>
      <w:r>
        <w:rPr>
          <w:rFonts w:hint="default" w:ascii="Times New Roman" w:hAnsi="Times New Roman" w:eastAsia="宋体" w:cs="Times New Roman"/>
          <w:color w:val="auto"/>
          <w:highlight w:val="none"/>
        </w:rPr>
        <w:t>9.2环境管理</w:t>
      </w:r>
      <w:bookmarkEnd w:id="763"/>
      <w:bookmarkEnd w:id="764"/>
      <w:bookmarkEnd w:id="765"/>
      <w:bookmarkEnd w:id="766"/>
    </w:p>
    <w:p w14:paraId="38A1C6A8">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67" w:name="_Toc523322394"/>
      <w:bookmarkStart w:id="768" w:name="_Toc31921"/>
      <w:r>
        <w:rPr>
          <w:rFonts w:hint="default" w:ascii="Times New Roman" w:hAnsi="Times New Roman" w:eastAsia="宋体" w:cs="Times New Roman"/>
          <w:color w:val="auto"/>
          <w:highlight w:val="none"/>
        </w:rPr>
        <w:t>9.2.1环境管理制度及组织机构</w:t>
      </w:r>
      <w:bookmarkEnd w:id="767"/>
      <w:bookmarkEnd w:id="768"/>
    </w:p>
    <w:p w14:paraId="0E5531E6">
      <w:pPr>
        <w:pStyle w:val="7"/>
        <w:pageBreakBefore w:val="0"/>
        <w:shd w:val="clear"/>
        <w:kinsoku/>
        <w:wordWrap/>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769" w:name="_Toc21181"/>
      <w:bookmarkStart w:id="770" w:name="_Toc10742"/>
      <w:bookmarkStart w:id="771" w:name="_Toc19468"/>
      <w:bookmarkStart w:id="772" w:name="_Toc3127"/>
      <w:r>
        <w:rPr>
          <w:rFonts w:hint="default" w:ascii="Times New Roman" w:hAnsi="Times New Roman" w:eastAsia="宋体" w:cs="Times New Roman"/>
          <w:color w:val="auto"/>
          <w:highlight w:val="none"/>
        </w:rPr>
        <w:t>9.2.1.1环境管理制度</w:t>
      </w:r>
      <w:bookmarkEnd w:id="769"/>
      <w:bookmarkEnd w:id="770"/>
      <w:bookmarkEnd w:id="771"/>
      <w:bookmarkEnd w:id="772"/>
    </w:p>
    <w:p w14:paraId="69EAA22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企业应建立环境保护责任制度，设立安全环保部门，配备专职环境保护管理人员协调、落实各部门的环保工作。制定企业《环境保护管理制度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项目建设环境保护管理制度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环保节能设施管理制度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环保会议制度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环保统计制度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环保现场检查与“红黄牌”挂牌制度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环保标准化管理制度》等一系列环保管理制度。</w:t>
      </w:r>
    </w:p>
    <w:p w14:paraId="693714AF">
      <w:pPr>
        <w:pStyle w:val="7"/>
        <w:pageBreakBefore w:val="0"/>
        <w:shd w:val="clear"/>
        <w:kinsoku/>
        <w:wordWrap/>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773" w:name="_Toc12458"/>
      <w:bookmarkStart w:id="774" w:name="_Toc22178"/>
      <w:bookmarkStart w:id="775" w:name="_Toc4304"/>
      <w:bookmarkStart w:id="776" w:name="_Toc1382"/>
      <w:r>
        <w:rPr>
          <w:rFonts w:hint="default" w:ascii="Times New Roman" w:hAnsi="Times New Roman" w:eastAsia="宋体" w:cs="Times New Roman"/>
          <w:color w:val="auto"/>
          <w:highlight w:val="none"/>
        </w:rPr>
        <w:t>9.2.1.2环境管理机构</w:t>
      </w:r>
      <w:bookmarkEnd w:id="773"/>
      <w:bookmarkEnd w:id="774"/>
      <w:bookmarkEnd w:id="775"/>
      <w:bookmarkEnd w:id="776"/>
    </w:p>
    <w:p w14:paraId="715C624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国家有关建设项目环境保护的规定和该项目的建设，建议该项目从施工期开始，就在该项目管理组中设置环境保护管理岗位，配置1~2名环保专业人员；在项目营运期，配备1~2名环保专业人员。该项目的环境管理监督机构为各级生态环境主管部门，该项目的环境保护管理工作应接受各级生态环境主管部门的监督和指导，同时还应接受项目主管部门及公众的监督。</w:t>
      </w:r>
    </w:p>
    <w:p w14:paraId="571A3E1B">
      <w:pPr>
        <w:pStyle w:val="7"/>
        <w:pageBreakBefore w:val="0"/>
        <w:shd w:val="clear"/>
        <w:kinsoku/>
        <w:wordWrap/>
        <w:bidi w:val="0"/>
        <w:snapToGrid w:val="0"/>
        <w:spacing w:before="0" w:after="0" w:line="360" w:lineRule="auto"/>
        <w:ind w:left="0" w:leftChars="0" w:right="0" w:rightChars="0"/>
        <w:outlineLvl w:val="2"/>
        <w:rPr>
          <w:rFonts w:hint="default" w:ascii="Times New Roman" w:hAnsi="Times New Roman" w:eastAsia="宋体" w:cs="Times New Roman"/>
          <w:color w:val="auto"/>
          <w:highlight w:val="none"/>
        </w:rPr>
      </w:pPr>
      <w:bookmarkStart w:id="777" w:name="_Toc15570"/>
      <w:bookmarkStart w:id="778" w:name="_Toc20271"/>
      <w:bookmarkStart w:id="779" w:name="_Toc8716"/>
      <w:bookmarkStart w:id="780" w:name="_Toc26703"/>
      <w:r>
        <w:rPr>
          <w:rFonts w:hint="default" w:ascii="Times New Roman" w:hAnsi="Times New Roman" w:eastAsia="宋体" w:cs="Times New Roman"/>
          <w:color w:val="auto"/>
          <w:highlight w:val="none"/>
        </w:rPr>
        <w:t>9.2.1.3环境管理职责</w:t>
      </w:r>
      <w:bookmarkEnd w:id="777"/>
      <w:bookmarkEnd w:id="778"/>
      <w:bookmarkEnd w:id="779"/>
      <w:bookmarkEnd w:id="780"/>
    </w:p>
    <w:p w14:paraId="4C00F5B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1）认真贯彻执行国家、地方环境保护法规和标准。</w:t>
      </w:r>
    </w:p>
    <w:p w14:paraId="4F2F8A2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2）建立和健全以清洁生产技术为核心的各项环境保护规章制度（岗位责任制、操作规程、安全制度、绿化管理规定等），并实施、落实环境监测制度。</w:t>
      </w:r>
    </w:p>
    <w:p w14:paraId="3612C70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3）加强“三废”治理设施监督管理，确保“三废”处理设施正常并高效运行。</w:t>
      </w:r>
    </w:p>
    <w:p w14:paraId="495381A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建立污染源档案，并优化污染防治措施。按照上级环保部门的规范建立本企业有关“三废”排放量、排放浓度、噪声情况、固体废物综合利用、污染控制效果等情况档案，并按照有关规定编制各种报告与报表，负责向上级领导及环保部门呈报。</w:t>
      </w:r>
    </w:p>
    <w:p w14:paraId="67608C0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highlight w:val="none"/>
        </w:rPr>
        <w:t>5）搞好环境保护工作宣传和职工环境意识教育及技术培训等工作。协同当地环保部门处理与项目有关的环境问题，维护好公众的利益。</w:t>
      </w:r>
    </w:p>
    <w:p w14:paraId="3E54609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6）为全面掌握企业环境保护工作情况，进一步了解管理体系中可能存在的问题，建议公司内部每年应举行一次内部评审，检查环境管理工作的问题和不足，对发现的问题和不足，提出改进意见。</w:t>
      </w:r>
    </w:p>
    <w:p w14:paraId="49EA2620">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81" w:name="_Toc523322397"/>
      <w:bookmarkStart w:id="782" w:name="_Toc29994"/>
      <w:r>
        <w:rPr>
          <w:rFonts w:hint="default" w:ascii="Times New Roman" w:hAnsi="Times New Roman" w:eastAsia="宋体" w:cs="Times New Roman"/>
          <w:color w:val="auto"/>
          <w:highlight w:val="none"/>
        </w:rPr>
        <w:t>9.2.2排污许可</w:t>
      </w:r>
      <w:bookmarkEnd w:id="781"/>
      <w:r>
        <w:rPr>
          <w:rFonts w:hint="default" w:ascii="Times New Roman" w:hAnsi="Times New Roman" w:eastAsia="宋体" w:cs="Times New Roman"/>
          <w:color w:val="auto"/>
          <w:highlight w:val="none"/>
        </w:rPr>
        <w:t>证申领</w:t>
      </w:r>
      <w:bookmarkEnd w:id="782"/>
    </w:p>
    <w:p w14:paraId="1E37757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根据《排污许可管理办法（试行）》，项目在取得环境影响评价批复文件后，应当在投入生产或使用并产生实际排污行为之前向许可证核发机关提交申请材料，申领排污许可证。</w:t>
      </w:r>
    </w:p>
    <w:p w14:paraId="33F2424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申请排污许可证，应当在信息平台填报统一的《排污许可证申请表》，签署《守法承诺书》，并同时向许可证核发机关提交排污许可证申请表、经生态环境主管部门批复的建设项目环境影响评价文件或排污单位经过整改并通过地方人民政府确认满足有关规定的证明材料等。许可申请文件内容由生态环境部统一制定的《排污许可证申请表》确定。</w:t>
      </w:r>
    </w:p>
    <w:p w14:paraId="3A65862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83" w:name="_Toc7883"/>
      <w:bookmarkStart w:id="784" w:name="_Toc523322396"/>
      <w:r>
        <w:rPr>
          <w:rFonts w:hint="default" w:ascii="Times New Roman" w:hAnsi="Times New Roman" w:eastAsia="宋体" w:cs="Times New Roman"/>
          <w:color w:val="auto"/>
          <w:highlight w:val="none"/>
        </w:rPr>
        <w:t>9.2.3环保竣工验收</w:t>
      </w:r>
      <w:bookmarkEnd w:id="783"/>
      <w:bookmarkEnd w:id="784"/>
    </w:p>
    <w:p w14:paraId="2512408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按照《建设项目竣工环境保护验收暂行办法》（国环规环评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4号）中要求实施环保竣工验收。</w:t>
      </w:r>
    </w:p>
    <w:p w14:paraId="7EA785A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竣工验收以现场调查与监测相结合的方式对工程“三同时”建设情况进行验收，环境保护验收的主要内容包括以下几个方面：</w:t>
      </w:r>
    </w:p>
    <w:p w14:paraId="7C06972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（1）通过现场调查项目“三同时”建设情况，主要环保设施的建设与环评批复文件的符合性检查及验收；</w:t>
      </w:r>
    </w:p>
    <w:p w14:paraId="25A40AD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（2）环保设施建设及运行情况，包括：废气、废水、噪声污染防治设施的建设及运行情况及运行处理效果，生态保护措施的落实情况；防止</w:t>
      </w:r>
      <w:r>
        <w:rPr>
          <w:rFonts w:hint="default" w:ascii="Times New Roman" w:hAnsi="Times New Roman" w:eastAsia="宋体" w:cs="Times New Roman"/>
          <w:color w:val="auto"/>
          <w:highlight w:val="none"/>
          <w:lang w:eastAsia="zh-CN"/>
        </w:rPr>
        <w:t>固体废物污染</w:t>
      </w:r>
      <w:r>
        <w:rPr>
          <w:rFonts w:hint="default" w:ascii="Times New Roman" w:hAnsi="Times New Roman" w:eastAsia="宋体" w:cs="Times New Roman"/>
          <w:color w:val="auto"/>
          <w:highlight w:val="none"/>
        </w:rPr>
        <w:t>环境的措施；场区绿化等；</w:t>
      </w:r>
    </w:p>
    <w:p w14:paraId="6F2355A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（3）主要节能措施及清洁生产措施；环保投资及环境管理机构的设置情况。</w:t>
      </w:r>
    </w:p>
    <w:p w14:paraId="62F7457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14:paraId="0D886C14">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85" w:name="_Toc7785"/>
      <w:r>
        <w:rPr>
          <w:rFonts w:hint="default" w:ascii="Times New Roman" w:hAnsi="Times New Roman" w:eastAsia="宋体" w:cs="Times New Roman"/>
          <w:color w:val="auto"/>
          <w:highlight w:val="none"/>
        </w:rPr>
        <w:t>9.2.4排污口规范化管理</w:t>
      </w:r>
      <w:bookmarkEnd w:id="785"/>
    </w:p>
    <w:p w14:paraId="1305411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根据原国家环境保护总局《关于开展排放口规范化整治工作的通知》（环发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1999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24号）的规定，一切新建、扩建、改建的排污单位必须在建设污染治理措施的同时建设规范化排污口，作为落实环境保护“三同时”制度的必要组成和项目验收内容之一。本评价对场区排污口建设提出以下要求：</w:t>
      </w:r>
    </w:p>
    <w:p w14:paraId="2D99D90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工程应按《环境保护图形标志—排放口（源）》（GB15562.1-1995）规定的图形，在各气、水、声排污口（源）挂牌标识，做到各排污口（源）的环保标志明显，便于企业管理和公众监督。根据《环境保护图形标志》实施细则，填写本工程的主要污染物；标志牌必须保持清晰、完整，发现形象损坏、颜色污染或有变化、</w:t>
      </w:r>
      <w:r>
        <w:rPr>
          <w:rFonts w:hint="default" w:ascii="Times New Roman" w:hAnsi="Times New Roman" w:eastAsia="宋体" w:cs="Times New Roman"/>
          <w:color w:val="auto"/>
          <w:highlight w:val="none"/>
          <w:lang w:eastAsia="zh-CN"/>
        </w:rPr>
        <w:t>褪色</w:t>
      </w:r>
      <w:r>
        <w:rPr>
          <w:rFonts w:hint="default" w:ascii="Times New Roman" w:hAnsi="Times New Roman" w:eastAsia="宋体" w:cs="Times New Roman"/>
          <w:color w:val="auto"/>
          <w:highlight w:val="none"/>
        </w:rPr>
        <w:t>等不符合图形标志标准的情况，应及时修复或更换，检查时间至少每年一次。环境保护图形标志牌设置位置应距污染物排放口及固体废物堆放场或采样点较近且醒目处，设置高度一般为标志牌上缘距离地面约2m。</w:t>
      </w:r>
    </w:p>
    <w:p w14:paraId="1412BFD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14:paraId="308CF6A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《〈环境保护图形标志〉实施细则</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试行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》（环监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1996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463号）中规定的各类排放口环境保护图形标志牌的要求如图9.2-1。</w:t>
      </w:r>
    </w:p>
    <w:p w14:paraId="651871EC">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图9.2-1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项目污染源排放口图形标志</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19"/>
        <w:gridCol w:w="1648"/>
        <w:gridCol w:w="2121"/>
        <w:gridCol w:w="2152"/>
        <w:gridCol w:w="1837"/>
      </w:tblGrid>
      <w:tr w14:paraId="46AD42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14:paraId="7FB7E02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序号</w:t>
            </w:r>
          </w:p>
        </w:tc>
        <w:tc>
          <w:tcPr>
            <w:tcW w:w="1792" w:type="dxa"/>
            <w:tcBorders>
              <w:top w:val="single" w:color="auto" w:sz="4" w:space="0"/>
              <w:left w:val="single" w:color="auto" w:sz="4" w:space="0"/>
              <w:bottom w:val="single" w:color="auto" w:sz="4" w:space="0"/>
              <w:right w:val="single" w:color="auto" w:sz="4" w:space="0"/>
            </w:tcBorders>
            <w:vAlign w:val="center"/>
          </w:tcPr>
          <w:p w14:paraId="16B5F1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标志名称及</w:t>
            </w:r>
          </w:p>
          <w:p w14:paraId="49EFFCD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标示位置</w:t>
            </w:r>
          </w:p>
        </w:tc>
        <w:tc>
          <w:tcPr>
            <w:tcW w:w="2313" w:type="dxa"/>
            <w:tcBorders>
              <w:top w:val="single" w:color="auto" w:sz="4" w:space="0"/>
              <w:left w:val="single" w:color="auto" w:sz="4" w:space="0"/>
              <w:bottom w:val="single" w:color="auto" w:sz="4" w:space="0"/>
              <w:right w:val="single" w:color="auto" w:sz="4" w:space="0"/>
            </w:tcBorders>
            <w:vAlign w:val="center"/>
          </w:tcPr>
          <w:p w14:paraId="560D9B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提示图形符号</w:t>
            </w:r>
          </w:p>
        </w:tc>
        <w:tc>
          <w:tcPr>
            <w:tcW w:w="2347" w:type="dxa"/>
            <w:tcBorders>
              <w:top w:val="single" w:color="auto" w:sz="4" w:space="0"/>
              <w:left w:val="single" w:color="auto" w:sz="4" w:space="0"/>
              <w:bottom w:val="single" w:color="auto" w:sz="4" w:space="0"/>
              <w:right w:val="single" w:color="auto" w:sz="4" w:space="0"/>
            </w:tcBorders>
            <w:vAlign w:val="center"/>
          </w:tcPr>
          <w:p w14:paraId="376C12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警告图形符合</w:t>
            </w:r>
          </w:p>
        </w:tc>
        <w:tc>
          <w:tcPr>
            <w:tcW w:w="2001" w:type="dxa"/>
            <w:tcBorders>
              <w:top w:val="single" w:color="auto" w:sz="4" w:space="0"/>
              <w:left w:val="single" w:color="auto" w:sz="4" w:space="0"/>
              <w:bottom w:val="single" w:color="auto" w:sz="4" w:space="0"/>
              <w:right w:val="single" w:color="auto" w:sz="4" w:space="0"/>
            </w:tcBorders>
            <w:vAlign w:val="center"/>
          </w:tcPr>
          <w:p w14:paraId="4C8F6B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功能说明</w:t>
            </w:r>
          </w:p>
        </w:tc>
      </w:tr>
      <w:tr w14:paraId="740201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14:paraId="113DE7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1792" w:type="dxa"/>
            <w:tcBorders>
              <w:top w:val="single" w:color="auto" w:sz="4" w:space="0"/>
              <w:left w:val="single" w:color="auto" w:sz="4" w:space="0"/>
              <w:bottom w:val="single" w:color="auto" w:sz="4" w:space="0"/>
              <w:right w:val="single" w:color="auto" w:sz="4" w:space="0"/>
            </w:tcBorders>
            <w:vAlign w:val="center"/>
          </w:tcPr>
          <w:p w14:paraId="0C7B5B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噪声排放源</w:t>
            </w:r>
          </w:p>
          <w:p w14:paraId="0E4A50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产噪设备</w:t>
            </w:r>
          </w:p>
        </w:tc>
        <w:tc>
          <w:tcPr>
            <w:tcW w:w="2313" w:type="dxa"/>
            <w:tcBorders>
              <w:top w:val="single" w:color="auto" w:sz="4" w:space="0"/>
              <w:left w:val="single" w:color="auto" w:sz="4" w:space="0"/>
              <w:bottom w:val="single" w:color="auto" w:sz="4" w:space="0"/>
              <w:right w:val="single" w:color="auto" w:sz="4" w:space="0"/>
            </w:tcBorders>
            <w:vAlign w:val="center"/>
          </w:tcPr>
          <w:p w14:paraId="69834A4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drawing>
                <wp:inline distT="0" distB="0" distL="0" distR="0">
                  <wp:extent cx="1281430" cy="1652270"/>
                  <wp:effectExtent l="0" t="0" r="0" b="0"/>
                  <wp:docPr id="40"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descr="C:\Users\ADMINI~1\AppData\Local\Temp\1527145873(1).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347" w:type="dxa"/>
            <w:tcBorders>
              <w:top w:val="single" w:color="auto" w:sz="4" w:space="0"/>
              <w:left w:val="single" w:color="auto" w:sz="4" w:space="0"/>
              <w:bottom w:val="single" w:color="auto" w:sz="4" w:space="0"/>
              <w:right w:val="single" w:color="auto" w:sz="4" w:space="0"/>
            </w:tcBorders>
            <w:vAlign w:val="center"/>
          </w:tcPr>
          <w:p w14:paraId="6B6BE43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drawing>
                <wp:inline distT="0" distB="0" distL="0" distR="0">
                  <wp:extent cx="1281430" cy="1652270"/>
                  <wp:effectExtent l="0" t="0" r="0" b="0"/>
                  <wp:docPr id="41"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6" descr="C:\Users\ADMINI~1\AppData\Local\Temp\1527145873(1).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001" w:type="dxa"/>
            <w:tcBorders>
              <w:top w:val="single" w:color="auto" w:sz="4" w:space="0"/>
              <w:left w:val="single" w:color="auto" w:sz="4" w:space="0"/>
              <w:bottom w:val="single" w:color="auto" w:sz="4" w:space="0"/>
              <w:right w:val="single" w:color="auto" w:sz="4" w:space="0"/>
            </w:tcBorders>
            <w:vAlign w:val="center"/>
          </w:tcPr>
          <w:p w14:paraId="1730C1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表示噪声向外环境排放</w:t>
            </w:r>
          </w:p>
        </w:tc>
      </w:tr>
      <w:tr w14:paraId="27B813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14:paraId="504BFE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1792" w:type="dxa"/>
            <w:tcBorders>
              <w:top w:val="single" w:color="auto" w:sz="4" w:space="0"/>
              <w:left w:val="single" w:color="auto" w:sz="4" w:space="0"/>
              <w:bottom w:val="single" w:color="auto" w:sz="4" w:space="0"/>
              <w:right w:val="single" w:color="auto" w:sz="4" w:space="0"/>
            </w:tcBorders>
            <w:vAlign w:val="center"/>
          </w:tcPr>
          <w:p w14:paraId="2EED716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一般固废</w:t>
            </w:r>
          </w:p>
          <w:p w14:paraId="0AD3C18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一般固废暂存场所</w:t>
            </w:r>
          </w:p>
        </w:tc>
        <w:tc>
          <w:tcPr>
            <w:tcW w:w="2313" w:type="dxa"/>
            <w:tcBorders>
              <w:top w:val="single" w:color="auto" w:sz="4" w:space="0"/>
              <w:left w:val="single" w:color="auto" w:sz="4" w:space="0"/>
              <w:bottom w:val="single" w:color="auto" w:sz="4" w:space="0"/>
              <w:right w:val="single" w:color="auto" w:sz="4" w:space="0"/>
            </w:tcBorders>
            <w:vAlign w:val="center"/>
          </w:tcPr>
          <w:p w14:paraId="37E054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drawing>
                <wp:inline distT="0" distB="0" distL="0" distR="0">
                  <wp:extent cx="1295400" cy="1652270"/>
                  <wp:effectExtent l="0" t="0" r="0" b="0"/>
                  <wp:docPr id="28"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urrentImg" descr="https://ss3.bdstatic.com/70cFv8Sh_Q1YnxGkpoWK1HF6hhy/it/u=3971714203,1921564374&amp;fm=26&amp;gp=0.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296000" cy="1652400"/>
                          </a:xfrm>
                          <a:prstGeom prst="rect">
                            <a:avLst/>
                          </a:prstGeom>
                          <a:noFill/>
                          <a:ln>
                            <a:noFill/>
                          </a:ln>
                        </pic:spPr>
                      </pic:pic>
                    </a:graphicData>
                  </a:graphic>
                </wp:inline>
              </w:drawing>
            </w:r>
          </w:p>
        </w:tc>
        <w:tc>
          <w:tcPr>
            <w:tcW w:w="2347" w:type="dxa"/>
            <w:tcBorders>
              <w:top w:val="single" w:color="auto" w:sz="4" w:space="0"/>
              <w:left w:val="single" w:color="auto" w:sz="4" w:space="0"/>
              <w:bottom w:val="single" w:color="auto" w:sz="4" w:space="0"/>
              <w:right w:val="single" w:color="auto" w:sz="4" w:space="0"/>
            </w:tcBorders>
            <w:vAlign w:val="center"/>
          </w:tcPr>
          <w:p w14:paraId="06D437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drawing>
                <wp:inline distT="0" distB="0" distL="0" distR="0">
                  <wp:extent cx="1295400" cy="1562100"/>
                  <wp:effectExtent l="0" t="0" r="0" b="0"/>
                  <wp:docPr id="29"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1296000" cy="1562824"/>
                          </a:xfrm>
                          <a:prstGeom prst="rect">
                            <a:avLst/>
                          </a:prstGeom>
                          <a:noFill/>
                          <a:ln>
                            <a:noFill/>
                          </a:ln>
                        </pic:spPr>
                      </pic:pic>
                    </a:graphicData>
                  </a:graphic>
                </wp:inline>
              </w:drawing>
            </w:r>
          </w:p>
        </w:tc>
        <w:tc>
          <w:tcPr>
            <w:tcW w:w="2001" w:type="dxa"/>
            <w:tcBorders>
              <w:top w:val="single" w:color="auto" w:sz="4" w:space="0"/>
              <w:left w:val="single" w:color="auto" w:sz="4" w:space="0"/>
              <w:bottom w:val="single" w:color="auto" w:sz="4" w:space="0"/>
              <w:right w:val="single" w:color="auto" w:sz="4" w:space="0"/>
            </w:tcBorders>
            <w:vAlign w:val="center"/>
          </w:tcPr>
          <w:p w14:paraId="6D9D29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表示一般固体废物贮存、处置场</w:t>
            </w:r>
          </w:p>
        </w:tc>
      </w:tr>
      <w:tr w14:paraId="657F53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14:paraId="47D78B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1792" w:type="dxa"/>
            <w:tcBorders>
              <w:top w:val="single" w:color="auto" w:sz="4" w:space="0"/>
              <w:left w:val="single" w:color="auto" w:sz="4" w:space="0"/>
              <w:bottom w:val="single" w:color="auto" w:sz="4" w:space="0"/>
              <w:right w:val="single" w:color="auto" w:sz="4" w:space="0"/>
            </w:tcBorders>
            <w:vAlign w:val="center"/>
          </w:tcPr>
          <w:p w14:paraId="6E26F8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危险废物</w:t>
            </w:r>
          </w:p>
          <w:p w14:paraId="538C3D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危废暂存间</w:t>
            </w:r>
          </w:p>
        </w:tc>
        <w:tc>
          <w:tcPr>
            <w:tcW w:w="2313" w:type="dxa"/>
            <w:tcBorders>
              <w:top w:val="single" w:color="auto" w:sz="4" w:space="0"/>
              <w:left w:val="single" w:color="auto" w:sz="4" w:space="0"/>
              <w:bottom w:val="single" w:color="auto" w:sz="4" w:space="0"/>
              <w:right w:val="single" w:color="auto" w:sz="4" w:space="0"/>
            </w:tcBorders>
            <w:vAlign w:val="center"/>
          </w:tcPr>
          <w:p w14:paraId="0A6135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p>
        </w:tc>
        <w:tc>
          <w:tcPr>
            <w:tcW w:w="2347" w:type="dxa"/>
            <w:tcBorders>
              <w:top w:val="single" w:color="auto" w:sz="4" w:space="0"/>
              <w:left w:val="single" w:color="auto" w:sz="4" w:space="0"/>
              <w:bottom w:val="single" w:color="auto" w:sz="4" w:space="0"/>
              <w:right w:val="single" w:color="auto" w:sz="4" w:space="0"/>
            </w:tcBorders>
            <w:vAlign w:val="center"/>
          </w:tcPr>
          <w:p w14:paraId="4FAC267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highlight w:val="none"/>
              </w:rPr>
              <w:drawing>
                <wp:inline distT="0" distB="0" distL="114300" distR="114300">
                  <wp:extent cx="1229360" cy="776605"/>
                  <wp:effectExtent l="0" t="0" r="8890" b="4445"/>
                  <wp:docPr id="11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7"/>
                          <pic:cNvPicPr>
                            <a:picLocks noChangeAspect="1"/>
                          </pic:cNvPicPr>
                        </pic:nvPicPr>
                        <pic:blipFill>
                          <a:blip r:embed="rId94"/>
                          <a:stretch>
                            <a:fillRect/>
                          </a:stretch>
                        </pic:blipFill>
                        <pic:spPr>
                          <a:xfrm>
                            <a:off x="0" y="0"/>
                            <a:ext cx="1229360" cy="776605"/>
                          </a:xfrm>
                          <a:prstGeom prst="rect">
                            <a:avLst/>
                          </a:prstGeom>
                          <a:noFill/>
                          <a:ln>
                            <a:noFill/>
                          </a:ln>
                        </pic:spPr>
                      </pic:pic>
                    </a:graphicData>
                  </a:graphic>
                </wp:inline>
              </w:drawing>
            </w:r>
          </w:p>
        </w:tc>
        <w:tc>
          <w:tcPr>
            <w:tcW w:w="2001" w:type="dxa"/>
            <w:tcBorders>
              <w:top w:val="single" w:color="auto" w:sz="4" w:space="0"/>
              <w:left w:val="single" w:color="auto" w:sz="4" w:space="0"/>
              <w:bottom w:val="single" w:color="auto" w:sz="4" w:space="0"/>
              <w:right w:val="single" w:color="auto" w:sz="4" w:space="0"/>
            </w:tcBorders>
            <w:vAlign w:val="center"/>
          </w:tcPr>
          <w:p w14:paraId="332D850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表示危险废物贮存、处置场</w:t>
            </w:r>
          </w:p>
        </w:tc>
      </w:tr>
    </w:tbl>
    <w:p w14:paraId="4350509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本工程排污口使用</w:t>
      </w:r>
      <w:r>
        <w:rPr>
          <w:rFonts w:hint="default" w:ascii="Times New Roman" w:hAnsi="Times New Roman" w:eastAsia="宋体" w:cs="Times New Roman"/>
          <w:color w:val="auto"/>
          <w:highlight w:val="none"/>
          <w:lang w:eastAsia="zh-CN"/>
        </w:rPr>
        <w:t>生态环境部</w:t>
      </w:r>
      <w:r>
        <w:rPr>
          <w:rFonts w:hint="default" w:ascii="Times New Roman" w:hAnsi="Times New Roman" w:eastAsia="宋体" w:cs="Times New Roman"/>
          <w:color w:val="auto"/>
          <w:highlight w:val="none"/>
        </w:rPr>
        <w:t>统一印制的《中华人民共和国规范化排污口标志登记证》，并按要求填写有关内容；</w:t>
      </w:r>
    </w:p>
    <w:p w14:paraId="2A89C23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根据排污口管理内容要求，本工程建成投产后，应将主要污染物种类、数量、排放去向，</w:t>
      </w:r>
      <w:r>
        <w:rPr>
          <w:rFonts w:hint="default" w:ascii="Times New Roman" w:hAnsi="Times New Roman" w:eastAsia="宋体" w:cs="Times New Roman"/>
          <w:color w:val="auto"/>
          <w:highlight w:val="none"/>
          <w:lang w:eastAsia="zh-CN"/>
        </w:rPr>
        <w:t>达标</w:t>
      </w:r>
      <w:r>
        <w:rPr>
          <w:rFonts w:hint="default" w:ascii="Times New Roman" w:hAnsi="Times New Roman" w:eastAsia="宋体" w:cs="Times New Roman"/>
          <w:color w:val="auto"/>
          <w:highlight w:val="none"/>
        </w:rPr>
        <w:t>情况及设施运行情况记录于档案。</w:t>
      </w:r>
    </w:p>
    <w:p w14:paraId="14AD4C3C">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86" w:name="_Toc14784"/>
      <w:bookmarkStart w:id="787" w:name="_Toc41476878"/>
      <w:r>
        <w:rPr>
          <w:rFonts w:hint="default" w:ascii="Times New Roman" w:hAnsi="Times New Roman" w:eastAsia="宋体" w:cs="Times New Roman"/>
          <w:color w:val="auto"/>
          <w:highlight w:val="none"/>
        </w:rPr>
        <w:t>9.2.5环境风险应急</w:t>
      </w:r>
      <w:bookmarkEnd w:id="786"/>
      <w:bookmarkEnd w:id="787"/>
    </w:p>
    <w:p w14:paraId="64FD4B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企业必须建立风险事故应急方案，包括：</w:t>
      </w:r>
    </w:p>
    <w:p w14:paraId="5A13441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（1）制定风险应急预案。</w:t>
      </w:r>
    </w:p>
    <w:p w14:paraId="4E57CD3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（2）建立异常事件预警系统。</w:t>
      </w:r>
    </w:p>
    <w:p w14:paraId="103F3A0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（3）设立报告制度。</w:t>
      </w:r>
    </w:p>
    <w:p w14:paraId="33AE87D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（4）提出消除事故影响的措施。</w:t>
      </w:r>
    </w:p>
    <w:p w14:paraId="1C6F824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（5）建立事故环境影响消除的审核制度。</w:t>
      </w:r>
    </w:p>
    <w:p w14:paraId="7741DC2D">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88" w:name="_Toc41476879"/>
      <w:bookmarkStart w:id="789" w:name="_Toc10780"/>
      <w:r>
        <w:rPr>
          <w:rFonts w:hint="default" w:ascii="Times New Roman" w:hAnsi="Times New Roman" w:eastAsia="宋体" w:cs="Times New Roman"/>
          <w:color w:val="auto"/>
          <w:highlight w:val="none"/>
        </w:rPr>
        <w:t>9.2.6向生态环境主管部门报告制度</w:t>
      </w:r>
      <w:bookmarkEnd w:id="788"/>
      <w:bookmarkEnd w:id="789"/>
    </w:p>
    <w:p w14:paraId="5B096F3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建设单位应制定向生态环境主管部门报告制度，定期向生态环境部门报告防治地下水、大气污染等方面的信息。</w:t>
      </w:r>
    </w:p>
    <w:p w14:paraId="067B7BD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报告应由企业环保管理部门草拟，经总经理或环保工作领导小组确认后，以书面形式向生态环境主管部门报告。报告的频次建议为至少每</w:t>
      </w:r>
      <w:r>
        <w:rPr>
          <w:rFonts w:hint="default" w:ascii="Times New Roman" w:hAnsi="Times New Roman" w:eastAsia="宋体" w:cs="Times New Roman"/>
          <w:color w:val="auto"/>
          <w:highlight w:val="none"/>
          <w:lang w:eastAsia="zh-CN"/>
        </w:rPr>
        <w:t>半年</w:t>
      </w:r>
      <w:r>
        <w:rPr>
          <w:rFonts w:hint="default" w:ascii="Times New Roman" w:hAnsi="Times New Roman" w:eastAsia="宋体" w:cs="Times New Roman"/>
          <w:color w:val="auto"/>
          <w:highlight w:val="none"/>
        </w:rPr>
        <w:t>一次。</w:t>
      </w:r>
    </w:p>
    <w:p w14:paraId="144CE3F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报告的内容应包括：所在场地及其影响区地下水环境、大气环境等监测数据，排放污染物的种类、数量、浓度，以及排放设施、治理措施运行状况和运行效果等。</w:t>
      </w:r>
    </w:p>
    <w:p w14:paraId="5C598C00">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90" w:name="_Toc41476880"/>
      <w:bookmarkStart w:id="791" w:name="_Toc7955"/>
      <w:r>
        <w:rPr>
          <w:rFonts w:hint="default" w:ascii="Times New Roman" w:hAnsi="Times New Roman" w:eastAsia="宋体" w:cs="Times New Roman"/>
          <w:color w:val="auto"/>
          <w:highlight w:val="none"/>
        </w:rPr>
        <w:t>9.2.7企业环境信息公开</w:t>
      </w:r>
      <w:bookmarkEnd w:id="790"/>
      <w:bookmarkEnd w:id="791"/>
    </w:p>
    <w:p w14:paraId="4EA6C21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建设单位按照《关于加强污染源环境监管信息公开工作的通知》（环发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74号）及《企业事业单位环境信息公开办法》（环保部令第31号）的要求，在重点排污单位名录公布后九十日内，对以下内容进行公开：</w:t>
      </w:r>
    </w:p>
    <w:p w14:paraId="2D7AC26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1）建设单位名称、组织机构代码、法定代表人、生产地址、联系方式，以及生产经营和管理服务的主要内容、产品及规模；</w:t>
      </w:r>
    </w:p>
    <w:p w14:paraId="2571196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2）污染物及特征污染物的名称、排放方式、排放口数量和分布情况、排放浓度和总量、超标情况，以及执行的污染物排放标准、核定的排放总量；</w:t>
      </w:r>
    </w:p>
    <w:p w14:paraId="75C13D6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3）防治污染设施的建设和运行情况；</w:t>
      </w:r>
    </w:p>
    <w:p w14:paraId="5901108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4）建设项目环境影响评价及其他环境保护行政许可情况；</w:t>
      </w:r>
    </w:p>
    <w:p w14:paraId="19AB3C5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5）突发环境事件应急预案。</w:t>
      </w:r>
    </w:p>
    <w:p w14:paraId="13ABC98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公开方式：</w:t>
      </w:r>
    </w:p>
    <w:p w14:paraId="2B4FD01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1）企业网站及当地政府网站；</w:t>
      </w:r>
    </w:p>
    <w:p w14:paraId="5D44043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2）企业办公楼显示屏；</w:t>
      </w:r>
    </w:p>
    <w:p w14:paraId="6B220D2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3）企业公告栏、公示栏。</w:t>
      </w:r>
    </w:p>
    <w:p w14:paraId="281B9D6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同时，建设单位按照《关于加强企业环境信用体系建设的指导意见》（环发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161号）的要求，定期在政府网站公布自身污染物监测数据以及区域环境质量现状监测数据。</w:t>
      </w:r>
    </w:p>
    <w:p w14:paraId="19885ECE">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792" w:name="_Toc1659"/>
      <w:bookmarkStart w:id="793" w:name="_Toc41476881"/>
      <w:r>
        <w:rPr>
          <w:rFonts w:hint="default" w:ascii="Times New Roman" w:hAnsi="Times New Roman" w:eastAsia="宋体" w:cs="Times New Roman"/>
          <w:color w:val="auto"/>
          <w:highlight w:val="none"/>
        </w:rPr>
        <w:t>9.2.8日常环境管理台账</w:t>
      </w:r>
      <w:bookmarkEnd w:id="792"/>
      <w:bookmarkEnd w:id="793"/>
    </w:p>
    <w:p w14:paraId="7F619D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企业需建立环境管理台账制度，定期记录汇总生产报表、原燃料报表、监测数据、环保设施台账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固定污染源排放量核算报表等信息。企业应设置专职人员进行</w:t>
      </w:r>
      <w:r>
        <w:rPr>
          <w:rFonts w:hint="default" w:ascii="Times New Roman" w:hAnsi="Times New Roman" w:eastAsia="宋体" w:cs="Times New Roman"/>
          <w:color w:val="auto"/>
          <w:highlight w:val="none"/>
          <w:lang w:eastAsia="zh-CN"/>
        </w:rPr>
        <w:t>台账的</w:t>
      </w:r>
      <w:r>
        <w:rPr>
          <w:rFonts w:hint="default" w:ascii="Times New Roman" w:hAnsi="Times New Roman" w:eastAsia="宋体" w:cs="Times New Roman"/>
          <w:color w:val="auto"/>
          <w:highlight w:val="none"/>
        </w:rPr>
        <w:t>记录、整理、维护和管理，并在排污许可证管理信息平台实时记录。企业应对台账记录结果的真实性、准确性、完整性负责。</w:t>
      </w:r>
    </w:p>
    <w:p w14:paraId="6AE423FD">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94" w:name="_Toc29707"/>
      <w:bookmarkStart w:id="795" w:name="_Toc523322399"/>
      <w:r>
        <w:rPr>
          <w:rFonts w:hint="default" w:ascii="Times New Roman" w:hAnsi="Times New Roman" w:eastAsia="宋体" w:cs="Times New Roman"/>
          <w:color w:val="auto"/>
          <w:highlight w:val="none"/>
        </w:rPr>
        <w:t>9.3监测计划</w:t>
      </w:r>
      <w:bookmarkEnd w:id="794"/>
      <w:bookmarkEnd w:id="795"/>
    </w:p>
    <w:p w14:paraId="4CADB6D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本次评价按照《</w:t>
      </w:r>
      <w:r>
        <w:rPr>
          <w:rFonts w:hint="default" w:ascii="Times New Roman" w:hAnsi="Times New Roman" w:eastAsia="宋体" w:cs="Times New Roman"/>
          <w:color w:val="auto"/>
          <w:highlight w:val="none"/>
          <w:lang w:eastAsia="zh-CN"/>
        </w:rPr>
        <w:t>排污单位自行监测技术指南 总则</w:t>
      </w:r>
      <w:r>
        <w:rPr>
          <w:rFonts w:hint="default" w:ascii="Times New Roman" w:hAnsi="Times New Roman" w:eastAsia="宋体" w:cs="Times New Roman"/>
          <w:color w:val="auto"/>
          <w:highlight w:val="none"/>
        </w:rPr>
        <w:t>》（HJ819-2017）、《</w:t>
      </w:r>
      <w:r>
        <w:rPr>
          <w:rFonts w:hint="default" w:ascii="Times New Roman" w:hAnsi="Times New Roman" w:eastAsia="宋体" w:cs="Times New Roman"/>
          <w:color w:val="auto"/>
          <w:highlight w:val="none"/>
          <w:lang w:eastAsia="zh-CN"/>
        </w:rPr>
        <w:t>排污许可证申请与核发技术规范 畜禽养殖行业</w:t>
      </w:r>
      <w:r>
        <w:rPr>
          <w:rFonts w:hint="default" w:ascii="Times New Roman" w:hAnsi="Times New Roman" w:eastAsia="宋体" w:cs="Times New Roman"/>
          <w:color w:val="auto"/>
          <w:highlight w:val="none"/>
        </w:rPr>
        <w:t>》（HJ1029-2019）以及各环境要素导则、相关标准要求制定项目运营期监测计划。</w:t>
      </w:r>
    </w:p>
    <w:p w14:paraId="62EAB5C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排污单位应在生产运行阶段对其排放的废水、废气、噪声以及对周边环境质量影响开展监测，本工程的环境监测计划应包括</w:t>
      </w:r>
      <w:r>
        <w:rPr>
          <w:rFonts w:hint="default" w:ascii="Times New Roman" w:hAnsi="Times New Roman" w:eastAsia="宋体" w:cs="Times New Roman"/>
          <w:color w:val="auto"/>
          <w:highlight w:val="none"/>
          <w:lang w:val="en-US" w:eastAsia="zh-CN"/>
        </w:rPr>
        <w:t>两</w:t>
      </w:r>
      <w:r>
        <w:rPr>
          <w:rFonts w:hint="default" w:ascii="Times New Roman" w:hAnsi="Times New Roman" w:eastAsia="宋体" w:cs="Times New Roman"/>
          <w:color w:val="auto"/>
          <w:highlight w:val="none"/>
          <w:lang w:eastAsia="zh-CN"/>
        </w:rPr>
        <w:t>个</w:t>
      </w:r>
      <w:r>
        <w:rPr>
          <w:rFonts w:hint="default" w:ascii="Times New Roman" w:hAnsi="Times New Roman" w:eastAsia="宋体" w:cs="Times New Roman"/>
          <w:color w:val="auto"/>
          <w:highlight w:val="none"/>
        </w:rPr>
        <w:t>部分：一为竣工验收监测，二为营运期的常规监测。</w:t>
      </w:r>
    </w:p>
    <w:p w14:paraId="7EC0C98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竣工验收监测：本工程投入试生产后，建设单位应按规定对本工程环保“三同时”设施组织竣工验收监测。</w:t>
      </w:r>
    </w:p>
    <w:p w14:paraId="31B420EB">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color w:val="auto"/>
          <w:highlight w:val="none"/>
        </w:rPr>
        <w:t>营运期的常规监测：主要是对工程的污染源进行监测，为掌握工程环保设施的运行状况，对环保设施运行情况进行定期或不定期监测。</w:t>
      </w:r>
      <w:r>
        <w:rPr>
          <w:rFonts w:hint="default" w:ascii="Times New Roman" w:hAnsi="Times New Roman" w:eastAsia="宋体" w:cs="Times New Roman"/>
          <w:b w:val="0"/>
          <w:bCs w:val="0"/>
          <w:color w:val="auto"/>
          <w:sz w:val="24"/>
          <w:szCs w:val="24"/>
          <w:highlight w:val="none"/>
        </w:rPr>
        <w:t>根据《排污许可证申请与核发技术规范</w:t>
      </w:r>
      <w:r>
        <w:rPr>
          <w:rFonts w:hint="default"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畜禽养殖行业</w:t>
      </w:r>
      <w:r>
        <w:rPr>
          <w:rFonts w:hint="default" w:ascii="Times New Roman" w:hAnsi="Times New Roman" w:eastAsia="宋体" w:cs="Times New Roman"/>
          <w:b w:val="0"/>
          <w:bCs w:val="0"/>
          <w:color w:val="auto"/>
          <w:sz w:val="24"/>
          <w:szCs w:val="24"/>
          <w:highlight w:val="none"/>
        </w:rPr>
        <w:t>》（HJ</w:t>
      </w:r>
      <w:r>
        <w:rPr>
          <w:rFonts w:hint="default" w:ascii="Times New Roman" w:hAnsi="Times New Roman" w:eastAsia="宋体" w:cs="Times New Roman"/>
          <w:b w:val="0"/>
          <w:bCs w:val="0"/>
          <w:color w:val="auto"/>
          <w:sz w:val="24"/>
          <w:szCs w:val="24"/>
          <w:highlight w:val="none"/>
          <w:lang w:val="en-US" w:eastAsia="zh-CN"/>
        </w:rPr>
        <w:t>1029</w:t>
      </w:r>
      <w:r>
        <w:rPr>
          <w:rFonts w:hint="default" w:ascii="Times New Roman" w:hAnsi="Times New Roman" w:eastAsia="宋体" w:cs="Times New Roman"/>
          <w:b w:val="0"/>
          <w:bCs w:val="0"/>
          <w:color w:val="auto"/>
          <w:sz w:val="24"/>
          <w:szCs w:val="24"/>
          <w:highlight w:val="none"/>
        </w:rPr>
        <w:t>-201</w:t>
      </w:r>
      <w:r>
        <w:rPr>
          <w:rFonts w:hint="default" w:ascii="Times New Roman" w:hAnsi="Times New Roman" w:eastAsia="宋体" w:cs="Times New Roman"/>
          <w:b w:val="0"/>
          <w:bCs w:val="0"/>
          <w:color w:val="auto"/>
          <w:sz w:val="24"/>
          <w:szCs w:val="24"/>
          <w:highlight w:val="none"/>
          <w:lang w:val="en-US" w:eastAsia="zh-CN"/>
        </w:rPr>
        <w:t>9</w:t>
      </w:r>
      <w:r>
        <w:rPr>
          <w:rFonts w:hint="default" w:ascii="Times New Roman" w:hAnsi="Times New Roman" w:eastAsia="宋体" w:cs="Times New Roman"/>
          <w:b w:val="0"/>
          <w:bCs w:val="0"/>
          <w:color w:val="auto"/>
          <w:sz w:val="24"/>
          <w:szCs w:val="24"/>
          <w:highlight w:val="none"/>
        </w:rPr>
        <w:t>）要求，本项目</w:t>
      </w:r>
      <w:r>
        <w:rPr>
          <w:rFonts w:hint="default" w:ascii="Times New Roman" w:hAnsi="Times New Roman" w:eastAsia="宋体" w:cs="Times New Roman"/>
          <w:b w:val="0"/>
          <w:bCs w:val="0"/>
          <w:color w:val="auto"/>
          <w:sz w:val="24"/>
          <w:szCs w:val="24"/>
          <w:highlight w:val="none"/>
          <w:lang w:val="en-US" w:eastAsia="zh-CN"/>
        </w:rPr>
        <w:t>环境</w:t>
      </w:r>
      <w:r>
        <w:rPr>
          <w:rFonts w:hint="default" w:ascii="Times New Roman" w:hAnsi="Times New Roman" w:eastAsia="宋体" w:cs="Times New Roman"/>
          <w:b w:val="0"/>
          <w:bCs w:val="0"/>
          <w:color w:val="auto"/>
          <w:sz w:val="24"/>
          <w:szCs w:val="24"/>
          <w:highlight w:val="none"/>
        </w:rPr>
        <w:t>监测计划如下：</w:t>
      </w:r>
    </w:p>
    <w:p w14:paraId="33650C67">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表9.</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本次项目环境监测计划一览表</w:t>
      </w:r>
    </w:p>
    <w:tbl>
      <w:tblPr>
        <w:tblStyle w:val="42"/>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476"/>
        <w:gridCol w:w="513"/>
        <w:gridCol w:w="6"/>
        <w:gridCol w:w="392"/>
        <w:gridCol w:w="686"/>
        <w:gridCol w:w="1976"/>
        <w:gridCol w:w="843"/>
        <w:gridCol w:w="2543"/>
        <w:gridCol w:w="842"/>
      </w:tblGrid>
      <w:tr w14:paraId="221FEA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tcBorders>
              <w:top w:val="single" w:color="auto" w:sz="4" w:space="0"/>
              <w:left w:val="single" w:color="auto" w:sz="4" w:space="0"/>
              <w:bottom w:val="single" w:color="auto" w:sz="4" w:space="0"/>
              <w:right w:val="single" w:color="auto" w:sz="4" w:space="0"/>
            </w:tcBorders>
            <w:shd w:val="clear" w:color="auto" w:fill="auto"/>
            <w:vAlign w:val="center"/>
          </w:tcPr>
          <w:p w14:paraId="3F3359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阶段</w:t>
            </w:r>
          </w:p>
        </w:tc>
        <w:tc>
          <w:tcPr>
            <w:tcW w:w="9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3FE2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7CB022E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2BFE78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监测指标</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61F65C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监测频次</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4AB05BC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5B8B1B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实施单位</w:t>
            </w:r>
          </w:p>
        </w:tc>
      </w:tr>
      <w:tr w14:paraId="1BE003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restart"/>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068F347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运营期</w:t>
            </w:r>
          </w:p>
        </w:tc>
        <w:tc>
          <w:tcPr>
            <w:tcW w:w="513" w:type="dxa"/>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7C57B2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环境质量监测</w:t>
            </w:r>
          </w:p>
        </w:tc>
        <w:tc>
          <w:tcPr>
            <w:tcW w:w="39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D1B90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7990581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1口地下水监控井水质</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287B6F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pH、总硬度、耗氧量、硫酸盐、氯化物、硝酸盐、氨氮、亚硝酸盐、挥发性酚类、氰化物、氟、溶解性总固体、六价铬、砷、汞、铅、镉、铁、锰、</w:t>
            </w:r>
            <w:r>
              <w:rPr>
                <w:rFonts w:hint="default" w:ascii="Times New Roman" w:hAnsi="Times New Roman" w:eastAsia="宋体" w:cs="Times New Roman"/>
                <w:color w:val="auto"/>
                <w:sz w:val="21"/>
                <w:szCs w:val="21"/>
                <w:highlight w:val="none"/>
                <w:lang w:eastAsia="zh-CN"/>
              </w:rPr>
              <w:t>菌落总数</w:t>
            </w:r>
            <w:r>
              <w:rPr>
                <w:rFonts w:hint="default" w:ascii="Times New Roman" w:hAnsi="Times New Roman" w:eastAsia="宋体" w:cs="Times New Roman"/>
                <w:color w:val="auto"/>
                <w:sz w:val="21"/>
                <w:szCs w:val="21"/>
                <w:highlight w:val="none"/>
              </w:rPr>
              <w:t>、总大肠菌群等共21项</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50428D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6F8C1D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《地下水质量标准》（GB/T14848-2017）中Ⅲ类标准</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1E615C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4C4116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left w:val="single" w:color="auto" w:sz="4" w:space="0"/>
              <w:right w:val="single" w:color="auto" w:sz="4" w:space="0"/>
            </w:tcBorders>
            <w:shd w:val="clear" w:color="auto" w:fill="auto"/>
            <w:textDirection w:val="tbRlV"/>
            <w:vAlign w:val="center"/>
          </w:tcPr>
          <w:p w14:paraId="79A44D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3" w:type="dxa"/>
            <w:vMerge w:val="restart"/>
            <w:tcBorders>
              <w:top w:val="single" w:color="auto" w:sz="4" w:space="0"/>
              <w:left w:val="single" w:color="auto" w:sz="4" w:space="0"/>
              <w:right w:val="single" w:color="auto" w:sz="4" w:space="0"/>
            </w:tcBorders>
            <w:shd w:val="clear" w:color="auto" w:fill="auto"/>
            <w:textDirection w:val="tbRlV"/>
            <w:vAlign w:val="center"/>
          </w:tcPr>
          <w:p w14:paraId="3CA573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8" w:type="dxa"/>
            <w:gridSpan w:val="2"/>
            <w:vMerge w:val="restart"/>
            <w:tcBorders>
              <w:top w:val="single" w:color="auto" w:sz="4" w:space="0"/>
              <w:left w:val="single" w:color="auto" w:sz="4" w:space="0"/>
              <w:right w:val="single" w:color="auto" w:sz="4" w:space="0"/>
            </w:tcBorders>
            <w:shd w:val="clear" w:color="auto" w:fill="auto"/>
            <w:vAlign w:val="center"/>
          </w:tcPr>
          <w:p w14:paraId="17C1CB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686" w:type="dxa"/>
            <w:vMerge w:val="restart"/>
            <w:tcBorders>
              <w:top w:val="single" w:color="auto" w:sz="4" w:space="0"/>
              <w:left w:val="single" w:color="auto" w:sz="4" w:space="0"/>
              <w:right w:val="single" w:color="auto" w:sz="4" w:space="0"/>
            </w:tcBorders>
            <w:shd w:val="clear" w:color="auto" w:fill="auto"/>
            <w:vAlign w:val="center"/>
          </w:tcPr>
          <w:p w14:paraId="7A4766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15排气筒</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51CF4FD4">
            <w:pPr>
              <w:keepNext w:val="0"/>
              <w:keepLines w:val="0"/>
              <w:pageBreakBefore w:val="0"/>
              <w:suppressLineNumbers w:val="0"/>
              <w:shd w:val="clear"/>
              <w:kinsoku/>
              <w:wordWrap/>
              <w:overflowPunct/>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颗粒物</w:t>
            </w:r>
          </w:p>
        </w:tc>
        <w:tc>
          <w:tcPr>
            <w:tcW w:w="843" w:type="dxa"/>
            <w:vMerge w:val="restart"/>
            <w:tcBorders>
              <w:top w:val="single" w:color="auto" w:sz="4" w:space="0"/>
              <w:left w:val="single" w:color="auto" w:sz="4" w:space="0"/>
              <w:right w:val="single" w:color="auto" w:sz="4" w:space="0"/>
            </w:tcBorders>
            <w:shd w:val="clear" w:color="auto" w:fill="auto"/>
            <w:vAlign w:val="center"/>
          </w:tcPr>
          <w:p w14:paraId="3E1401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每年1次</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7E716DC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《工业炉窑大气污染物排放标准》（GB9078-1996）</w:t>
            </w:r>
            <w:r>
              <w:rPr>
                <w:rFonts w:hint="default" w:ascii="Times New Roman" w:hAnsi="Times New Roman" w:eastAsia="宋体" w:cs="Times New Roman"/>
                <w:color w:val="auto"/>
                <w:sz w:val="21"/>
                <w:szCs w:val="21"/>
                <w:highlight w:val="none"/>
              </w:rPr>
              <w:t>表2</w:t>
            </w:r>
            <w:r>
              <w:rPr>
                <w:rFonts w:hint="default" w:ascii="Times New Roman" w:hAnsi="Times New Roman" w:eastAsia="宋体" w:cs="Times New Roman"/>
                <w:color w:val="auto"/>
                <w:sz w:val="21"/>
                <w:szCs w:val="21"/>
                <w:highlight w:val="none"/>
                <w:lang w:eastAsia="zh-CN"/>
              </w:rPr>
              <w:t>中</w:t>
            </w:r>
            <w:r>
              <w:rPr>
                <w:rFonts w:hint="default" w:ascii="Times New Roman" w:hAnsi="Times New Roman" w:eastAsia="宋体" w:cs="Times New Roman"/>
                <w:color w:val="auto"/>
                <w:sz w:val="21"/>
                <w:szCs w:val="21"/>
                <w:highlight w:val="none"/>
              </w:rPr>
              <w:t>干燥炉</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窑</w:t>
            </w:r>
            <w:r>
              <w:rPr>
                <w:rFonts w:hint="default" w:ascii="Times New Roman" w:hAnsi="Times New Roman" w:eastAsia="宋体" w:cs="Times New Roman"/>
                <w:color w:val="auto"/>
                <w:sz w:val="21"/>
                <w:szCs w:val="21"/>
                <w:highlight w:val="none"/>
                <w:lang w:eastAsia="zh-CN"/>
              </w:rPr>
              <w:t>的二级排放限值</w:t>
            </w:r>
            <w:r>
              <w:rPr>
                <w:rFonts w:hint="default" w:ascii="Times New Roman" w:hAnsi="Times New Roman" w:eastAsia="宋体" w:cs="Times New Roman"/>
                <w:b w:val="0"/>
                <w:bCs w:val="0"/>
                <w:color w:val="auto"/>
                <w:sz w:val="21"/>
                <w:szCs w:val="21"/>
                <w:highlight w:val="none"/>
                <w:lang w:val="en-US" w:eastAsia="zh-CN"/>
              </w:rPr>
              <w:t>--最高排放浓度200mg/m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的要求</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1C6D44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738CDB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left w:val="single" w:color="auto" w:sz="4" w:space="0"/>
              <w:right w:val="single" w:color="auto" w:sz="4" w:space="0"/>
            </w:tcBorders>
            <w:shd w:val="clear" w:color="auto" w:fill="auto"/>
            <w:textDirection w:val="tbRlV"/>
            <w:vAlign w:val="center"/>
          </w:tcPr>
          <w:p w14:paraId="178C398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3" w:type="dxa"/>
            <w:vMerge w:val="continue"/>
            <w:tcBorders>
              <w:left w:val="single" w:color="auto" w:sz="4" w:space="0"/>
              <w:right w:val="single" w:color="auto" w:sz="4" w:space="0"/>
            </w:tcBorders>
            <w:shd w:val="clear" w:color="auto" w:fill="auto"/>
            <w:textDirection w:val="tbRlV"/>
            <w:vAlign w:val="center"/>
          </w:tcPr>
          <w:p w14:paraId="28BAE3B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8" w:type="dxa"/>
            <w:gridSpan w:val="2"/>
            <w:vMerge w:val="continue"/>
            <w:tcBorders>
              <w:left w:val="single" w:color="auto" w:sz="4" w:space="0"/>
              <w:right w:val="single" w:color="auto" w:sz="4" w:space="0"/>
            </w:tcBorders>
            <w:shd w:val="clear" w:color="auto" w:fill="auto"/>
            <w:vAlign w:val="center"/>
          </w:tcPr>
          <w:p w14:paraId="170B6F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left w:val="single" w:color="auto" w:sz="4" w:space="0"/>
              <w:right w:val="single" w:color="auto" w:sz="4" w:space="0"/>
            </w:tcBorders>
            <w:shd w:val="clear" w:color="auto" w:fill="auto"/>
            <w:vAlign w:val="center"/>
          </w:tcPr>
          <w:p w14:paraId="0BC8760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5F8ED06E">
            <w:pPr>
              <w:keepNext w:val="0"/>
              <w:keepLines w:val="0"/>
              <w:pageBreakBefore w:val="0"/>
              <w:suppressLineNumbers w:val="0"/>
              <w:shd w:val="clear"/>
              <w:kinsoku/>
              <w:wordWrap/>
              <w:overflowPunct/>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二氧化硫</w:t>
            </w:r>
          </w:p>
        </w:tc>
        <w:tc>
          <w:tcPr>
            <w:tcW w:w="843" w:type="dxa"/>
            <w:vMerge w:val="continue"/>
            <w:tcBorders>
              <w:left w:val="single" w:color="auto" w:sz="4" w:space="0"/>
              <w:right w:val="single" w:color="auto" w:sz="4" w:space="0"/>
            </w:tcBorders>
            <w:shd w:val="clear" w:color="auto" w:fill="auto"/>
            <w:vAlign w:val="center"/>
          </w:tcPr>
          <w:p w14:paraId="4CD087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1A75ABA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《工业炉窑大气污染物排放标准》（GB9078-1996）</w:t>
            </w:r>
            <w:r>
              <w:rPr>
                <w:rFonts w:hint="default" w:ascii="Times New Roman" w:hAnsi="Times New Roman" w:eastAsia="宋体" w:cs="Times New Roman"/>
                <w:color w:val="auto"/>
                <w:sz w:val="21"/>
                <w:szCs w:val="21"/>
                <w:highlight w:val="none"/>
              </w:rPr>
              <w:t>表</w:t>
            </w:r>
            <w:r>
              <w:rPr>
                <w:rFonts w:hint="default" w:ascii="Times New Roman" w:hAnsi="Times New Roman" w:eastAsia="宋体" w:cs="Times New Roman"/>
                <w:color w:val="auto"/>
                <w:sz w:val="21"/>
                <w:szCs w:val="21"/>
                <w:highlight w:val="none"/>
                <w:lang w:val="en-US" w:eastAsia="zh-CN"/>
              </w:rPr>
              <w:t>4中燃煤炉窑的新、改、扩建的工业炉窑排放浓度--</w:t>
            </w:r>
            <w:r>
              <w:rPr>
                <w:rFonts w:hint="default" w:ascii="Times New Roman" w:hAnsi="Times New Roman" w:eastAsia="宋体" w:cs="Times New Roman"/>
                <w:b w:val="0"/>
                <w:bCs w:val="0"/>
                <w:color w:val="auto"/>
                <w:sz w:val="21"/>
                <w:szCs w:val="21"/>
                <w:highlight w:val="none"/>
                <w:lang w:val="en-US" w:eastAsia="zh-CN"/>
              </w:rPr>
              <w:t>最高排放浓度850mg/m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的要求</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3D0E61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7267F5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left w:val="single" w:color="auto" w:sz="4" w:space="0"/>
              <w:right w:val="single" w:color="auto" w:sz="4" w:space="0"/>
            </w:tcBorders>
            <w:shd w:val="clear" w:color="auto" w:fill="auto"/>
            <w:textDirection w:val="tbRlV"/>
            <w:vAlign w:val="center"/>
          </w:tcPr>
          <w:p w14:paraId="13A6E7B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3" w:type="dxa"/>
            <w:vMerge w:val="continue"/>
            <w:tcBorders>
              <w:left w:val="single" w:color="auto" w:sz="4" w:space="0"/>
              <w:right w:val="single" w:color="auto" w:sz="4" w:space="0"/>
            </w:tcBorders>
            <w:shd w:val="clear" w:color="auto" w:fill="auto"/>
            <w:textDirection w:val="tbRlV"/>
            <w:vAlign w:val="center"/>
          </w:tcPr>
          <w:p w14:paraId="31C399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8" w:type="dxa"/>
            <w:gridSpan w:val="2"/>
            <w:vMerge w:val="continue"/>
            <w:tcBorders>
              <w:left w:val="single" w:color="auto" w:sz="4" w:space="0"/>
              <w:right w:val="single" w:color="auto" w:sz="4" w:space="0"/>
            </w:tcBorders>
            <w:shd w:val="clear" w:color="auto" w:fill="auto"/>
            <w:vAlign w:val="center"/>
          </w:tcPr>
          <w:p w14:paraId="50740D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left w:val="single" w:color="auto" w:sz="4" w:space="0"/>
              <w:right w:val="single" w:color="auto" w:sz="4" w:space="0"/>
            </w:tcBorders>
            <w:shd w:val="clear" w:color="auto" w:fill="auto"/>
            <w:vAlign w:val="center"/>
          </w:tcPr>
          <w:p w14:paraId="7B55E4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588CBD1A">
            <w:pPr>
              <w:keepNext w:val="0"/>
              <w:keepLines w:val="0"/>
              <w:pageBreakBefore w:val="0"/>
              <w:suppressLineNumbers w:val="0"/>
              <w:shd w:val="clear"/>
              <w:kinsoku/>
              <w:wordWrap/>
              <w:overflowPunct/>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氮氧化物</w:t>
            </w:r>
          </w:p>
        </w:tc>
        <w:tc>
          <w:tcPr>
            <w:tcW w:w="843" w:type="dxa"/>
            <w:vMerge w:val="continue"/>
            <w:tcBorders>
              <w:left w:val="single" w:color="auto" w:sz="4" w:space="0"/>
              <w:right w:val="single" w:color="auto" w:sz="4" w:space="0"/>
            </w:tcBorders>
            <w:shd w:val="clear" w:color="auto" w:fill="auto"/>
            <w:vAlign w:val="center"/>
          </w:tcPr>
          <w:p w14:paraId="2490F2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0565678B">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《大气污染物综合排放标准》（GB16297-1996）</w:t>
            </w: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新污染源大气污染物排放限值</w:t>
            </w:r>
            <w:r>
              <w:rPr>
                <w:rFonts w:hint="default" w:ascii="Times New Roman" w:hAnsi="Times New Roman" w:eastAsia="宋体" w:cs="Times New Roman"/>
                <w:b w:val="0"/>
                <w:bCs w:val="0"/>
                <w:color w:val="auto"/>
                <w:sz w:val="21"/>
                <w:szCs w:val="21"/>
                <w:highlight w:val="none"/>
                <w:lang w:val="en-US" w:eastAsia="zh-CN"/>
              </w:rPr>
              <w:t>--排气高度为15m时，排放速率0.77kg/h和最高排放浓度240mg/m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的限值要求</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7E5545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58140C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left w:val="single" w:color="auto" w:sz="4" w:space="0"/>
              <w:right w:val="single" w:color="auto" w:sz="4" w:space="0"/>
            </w:tcBorders>
            <w:shd w:val="clear" w:color="auto" w:fill="auto"/>
            <w:textDirection w:val="tbRlV"/>
            <w:vAlign w:val="center"/>
          </w:tcPr>
          <w:p w14:paraId="52A104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3" w:type="dxa"/>
            <w:vMerge w:val="continue"/>
            <w:tcBorders>
              <w:left w:val="single" w:color="auto" w:sz="4" w:space="0"/>
              <w:right w:val="single" w:color="auto" w:sz="4" w:space="0"/>
            </w:tcBorders>
            <w:shd w:val="clear" w:color="auto" w:fill="auto"/>
            <w:textDirection w:val="tbRlV"/>
            <w:vAlign w:val="center"/>
          </w:tcPr>
          <w:p w14:paraId="050F68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8" w:type="dxa"/>
            <w:gridSpan w:val="2"/>
            <w:vMerge w:val="continue"/>
            <w:tcBorders>
              <w:left w:val="single" w:color="auto" w:sz="4" w:space="0"/>
              <w:right w:val="single" w:color="auto" w:sz="4" w:space="0"/>
            </w:tcBorders>
            <w:shd w:val="clear" w:color="auto" w:fill="auto"/>
            <w:vAlign w:val="center"/>
          </w:tcPr>
          <w:p w14:paraId="2739C65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left w:val="single" w:color="auto" w:sz="4" w:space="0"/>
              <w:right w:val="single" w:color="auto" w:sz="4" w:space="0"/>
            </w:tcBorders>
            <w:shd w:val="clear" w:color="auto" w:fill="auto"/>
            <w:vAlign w:val="center"/>
          </w:tcPr>
          <w:p w14:paraId="6EF14FA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5C3CFDF6">
            <w:pPr>
              <w:keepNext w:val="0"/>
              <w:keepLines w:val="0"/>
              <w:pageBreakBefore w:val="0"/>
              <w:suppressLineNumbers w:val="0"/>
              <w:shd w:val="clear"/>
              <w:kinsoku/>
              <w:wordWrap/>
              <w:overflowPunct/>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汞</w:t>
            </w:r>
          </w:p>
        </w:tc>
        <w:tc>
          <w:tcPr>
            <w:tcW w:w="843" w:type="dxa"/>
            <w:vMerge w:val="continue"/>
            <w:tcBorders>
              <w:left w:val="single" w:color="auto" w:sz="4" w:space="0"/>
              <w:right w:val="single" w:color="auto" w:sz="4" w:space="0"/>
            </w:tcBorders>
            <w:shd w:val="clear" w:color="auto" w:fill="auto"/>
            <w:vAlign w:val="center"/>
          </w:tcPr>
          <w:p w14:paraId="1D1AC52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5DEF525B">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《工业炉窑大气污染物排放标准》（GB9078-1996）表4中</w:t>
            </w:r>
            <w:r>
              <w:rPr>
                <w:rFonts w:hint="default" w:ascii="Times New Roman" w:hAnsi="Times New Roman" w:eastAsia="宋体" w:cs="Times New Roman"/>
                <w:color w:val="auto"/>
                <w:sz w:val="21"/>
                <w:szCs w:val="21"/>
                <w:highlight w:val="none"/>
                <w:lang w:eastAsia="zh-CN"/>
              </w:rPr>
              <w:t>其他的二级标准排放限值</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最高排放浓度0.01mg/m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的限值要求</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3828069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25F71C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left w:val="single" w:color="auto" w:sz="4" w:space="0"/>
              <w:right w:val="single" w:color="auto" w:sz="4" w:space="0"/>
            </w:tcBorders>
            <w:shd w:val="clear" w:color="auto" w:fill="auto"/>
            <w:textDirection w:val="tbRlV"/>
            <w:vAlign w:val="center"/>
          </w:tcPr>
          <w:p w14:paraId="3CB38BF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3" w:type="dxa"/>
            <w:vMerge w:val="continue"/>
            <w:tcBorders>
              <w:left w:val="single" w:color="auto" w:sz="4" w:space="0"/>
              <w:bottom w:val="single" w:color="auto" w:sz="4" w:space="0"/>
              <w:right w:val="single" w:color="auto" w:sz="4" w:space="0"/>
            </w:tcBorders>
            <w:shd w:val="clear" w:color="auto" w:fill="auto"/>
            <w:textDirection w:val="tbRlV"/>
            <w:vAlign w:val="center"/>
          </w:tcPr>
          <w:p w14:paraId="494045A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8" w:type="dxa"/>
            <w:gridSpan w:val="2"/>
            <w:vMerge w:val="continue"/>
            <w:tcBorders>
              <w:left w:val="single" w:color="auto" w:sz="4" w:space="0"/>
              <w:bottom w:val="single" w:color="auto" w:sz="4" w:space="0"/>
              <w:right w:val="single" w:color="auto" w:sz="4" w:space="0"/>
            </w:tcBorders>
            <w:shd w:val="clear" w:color="auto" w:fill="auto"/>
            <w:vAlign w:val="center"/>
          </w:tcPr>
          <w:p w14:paraId="73B19F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left w:val="single" w:color="auto" w:sz="4" w:space="0"/>
              <w:bottom w:val="single" w:color="auto" w:sz="4" w:space="0"/>
              <w:right w:val="single" w:color="auto" w:sz="4" w:space="0"/>
            </w:tcBorders>
            <w:shd w:val="clear" w:color="auto" w:fill="auto"/>
            <w:vAlign w:val="center"/>
          </w:tcPr>
          <w:p w14:paraId="4811E6F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31FD118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烟气黑度</w:t>
            </w:r>
          </w:p>
        </w:tc>
        <w:tc>
          <w:tcPr>
            <w:tcW w:w="843" w:type="dxa"/>
            <w:vMerge w:val="continue"/>
            <w:tcBorders>
              <w:left w:val="single" w:color="auto" w:sz="4" w:space="0"/>
              <w:bottom w:val="single" w:color="auto" w:sz="4" w:space="0"/>
              <w:right w:val="single" w:color="auto" w:sz="4" w:space="0"/>
            </w:tcBorders>
            <w:shd w:val="clear" w:color="auto" w:fill="auto"/>
            <w:vAlign w:val="center"/>
          </w:tcPr>
          <w:p w14:paraId="4A7272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67CF837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《工业炉窑大气污染物排放标准》（GB9078-1996）</w:t>
            </w:r>
            <w:r>
              <w:rPr>
                <w:rFonts w:hint="default" w:ascii="Times New Roman" w:hAnsi="Times New Roman" w:eastAsia="宋体" w:cs="Times New Roman"/>
                <w:color w:val="auto"/>
                <w:sz w:val="21"/>
                <w:szCs w:val="21"/>
                <w:highlight w:val="none"/>
              </w:rPr>
              <w:t>表2</w:t>
            </w:r>
            <w:r>
              <w:rPr>
                <w:rFonts w:hint="default" w:ascii="Times New Roman" w:hAnsi="Times New Roman" w:eastAsia="宋体" w:cs="Times New Roman"/>
                <w:color w:val="auto"/>
                <w:sz w:val="21"/>
                <w:szCs w:val="21"/>
                <w:highlight w:val="none"/>
                <w:lang w:eastAsia="zh-CN"/>
              </w:rPr>
              <w:t>中</w:t>
            </w:r>
            <w:r>
              <w:rPr>
                <w:rFonts w:hint="default" w:ascii="Times New Roman" w:hAnsi="Times New Roman" w:eastAsia="宋体" w:cs="Times New Roman"/>
                <w:color w:val="auto"/>
                <w:sz w:val="21"/>
                <w:szCs w:val="21"/>
                <w:highlight w:val="none"/>
              </w:rPr>
              <w:t>干燥炉</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窑</w:t>
            </w:r>
            <w:r>
              <w:rPr>
                <w:rFonts w:hint="default" w:ascii="Times New Roman" w:hAnsi="Times New Roman" w:eastAsia="宋体" w:cs="Times New Roman"/>
                <w:color w:val="auto"/>
                <w:sz w:val="21"/>
                <w:szCs w:val="21"/>
                <w:highlight w:val="none"/>
                <w:lang w:eastAsia="zh-CN"/>
              </w:rPr>
              <w:t>的二级排放限值</w:t>
            </w:r>
            <w:r>
              <w:rPr>
                <w:rFonts w:hint="default" w:ascii="Times New Roman" w:hAnsi="Times New Roman" w:eastAsia="宋体" w:cs="Times New Roman"/>
                <w:b w:val="0"/>
                <w:bCs w:val="0"/>
                <w:color w:val="auto"/>
                <w:sz w:val="21"/>
                <w:szCs w:val="21"/>
                <w:highlight w:val="none"/>
                <w:lang w:val="en-US" w:eastAsia="zh-CN"/>
              </w:rPr>
              <w:t>--最高排放浓度1林格曼级的要求</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0F82327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537906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A1FB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9" w:type="dxa"/>
            <w:gridSpan w:val="2"/>
            <w:vMerge w:val="restart"/>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7600BA8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污染源监测</w:t>
            </w:r>
          </w:p>
        </w:tc>
        <w:tc>
          <w:tcPr>
            <w:tcW w:w="3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916C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6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0D36F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5698898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氨、硫化氢</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202C9E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1次/年</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47E816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《恶臭污染物排放标准》（GB14554-93）表1恶臭污染物厂界标准值中“二级、新扩改建”标准要求</w:t>
            </w:r>
          </w:p>
        </w:tc>
        <w:tc>
          <w:tcPr>
            <w:tcW w:w="8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71A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r w14:paraId="6BE599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452BD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9" w:type="dxa"/>
            <w:gridSpan w:val="2"/>
            <w:vMerge w:val="continue"/>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627EF4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414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EA8B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1FE11D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臭气浓度</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3E9878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1次/年</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3EB7B3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《畜禽养殖业污染物排放标准》（GB18596-2001）表7集约化畜禽养殖业恶臭污染物排放标准</w:t>
            </w:r>
          </w:p>
        </w:tc>
        <w:tc>
          <w:tcPr>
            <w:tcW w:w="8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AB99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443C53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6F2E6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0412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0E71E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945B7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616423C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1AC84F5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1次/年</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592AF9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GB16297-1996</w:t>
            </w:r>
            <w:r>
              <w:rPr>
                <w:rFonts w:hint="default" w:ascii="Times New Roman" w:hAnsi="Times New Roman" w:eastAsia="宋体" w:cs="Times New Roman"/>
                <w:color w:val="auto"/>
                <w:sz w:val="21"/>
                <w:szCs w:val="21"/>
                <w:highlight w:val="none"/>
                <w:lang w:eastAsia="zh-CN"/>
              </w:rPr>
              <w:t>）表2新污染源大气污染物排放限值中无组织排放监控浓度限值</w:t>
            </w:r>
          </w:p>
        </w:tc>
        <w:tc>
          <w:tcPr>
            <w:tcW w:w="8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1B2D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r>
      <w:tr w14:paraId="52B39C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C602D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1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D154D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392" w:type="dxa"/>
            <w:tcBorders>
              <w:top w:val="single" w:color="auto" w:sz="4" w:space="0"/>
              <w:left w:val="single" w:color="auto" w:sz="4" w:space="0"/>
              <w:bottom w:val="single" w:color="auto" w:sz="4" w:space="0"/>
              <w:right w:val="single" w:color="auto" w:sz="4" w:space="0"/>
            </w:tcBorders>
            <w:shd w:val="clear" w:color="auto" w:fill="auto"/>
            <w:vAlign w:val="center"/>
          </w:tcPr>
          <w:p w14:paraId="3F8414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0DDD0D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p>
        </w:tc>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374B5FC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等效噪声A声级</w:t>
            </w:r>
          </w:p>
        </w:tc>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7D082F8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1次/季度</w:t>
            </w:r>
          </w:p>
        </w:tc>
        <w:tc>
          <w:tcPr>
            <w:tcW w:w="2543" w:type="dxa"/>
            <w:tcBorders>
              <w:top w:val="single" w:color="auto" w:sz="4" w:space="0"/>
              <w:left w:val="single" w:color="auto" w:sz="4" w:space="0"/>
              <w:bottom w:val="single" w:color="auto" w:sz="4" w:space="0"/>
              <w:right w:val="single" w:color="auto" w:sz="4" w:space="0"/>
            </w:tcBorders>
            <w:shd w:val="clear" w:color="auto" w:fill="auto"/>
            <w:vAlign w:val="center"/>
          </w:tcPr>
          <w:p w14:paraId="30F49D3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1工业企业厂界环境噪声排放限值中</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类功能区排放限值</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11788C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委托有资质单位</w:t>
            </w:r>
          </w:p>
        </w:tc>
      </w:tr>
    </w:tbl>
    <w:p w14:paraId="171F1F39">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796" w:name="_Toc7160"/>
      <w:bookmarkStart w:id="797" w:name="_Toc523322409"/>
      <w:bookmarkStart w:id="798" w:name="_Toc471227906"/>
      <w:r>
        <w:rPr>
          <w:rFonts w:hint="default" w:ascii="Times New Roman" w:hAnsi="Times New Roman" w:eastAsia="宋体" w:cs="Times New Roman"/>
          <w:color w:val="auto"/>
          <w:highlight w:val="none"/>
        </w:rPr>
        <w:t>9.4环保设施“三同时”竣工验收</w:t>
      </w:r>
      <w:bookmarkEnd w:id="796"/>
      <w:bookmarkEnd w:id="797"/>
      <w:bookmarkEnd w:id="798"/>
    </w:p>
    <w:p w14:paraId="4CB548A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根据《建设项目环境保护管理条例</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建设项目环境保护验收管理办法》及《建设项目竣工环境保护验收技术指南污染影响类》的规定，本项目的环保设施“三同时”竣工验收内容见表9.4-1。</w:t>
      </w:r>
    </w:p>
    <w:p w14:paraId="05AD172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56A899E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2C0C02D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4D66C49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1351A941">
      <w:pPr>
        <w:pStyle w:val="8"/>
        <w:keepNext/>
        <w:keepLines/>
        <w:pageBreakBefore w:val="0"/>
        <w:widowControl w:val="0"/>
        <w:shd w:val="clear"/>
        <w:kinsoku/>
        <w:wordWrap/>
        <w:overflowPunct/>
        <w:topLinePunct/>
        <w:autoSpaceDE w:val="0"/>
        <w:autoSpaceDN/>
        <w:bidi w:val="0"/>
        <w:adjustRightInd/>
        <w:snapToGrid w:val="0"/>
        <w:spacing w:line="360" w:lineRule="auto"/>
        <w:ind w:left="0" w:leftChars="0" w:right="0" w:rightChars="0" w:firstLine="0" w:firstLineChars="0"/>
        <w:textAlignment w:val="auto"/>
        <w:rPr>
          <w:rFonts w:hint="default" w:ascii="Times New Roman" w:hAnsi="Times New Roman" w:eastAsia="宋体" w:cs="Times New Roman"/>
          <w:color w:val="auto"/>
          <w:sz w:val="24"/>
          <w:szCs w:val="24"/>
          <w:highlight w:val="none"/>
        </w:rPr>
      </w:pPr>
      <w:bookmarkStart w:id="799" w:name="_Hlk46587142"/>
      <w:r>
        <w:rPr>
          <w:rFonts w:hint="default" w:ascii="Times New Roman" w:hAnsi="Times New Roman" w:eastAsia="宋体" w:cs="Times New Roman"/>
          <w:color w:val="auto"/>
          <w:sz w:val="24"/>
          <w:szCs w:val="24"/>
          <w:highlight w:val="none"/>
        </w:rPr>
        <w:t>表9.4-1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项目“三同时”环保验收一览表</w:t>
      </w:r>
    </w:p>
    <w:tbl>
      <w:tblPr>
        <w:tblStyle w:val="42"/>
        <w:tblW w:w="1360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87"/>
        <w:gridCol w:w="989"/>
        <w:gridCol w:w="989"/>
        <w:gridCol w:w="989"/>
        <w:gridCol w:w="989"/>
        <w:gridCol w:w="989"/>
        <w:gridCol w:w="2848"/>
        <w:gridCol w:w="1191"/>
        <w:gridCol w:w="2646"/>
        <w:gridCol w:w="989"/>
      </w:tblGrid>
      <w:tr w14:paraId="2E7734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630041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类型</w:t>
            </w:r>
          </w:p>
        </w:tc>
        <w:tc>
          <w:tcPr>
            <w:tcW w:w="1012" w:type="dxa"/>
            <w:tcBorders>
              <w:top w:val="single" w:color="auto" w:sz="4" w:space="0"/>
              <w:left w:val="single" w:color="auto" w:sz="4" w:space="0"/>
              <w:bottom w:val="single" w:color="auto" w:sz="4" w:space="0"/>
              <w:right w:val="single" w:color="auto" w:sz="4" w:space="0"/>
            </w:tcBorders>
            <w:vAlign w:val="center"/>
          </w:tcPr>
          <w:p w14:paraId="0D76BD8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产污点</w:t>
            </w:r>
          </w:p>
        </w:tc>
        <w:tc>
          <w:tcPr>
            <w:tcW w:w="1012" w:type="dxa"/>
            <w:tcBorders>
              <w:top w:val="single" w:color="auto" w:sz="4" w:space="0"/>
              <w:left w:val="single" w:color="auto" w:sz="4" w:space="0"/>
              <w:bottom w:val="single" w:color="auto" w:sz="4" w:space="0"/>
              <w:right w:val="single" w:color="auto" w:sz="4" w:space="0"/>
            </w:tcBorders>
            <w:vAlign w:val="center"/>
          </w:tcPr>
          <w:p w14:paraId="38969B0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监测点位</w:t>
            </w:r>
          </w:p>
        </w:tc>
        <w:tc>
          <w:tcPr>
            <w:tcW w:w="1012" w:type="dxa"/>
            <w:tcBorders>
              <w:top w:val="single" w:color="auto" w:sz="4" w:space="0"/>
              <w:left w:val="single" w:color="auto" w:sz="4" w:space="0"/>
              <w:bottom w:val="single" w:color="auto" w:sz="4" w:space="0"/>
              <w:right w:val="single" w:color="auto" w:sz="4" w:space="0"/>
            </w:tcBorders>
            <w:vAlign w:val="center"/>
          </w:tcPr>
          <w:p w14:paraId="26AD3E1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012" w:type="dxa"/>
            <w:tcBorders>
              <w:top w:val="single" w:color="auto" w:sz="4" w:space="0"/>
              <w:left w:val="single" w:color="auto" w:sz="4" w:space="0"/>
              <w:bottom w:val="single" w:color="auto" w:sz="4" w:space="0"/>
              <w:right w:val="single" w:color="auto" w:sz="4" w:space="0"/>
            </w:tcBorders>
            <w:vAlign w:val="center"/>
          </w:tcPr>
          <w:p w14:paraId="1975EF5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监测频次</w:t>
            </w:r>
          </w:p>
        </w:tc>
        <w:tc>
          <w:tcPr>
            <w:tcW w:w="1012" w:type="dxa"/>
            <w:tcBorders>
              <w:top w:val="single" w:color="auto" w:sz="4" w:space="0"/>
              <w:left w:val="single" w:color="auto" w:sz="4" w:space="0"/>
              <w:bottom w:val="single" w:color="auto" w:sz="4" w:space="0"/>
              <w:right w:val="single" w:color="auto" w:sz="4" w:space="0"/>
            </w:tcBorders>
            <w:vAlign w:val="center"/>
          </w:tcPr>
          <w:p w14:paraId="1DBE811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w:t>
            </w:r>
          </w:p>
        </w:tc>
        <w:tc>
          <w:tcPr>
            <w:tcW w:w="2926" w:type="dxa"/>
            <w:tcBorders>
              <w:top w:val="single" w:color="auto" w:sz="4" w:space="0"/>
              <w:left w:val="single" w:color="auto" w:sz="4" w:space="0"/>
              <w:bottom w:val="single" w:color="auto" w:sz="4" w:space="0"/>
              <w:right w:val="single" w:color="auto" w:sz="4" w:space="0"/>
            </w:tcBorders>
            <w:vAlign w:val="center"/>
          </w:tcPr>
          <w:p w14:paraId="74F652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治理措施</w:t>
            </w:r>
          </w:p>
        </w:tc>
        <w:tc>
          <w:tcPr>
            <w:tcW w:w="1220" w:type="dxa"/>
            <w:tcBorders>
              <w:top w:val="single" w:color="auto" w:sz="4" w:space="0"/>
              <w:left w:val="single" w:color="auto" w:sz="4" w:space="0"/>
              <w:bottom w:val="single" w:color="auto" w:sz="4" w:space="0"/>
              <w:right w:val="single" w:color="auto" w:sz="4" w:space="0"/>
            </w:tcBorders>
            <w:vAlign w:val="center"/>
          </w:tcPr>
          <w:p w14:paraId="52BC173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去除效率</w:t>
            </w:r>
          </w:p>
        </w:tc>
        <w:tc>
          <w:tcPr>
            <w:tcW w:w="2718" w:type="dxa"/>
            <w:tcBorders>
              <w:top w:val="single" w:color="auto" w:sz="4" w:space="0"/>
              <w:left w:val="single" w:color="auto" w:sz="4" w:space="0"/>
              <w:bottom w:val="single" w:color="auto" w:sz="4" w:space="0"/>
              <w:right w:val="single" w:color="auto" w:sz="4" w:space="0"/>
            </w:tcBorders>
            <w:vAlign w:val="center"/>
          </w:tcPr>
          <w:p w14:paraId="19FCFE4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治理效果</w:t>
            </w:r>
          </w:p>
        </w:tc>
        <w:tc>
          <w:tcPr>
            <w:tcW w:w="1012" w:type="dxa"/>
            <w:tcBorders>
              <w:top w:val="single" w:color="auto" w:sz="4" w:space="0"/>
              <w:left w:val="single" w:color="auto" w:sz="4" w:space="0"/>
              <w:bottom w:val="single" w:color="auto" w:sz="4" w:space="0"/>
              <w:right w:val="single" w:color="auto" w:sz="4" w:space="0"/>
            </w:tcBorders>
            <w:vAlign w:val="center"/>
          </w:tcPr>
          <w:p w14:paraId="169489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完成时间</w:t>
            </w:r>
          </w:p>
        </w:tc>
      </w:tr>
      <w:tr w14:paraId="5009C3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386465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012" w:type="dxa"/>
            <w:tcBorders>
              <w:top w:val="single" w:color="auto" w:sz="4" w:space="0"/>
              <w:left w:val="single" w:color="auto" w:sz="4" w:space="0"/>
              <w:bottom w:val="single" w:color="auto" w:sz="4" w:space="0"/>
              <w:right w:val="single" w:color="auto" w:sz="4" w:space="0"/>
            </w:tcBorders>
            <w:vAlign w:val="center"/>
          </w:tcPr>
          <w:p w14:paraId="6B3405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羊圈</w:t>
            </w:r>
          </w:p>
        </w:tc>
        <w:tc>
          <w:tcPr>
            <w:tcW w:w="1012" w:type="dxa"/>
            <w:vMerge w:val="restart"/>
            <w:tcBorders>
              <w:top w:val="single" w:color="auto" w:sz="4" w:space="0"/>
              <w:left w:val="single" w:color="auto" w:sz="4" w:space="0"/>
              <w:bottom w:val="single" w:color="auto" w:sz="4" w:space="0"/>
              <w:right w:val="single" w:color="auto" w:sz="4" w:space="0"/>
            </w:tcBorders>
            <w:vAlign w:val="center"/>
          </w:tcPr>
          <w:p w14:paraId="3B7848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厂界四周</w:t>
            </w:r>
          </w:p>
        </w:tc>
        <w:tc>
          <w:tcPr>
            <w:tcW w:w="1012" w:type="dxa"/>
            <w:vMerge w:val="restart"/>
            <w:tcBorders>
              <w:top w:val="single" w:color="auto" w:sz="4" w:space="0"/>
              <w:left w:val="single" w:color="auto" w:sz="4" w:space="0"/>
              <w:bottom w:val="single" w:color="auto" w:sz="4" w:space="0"/>
              <w:right w:val="single" w:color="auto" w:sz="4" w:space="0"/>
            </w:tcBorders>
            <w:vAlign w:val="center"/>
          </w:tcPr>
          <w:p w14:paraId="04E1868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w:t>
            </w:r>
          </w:p>
          <w:p w14:paraId="2FAE09B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硫化氢</w:t>
            </w:r>
          </w:p>
          <w:p w14:paraId="09B3DA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臭气浓度</w:t>
            </w:r>
          </w:p>
        </w:tc>
        <w:tc>
          <w:tcPr>
            <w:tcW w:w="1012" w:type="dxa"/>
            <w:vMerge w:val="restart"/>
            <w:tcBorders>
              <w:top w:val="single" w:color="auto" w:sz="4" w:space="0"/>
              <w:left w:val="single" w:color="auto" w:sz="4" w:space="0"/>
              <w:bottom w:val="single" w:color="auto" w:sz="4" w:space="0"/>
              <w:right w:val="single" w:color="auto" w:sz="4" w:space="0"/>
            </w:tcBorders>
            <w:vAlign w:val="center"/>
          </w:tcPr>
          <w:p w14:paraId="1805F67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次</w:t>
            </w:r>
            <w:r>
              <w:rPr>
                <w:rFonts w:hint="default" w:ascii="Times New Roman" w:hAnsi="Times New Roman" w:eastAsia="宋体" w:cs="Times New Roman"/>
                <w:color w:val="auto"/>
                <w:sz w:val="21"/>
                <w:szCs w:val="21"/>
                <w:highlight w:val="none"/>
                <w:lang w:val="en-US" w:eastAsia="zh-CN"/>
              </w:rPr>
              <w:t>/天，共监测2d</w:t>
            </w:r>
          </w:p>
        </w:tc>
        <w:tc>
          <w:tcPr>
            <w:tcW w:w="1012" w:type="dxa"/>
            <w:vMerge w:val="restart"/>
            <w:tcBorders>
              <w:top w:val="single" w:color="auto" w:sz="4" w:space="0"/>
              <w:left w:val="single" w:color="auto" w:sz="4" w:space="0"/>
              <w:bottom w:val="single" w:color="auto" w:sz="4" w:space="0"/>
              <w:right w:val="single" w:color="auto" w:sz="4" w:space="0"/>
            </w:tcBorders>
            <w:vAlign w:val="center"/>
          </w:tcPr>
          <w:p w14:paraId="755A57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上风向1个点位、下风向3个点位</w:t>
            </w:r>
          </w:p>
        </w:tc>
        <w:tc>
          <w:tcPr>
            <w:tcW w:w="2926" w:type="dxa"/>
            <w:tcBorders>
              <w:top w:val="single" w:color="auto" w:sz="4" w:space="0"/>
              <w:left w:val="single" w:color="auto" w:sz="4" w:space="0"/>
              <w:bottom w:val="single" w:color="auto" w:sz="4" w:space="0"/>
              <w:right w:val="single" w:color="auto" w:sz="4" w:space="0"/>
            </w:tcBorders>
            <w:vAlign w:val="center"/>
          </w:tcPr>
          <w:p w14:paraId="0B0B11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通过日粮设计，</w:t>
            </w:r>
            <w:r>
              <w:rPr>
                <w:rFonts w:hint="default" w:ascii="Times New Roman" w:hAnsi="Times New Roman" w:eastAsia="宋体" w:cs="Times New Roman"/>
                <w:color w:val="auto"/>
                <w:sz w:val="21"/>
                <w:szCs w:val="21"/>
                <w:highlight w:val="none"/>
              </w:rPr>
              <w:t>饲料添加EM复合微生物制剂，</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采用及时清理粪尿，加强</w:t>
            </w:r>
            <w:r>
              <w:rPr>
                <w:rFonts w:hint="default" w:ascii="Times New Roman" w:hAnsi="Times New Roman" w:eastAsia="宋体" w:cs="Times New Roman"/>
                <w:color w:val="auto"/>
                <w:kern w:val="0"/>
                <w:sz w:val="21"/>
                <w:szCs w:val="21"/>
                <w:highlight w:val="none"/>
                <w:lang w:eastAsia="zh-CN"/>
              </w:rPr>
              <w:t>羊圈</w:t>
            </w:r>
            <w:r>
              <w:rPr>
                <w:rFonts w:hint="default" w:ascii="Times New Roman" w:hAnsi="Times New Roman" w:eastAsia="宋体" w:cs="Times New Roman"/>
                <w:color w:val="auto"/>
                <w:kern w:val="0"/>
                <w:sz w:val="21"/>
                <w:szCs w:val="21"/>
                <w:highlight w:val="none"/>
              </w:rPr>
              <w:t>通风（除冬季封闭保暖外，均为敞开式通风）</w:t>
            </w:r>
          </w:p>
        </w:tc>
        <w:tc>
          <w:tcPr>
            <w:tcW w:w="1220" w:type="dxa"/>
            <w:tcBorders>
              <w:top w:val="single" w:color="auto" w:sz="4" w:space="0"/>
              <w:left w:val="single" w:color="auto" w:sz="4" w:space="0"/>
              <w:bottom w:val="single" w:color="auto" w:sz="4" w:space="0"/>
              <w:right w:val="single" w:color="auto" w:sz="4" w:space="0"/>
            </w:tcBorders>
            <w:vAlign w:val="center"/>
          </w:tcPr>
          <w:p w14:paraId="370A986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达标排放</w:t>
            </w:r>
          </w:p>
        </w:tc>
        <w:tc>
          <w:tcPr>
            <w:tcW w:w="2718" w:type="dxa"/>
            <w:vMerge w:val="restart"/>
            <w:tcBorders>
              <w:top w:val="single" w:color="auto" w:sz="4" w:space="0"/>
              <w:left w:val="single" w:color="auto" w:sz="4" w:space="0"/>
              <w:bottom w:val="single" w:color="auto" w:sz="4" w:space="0"/>
              <w:right w:val="single" w:color="auto" w:sz="4" w:space="0"/>
            </w:tcBorders>
            <w:vAlign w:val="center"/>
          </w:tcPr>
          <w:p w14:paraId="4DD710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氨和硫化氢执行</w:t>
            </w:r>
            <w:r>
              <w:rPr>
                <w:rFonts w:hint="default" w:ascii="Times New Roman" w:hAnsi="Times New Roman" w:eastAsia="宋体" w:cs="Times New Roman"/>
                <w:color w:val="auto"/>
                <w:sz w:val="21"/>
                <w:szCs w:val="21"/>
                <w:highlight w:val="none"/>
              </w:rPr>
              <w:t>《恶臭污染物排放标准》（GB14554-93）表1恶臭污染物厂界标准值中“二级、新扩改建”标准要求；</w:t>
            </w:r>
          </w:p>
          <w:p w14:paraId="68D64C8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臭气浓度执行</w:t>
            </w:r>
            <w:r>
              <w:rPr>
                <w:rFonts w:hint="default" w:ascii="Times New Roman" w:hAnsi="Times New Roman" w:eastAsia="宋体" w:cs="Times New Roman"/>
                <w:color w:val="auto"/>
                <w:sz w:val="21"/>
                <w:szCs w:val="21"/>
                <w:highlight w:val="none"/>
              </w:rPr>
              <w:t>《畜禽养殖业污染物排放标准》（GB18596-2001）表7集约化畜禽养殖业恶臭污染物排放标准</w:t>
            </w:r>
          </w:p>
        </w:tc>
        <w:tc>
          <w:tcPr>
            <w:tcW w:w="1012" w:type="dxa"/>
            <w:vMerge w:val="restart"/>
            <w:tcBorders>
              <w:top w:val="single" w:color="auto" w:sz="4" w:space="0"/>
              <w:left w:val="single" w:color="auto" w:sz="4" w:space="0"/>
              <w:bottom w:val="single" w:color="auto" w:sz="4" w:space="0"/>
              <w:right w:val="single" w:color="auto" w:sz="4" w:space="0"/>
            </w:tcBorders>
            <w:vAlign w:val="center"/>
          </w:tcPr>
          <w:p w14:paraId="122340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6B8E0C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5BA01F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0F900C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堆肥场</w:t>
            </w: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19447B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319482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2686D16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40EC55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926" w:type="dxa"/>
            <w:tcBorders>
              <w:top w:val="single" w:color="auto" w:sz="4" w:space="0"/>
              <w:left w:val="single" w:color="auto" w:sz="4" w:space="0"/>
              <w:bottom w:val="single" w:color="auto" w:sz="4" w:space="0"/>
              <w:right w:val="single" w:color="auto" w:sz="4" w:space="0"/>
            </w:tcBorders>
            <w:vAlign w:val="center"/>
          </w:tcPr>
          <w:p w14:paraId="45338CF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羊粪便</w:t>
            </w:r>
            <w:r>
              <w:rPr>
                <w:rFonts w:hint="default" w:ascii="Times New Roman" w:hAnsi="Times New Roman" w:eastAsia="宋体" w:cs="Times New Roman"/>
                <w:color w:val="auto"/>
                <w:sz w:val="21"/>
                <w:szCs w:val="21"/>
                <w:highlight w:val="none"/>
                <w:lang w:val="en-US" w:eastAsia="zh-CN"/>
              </w:rPr>
              <w:t>清运至</w:t>
            </w:r>
            <w:r>
              <w:rPr>
                <w:rFonts w:hint="default" w:ascii="Times New Roman" w:hAnsi="Times New Roman" w:eastAsia="宋体" w:cs="Times New Roman"/>
                <w:color w:val="auto"/>
                <w:sz w:val="21"/>
                <w:szCs w:val="21"/>
                <w:highlight w:val="none"/>
                <w:lang w:eastAsia="zh-CN"/>
              </w:rPr>
              <w:t>堆肥场储存并堆肥，</w:t>
            </w:r>
            <w:r>
              <w:rPr>
                <w:rFonts w:hint="default" w:ascii="Times New Roman" w:hAnsi="Times New Roman" w:eastAsia="宋体" w:cs="Times New Roman"/>
                <w:color w:val="auto"/>
                <w:sz w:val="21"/>
                <w:szCs w:val="21"/>
                <w:highlight w:val="none"/>
                <w:lang w:val="en-US" w:eastAsia="zh-CN"/>
              </w:rPr>
              <w:t>采取</w:t>
            </w:r>
            <w:r>
              <w:rPr>
                <w:rFonts w:hint="default" w:ascii="Times New Roman" w:hAnsi="Times New Roman" w:eastAsia="宋体" w:cs="Times New Roman"/>
                <w:color w:val="auto"/>
                <w:kern w:val="0"/>
                <w:sz w:val="21"/>
                <w:szCs w:val="21"/>
                <w:highlight w:val="none"/>
              </w:rPr>
              <w:t>定期喷洒</w:t>
            </w:r>
            <w:r>
              <w:rPr>
                <w:rFonts w:hint="default" w:ascii="Times New Roman" w:hAnsi="Times New Roman" w:eastAsia="宋体" w:cs="Times New Roman"/>
                <w:color w:val="auto"/>
                <w:sz w:val="21"/>
                <w:szCs w:val="21"/>
                <w:highlight w:val="none"/>
              </w:rPr>
              <w:t>减少氨释放和保氮的复合菌剂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同时场区内加强绿化</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rPr>
              <w:t>可减少臭气的产生</w:t>
            </w:r>
          </w:p>
        </w:tc>
        <w:tc>
          <w:tcPr>
            <w:tcW w:w="1220" w:type="dxa"/>
            <w:tcBorders>
              <w:top w:val="single" w:color="auto" w:sz="4" w:space="0"/>
              <w:left w:val="single" w:color="auto" w:sz="4" w:space="0"/>
              <w:bottom w:val="single" w:color="auto" w:sz="4" w:space="0"/>
              <w:right w:val="single" w:color="auto" w:sz="4" w:space="0"/>
            </w:tcBorders>
            <w:vAlign w:val="center"/>
          </w:tcPr>
          <w:p w14:paraId="045CAC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Cs/>
                <w:color w:val="auto"/>
                <w:sz w:val="21"/>
                <w:szCs w:val="21"/>
                <w:highlight w:val="none"/>
                <w:lang w:val="en-US" w:eastAsia="zh-CN"/>
              </w:rPr>
              <w:t>达标排放</w:t>
            </w:r>
          </w:p>
        </w:tc>
        <w:tc>
          <w:tcPr>
            <w:tcW w:w="2718" w:type="dxa"/>
            <w:vMerge w:val="continue"/>
            <w:tcBorders>
              <w:top w:val="single" w:color="auto" w:sz="4" w:space="0"/>
              <w:left w:val="single" w:color="auto" w:sz="4" w:space="0"/>
              <w:bottom w:val="single" w:color="auto" w:sz="4" w:space="0"/>
              <w:right w:val="single" w:color="auto" w:sz="4" w:space="0"/>
            </w:tcBorders>
            <w:vAlign w:val="center"/>
          </w:tcPr>
          <w:p w14:paraId="3D96AF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316EA46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r>
      <w:tr w14:paraId="19CE07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0BB2F33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4D4C27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日粮搅拌车间</w:t>
            </w: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64B7A05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2FE88DE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7B5E81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vMerge w:val="continue"/>
            <w:tcBorders>
              <w:top w:val="single" w:color="auto" w:sz="4" w:space="0"/>
              <w:left w:val="single" w:color="auto" w:sz="4" w:space="0"/>
              <w:bottom w:val="single" w:color="auto" w:sz="4" w:space="0"/>
              <w:right w:val="single" w:color="auto" w:sz="4" w:space="0"/>
            </w:tcBorders>
            <w:vAlign w:val="center"/>
          </w:tcPr>
          <w:p w14:paraId="38ACEC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2926" w:type="dxa"/>
            <w:tcBorders>
              <w:top w:val="single" w:color="auto" w:sz="4" w:space="0"/>
              <w:left w:val="single" w:color="auto" w:sz="4" w:space="0"/>
              <w:bottom w:val="single" w:color="auto" w:sz="4" w:space="0"/>
              <w:right w:val="single" w:color="auto" w:sz="4" w:space="0"/>
            </w:tcBorders>
            <w:vAlign w:val="center"/>
          </w:tcPr>
          <w:p w14:paraId="6F234E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全封闭</w:t>
            </w:r>
            <w:r>
              <w:rPr>
                <w:rFonts w:hint="default" w:ascii="Times New Roman" w:hAnsi="Times New Roman" w:eastAsia="宋体" w:cs="Times New Roman"/>
                <w:color w:val="auto"/>
                <w:sz w:val="21"/>
                <w:szCs w:val="21"/>
                <w:highlight w:val="none"/>
                <w:lang w:eastAsia="zh-CN"/>
              </w:rPr>
              <w:t>日粮搅拌车间</w:t>
            </w:r>
          </w:p>
        </w:tc>
        <w:tc>
          <w:tcPr>
            <w:tcW w:w="1220" w:type="dxa"/>
            <w:tcBorders>
              <w:top w:val="single" w:color="auto" w:sz="4" w:space="0"/>
              <w:left w:val="single" w:color="auto" w:sz="4" w:space="0"/>
              <w:bottom w:val="single" w:color="auto" w:sz="4" w:space="0"/>
              <w:right w:val="single" w:color="auto" w:sz="4" w:space="0"/>
            </w:tcBorders>
            <w:vAlign w:val="center"/>
          </w:tcPr>
          <w:p w14:paraId="4B6C09F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达标排放</w:t>
            </w:r>
          </w:p>
        </w:tc>
        <w:tc>
          <w:tcPr>
            <w:tcW w:w="2718" w:type="dxa"/>
            <w:tcBorders>
              <w:top w:val="single" w:color="auto" w:sz="4" w:space="0"/>
              <w:left w:val="single" w:color="auto" w:sz="4" w:space="0"/>
              <w:bottom w:val="single" w:color="auto" w:sz="4" w:space="0"/>
              <w:right w:val="single" w:color="auto" w:sz="4" w:space="0"/>
            </w:tcBorders>
            <w:vAlign w:val="center"/>
          </w:tcPr>
          <w:p w14:paraId="107807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《大气污染物综合排放标准》（GB16297-1996）表2新污染源大气污染物排放限值中无组织排放监控浓度限值</w:t>
            </w:r>
          </w:p>
        </w:tc>
        <w:tc>
          <w:tcPr>
            <w:tcW w:w="1012" w:type="dxa"/>
            <w:tcBorders>
              <w:top w:val="single" w:color="auto" w:sz="4" w:space="0"/>
              <w:left w:val="single" w:color="auto" w:sz="4" w:space="0"/>
              <w:bottom w:val="single" w:color="auto" w:sz="4" w:space="0"/>
              <w:right w:val="single" w:color="auto" w:sz="4" w:space="0"/>
            </w:tcBorders>
            <w:vAlign w:val="center"/>
          </w:tcPr>
          <w:p w14:paraId="5749695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2D642F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7E29FB9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012" w:type="dxa"/>
            <w:tcBorders>
              <w:top w:val="single" w:color="auto" w:sz="4" w:space="0"/>
              <w:left w:val="single" w:color="auto" w:sz="4" w:space="0"/>
              <w:bottom w:val="single" w:color="auto" w:sz="4" w:space="0"/>
              <w:right w:val="single" w:color="auto" w:sz="4" w:space="0"/>
            </w:tcBorders>
            <w:vAlign w:val="center"/>
          </w:tcPr>
          <w:p w14:paraId="4406184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012" w:type="dxa"/>
            <w:tcBorders>
              <w:top w:val="single" w:color="auto" w:sz="4" w:space="0"/>
              <w:left w:val="single" w:color="auto" w:sz="4" w:space="0"/>
              <w:bottom w:val="single" w:color="auto" w:sz="4" w:space="0"/>
              <w:right w:val="single" w:color="auto" w:sz="4" w:space="0"/>
            </w:tcBorders>
            <w:vAlign w:val="center"/>
          </w:tcPr>
          <w:p w14:paraId="51DDC70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7CCACE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vertAlign w:val="subscript"/>
              </w:rPr>
              <w:t>Cr</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1012" w:type="dxa"/>
            <w:tcBorders>
              <w:top w:val="single" w:color="auto" w:sz="4" w:space="0"/>
              <w:left w:val="single" w:color="auto" w:sz="4" w:space="0"/>
              <w:bottom w:val="single" w:color="auto" w:sz="4" w:space="0"/>
              <w:right w:val="single" w:color="auto" w:sz="4" w:space="0"/>
            </w:tcBorders>
            <w:vAlign w:val="center"/>
          </w:tcPr>
          <w:p w14:paraId="7551629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43B62B4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0A2C208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eastAsia="zh-CN"/>
              </w:rPr>
              <w:t>经化粪池处理</w:t>
            </w:r>
            <w:r>
              <w:rPr>
                <w:rFonts w:hint="default" w:ascii="Times New Roman" w:hAnsi="Times New Roman" w:eastAsia="宋体" w:cs="Times New Roman"/>
                <w:color w:val="auto"/>
                <w:sz w:val="21"/>
                <w:szCs w:val="21"/>
                <w:highlight w:val="none"/>
              </w:rPr>
              <w:t>后，</w:t>
            </w:r>
            <w:r>
              <w:rPr>
                <w:rFonts w:hint="default" w:ascii="Times New Roman" w:hAnsi="Times New Roman" w:eastAsia="宋体" w:cs="Times New Roman"/>
                <w:color w:val="auto"/>
                <w:sz w:val="21"/>
                <w:szCs w:val="21"/>
                <w:highlight w:val="none"/>
                <w:lang w:eastAsia="zh-CN"/>
              </w:rPr>
              <w:t>定期由当地环卫部门清运处置</w:t>
            </w:r>
            <w:r>
              <w:rPr>
                <w:rFonts w:hint="default" w:ascii="Times New Roman" w:hAnsi="Times New Roman" w:eastAsia="宋体" w:cs="Times New Roman"/>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vAlign w:val="center"/>
          </w:tcPr>
          <w:p w14:paraId="5CA688F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7A50CFA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0B3EB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50851E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198256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4DC66ED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场区雨水</w:t>
            </w:r>
          </w:p>
        </w:tc>
        <w:tc>
          <w:tcPr>
            <w:tcW w:w="1012" w:type="dxa"/>
            <w:tcBorders>
              <w:top w:val="single" w:color="auto" w:sz="4" w:space="0"/>
              <w:left w:val="single" w:color="auto" w:sz="4" w:space="0"/>
              <w:bottom w:val="single" w:color="auto" w:sz="4" w:space="0"/>
              <w:right w:val="single" w:color="auto" w:sz="4" w:space="0"/>
            </w:tcBorders>
            <w:vAlign w:val="center"/>
          </w:tcPr>
          <w:p w14:paraId="712F20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7DF3394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5757D6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1F40356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2B8882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屋面设置合适坡度并在屋檐设置导流槽，将雨水导出不排入</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内，屋面雨水采用自流式排水，经过雨水管道排入场区排水沟排出。</w:t>
            </w:r>
          </w:p>
          <w:p w14:paraId="7D6582D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②</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设置挡水坡道，防止雨水进入</w:t>
            </w:r>
            <w:r>
              <w:rPr>
                <w:rFonts w:hint="default" w:ascii="Times New Roman" w:hAnsi="Times New Roman" w:eastAsia="宋体" w:cs="Times New Roman"/>
                <w:color w:val="auto"/>
                <w:sz w:val="21"/>
                <w:szCs w:val="21"/>
                <w:highlight w:val="none"/>
                <w:lang w:eastAsia="zh-CN"/>
              </w:rPr>
              <w:t>羊圈。</w:t>
            </w:r>
          </w:p>
          <w:p w14:paraId="65C4B11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③</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底部进行硬化防渗处理，四面设围墙及导流渠，</w:t>
            </w:r>
            <w:r>
              <w:rPr>
                <w:rFonts w:hint="default" w:ascii="Times New Roman" w:hAnsi="Times New Roman" w:eastAsia="宋体" w:cs="Times New Roman"/>
                <w:color w:val="auto"/>
                <w:sz w:val="21"/>
                <w:szCs w:val="21"/>
                <w:highlight w:val="none"/>
                <w:lang w:eastAsia="zh-CN"/>
              </w:rPr>
              <w:t>墙高1m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防止</w:t>
            </w:r>
            <w:r>
              <w:rPr>
                <w:rFonts w:hint="default" w:ascii="Times New Roman" w:hAnsi="Times New Roman" w:eastAsia="宋体" w:cs="Times New Roman"/>
                <w:color w:val="auto"/>
                <w:sz w:val="21"/>
                <w:szCs w:val="21"/>
                <w:highlight w:val="none"/>
              </w:rPr>
              <w:t>因雨水进入造成外溢，形成二次污染。</w:t>
            </w:r>
          </w:p>
        </w:tc>
        <w:tc>
          <w:tcPr>
            <w:tcW w:w="1220" w:type="dxa"/>
            <w:tcBorders>
              <w:top w:val="single" w:color="auto" w:sz="4" w:space="0"/>
              <w:left w:val="single" w:color="auto" w:sz="4" w:space="0"/>
              <w:bottom w:val="single" w:color="auto" w:sz="4" w:space="0"/>
              <w:right w:val="single" w:color="auto" w:sz="4" w:space="0"/>
            </w:tcBorders>
            <w:vAlign w:val="center"/>
          </w:tcPr>
          <w:p w14:paraId="6FB3EBD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7DA792A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FBDD4E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43E924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29F29F1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w:t>
            </w:r>
          </w:p>
        </w:tc>
        <w:tc>
          <w:tcPr>
            <w:tcW w:w="1012" w:type="dxa"/>
            <w:tcBorders>
              <w:top w:val="single" w:color="auto" w:sz="4" w:space="0"/>
              <w:left w:val="single" w:color="auto" w:sz="4" w:space="0"/>
              <w:bottom w:val="single" w:color="auto" w:sz="4" w:space="0"/>
              <w:right w:val="single" w:color="auto" w:sz="4" w:space="0"/>
            </w:tcBorders>
            <w:vAlign w:val="center"/>
          </w:tcPr>
          <w:p w14:paraId="07209FA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运营过程</w:t>
            </w:r>
          </w:p>
        </w:tc>
        <w:tc>
          <w:tcPr>
            <w:tcW w:w="1012" w:type="dxa"/>
            <w:tcBorders>
              <w:top w:val="single" w:color="auto" w:sz="4" w:space="0"/>
              <w:left w:val="single" w:color="auto" w:sz="4" w:space="0"/>
              <w:bottom w:val="single" w:color="auto" w:sz="4" w:space="0"/>
              <w:right w:val="single" w:color="auto" w:sz="4" w:space="0"/>
            </w:tcBorders>
            <w:vAlign w:val="center"/>
          </w:tcPr>
          <w:p w14:paraId="367D0F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4F27D1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59276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6AF6E47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76A817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对通过垂直下渗可能造成土壤污染的污染物建设单位应严格落实本次评价提出的地下水防治措施，并加强土壤环境的监测和管理。</w:t>
            </w:r>
          </w:p>
        </w:tc>
        <w:tc>
          <w:tcPr>
            <w:tcW w:w="1220" w:type="dxa"/>
            <w:tcBorders>
              <w:top w:val="single" w:color="auto" w:sz="4" w:space="0"/>
              <w:left w:val="single" w:color="auto" w:sz="4" w:space="0"/>
              <w:bottom w:val="single" w:color="auto" w:sz="4" w:space="0"/>
              <w:right w:val="single" w:color="auto" w:sz="4" w:space="0"/>
            </w:tcBorders>
            <w:vAlign w:val="center"/>
          </w:tcPr>
          <w:p w14:paraId="6E9CB1B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5E8DAE4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土壤环境质量 建设用地土壤污染风险管控标准</w:t>
            </w:r>
            <w:r>
              <w:rPr>
                <w:rFonts w:hint="default" w:ascii="Times New Roman" w:hAnsi="Times New Roman" w:eastAsia="宋体" w:cs="Times New Roman"/>
                <w:color w:val="auto"/>
                <w:sz w:val="24"/>
                <w:highlight w:val="none"/>
              </w:rPr>
              <w:t>（试行）》（GB36600-2018）第二类用地筛选值的限值要求</w:t>
            </w:r>
          </w:p>
        </w:tc>
        <w:tc>
          <w:tcPr>
            <w:tcW w:w="1012" w:type="dxa"/>
            <w:tcBorders>
              <w:top w:val="single" w:color="auto" w:sz="4" w:space="0"/>
              <w:left w:val="single" w:color="auto" w:sz="4" w:space="0"/>
              <w:bottom w:val="single" w:color="auto" w:sz="4" w:space="0"/>
              <w:right w:val="single" w:color="auto" w:sz="4" w:space="0"/>
            </w:tcBorders>
            <w:vAlign w:val="center"/>
          </w:tcPr>
          <w:p w14:paraId="31CE8E5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600BAE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36345F4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1012" w:type="dxa"/>
            <w:tcBorders>
              <w:top w:val="single" w:color="auto" w:sz="4" w:space="0"/>
              <w:left w:val="single" w:color="auto" w:sz="4" w:space="0"/>
              <w:bottom w:val="single" w:color="auto" w:sz="4" w:space="0"/>
              <w:right w:val="single" w:color="auto" w:sz="4" w:space="0"/>
            </w:tcBorders>
            <w:vAlign w:val="center"/>
          </w:tcPr>
          <w:p w14:paraId="27BE0A0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地下水质量</w:t>
            </w:r>
          </w:p>
        </w:tc>
        <w:tc>
          <w:tcPr>
            <w:tcW w:w="1012" w:type="dxa"/>
            <w:tcBorders>
              <w:top w:val="single" w:color="auto" w:sz="4" w:space="0"/>
              <w:left w:val="single" w:color="auto" w:sz="4" w:space="0"/>
              <w:bottom w:val="single" w:color="auto" w:sz="4" w:space="0"/>
              <w:right w:val="single" w:color="auto" w:sz="4" w:space="0"/>
            </w:tcBorders>
            <w:vAlign w:val="center"/>
          </w:tcPr>
          <w:p w14:paraId="020F47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地下水监控井</w:t>
            </w:r>
          </w:p>
        </w:tc>
        <w:tc>
          <w:tcPr>
            <w:tcW w:w="1012" w:type="dxa"/>
            <w:tcBorders>
              <w:top w:val="single" w:color="auto" w:sz="4" w:space="0"/>
              <w:left w:val="single" w:color="auto" w:sz="4" w:space="0"/>
              <w:bottom w:val="single" w:color="auto" w:sz="4" w:space="0"/>
              <w:right w:val="single" w:color="auto" w:sz="4" w:space="0"/>
            </w:tcBorders>
            <w:vAlign w:val="center"/>
          </w:tcPr>
          <w:p w14:paraId="6839C3D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625087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次</w:t>
            </w:r>
            <w:r>
              <w:rPr>
                <w:rFonts w:hint="default" w:ascii="Times New Roman" w:hAnsi="Times New Roman" w:eastAsia="宋体" w:cs="Times New Roman"/>
                <w:color w:val="auto"/>
                <w:sz w:val="21"/>
                <w:szCs w:val="21"/>
                <w:highlight w:val="none"/>
                <w:lang w:val="en-US" w:eastAsia="zh-CN"/>
              </w:rPr>
              <w:t>/天，共监测2天</w:t>
            </w:r>
          </w:p>
        </w:tc>
        <w:tc>
          <w:tcPr>
            <w:tcW w:w="1012" w:type="dxa"/>
            <w:tcBorders>
              <w:top w:val="single" w:color="auto" w:sz="4" w:space="0"/>
              <w:left w:val="single" w:color="auto" w:sz="4" w:space="0"/>
              <w:bottom w:val="single" w:color="auto" w:sz="4" w:space="0"/>
              <w:right w:val="single" w:color="auto" w:sz="4" w:space="0"/>
            </w:tcBorders>
            <w:vAlign w:val="center"/>
          </w:tcPr>
          <w:p w14:paraId="02F803A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厂区内地下水监控井</w:t>
            </w:r>
          </w:p>
        </w:tc>
        <w:tc>
          <w:tcPr>
            <w:tcW w:w="2926" w:type="dxa"/>
            <w:tcBorders>
              <w:top w:val="single" w:color="auto" w:sz="4" w:space="0"/>
              <w:left w:val="single" w:color="auto" w:sz="4" w:space="0"/>
              <w:bottom w:val="single" w:color="auto" w:sz="4" w:space="0"/>
              <w:right w:val="single" w:color="auto" w:sz="4" w:space="0"/>
            </w:tcBorders>
            <w:vAlign w:val="center"/>
          </w:tcPr>
          <w:p w14:paraId="5C8DB27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场区内</w:t>
            </w:r>
            <w:r>
              <w:rPr>
                <w:rFonts w:hint="default" w:ascii="Times New Roman" w:hAnsi="Times New Roman" w:eastAsia="宋体" w:cs="Times New Roman"/>
                <w:bCs/>
                <w:color w:val="auto"/>
                <w:sz w:val="21"/>
                <w:szCs w:val="21"/>
                <w:highlight w:val="none"/>
              </w:rPr>
              <w:t>设置地下水监控井1眼，设置</w:t>
            </w:r>
            <w:r>
              <w:rPr>
                <w:rFonts w:hint="default" w:ascii="Times New Roman" w:hAnsi="Times New Roman" w:eastAsia="宋体" w:cs="Times New Roman"/>
                <w:bCs/>
                <w:color w:val="auto"/>
                <w:sz w:val="21"/>
                <w:szCs w:val="21"/>
                <w:highlight w:val="none"/>
                <w:lang w:eastAsia="zh-CN"/>
              </w:rPr>
              <w:t>标识</w:t>
            </w:r>
            <w:r>
              <w:rPr>
                <w:rFonts w:hint="default" w:ascii="Times New Roman" w:hAnsi="Times New Roman" w:eastAsia="宋体" w:cs="Times New Roman"/>
                <w:bCs/>
                <w:color w:val="auto"/>
                <w:sz w:val="21"/>
                <w:szCs w:val="21"/>
                <w:highlight w:val="none"/>
              </w:rPr>
              <w:t>等</w:t>
            </w:r>
          </w:p>
        </w:tc>
        <w:tc>
          <w:tcPr>
            <w:tcW w:w="1220" w:type="dxa"/>
            <w:tcBorders>
              <w:top w:val="single" w:color="auto" w:sz="4" w:space="0"/>
              <w:left w:val="single" w:color="auto" w:sz="4" w:space="0"/>
              <w:bottom w:val="single" w:color="auto" w:sz="4" w:space="0"/>
              <w:right w:val="single" w:color="auto" w:sz="4" w:space="0"/>
            </w:tcBorders>
            <w:vAlign w:val="center"/>
          </w:tcPr>
          <w:p w14:paraId="3ADCE22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6F3D3E5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《地下水质量标准》（GB/T14848-2017）中Ⅲ类标准</w:t>
            </w:r>
          </w:p>
        </w:tc>
        <w:tc>
          <w:tcPr>
            <w:tcW w:w="1012" w:type="dxa"/>
            <w:tcBorders>
              <w:top w:val="single" w:color="auto" w:sz="4" w:space="0"/>
              <w:left w:val="single" w:color="auto" w:sz="4" w:space="0"/>
              <w:bottom w:val="single" w:color="auto" w:sz="4" w:space="0"/>
              <w:right w:val="single" w:color="auto" w:sz="4" w:space="0"/>
            </w:tcBorders>
            <w:vAlign w:val="center"/>
          </w:tcPr>
          <w:p w14:paraId="0364A32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34E2CA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2C9141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0F2DF3B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工程防渗要求</w:t>
            </w:r>
          </w:p>
        </w:tc>
        <w:tc>
          <w:tcPr>
            <w:tcW w:w="1012" w:type="dxa"/>
            <w:tcBorders>
              <w:top w:val="single" w:color="auto" w:sz="4" w:space="0"/>
              <w:left w:val="single" w:color="auto" w:sz="4" w:space="0"/>
              <w:bottom w:val="single" w:color="auto" w:sz="4" w:space="0"/>
              <w:right w:val="single" w:color="auto" w:sz="4" w:space="0"/>
            </w:tcBorders>
            <w:vAlign w:val="center"/>
          </w:tcPr>
          <w:p w14:paraId="679CBFE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581271A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2FA05F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02659C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3267DA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1、重点防渗区涉及</w:t>
            </w:r>
            <w:r>
              <w:rPr>
                <w:rFonts w:hint="default" w:ascii="Times New Roman" w:hAnsi="Times New Roman" w:eastAsia="宋体" w:cs="Times New Roman"/>
                <w:color w:val="auto"/>
                <w:sz w:val="21"/>
                <w:szCs w:val="21"/>
                <w:highlight w:val="none"/>
                <w:lang w:val="zh-CN"/>
              </w:rPr>
              <w:t>危废暂存间</w:t>
            </w:r>
            <w:r>
              <w:rPr>
                <w:rFonts w:hint="default" w:ascii="Times New Roman" w:hAnsi="Times New Roman" w:eastAsia="宋体" w:cs="Times New Roman"/>
                <w:color w:val="auto"/>
                <w:sz w:val="21"/>
                <w:szCs w:val="21"/>
                <w:highlight w:val="none"/>
              </w:rPr>
              <w:t>渗透系数要求≤10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p>
          <w:p w14:paraId="217B92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2、一般防渗区：</w:t>
            </w:r>
          </w:p>
          <w:p w14:paraId="5384C54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1）对</w:t>
            </w: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底部基础防渗具体做法为：防渗层为敷设不小于2mm的高密度聚氯乙烯（HDPE）人工防渗膜，膜上、膜下设置“长丝无纺土工布”保护层，并铺设不小于100mm的混凝土保护层，或其他材料可满足渗透系数≤10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p w14:paraId="4EE5FC9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2）对</w:t>
            </w:r>
            <w:r>
              <w:rPr>
                <w:rFonts w:hint="default" w:ascii="Times New Roman" w:hAnsi="Times New Roman" w:eastAsia="宋体" w:cs="Times New Roman"/>
                <w:color w:val="auto"/>
                <w:sz w:val="21"/>
                <w:szCs w:val="21"/>
                <w:highlight w:val="none"/>
                <w:lang w:eastAsia="zh-CN"/>
              </w:rPr>
              <w:t>化粪池</w:t>
            </w:r>
            <w:r>
              <w:rPr>
                <w:rFonts w:hint="default" w:ascii="Times New Roman" w:hAnsi="Times New Roman" w:eastAsia="宋体" w:cs="Times New Roman"/>
                <w:color w:val="auto"/>
                <w:sz w:val="21"/>
                <w:szCs w:val="21"/>
                <w:highlight w:val="none"/>
              </w:rPr>
              <w:t>采取以下防渗措施：</w:t>
            </w:r>
          </w:p>
          <w:p w14:paraId="12FFC03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防渗层为敷设不小于2mm的高密度聚氯乙烯（HDPE）人工防渗膜，并铺设不小于100mm的混凝土保护层，或其他材料可满足渗透系数≤10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p w14:paraId="5626B9A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3、对于</w:t>
            </w:r>
            <w:r>
              <w:rPr>
                <w:rFonts w:hint="default" w:ascii="Times New Roman" w:hAnsi="Times New Roman" w:eastAsia="宋体" w:cs="Times New Roman"/>
                <w:color w:val="auto"/>
                <w:sz w:val="21"/>
                <w:szCs w:val="21"/>
                <w:highlight w:val="none"/>
                <w:lang w:eastAsia="zh-CN"/>
              </w:rPr>
              <w:t>草棚</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场区道路、</w:t>
            </w:r>
            <w:r>
              <w:rPr>
                <w:rFonts w:hint="default" w:ascii="Times New Roman" w:hAnsi="Times New Roman" w:eastAsia="宋体" w:cs="Times New Roman"/>
                <w:color w:val="auto"/>
                <w:sz w:val="21"/>
                <w:szCs w:val="21"/>
                <w:highlight w:val="none"/>
                <w:lang w:eastAsia="zh-CN"/>
              </w:rPr>
              <w:t>羊圈</w:t>
            </w:r>
            <w:r>
              <w:rPr>
                <w:rFonts w:hint="default" w:ascii="Times New Roman" w:hAnsi="Times New Roman" w:eastAsia="宋体" w:cs="Times New Roman"/>
                <w:color w:val="auto"/>
                <w:sz w:val="21"/>
                <w:szCs w:val="21"/>
                <w:highlight w:val="none"/>
              </w:rPr>
              <w:t>饲料通道等生产区，铺设防渗混凝土地面进行防渗。</w:t>
            </w:r>
          </w:p>
        </w:tc>
        <w:tc>
          <w:tcPr>
            <w:tcW w:w="1220" w:type="dxa"/>
            <w:tcBorders>
              <w:top w:val="single" w:color="auto" w:sz="4" w:space="0"/>
              <w:left w:val="single" w:color="auto" w:sz="4" w:space="0"/>
              <w:bottom w:val="single" w:color="auto" w:sz="4" w:space="0"/>
              <w:right w:val="single" w:color="auto" w:sz="4" w:space="0"/>
            </w:tcBorders>
            <w:vAlign w:val="center"/>
          </w:tcPr>
          <w:p w14:paraId="1A73959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7B3788C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《畜禽养殖业污染物排放</w:t>
            </w:r>
            <w:r>
              <w:rPr>
                <w:rFonts w:hint="default" w:ascii="Times New Roman" w:hAnsi="Times New Roman" w:eastAsia="宋体" w:cs="Times New Roman"/>
                <w:color w:val="auto"/>
                <w:sz w:val="21"/>
                <w:szCs w:val="21"/>
                <w:highlight w:val="none"/>
                <w:lang w:eastAsia="zh-CN"/>
              </w:rPr>
              <w:t>标准</w:t>
            </w:r>
            <w:r>
              <w:rPr>
                <w:rFonts w:hint="default" w:ascii="Times New Roman" w:hAnsi="Times New Roman" w:eastAsia="宋体" w:cs="Times New Roman"/>
                <w:color w:val="auto"/>
                <w:sz w:val="21"/>
                <w:szCs w:val="21"/>
                <w:highlight w:val="none"/>
              </w:rPr>
              <w:t>（GB18596-2001）》，《危险废物贮存污染控制标准》（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w:t>
            </w:r>
          </w:p>
          <w:p w14:paraId="7D82338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参照《一般工业固体废物贮存和填埋污染控制标准》（GB18599-2020）</w:t>
            </w:r>
          </w:p>
        </w:tc>
        <w:tc>
          <w:tcPr>
            <w:tcW w:w="1012" w:type="dxa"/>
            <w:tcBorders>
              <w:top w:val="single" w:color="auto" w:sz="4" w:space="0"/>
              <w:left w:val="single" w:color="auto" w:sz="4" w:space="0"/>
              <w:bottom w:val="single" w:color="auto" w:sz="4" w:space="0"/>
              <w:right w:val="single" w:color="auto" w:sz="4" w:space="0"/>
            </w:tcBorders>
            <w:vAlign w:val="center"/>
          </w:tcPr>
          <w:p w14:paraId="3978F69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646BDA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05B7DD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012" w:type="dxa"/>
            <w:tcBorders>
              <w:top w:val="single" w:color="auto" w:sz="4" w:space="0"/>
              <w:left w:val="single" w:color="auto" w:sz="4" w:space="0"/>
              <w:bottom w:val="single" w:color="auto" w:sz="4" w:space="0"/>
              <w:right w:val="single" w:color="auto" w:sz="4" w:space="0"/>
            </w:tcBorders>
            <w:vAlign w:val="center"/>
          </w:tcPr>
          <w:p w14:paraId="15D8C4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zh-CN"/>
              </w:rPr>
              <w:t>医疗垃圾</w:t>
            </w:r>
          </w:p>
        </w:tc>
        <w:tc>
          <w:tcPr>
            <w:tcW w:w="1012" w:type="dxa"/>
            <w:tcBorders>
              <w:top w:val="single" w:color="auto" w:sz="4" w:space="0"/>
              <w:left w:val="single" w:color="auto" w:sz="4" w:space="0"/>
              <w:bottom w:val="single" w:color="auto" w:sz="4" w:space="0"/>
              <w:right w:val="single" w:color="auto" w:sz="4" w:space="0"/>
            </w:tcBorders>
            <w:vAlign w:val="center"/>
          </w:tcPr>
          <w:p w14:paraId="1F9C6FE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1C8569A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1DB8C5A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D593FC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341196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w:t>
            </w:r>
            <w:r>
              <w:rPr>
                <w:rFonts w:hint="default" w:ascii="Times New Roman" w:hAnsi="Times New Roman" w:eastAsia="宋体" w:cs="Times New Roman"/>
                <w:color w:val="auto"/>
                <w:sz w:val="21"/>
                <w:szCs w:val="21"/>
                <w:highlight w:val="none"/>
                <w:lang w:eastAsia="zh-CN"/>
              </w:rPr>
              <w:t>危废暂存间</w:t>
            </w:r>
            <w:r>
              <w:rPr>
                <w:rFonts w:hint="default" w:ascii="Times New Roman" w:hAnsi="Times New Roman" w:eastAsia="宋体" w:cs="Times New Roman"/>
                <w:color w:val="auto"/>
                <w:sz w:val="21"/>
                <w:szCs w:val="21"/>
                <w:highlight w:val="none"/>
              </w:rPr>
              <w:t>1座，建筑面积10m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，暂存运营过程产生的</w:t>
            </w:r>
            <w:r>
              <w:rPr>
                <w:rFonts w:hint="default" w:ascii="Times New Roman" w:hAnsi="Times New Roman" w:eastAsia="宋体" w:cs="Times New Roman"/>
                <w:color w:val="auto"/>
                <w:sz w:val="21"/>
                <w:szCs w:val="21"/>
                <w:highlight w:val="none"/>
                <w:lang w:eastAsia="zh-CN"/>
              </w:rPr>
              <w:t>医疗垃圾</w:t>
            </w:r>
            <w:r>
              <w:rPr>
                <w:rFonts w:hint="default" w:ascii="Times New Roman" w:hAnsi="Times New Roman" w:eastAsia="宋体" w:cs="Times New Roman"/>
                <w:color w:val="auto"/>
                <w:sz w:val="21"/>
                <w:szCs w:val="21"/>
                <w:highlight w:val="none"/>
              </w:rPr>
              <w:t>，暂存</w:t>
            </w:r>
            <w:r>
              <w:rPr>
                <w:rFonts w:hint="default" w:ascii="Times New Roman" w:hAnsi="Times New Roman" w:eastAsia="宋体" w:cs="Times New Roman"/>
                <w:color w:val="auto"/>
                <w:sz w:val="21"/>
                <w:szCs w:val="21"/>
                <w:highlight w:val="none"/>
                <w:lang w:eastAsia="zh-CN"/>
              </w:rPr>
              <w:t>定期由有资质单位处置</w:t>
            </w:r>
            <w:r>
              <w:rPr>
                <w:rFonts w:hint="default" w:ascii="Times New Roman" w:hAnsi="Times New Roman" w:eastAsia="宋体" w:cs="Times New Roman"/>
                <w:color w:val="auto"/>
                <w:sz w:val="21"/>
                <w:szCs w:val="21"/>
                <w:highlight w:val="none"/>
              </w:rPr>
              <w:t>；</w:t>
            </w:r>
          </w:p>
          <w:p w14:paraId="339AF1E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1）贮存场所地面须</w:t>
            </w:r>
            <w:r>
              <w:rPr>
                <w:rFonts w:hint="default" w:ascii="Times New Roman" w:hAnsi="Times New Roman" w:eastAsia="宋体" w:cs="Times New Roman"/>
                <w:color w:val="auto"/>
                <w:sz w:val="21"/>
                <w:szCs w:val="21"/>
                <w:highlight w:val="none"/>
                <w:lang w:eastAsia="zh-CN"/>
              </w:rPr>
              <w:t>做</w:t>
            </w:r>
            <w:r>
              <w:rPr>
                <w:rFonts w:hint="default" w:ascii="Times New Roman" w:hAnsi="Times New Roman" w:eastAsia="宋体" w:cs="Times New Roman"/>
                <w:color w:val="auto"/>
                <w:sz w:val="21"/>
                <w:szCs w:val="21"/>
                <w:highlight w:val="none"/>
              </w:rPr>
              <w:t>硬化处理，以混凝土、砖</w:t>
            </w:r>
            <w:r>
              <w:rPr>
                <w:rFonts w:hint="default" w:ascii="Times New Roman" w:hAnsi="Times New Roman" w:eastAsia="宋体" w:cs="Times New Roman"/>
                <w:color w:val="auto"/>
                <w:sz w:val="21"/>
                <w:szCs w:val="21"/>
                <w:highlight w:val="none"/>
                <w:lang w:eastAsia="zh-CN"/>
              </w:rPr>
              <w:t>，或</w:t>
            </w:r>
            <w:r>
              <w:rPr>
                <w:rFonts w:hint="default" w:ascii="Times New Roman" w:hAnsi="Times New Roman" w:eastAsia="宋体" w:cs="Times New Roman"/>
                <w:color w:val="auto"/>
                <w:sz w:val="21"/>
                <w:szCs w:val="21"/>
                <w:highlight w:val="none"/>
              </w:rPr>
              <w:t>经过防止腐化处理的钢材料进行建设，地面敷设2mm厚HDPE膜进行防渗处理，以防止渗漏和腐蚀。存放液体性危险废物的贮存场所必须设计导流槽和收集井，场所需要密闭且有通风口。</w:t>
            </w:r>
          </w:p>
          <w:p w14:paraId="20FBE60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2）危废暂存间的地面与裙脚要用坚固、防渗的材料建造，建筑材料必须与危险废物相容。</w:t>
            </w:r>
          </w:p>
        </w:tc>
        <w:tc>
          <w:tcPr>
            <w:tcW w:w="1220" w:type="dxa"/>
            <w:tcBorders>
              <w:top w:val="single" w:color="auto" w:sz="4" w:space="0"/>
              <w:left w:val="single" w:color="auto" w:sz="4" w:space="0"/>
              <w:bottom w:val="single" w:color="auto" w:sz="4" w:space="0"/>
              <w:right w:val="single" w:color="auto" w:sz="4" w:space="0"/>
            </w:tcBorders>
            <w:vAlign w:val="center"/>
          </w:tcPr>
          <w:p w14:paraId="39EDA7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5C99E77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《危险废物贮存污染控制标准》（</w:t>
            </w:r>
            <w:r>
              <w:rPr>
                <w:rFonts w:hint="default" w:ascii="Times New Roman" w:hAnsi="Times New Roman" w:eastAsia="宋体" w:cs="Times New Roman"/>
                <w:color w:val="auto"/>
                <w:sz w:val="21"/>
                <w:szCs w:val="21"/>
                <w:highlight w:val="none"/>
                <w:lang w:eastAsia="zh-CN"/>
              </w:rPr>
              <w:t>GB18597-2023</w:t>
            </w: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3C007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720855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64E8B81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25691CE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羊粪便</w:t>
            </w:r>
          </w:p>
        </w:tc>
        <w:tc>
          <w:tcPr>
            <w:tcW w:w="1012" w:type="dxa"/>
            <w:tcBorders>
              <w:top w:val="single" w:color="auto" w:sz="4" w:space="0"/>
              <w:left w:val="single" w:color="auto" w:sz="4" w:space="0"/>
              <w:bottom w:val="single" w:color="auto" w:sz="4" w:space="0"/>
              <w:right w:val="single" w:color="auto" w:sz="4" w:space="0"/>
            </w:tcBorders>
            <w:vAlign w:val="center"/>
          </w:tcPr>
          <w:p w14:paraId="3D52BFA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5BB8EB7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46B5E2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79F3DE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05D08EF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收集经堆肥发酵后，用于还田利用；</w:t>
            </w:r>
          </w:p>
          <w:p w14:paraId="78D0468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堆肥场</w:t>
            </w:r>
            <w:r>
              <w:rPr>
                <w:rFonts w:hint="default" w:ascii="Times New Roman" w:hAnsi="Times New Roman" w:eastAsia="宋体" w:cs="Times New Roman"/>
                <w:color w:val="auto"/>
                <w:sz w:val="21"/>
                <w:szCs w:val="21"/>
                <w:highlight w:val="none"/>
              </w:rPr>
              <w:t>底部进行硬化防渗处理，四面设围墙及导流渠，</w:t>
            </w:r>
            <w:r>
              <w:rPr>
                <w:rFonts w:hint="default" w:ascii="Times New Roman" w:hAnsi="Times New Roman" w:eastAsia="宋体" w:cs="Times New Roman"/>
                <w:color w:val="auto"/>
                <w:sz w:val="21"/>
                <w:szCs w:val="21"/>
                <w:highlight w:val="none"/>
                <w:lang w:eastAsia="zh-CN"/>
              </w:rPr>
              <w:t>墙高1m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防止</w:t>
            </w:r>
            <w:r>
              <w:rPr>
                <w:rFonts w:hint="default" w:ascii="Times New Roman" w:hAnsi="Times New Roman" w:eastAsia="宋体" w:cs="Times New Roman"/>
                <w:color w:val="auto"/>
                <w:sz w:val="21"/>
                <w:szCs w:val="21"/>
                <w:highlight w:val="none"/>
              </w:rPr>
              <w:t>因雨水进入造成外溢，形成二次污染</w:t>
            </w:r>
          </w:p>
        </w:tc>
        <w:tc>
          <w:tcPr>
            <w:tcW w:w="1220" w:type="dxa"/>
            <w:tcBorders>
              <w:top w:val="single" w:color="auto" w:sz="4" w:space="0"/>
              <w:left w:val="single" w:color="auto" w:sz="4" w:space="0"/>
              <w:bottom w:val="single" w:color="auto" w:sz="4" w:space="0"/>
              <w:right w:val="single" w:color="auto" w:sz="4" w:space="0"/>
            </w:tcBorders>
            <w:vAlign w:val="center"/>
          </w:tcPr>
          <w:p w14:paraId="6946520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70E6B1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资源化利用，满足《畜禽养殖业污染物排放标准》（GB18596-2001）</w:t>
            </w:r>
          </w:p>
        </w:tc>
        <w:tc>
          <w:tcPr>
            <w:tcW w:w="1012" w:type="dxa"/>
            <w:tcBorders>
              <w:top w:val="single" w:color="auto" w:sz="4" w:space="0"/>
              <w:left w:val="single" w:color="auto" w:sz="4" w:space="0"/>
              <w:bottom w:val="single" w:color="auto" w:sz="4" w:space="0"/>
              <w:right w:val="single" w:color="auto" w:sz="4" w:space="0"/>
            </w:tcBorders>
            <w:vAlign w:val="center"/>
          </w:tcPr>
          <w:p w14:paraId="2C3B6C9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73B80A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70825DE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55830C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病死羊</w:t>
            </w:r>
          </w:p>
        </w:tc>
        <w:tc>
          <w:tcPr>
            <w:tcW w:w="1012" w:type="dxa"/>
            <w:tcBorders>
              <w:top w:val="single" w:color="auto" w:sz="4" w:space="0"/>
              <w:left w:val="single" w:color="auto" w:sz="4" w:space="0"/>
              <w:bottom w:val="single" w:color="auto" w:sz="4" w:space="0"/>
              <w:right w:val="single" w:color="auto" w:sz="4" w:space="0"/>
            </w:tcBorders>
            <w:vAlign w:val="center"/>
          </w:tcPr>
          <w:p w14:paraId="2172E20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21940EE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12A41B1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1883A4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3D8CA8F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交由巴彦淖尔市绿之源生物技术发展有限公司进行无害化处理。</w:t>
            </w:r>
          </w:p>
        </w:tc>
        <w:tc>
          <w:tcPr>
            <w:tcW w:w="1220" w:type="dxa"/>
            <w:tcBorders>
              <w:top w:val="single" w:color="auto" w:sz="4" w:space="0"/>
              <w:left w:val="single" w:color="auto" w:sz="4" w:space="0"/>
              <w:bottom w:val="single" w:color="auto" w:sz="4" w:space="0"/>
              <w:right w:val="single" w:color="auto" w:sz="4" w:space="0"/>
            </w:tcBorders>
            <w:vAlign w:val="center"/>
          </w:tcPr>
          <w:p w14:paraId="0C646B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632549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《畜禽养殖业污染治理工程技术规范》（HJ497-2009）、《畜禽养殖业污染防治技术规范》（HJ/T81-2001）、《病死及病害动物无害化处理技术规范》（农医发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25号）</w:t>
            </w:r>
          </w:p>
        </w:tc>
        <w:tc>
          <w:tcPr>
            <w:tcW w:w="1012" w:type="dxa"/>
            <w:tcBorders>
              <w:top w:val="single" w:color="auto" w:sz="4" w:space="0"/>
              <w:left w:val="single" w:color="auto" w:sz="4" w:space="0"/>
              <w:bottom w:val="single" w:color="auto" w:sz="4" w:space="0"/>
              <w:right w:val="single" w:color="auto" w:sz="4" w:space="0"/>
            </w:tcBorders>
            <w:vAlign w:val="center"/>
          </w:tcPr>
          <w:p w14:paraId="30D3B44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62725B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19D8564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7A00ABA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人员</w:t>
            </w:r>
          </w:p>
        </w:tc>
        <w:tc>
          <w:tcPr>
            <w:tcW w:w="1012" w:type="dxa"/>
            <w:tcBorders>
              <w:top w:val="single" w:color="auto" w:sz="4" w:space="0"/>
              <w:left w:val="single" w:color="auto" w:sz="4" w:space="0"/>
              <w:bottom w:val="single" w:color="auto" w:sz="4" w:space="0"/>
              <w:right w:val="single" w:color="auto" w:sz="4" w:space="0"/>
            </w:tcBorders>
            <w:vAlign w:val="center"/>
          </w:tcPr>
          <w:p w14:paraId="6ABC653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3563C8D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c>
          <w:tcPr>
            <w:tcW w:w="1012" w:type="dxa"/>
            <w:tcBorders>
              <w:top w:val="single" w:color="auto" w:sz="4" w:space="0"/>
              <w:left w:val="single" w:color="auto" w:sz="4" w:space="0"/>
              <w:bottom w:val="single" w:color="auto" w:sz="4" w:space="0"/>
              <w:right w:val="single" w:color="auto" w:sz="4" w:space="0"/>
            </w:tcBorders>
            <w:vAlign w:val="center"/>
          </w:tcPr>
          <w:p w14:paraId="2B83562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2C4A5B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1082484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场区设置垃圾桶分类收集，交由环卫部门处理</w:t>
            </w:r>
          </w:p>
        </w:tc>
        <w:tc>
          <w:tcPr>
            <w:tcW w:w="1220" w:type="dxa"/>
            <w:tcBorders>
              <w:top w:val="single" w:color="auto" w:sz="4" w:space="0"/>
              <w:left w:val="single" w:color="auto" w:sz="4" w:space="0"/>
              <w:bottom w:val="single" w:color="auto" w:sz="4" w:space="0"/>
              <w:right w:val="single" w:color="auto" w:sz="4" w:space="0"/>
            </w:tcBorders>
            <w:vAlign w:val="center"/>
          </w:tcPr>
          <w:p w14:paraId="59AEE10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7849A5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0BFEE80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449A3F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4EC80DE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012" w:type="dxa"/>
            <w:tcBorders>
              <w:top w:val="single" w:color="auto" w:sz="4" w:space="0"/>
              <w:left w:val="single" w:color="auto" w:sz="4" w:space="0"/>
              <w:bottom w:val="single" w:color="auto" w:sz="4" w:space="0"/>
              <w:right w:val="single" w:color="auto" w:sz="4" w:space="0"/>
            </w:tcBorders>
            <w:vAlign w:val="center"/>
          </w:tcPr>
          <w:p w14:paraId="2EA4A36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风机和泵类</w:t>
            </w:r>
          </w:p>
        </w:tc>
        <w:tc>
          <w:tcPr>
            <w:tcW w:w="1012" w:type="dxa"/>
            <w:tcBorders>
              <w:top w:val="single" w:color="auto" w:sz="4" w:space="0"/>
              <w:left w:val="single" w:color="auto" w:sz="4" w:space="0"/>
              <w:bottom w:val="single" w:color="auto" w:sz="4" w:space="0"/>
              <w:right w:val="single" w:color="auto" w:sz="4" w:space="0"/>
            </w:tcBorders>
            <w:vAlign w:val="center"/>
          </w:tcPr>
          <w:p w14:paraId="13CB894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厂界四周</w:t>
            </w:r>
          </w:p>
        </w:tc>
        <w:tc>
          <w:tcPr>
            <w:tcW w:w="1012" w:type="dxa"/>
            <w:tcBorders>
              <w:top w:val="single" w:color="auto" w:sz="4" w:space="0"/>
              <w:left w:val="single" w:color="auto" w:sz="4" w:space="0"/>
              <w:bottom w:val="single" w:color="auto" w:sz="4" w:space="0"/>
              <w:right w:val="single" w:color="auto" w:sz="4" w:space="0"/>
            </w:tcBorders>
            <w:vAlign w:val="center"/>
          </w:tcPr>
          <w:p w14:paraId="7C9DB2E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等效噪声A声级</w:t>
            </w:r>
          </w:p>
        </w:tc>
        <w:tc>
          <w:tcPr>
            <w:tcW w:w="1012" w:type="dxa"/>
            <w:tcBorders>
              <w:top w:val="single" w:color="auto" w:sz="4" w:space="0"/>
              <w:left w:val="single" w:color="auto" w:sz="4" w:space="0"/>
              <w:bottom w:val="single" w:color="auto" w:sz="4" w:space="0"/>
              <w:right w:val="single" w:color="auto" w:sz="4" w:space="0"/>
            </w:tcBorders>
            <w:vAlign w:val="center"/>
          </w:tcPr>
          <w:p w14:paraId="0F3EAE7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1272842B">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326B97C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基础减振、全封闭</w:t>
            </w:r>
            <w:r>
              <w:rPr>
                <w:rFonts w:hint="default" w:ascii="Times New Roman" w:hAnsi="Times New Roman" w:eastAsia="宋体" w:cs="Times New Roman"/>
                <w:color w:val="auto"/>
                <w:sz w:val="21"/>
                <w:szCs w:val="21"/>
                <w:highlight w:val="none"/>
                <w:lang w:eastAsia="zh-CN"/>
              </w:rPr>
              <w:t>日粮搅拌车间</w:t>
            </w:r>
            <w:r>
              <w:rPr>
                <w:rFonts w:hint="default" w:ascii="Times New Roman" w:hAnsi="Times New Roman" w:eastAsia="宋体" w:cs="Times New Roman"/>
                <w:color w:val="auto"/>
                <w:sz w:val="21"/>
                <w:szCs w:val="21"/>
                <w:highlight w:val="none"/>
              </w:rPr>
              <w:t>等措施</w:t>
            </w:r>
          </w:p>
        </w:tc>
        <w:tc>
          <w:tcPr>
            <w:tcW w:w="1220" w:type="dxa"/>
            <w:tcBorders>
              <w:top w:val="single" w:color="auto" w:sz="4" w:space="0"/>
              <w:left w:val="single" w:color="auto" w:sz="4" w:space="0"/>
              <w:bottom w:val="single" w:color="auto" w:sz="4" w:space="0"/>
              <w:right w:val="single" w:color="auto" w:sz="4" w:space="0"/>
            </w:tcBorders>
            <w:vAlign w:val="center"/>
          </w:tcPr>
          <w:p w14:paraId="010429C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086CDEF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1工业企业厂界环境噪声排放限值中</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类功能区排放限值</w:t>
            </w:r>
          </w:p>
        </w:tc>
        <w:tc>
          <w:tcPr>
            <w:tcW w:w="1012" w:type="dxa"/>
            <w:tcBorders>
              <w:top w:val="single" w:color="auto" w:sz="4" w:space="0"/>
              <w:left w:val="single" w:color="auto" w:sz="4" w:space="0"/>
              <w:bottom w:val="single" w:color="auto" w:sz="4" w:space="0"/>
              <w:right w:val="single" w:color="auto" w:sz="4" w:space="0"/>
            </w:tcBorders>
            <w:vAlign w:val="center"/>
          </w:tcPr>
          <w:p w14:paraId="3E520A9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505528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restart"/>
            <w:tcBorders>
              <w:top w:val="single" w:color="auto" w:sz="4" w:space="0"/>
              <w:left w:val="single" w:color="auto" w:sz="4" w:space="0"/>
              <w:bottom w:val="single" w:color="auto" w:sz="4" w:space="0"/>
              <w:right w:val="single" w:color="auto" w:sz="4" w:space="0"/>
            </w:tcBorders>
            <w:vAlign w:val="center"/>
          </w:tcPr>
          <w:p w14:paraId="08B4C1C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农肥</w:t>
            </w:r>
          </w:p>
        </w:tc>
        <w:tc>
          <w:tcPr>
            <w:tcW w:w="1012" w:type="dxa"/>
            <w:tcBorders>
              <w:top w:val="single" w:color="auto" w:sz="4" w:space="0"/>
              <w:left w:val="single" w:color="auto" w:sz="4" w:space="0"/>
              <w:bottom w:val="single" w:color="auto" w:sz="4" w:space="0"/>
              <w:right w:val="single" w:color="auto" w:sz="4" w:space="0"/>
            </w:tcBorders>
            <w:vAlign w:val="center"/>
          </w:tcPr>
          <w:p w14:paraId="434861C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肥料</w:t>
            </w:r>
          </w:p>
        </w:tc>
        <w:tc>
          <w:tcPr>
            <w:tcW w:w="1012" w:type="dxa"/>
            <w:tcBorders>
              <w:top w:val="single" w:color="auto" w:sz="4" w:space="0"/>
              <w:left w:val="single" w:color="auto" w:sz="4" w:space="0"/>
              <w:bottom w:val="single" w:color="auto" w:sz="4" w:space="0"/>
              <w:right w:val="single" w:color="auto" w:sz="4" w:space="0"/>
            </w:tcBorders>
            <w:vAlign w:val="center"/>
          </w:tcPr>
          <w:p w14:paraId="4B90936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0DF8DE8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78C4ADF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7877F05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1112B75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固体肥还田时采用封闭运输车辆。主要检测蛔虫卵、粪大肠菌群数等，满足相关法规及规范关于无害化的要求</w:t>
            </w:r>
          </w:p>
        </w:tc>
        <w:tc>
          <w:tcPr>
            <w:tcW w:w="1220" w:type="dxa"/>
            <w:tcBorders>
              <w:top w:val="single" w:color="auto" w:sz="4" w:space="0"/>
              <w:left w:val="single" w:color="auto" w:sz="4" w:space="0"/>
              <w:bottom w:val="single" w:color="auto" w:sz="4" w:space="0"/>
              <w:right w:val="single" w:color="auto" w:sz="4" w:space="0"/>
            </w:tcBorders>
            <w:vAlign w:val="center"/>
          </w:tcPr>
          <w:p w14:paraId="1506B7DD">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vMerge w:val="restart"/>
            <w:tcBorders>
              <w:top w:val="single" w:color="auto" w:sz="4" w:space="0"/>
              <w:left w:val="single" w:color="auto" w:sz="4" w:space="0"/>
              <w:bottom w:val="single" w:color="auto" w:sz="4" w:space="0"/>
              <w:right w:val="single" w:color="auto" w:sz="4" w:space="0"/>
            </w:tcBorders>
            <w:vAlign w:val="center"/>
          </w:tcPr>
          <w:p w14:paraId="2AD0CC24">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满足《畜禽规模养殖污染防治条例》（第643号）有关畜禽粪便综合利用与治理相关要求及《畜禽养殖业污染物排放标准》（GB18596-2001）中表6畜禽养殖业废渣无害化环境标准关于无害化的要求，进行资源化还田</w:t>
            </w:r>
          </w:p>
        </w:tc>
        <w:tc>
          <w:tcPr>
            <w:tcW w:w="1012" w:type="dxa"/>
            <w:tcBorders>
              <w:top w:val="single" w:color="auto" w:sz="4" w:space="0"/>
              <w:left w:val="single" w:color="auto" w:sz="4" w:space="0"/>
              <w:bottom w:val="single" w:color="auto" w:sz="4" w:space="0"/>
              <w:right w:val="single" w:color="auto" w:sz="4" w:space="0"/>
            </w:tcBorders>
            <w:vAlign w:val="center"/>
          </w:tcPr>
          <w:p w14:paraId="5551A1A7">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2DDDDB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vMerge w:val="continue"/>
            <w:tcBorders>
              <w:top w:val="single" w:color="auto" w:sz="4" w:space="0"/>
              <w:left w:val="single" w:color="auto" w:sz="4" w:space="0"/>
              <w:bottom w:val="single" w:color="auto" w:sz="4" w:space="0"/>
              <w:right w:val="single" w:color="auto" w:sz="4" w:space="0"/>
            </w:tcBorders>
            <w:vAlign w:val="center"/>
          </w:tcPr>
          <w:p w14:paraId="31B5D8A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3545491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消纳土地</w:t>
            </w:r>
          </w:p>
        </w:tc>
        <w:tc>
          <w:tcPr>
            <w:tcW w:w="1012" w:type="dxa"/>
            <w:tcBorders>
              <w:top w:val="single" w:color="auto" w:sz="4" w:space="0"/>
              <w:left w:val="single" w:color="auto" w:sz="4" w:space="0"/>
              <w:bottom w:val="single" w:color="auto" w:sz="4" w:space="0"/>
              <w:right w:val="single" w:color="auto" w:sz="4" w:space="0"/>
            </w:tcBorders>
            <w:vAlign w:val="center"/>
          </w:tcPr>
          <w:p w14:paraId="551B464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59FB01F9">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w:t>
            </w:r>
          </w:p>
        </w:tc>
        <w:tc>
          <w:tcPr>
            <w:tcW w:w="1012" w:type="dxa"/>
            <w:tcBorders>
              <w:top w:val="single" w:color="auto" w:sz="4" w:space="0"/>
              <w:left w:val="single" w:color="auto" w:sz="4" w:space="0"/>
              <w:bottom w:val="single" w:color="auto" w:sz="4" w:space="0"/>
              <w:right w:val="single" w:color="auto" w:sz="4" w:space="0"/>
            </w:tcBorders>
            <w:vAlign w:val="center"/>
          </w:tcPr>
          <w:p w14:paraId="1A82DDB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2296BA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5790C1CE">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项目运营时配套有效消纳土地不少于</w:t>
            </w:r>
            <w:r>
              <w:rPr>
                <w:rFonts w:hint="default" w:ascii="Times New Roman" w:hAnsi="Times New Roman" w:eastAsia="宋体" w:cs="Times New Roman"/>
                <w:color w:val="auto"/>
                <w:sz w:val="21"/>
                <w:szCs w:val="21"/>
                <w:highlight w:val="none"/>
                <w:lang w:val="en-US" w:eastAsia="zh-CN"/>
              </w:rPr>
              <w:t>6250</w:t>
            </w:r>
            <w:r>
              <w:rPr>
                <w:rFonts w:hint="default" w:ascii="Times New Roman" w:hAnsi="Times New Roman" w:eastAsia="宋体" w:cs="Times New Roman"/>
                <w:color w:val="auto"/>
                <w:sz w:val="21"/>
                <w:szCs w:val="21"/>
                <w:highlight w:val="none"/>
                <w:lang w:eastAsia="zh-CN"/>
              </w:rPr>
              <w:t>亩</w:t>
            </w:r>
            <w:r>
              <w:rPr>
                <w:rFonts w:hint="default" w:ascii="Times New Roman" w:hAnsi="Times New Roman" w:eastAsia="宋体" w:cs="Times New Roman"/>
                <w:color w:val="auto"/>
                <w:sz w:val="21"/>
                <w:szCs w:val="21"/>
                <w:highlight w:val="none"/>
              </w:rPr>
              <w:t>，消纳项目所产生的粪便发酵形成的</w:t>
            </w:r>
            <w:r>
              <w:rPr>
                <w:rFonts w:hint="default" w:ascii="Times New Roman" w:hAnsi="Times New Roman" w:eastAsia="宋体" w:cs="Times New Roman"/>
                <w:color w:val="auto"/>
                <w:sz w:val="21"/>
                <w:szCs w:val="21"/>
                <w:highlight w:val="none"/>
                <w:lang w:eastAsia="zh-CN"/>
              </w:rPr>
              <w:t>有机肥</w:t>
            </w:r>
            <w:r>
              <w:rPr>
                <w:rFonts w:hint="default" w:ascii="Times New Roman" w:hAnsi="Times New Roman" w:eastAsia="宋体" w:cs="Times New Roman"/>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vAlign w:val="center"/>
          </w:tcPr>
          <w:p w14:paraId="5F539720">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vMerge w:val="continue"/>
            <w:tcBorders>
              <w:top w:val="single" w:color="auto" w:sz="4" w:space="0"/>
              <w:left w:val="single" w:color="auto" w:sz="4" w:space="0"/>
              <w:bottom w:val="single" w:color="auto" w:sz="4" w:space="0"/>
              <w:right w:val="single" w:color="auto" w:sz="4" w:space="0"/>
            </w:tcBorders>
            <w:vAlign w:val="center"/>
          </w:tcPr>
          <w:p w14:paraId="64E64436">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618A78A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tr w14:paraId="7CB0C8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41239B43">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绿化</w:t>
            </w:r>
          </w:p>
        </w:tc>
        <w:tc>
          <w:tcPr>
            <w:tcW w:w="1012" w:type="dxa"/>
            <w:tcBorders>
              <w:top w:val="single" w:color="auto" w:sz="4" w:space="0"/>
              <w:left w:val="single" w:color="auto" w:sz="4" w:space="0"/>
              <w:bottom w:val="single" w:color="auto" w:sz="4" w:space="0"/>
              <w:right w:val="single" w:color="auto" w:sz="4" w:space="0"/>
            </w:tcBorders>
            <w:vAlign w:val="center"/>
          </w:tcPr>
          <w:p w14:paraId="69E6F9CC">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p>
        </w:tc>
        <w:tc>
          <w:tcPr>
            <w:tcW w:w="2024" w:type="dxa"/>
            <w:gridSpan w:val="2"/>
            <w:tcBorders>
              <w:top w:val="single" w:color="auto" w:sz="4" w:space="0"/>
              <w:left w:val="single" w:color="auto" w:sz="4" w:space="0"/>
              <w:bottom w:val="single" w:color="auto" w:sz="4" w:space="0"/>
              <w:right w:val="single" w:color="auto" w:sz="4" w:space="0"/>
            </w:tcBorders>
            <w:vAlign w:val="center"/>
          </w:tcPr>
          <w:p w14:paraId="1408C968">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绿化工程</w:t>
            </w:r>
          </w:p>
        </w:tc>
        <w:tc>
          <w:tcPr>
            <w:tcW w:w="1012" w:type="dxa"/>
            <w:tcBorders>
              <w:top w:val="single" w:color="auto" w:sz="4" w:space="0"/>
              <w:left w:val="single" w:color="auto" w:sz="4" w:space="0"/>
              <w:bottom w:val="single" w:color="auto" w:sz="4" w:space="0"/>
              <w:right w:val="single" w:color="auto" w:sz="4" w:space="0"/>
            </w:tcBorders>
            <w:vAlign w:val="center"/>
          </w:tcPr>
          <w:p w14:paraId="6CC0D09F">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p>
        </w:tc>
        <w:tc>
          <w:tcPr>
            <w:tcW w:w="1012" w:type="dxa"/>
            <w:tcBorders>
              <w:top w:val="single" w:color="auto" w:sz="4" w:space="0"/>
              <w:left w:val="single" w:color="auto" w:sz="4" w:space="0"/>
              <w:bottom w:val="single" w:color="auto" w:sz="4" w:space="0"/>
              <w:right w:val="single" w:color="auto" w:sz="4" w:space="0"/>
            </w:tcBorders>
            <w:vAlign w:val="center"/>
          </w:tcPr>
          <w:p w14:paraId="2FF2E13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rPr>
              <w:t>/</w:t>
            </w:r>
          </w:p>
        </w:tc>
        <w:tc>
          <w:tcPr>
            <w:tcW w:w="2926" w:type="dxa"/>
            <w:tcBorders>
              <w:top w:val="single" w:color="auto" w:sz="4" w:space="0"/>
              <w:left w:val="single" w:color="auto" w:sz="4" w:space="0"/>
              <w:bottom w:val="single" w:color="auto" w:sz="4" w:space="0"/>
              <w:right w:val="single" w:color="auto" w:sz="4" w:space="0"/>
            </w:tcBorders>
            <w:vAlign w:val="center"/>
          </w:tcPr>
          <w:p w14:paraId="13F1FA41">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在场区四周、建筑物及道路两侧要种植乔灌相间的常青树，尤其应对</w:t>
            </w:r>
            <w:r>
              <w:rPr>
                <w:rFonts w:hint="default" w:ascii="Times New Roman" w:hAnsi="Times New Roman" w:eastAsia="宋体" w:cs="Times New Roman"/>
                <w:color w:val="FF0000"/>
                <w:sz w:val="21"/>
                <w:szCs w:val="21"/>
                <w:highlight w:val="none"/>
                <w:lang w:eastAsia="zh-CN"/>
              </w:rPr>
              <w:t>羊</w:t>
            </w:r>
            <w:r>
              <w:rPr>
                <w:rFonts w:hint="default" w:ascii="Times New Roman" w:hAnsi="Times New Roman" w:eastAsia="宋体" w:cs="Times New Roman"/>
                <w:color w:val="auto"/>
                <w:sz w:val="21"/>
                <w:szCs w:val="21"/>
                <w:highlight w:val="none"/>
              </w:rPr>
              <w:t>场进行重点绿化，选择适宜的树种和草本植物，结合地区气候条件进行绿化美化工作环境，绿化面积为</w:t>
            </w:r>
            <w:r>
              <w:rPr>
                <w:rFonts w:hint="default" w:ascii="Times New Roman" w:hAnsi="Times New Roman" w:eastAsia="宋体" w:cs="Times New Roman"/>
                <w:color w:val="auto"/>
                <w:sz w:val="21"/>
                <w:szCs w:val="21"/>
                <w:highlight w:val="none"/>
                <w:lang w:val="en-US" w:eastAsia="zh-CN"/>
              </w:rPr>
              <w:t>10000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vAlign w:val="center"/>
          </w:tcPr>
          <w:p w14:paraId="282822BA">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718" w:type="dxa"/>
            <w:tcBorders>
              <w:top w:val="single" w:color="auto" w:sz="4" w:space="0"/>
              <w:left w:val="single" w:color="auto" w:sz="4" w:space="0"/>
              <w:bottom w:val="single" w:color="auto" w:sz="4" w:space="0"/>
              <w:right w:val="single" w:color="auto" w:sz="4" w:space="0"/>
            </w:tcBorders>
            <w:vAlign w:val="center"/>
          </w:tcPr>
          <w:p w14:paraId="0363A6F2">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012" w:type="dxa"/>
            <w:tcBorders>
              <w:top w:val="single" w:color="auto" w:sz="4" w:space="0"/>
              <w:left w:val="single" w:color="auto" w:sz="4" w:space="0"/>
              <w:bottom w:val="single" w:color="auto" w:sz="4" w:space="0"/>
              <w:right w:val="single" w:color="auto" w:sz="4" w:space="0"/>
            </w:tcBorders>
            <w:vAlign w:val="center"/>
          </w:tcPr>
          <w:p w14:paraId="3E3A0235">
            <w:pPr>
              <w:keepNext w:val="0"/>
              <w:keepLines w:val="0"/>
              <w:pageBreakBefore w:val="0"/>
              <w:widowControl w:val="0"/>
              <w:shd w:val="clear"/>
              <w:kinsoku/>
              <w:wordWrap/>
              <w:overflowPunct/>
              <w:topLinePunct/>
              <w:autoSpaceDE w:val="0"/>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“三同时”</w:t>
            </w:r>
          </w:p>
        </w:tc>
      </w:tr>
      <w:bookmarkEnd w:id="799"/>
    </w:tbl>
    <w:p w14:paraId="27CB2B7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p>
    <w:p w14:paraId="26F273F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0"/>
          <w:highlight w:val="none"/>
          <w:lang w:val="en-GB"/>
        </w:rPr>
        <w:sectPr>
          <w:pgSz w:w="16838" w:h="11906" w:orient="landscape"/>
          <w:pgMar w:top="1440" w:right="1800" w:bottom="1440" w:left="1800" w:header="851" w:footer="1134" w:gutter="0"/>
          <w:pgBorders>
            <w:top w:val="none" w:sz="0" w:space="0"/>
            <w:left w:val="none" w:sz="0" w:space="0"/>
            <w:bottom w:val="none" w:sz="0" w:space="0"/>
            <w:right w:val="none" w:sz="0" w:space="0"/>
          </w:pgBorders>
          <w:pgNumType w:fmt="decimal"/>
          <w:cols w:space="720" w:num="1"/>
          <w:docGrid w:linePitch="326" w:charSpace="0"/>
        </w:sectPr>
      </w:pPr>
    </w:p>
    <w:p w14:paraId="5BB0935D">
      <w:pPr>
        <w:pStyle w:val="3"/>
        <w:pageBreakBefore w:val="0"/>
        <w:shd w:val="clear"/>
        <w:kinsoku/>
        <w:wordWrap/>
        <w:bidi w:val="0"/>
        <w:snapToGrid w:val="0"/>
        <w:spacing w:before="0" w:after="0" w:line="360" w:lineRule="auto"/>
        <w:ind w:left="0" w:leftChars="0" w:right="0" w:rightChars="0"/>
        <w:rPr>
          <w:rFonts w:hint="default" w:ascii="Times New Roman" w:hAnsi="Times New Roman" w:eastAsia="宋体" w:cs="Times New Roman"/>
          <w:color w:val="auto"/>
          <w:highlight w:val="none"/>
        </w:rPr>
      </w:pPr>
      <w:bookmarkStart w:id="800" w:name="_Toc523322410"/>
      <w:bookmarkStart w:id="801" w:name="_Toc32393"/>
      <w:r>
        <w:rPr>
          <w:rFonts w:hint="default" w:ascii="Times New Roman" w:hAnsi="Times New Roman" w:eastAsia="宋体" w:cs="Times New Roman"/>
          <w:color w:val="auto"/>
          <w:highlight w:val="none"/>
        </w:rPr>
        <w:t>10结论及建议</w:t>
      </w:r>
      <w:bookmarkEnd w:id="800"/>
      <w:bookmarkEnd w:id="801"/>
    </w:p>
    <w:p w14:paraId="4448E412">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802" w:name="_Toc523322411"/>
      <w:bookmarkStart w:id="803" w:name="_Toc830"/>
      <w:bookmarkStart w:id="804" w:name="_Toc494206411"/>
      <w:bookmarkStart w:id="805" w:name="_Toc487188689"/>
      <w:r>
        <w:rPr>
          <w:rFonts w:hint="default" w:ascii="Times New Roman" w:hAnsi="Times New Roman" w:eastAsia="宋体" w:cs="Times New Roman"/>
          <w:color w:val="auto"/>
          <w:highlight w:val="none"/>
        </w:rPr>
        <w:t>10.1建设项目概况</w:t>
      </w:r>
      <w:bookmarkEnd w:id="802"/>
      <w:bookmarkEnd w:id="803"/>
      <w:bookmarkEnd w:id="804"/>
      <w:bookmarkEnd w:id="805"/>
    </w:p>
    <w:p w14:paraId="0DCEBCA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lang w:eastAsia="zh-CN"/>
        </w:rPr>
        <w:t>五原县兄弟农民专业合作社</w:t>
      </w:r>
      <w:r>
        <w:rPr>
          <w:rFonts w:hint="default" w:ascii="Times New Roman" w:hAnsi="Times New Roman" w:eastAsia="宋体" w:cs="Times New Roman"/>
          <w:color w:val="auto"/>
          <w:highlight w:val="none"/>
        </w:rPr>
        <w:t>投资</w:t>
      </w:r>
      <w:r>
        <w:rPr>
          <w:rFonts w:hint="default" w:ascii="Times New Roman" w:hAnsi="Times New Roman" w:eastAsia="宋体" w:cs="Times New Roman"/>
          <w:color w:val="auto"/>
          <w:highlight w:val="none"/>
          <w:lang w:eastAsia="zh-CN"/>
        </w:rPr>
        <w:t>450</w:t>
      </w:r>
      <w:r>
        <w:rPr>
          <w:rFonts w:hint="default" w:ascii="Times New Roman" w:hAnsi="Times New Roman" w:eastAsia="宋体" w:cs="Times New Roman"/>
          <w:color w:val="auto"/>
          <w:highlight w:val="none"/>
        </w:rPr>
        <w:t>万元建设</w:t>
      </w:r>
      <w:r>
        <w:rPr>
          <w:rFonts w:hint="default" w:ascii="Times New Roman" w:hAnsi="Times New Roman" w:eastAsia="宋体" w:cs="Times New Roman"/>
          <w:color w:val="auto"/>
          <w:highlight w:val="none"/>
          <w:lang w:eastAsia="zh-CN"/>
        </w:rPr>
        <w:t>肉羊育肥养殖及附属设施建设项目</w:t>
      </w: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CN"/>
        </w:rPr>
        <w:t>占地面积</w:t>
      </w:r>
      <w:r>
        <w:rPr>
          <w:rFonts w:hint="default" w:ascii="Times New Roman" w:hAnsi="Times New Roman" w:eastAsia="宋体" w:cs="Times New Roman"/>
          <w:color w:val="auto"/>
          <w:highlight w:val="none"/>
          <w:lang w:eastAsia="zh-CN"/>
        </w:rPr>
        <w:t>51565.18</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rPr>
        <w:t>，建设标准化羊圈13栋，每栋1890.56</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rPr>
        <w:t>，防疫药品间56.24</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rPr>
        <w:t>，检疫检测间65.35</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rPr>
        <w:t>及其他附属设施</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年出栏</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lang w:val="en-US" w:eastAsia="zh-CN"/>
        </w:rPr>
        <w:t>69000</w:t>
      </w:r>
      <w:r>
        <w:rPr>
          <w:rFonts w:hint="default" w:ascii="Times New Roman" w:hAnsi="Times New Roman" w:eastAsia="宋体" w:cs="Times New Roman"/>
          <w:color w:val="auto"/>
          <w:highlight w:val="none"/>
        </w:rPr>
        <w:t>只。项目实施基地养殖模式，养殖基地的肉羊养殖规模</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逐步帮助和带动农户、养殖大户和专业合作社等提升</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的养殖技术水平和规模，从而加快</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高品质肉羊的出栏周转，逐步满足肉羊深加工供应链需求</w:t>
      </w:r>
      <w:r>
        <w:rPr>
          <w:rFonts w:hint="default" w:ascii="Times New Roman" w:hAnsi="Times New Roman" w:eastAsia="宋体" w:cs="Times New Roman"/>
          <w:color w:val="auto"/>
          <w:szCs w:val="24"/>
          <w:highlight w:val="none"/>
        </w:rPr>
        <w:t>。</w:t>
      </w:r>
    </w:p>
    <w:p w14:paraId="703F0793">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806" w:name="_Toc371696638"/>
      <w:bookmarkStart w:id="807" w:name="_Toc32151"/>
      <w:bookmarkStart w:id="808" w:name="_Toc523322412"/>
      <w:bookmarkStart w:id="809" w:name="_Toc487188690"/>
      <w:bookmarkStart w:id="810" w:name="_Toc494206412"/>
      <w:r>
        <w:rPr>
          <w:rFonts w:hint="default" w:ascii="Times New Roman" w:hAnsi="Times New Roman" w:eastAsia="宋体" w:cs="Times New Roman"/>
          <w:color w:val="auto"/>
          <w:highlight w:val="none"/>
        </w:rPr>
        <w:t>10.2</w:t>
      </w:r>
      <w:bookmarkEnd w:id="806"/>
      <w:r>
        <w:rPr>
          <w:rFonts w:hint="default" w:ascii="Times New Roman" w:hAnsi="Times New Roman" w:eastAsia="宋体" w:cs="Times New Roman"/>
          <w:color w:val="auto"/>
          <w:highlight w:val="none"/>
        </w:rPr>
        <w:t>环境可行性结论</w:t>
      </w:r>
      <w:bookmarkEnd w:id="807"/>
    </w:p>
    <w:p w14:paraId="14F8D051">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811" w:name="_Toc3090"/>
      <w:r>
        <w:rPr>
          <w:rFonts w:hint="default" w:ascii="Times New Roman" w:hAnsi="Times New Roman" w:eastAsia="宋体" w:cs="Times New Roman"/>
          <w:color w:val="auto"/>
          <w:highlight w:val="none"/>
        </w:rPr>
        <w:t>10.2.1产业政策符合性分析</w:t>
      </w:r>
      <w:bookmarkEnd w:id="808"/>
      <w:bookmarkEnd w:id="809"/>
      <w:bookmarkEnd w:id="810"/>
      <w:bookmarkEnd w:id="811"/>
    </w:p>
    <w:p w14:paraId="1087AD7C">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本项目为</w:t>
      </w:r>
      <w:r>
        <w:rPr>
          <w:rFonts w:hint="default" w:ascii="Times New Roman" w:hAnsi="Times New Roman" w:eastAsia="宋体" w:cs="Times New Roman"/>
          <w:color w:val="auto"/>
          <w:highlight w:val="none"/>
          <w:lang w:eastAsia="zh-CN"/>
        </w:rPr>
        <w:t>规模化肉羊养殖项目</w:t>
      </w:r>
      <w:r>
        <w:rPr>
          <w:rFonts w:hint="default" w:ascii="Times New Roman" w:hAnsi="Times New Roman" w:eastAsia="宋体" w:cs="Times New Roman"/>
          <w:color w:val="auto"/>
          <w:highlight w:val="none"/>
        </w:rPr>
        <w:t>，根据</w:t>
      </w:r>
      <w:r>
        <w:rPr>
          <w:rFonts w:hint="default" w:ascii="Times New Roman" w:hAnsi="Times New Roman" w:eastAsia="宋体" w:cs="Times New Roman"/>
          <w:b w:val="0"/>
          <w:bCs w:val="0"/>
          <w:color w:val="auto"/>
          <w:sz w:val="24"/>
          <w:szCs w:val="24"/>
          <w:highlight w:val="none"/>
          <w:vertAlign w:val="baseline"/>
          <w:lang w:eastAsia="zh-CN"/>
        </w:rPr>
        <w:t>《产业结构调整指导目录（20</w:t>
      </w:r>
      <w:r>
        <w:rPr>
          <w:rFonts w:hint="default" w:ascii="Times New Roman" w:hAnsi="Times New Roman" w:eastAsia="宋体" w:cs="Times New Roman"/>
          <w:b w:val="0"/>
          <w:bCs w:val="0"/>
          <w:color w:val="auto"/>
          <w:sz w:val="24"/>
          <w:szCs w:val="24"/>
          <w:highlight w:val="none"/>
          <w:vertAlign w:val="baseline"/>
          <w:lang w:val="en-US" w:eastAsia="zh-CN"/>
        </w:rPr>
        <w:t>24</w:t>
      </w:r>
      <w:r>
        <w:rPr>
          <w:rFonts w:hint="default" w:ascii="Times New Roman" w:hAnsi="Times New Roman" w:eastAsia="宋体" w:cs="Times New Roman"/>
          <w:b w:val="0"/>
          <w:bCs w:val="0"/>
          <w:color w:val="auto"/>
          <w:sz w:val="24"/>
          <w:szCs w:val="24"/>
          <w:highlight w:val="none"/>
          <w:vertAlign w:val="baseline"/>
          <w:lang w:eastAsia="zh-CN"/>
        </w:rPr>
        <w:t>年本）》（国家发展和改革委员会令第</w:t>
      </w:r>
      <w:r>
        <w:rPr>
          <w:rFonts w:hint="default" w:ascii="Times New Roman" w:hAnsi="Times New Roman" w:eastAsia="宋体" w:cs="Times New Roman"/>
          <w:b w:val="0"/>
          <w:bCs w:val="0"/>
          <w:color w:val="auto"/>
          <w:sz w:val="24"/>
          <w:szCs w:val="24"/>
          <w:highlight w:val="none"/>
          <w:vertAlign w:val="baseline"/>
          <w:lang w:val="en-US" w:eastAsia="zh-CN"/>
        </w:rPr>
        <w:t>7</w:t>
      </w:r>
      <w:r>
        <w:rPr>
          <w:rFonts w:hint="default" w:ascii="Times New Roman" w:hAnsi="Times New Roman" w:eastAsia="宋体" w:cs="Times New Roman"/>
          <w:b w:val="0"/>
          <w:bCs w:val="0"/>
          <w:color w:val="auto"/>
          <w:sz w:val="24"/>
          <w:szCs w:val="24"/>
          <w:highlight w:val="none"/>
          <w:vertAlign w:val="baseline"/>
          <w:lang w:eastAsia="zh-CN"/>
        </w:rPr>
        <w:t>号）</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本</w:t>
      </w:r>
      <w:r>
        <w:rPr>
          <w:rFonts w:hint="default" w:ascii="Times New Roman" w:hAnsi="Times New Roman" w:eastAsia="宋体" w:cs="Times New Roman"/>
          <w:color w:val="auto"/>
          <w:highlight w:val="none"/>
        </w:rPr>
        <w:t>项目属于</w:t>
      </w:r>
      <w:r>
        <w:rPr>
          <w:rFonts w:hint="default" w:ascii="Times New Roman" w:hAnsi="Times New Roman" w:eastAsia="宋体" w:cs="Times New Roman"/>
          <w:color w:val="auto"/>
          <w:highlight w:val="none"/>
          <w:lang w:eastAsia="zh-CN"/>
        </w:rPr>
        <w:t>“第一类</w:t>
      </w:r>
      <w:r>
        <w:rPr>
          <w:rFonts w:hint="default" w:ascii="Times New Roman" w:hAnsi="Times New Roman" w:eastAsia="宋体" w:cs="Times New Roman"/>
          <w:color w:val="auto"/>
          <w:highlight w:val="none"/>
        </w:rPr>
        <w:t>鼓励类</w:t>
      </w:r>
      <w:r>
        <w:rPr>
          <w:rFonts w:hint="default" w:ascii="Times New Roman" w:hAnsi="Times New Roman" w:eastAsia="宋体" w:cs="Times New Roman"/>
          <w:color w:val="auto"/>
          <w:highlight w:val="none"/>
          <w:lang w:eastAsia="zh-CN"/>
        </w:rPr>
        <w:t>”中“一、农林业</w:t>
      </w:r>
      <w:r>
        <w:rPr>
          <w:rFonts w:hint="default" w:ascii="Times New Roman" w:hAnsi="Times New Roman" w:eastAsia="宋体" w:cs="Times New Roman"/>
          <w:color w:val="auto"/>
          <w:highlight w:val="none"/>
          <w:lang w:val="en-US" w:eastAsia="zh-CN"/>
        </w:rPr>
        <w:t>--14、</w:t>
      </w:r>
      <w:r>
        <w:rPr>
          <w:rFonts w:hint="default" w:ascii="Times New Roman" w:hAnsi="Times New Roman" w:eastAsia="宋体" w:cs="Times New Roman"/>
          <w:color w:val="auto"/>
          <w:highlight w:val="none"/>
        </w:rPr>
        <w:t>畜禽标准化规模养殖技术开发与应用</w:t>
      </w:r>
      <w:r>
        <w:rPr>
          <w:rFonts w:hint="default" w:ascii="Times New Roman" w:hAnsi="Times New Roman" w:eastAsia="宋体" w:cs="Times New Roman"/>
          <w:color w:val="auto"/>
          <w:highlight w:val="none"/>
          <w:lang w:eastAsia="zh-CN"/>
        </w:rPr>
        <w:t>”。</w:t>
      </w:r>
    </w:p>
    <w:p w14:paraId="0AA82EE3">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本</w:t>
      </w:r>
      <w:r>
        <w:rPr>
          <w:rFonts w:hint="default" w:ascii="Times New Roman" w:hAnsi="Times New Roman" w:eastAsia="宋体" w:cs="Times New Roman"/>
          <w:color w:val="auto"/>
          <w:highlight w:val="none"/>
        </w:rPr>
        <w:t>项目</w:t>
      </w:r>
      <w:r>
        <w:rPr>
          <w:rFonts w:hint="default" w:ascii="Times New Roman" w:hAnsi="Times New Roman" w:eastAsia="宋体" w:cs="Times New Roman"/>
          <w:bCs/>
          <w:color w:val="auto"/>
          <w:szCs w:val="21"/>
          <w:highlight w:val="none"/>
          <w:lang w:val="en-US" w:eastAsia="zh-CN"/>
        </w:rPr>
        <w:t>于2024年7月11日</w:t>
      </w:r>
      <w:r>
        <w:rPr>
          <w:rFonts w:hint="default" w:ascii="Times New Roman" w:hAnsi="Times New Roman" w:eastAsia="宋体" w:cs="Times New Roman"/>
          <w:color w:val="auto"/>
          <w:highlight w:val="none"/>
        </w:rPr>
        <w:t>取得</w:t>
      </w:r>
      <w:r>
        <w:rPr>
          <w:rFonts w:hint="default" w:ascii="Times New Roman" w:hAnsi="Times New Roman" w:eastAsia="宋体" w:cs="Times New Roman"/>
          <w:color w:val="auto"/>
          <w:highlight w:val="none"/>
          <w:lang w:eastAsia="zh-CN"/>
        </w:rPr>
        <w:t>了五原县发展和改革委员会出具的</w:t>
      </w:r>
      <w:r>
        <w:rPr>
          <w:rFonts w:hint="default" w:ascii="Times New Roman" w:hAnsi="Times New Roman" w:eastAsia="宋体" w:cs="Times New Roman"/>
          <w:color w:val="auto"/>
          <w:highlight w:val="none"/>
        </w:rPr>
        <w:t>《项目备案告知书》</w:t>
      </w:r>
      <w:r>
        <w:rPr>
          <w:rFonts w:hint="default" w:ascii="Times New Roman" w:hAnsi="Times New Roman" w:eastAsia="宋体" w:cs="Times New Roman"/>
          <w:color w:val="auto"/>
          <w:highlight w:val="none"/>
          <w:lang w:eastAsia="zh-CN"/>
        </w:rPr>
        <w:t>，项目代码：</w:t>
      </w:r>
      <w:r>
        <w:rPr>
          <w:rFonts w:hint="default" w:ascii="Times New Roman" w:hAnsi="Times New Roman" w:eastAsia="宋体" w:cs="Times New Roman"/>
          <w:color w:val="auto"/>
          <w:highlight w:val="none"/>
          <w:lang w:val="en-US" w:eastAsia="zh-CN"/>
        </w:rPr>
        <w:t>2407-150821-04-01-213103，本项目符合产业政策和市场准入标准。</w:t>
      </w:r>
    </w:p>
    <w:p w14:paraId="76E39BF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b w:val="0"/>
          <w:bCs w:val="0"/>
          <w:color w:val="auto"/>
          <w:sz w:val="24"/>
          <w:szCs w:val="24"/>
          <w:highlight w:val="none"/>
          <w:shd w:val="clear" w:color="auto" w:fill="auto"/>
          <w:vertAlign w:val="baseline"/>
          <w:lang w:val="en-US" w:eastAsia="zh-CN"/>
        </w:rPr>
        <w:t>综上，本项目符合国家产业政策</w:t>
      </w:r>
      <w:r>
        <w:rPr>
          <w:rFonts w:hint="default" w:ascii="Times New Roman" w:hAnsi="Times New Roman" w:eastAsia="宋体" w:cs="Times New Roman"/>
          <w:color w:val="auto"/>
          <w:highlight w:val="none"/>
        </w:rPr>
        <w:t>。</w:t>
      </w:r>
    </w:p>
    <w:p w14:paraId="2BE06A4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812" w:name="_Toc25409"/>
      <w:r>
        <w:rPr>
          <w:rFonts w:hint="default" w:ascii="Times New Roman" w:hAnsi="Times New Roman" w:eastAsia="宋体" w:cs="Times New Roman"/>
          <w:color w:val="auto"/>
          <w:highlight w:val="none"/>
        </w:rPr>
        <w:t>10.2.2选址与相关规划符合性分析结论</w:t>
      </w:r>
      <w:bookmarkEnd w:id="812"/>
    </w:p>
    <w:p w14:paraId="0B520E33">
      <w:pPr>
        <w:pageBreakBefore w:val="0"/>
        <w:widowControl w:val="0"/>
        <w:shd w:val="clear"/>
        <w:kinsoku/>
        <w:wordWrap/>
        <w:topLinePunct/>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本项目选址于</w:t>
      </w:r>
      <w:r>
        <w:rPr>
          <w:rFonts w:hint="default" w:ascii="Times New Roman" w:hAnsi="Times New Roman" w:eastAsia="宋体" w:cs="Times New Roman"/>
          <w:color w:val="auto"/>
          <w:sz w:val="24"/>
          <w:szCs w:val="24"/>
          <w:highlight w:val="none"/>
          <w:lang w:eastAsia="zh-CN"/>
        </w:rPr>
        <w:t>内蒙古自治区巴彦淖尔市五原县胜丰镇新丰村三社</w:t>
      </w:r>
      <w:r>
        <w:rPr>
          <w:rFonts w:hint="default" w:ascii="Times New Roman" w:hAnsi="Times New Roman" w:eastAsia="宋体" w:cs="Times New Roman"/>
          <w:color w:val="auto"/>
          <w:highlight w:val="none"/>
        </w:rPr>
        <w:t>，项目周围500m范围内无工业企业</w:t>
      </w:r>
      <w:r>
        <w:rPr>
          <w:rFonts w:hint="default" w:ascii="Times New Roman" w:hAnsi="Times New Roman" w:eastAsia="宋体" w:cs="Times New Roman"/>
          <w:color w:val="auto"/>
          <w:highlight w:val="none"/>
          <w:lang w:eastAsia="zh-CN"/>
        </w:rPr>
        <w:t>，不压覆已查明重要矿产资源</w:t>
      </w:r>
      <w:r>
        <w:rPr>
          <w:rFonts w:hint="default" w:ascii="Times New Roman" w:hAnsi="Times New Roman" w:eastAsia="宋体" w:cs="Times New Roman"/>
          <w:color w:val="auto"/>
          <w:highlight w:val="none"/>
        </w:rPr>
        <w:t>，区域环境质量良好，有利于畜禽的生长，并可以保持良好的健康状态。</w:t>
      </w:r>
    </w:p>
    <w:p w14:paraId="3598B07E">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根据调查，项目周边主要为</w:t>
      </w:r>
      <w:r>
        <w:rPr>
          <w:rFonts w:hint="default" w:ascii="Times New Roman" w:hAnsi="Times New Roman" w:eastAsia="宋体" w:cs="Times New Roman"/>
          <w:color w:val="auto"/>
          <w:highlight w:val="none"/>
          <w:lang w:val="en-US" w:eastAsia="zh-CN"/>
        </w:rPr>
        <w:t>耕地</w:t>
      </w:r>
      <w:r>
        <w:rPr>
          <w:rFonts w:hint="default" w:ascii="Times New Roman" w:hAnsi="Times New Roman" w:eastAsia="宋体" w:cs="Times New Roman"/>
          <w:color w:val="auto"/>
          <w:highlight w:val="none"/>
        </w:rPr>
        <w:t>，项目周围500m范围内无学校、医院、</w:t>
      </w:r>
      <w:r>
        <w:rPr>
          <w:rFonts w:hint="default" w:ascii="Times New Roman" w:hAnsi="Times New Roman" w:eastAsia="宋体" w:cs="Times New Roman"/>
          <w:color w:val="auto"/>
          <w:highlight w:val="none"/>
          <w:lang w:eastAsia="zh-CN"/>
        </w:rPr>
        <w:t>行政办公室</w:t>
      </w:r>
      <w:r>
        <w:rPr>
          <w:rFonts w:hint="default" w:ascii="Times New Roman" w:hAnsi="Times New Roman" w:eastAsia="宋体" w:cs="Times New Roman"/>
          <w:color w:val="auto"/>
          <w:highlight w:val="none"/>
        </w:rPr>
        <w:t>等敏感目标</w:t>
      </w:r>
      <w:r>
        <w:rPr>
          <w:rFonts w:hint="default" w:ascii="Times New Roman" w:hAnsi="Times New Roman" w:eastAsia="宋体" w:cs="Times New Roman"/>
          <w:color w:val="auto"/>
          <w:highlight w:val="none"/>
          <w:lang w:eastAsia="zh-CN"/>
        </w:rPr>
        <w:t>；本项目不在《畜禽养殖业污染防治技术规范》（HJ/T81-2001）中3.1规定的禁建区域（a.生活饮用水水源保护区、风景名胜区、自然保护区的核心区和缓冲区；b.城市和城镇居民区，包括文教科研区、医疗区、商业区、工业区、旅游区等人口集中地区；c.县级人民政府依法规定的禁养区域；d.国家或地方法律、法规规定需要特殊保</w:t>
      </w:r>
      <w:r>
        <w:rPr>
          <w:rFonts w:hint="default" w:ascii="Times New Roman" w:hAnsi="Times New Roman" w:eastAsia="宋体" w:cs="Times New Roman"/>
          <w:color w:val="auto"/>
          <w:highlight w:val="none"/>
          <w:lang w:eastAsia="zh-CN"/>
        </w:rPr>
        <w:t>护的</w:t>
      </w:r>
      <w:r>
        <w:rPr>
          <w:rFonts w:hint="default" w:ascii="Times New Roman" w:hAnsi="Times New Roman" w:eastAsia="宋体" w:cs="Times New Roman"/>
          <w:color w:val="auto"/>
          <w:highlight w:val="none"/>
          <w:lang w:eastAsia="zh-CN"/>
        </w:rPr>
        <w:t>其它区域）</w:t>
      </w:r>
      <w:r>
        <w:rPr>
          <w:rFonts w:hint="default" w:ascii="Times New Roman" w:hAnsi="Times New Roman" w:eastAsia="宋体" w:cs="Times New Roman"/>
          <w:color w:val="auto"/>
          <w:highlight w:val="none"/>
          <w:lang w:val="en-US" w:eastAsia="zh-CN"/>
        </w:rPr>
        <w:t>。</w:t>
      </w:r>
    </w:p>
    <w:p w14:paraId="0AEF5E19">
      <w:pPr>
        <w:pageBreakBefore w:val="0"/>
        <w:widowControl w:val="0"/>
        <w:shd w:val="clear"/>
        <w:kinsoku/>
        <w:wordWrap/>
        <w:overflowPunct w:val="0"/>
        <w:topLinePunct/>
        <w:autoSpaceDE/>
        <w:autoSpaceDN/>
        <w:bidi w:val="0"/>
        <w:adjustRightInd/>
        <w:snapToGrid w:val="0"/>
        <w:spacing w:line="360" w:lineRule="auto"/>
        <w:ind w:left="0" w:leftChars="0" w:right="0" w:rightChars="0" w:firstLine="48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Cs/>
          <w:color w:val="auto"/>
          <w:szCs w:val="21"/>
          <w:highlight w:val="none"/>
          <w:lang w:val="en-US" w:eastAsia="zh-CN"/>
        </w:rPr>
        <w:t>本</w:t>
      </w:r>
      <w:r>
        <w:rPr>
          <w:rFonts w:hint="default" w:ascii="Times New Roman" w:hAnsi="Times New Roman" w:eastAsia="宋体" w:cs="Times New Roman"/>
          <w:color w:val="auto"/>
          <w:highlight w:val="none"/>
        </w:rPr>
        <w:t>项目选址符合《关于做好畜禽规模养殖项目环境影响评价管理工作的通知》（环办环评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31号）、《畜禽规模养殖污染防治条例》国务院令第643号、《畜禽养殖业污染防治技术规范》（HJ-T81-2001）、《畜禽场场区设计技术规范》（NY-T682-2003）等法律法规和行业规范的选址要求</w:t>
      </w:r>
      <w:r>
        <w:rPr>
          <w:rFonts w:hint="default" w:ascii="Times New Roman" w:hAnsi="Times New Roman" w:eastAsia="宋体" w:cs="Times New Roman"/>
          <w:color w:val="auto"/>
          <w:highlight w:val="none"/>
          <w:lang w:eastAsia="zh-CN"/>
        </w:rPr>
        <w:t>，因此，本项目选址合理。</w:t>
      </w:r>
    </w:p>
    <w:p w14:paraId="78650C1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lang w:eastAsia="zh-CN"/>
        </w:rPr>
        <w:t>综上，本项目选址合理</w:t>
      </w:r>
      <w:r>
        <w:rPr>
          <w:rFonts w:hint="default" w:ascii="Times New Roman" w:hAnsi="Times New Roman" w:eastAsia="宋体" w:cs="Times New Roman"/>
          <w:color w:val="auto"/>
          <w:szCs w:val="24"/>
          <w:highlight w:val="none"/>
        </w:rPr>
        <w:t>。</w:t>
      </w:r>
    </w:p>
    <w:p w14:paraId="63823902">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813" w:name="_Toc9280"/>
      <w:r>
        <w:rPr>
          <w:rFonts w:hint="default" w:ascii="Times New Roman" w:hAnsi="Times New Roman" w:eastAsia="宋体" w:cs="Times New Roman"/>
          <w:color w:val="auto"/>
          <w:highlight w:val="none"/>
        </w:rPr>
        <w:t>10.2.3平面布局合理性分析结论</w:t>
      </w:r>
      <w:bookmarkEnd w:id="813"/>
    </w:p>
    <w:p w14:paraId="15C66318">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本项目养殖区和生活</w:t>
      </w:r>
      <w:r>
        <w:rPr>
          <w:rFonts w:hint="default" w:ascii="Times New Roman" w:hAnsi="Times New Roman" w:eastAsia="宋体" w:cs="Times New Roman"/>
          <w:color w:val="auto"/>
          <w:szCs w:val="24"/>
          <w:highlight w:val="none"/>
          <w:lang w:eastAsia="zh-CN"/>
        </w:rPr>
        <w:t>办公室</w:t>
      </w:r>
      <w:r>
        <w:rPr>
          <w:rFonts w:hint="default" w:ascii="Times New Roman" w:hAnsi="Times New Roman" w:eastAsia="宋体" w:cs="Times New Roman"/>
          <w:color w:val="auto"/>
          <w:szCs w:val="24"/>
          <w:highlight w:val="none"/>
        </w:rPr>
        <w:t>功能分区布置相对独立，通过合理组织功能分区，合理布置养殖区及粪污处理单元，合理组织交通运输使物料运输方便快捷；保证生产工艺流程畅通。场界四周及养殖区四周种植高大乔木，尽可能减轻恶臭气体对居民的影响因素。保证场区平面布置符合环境保护、安全生产、卫生防疫、绿化与工业企业卫生要求。</w:t>
      </w:r>
    </w:p>
    <w:p w14:paraId="3EEB774A">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814" w:name="_Toc25163"/>
      <w:bookmarkStart w:id="815" w:name="_Toc523322413"/>
      <w:bookmarkStart w:id="816" w:name="_Toc487188694"/>
      <w:bookmarkStart w:id="817" w:name="_Toc494206416"/>
      <w:r>
        <w:rPr>
          <w:rFonts w:hint="default" w:ascii="Times New Roman" w:hAnsi="Times New Roman" w:eastAsia="宋体" w:cs="Times New Roman"/>
          <w:color w:val="auto"/>
          <w:highlight w:val="none"/>
        </w:rPr>
        <w:t>10.3环境质量现状</w:t>
      </w:r>
      <w:bookmarkEnd w:id="814"/>
      <w:bookmarkEnd w:id="815"/>
      <w:bookmarkEnd w:id="816"/>
      <w:bookmarkEnd w:id="817"/>
    </w:p>
    <w:p w14:paraId="184DC3E6">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18" w:name="_Toc25085"/>
      <w:bookmarkStart w:id="819" w:name="_Toc24350"/>
      <w:bookmarkStart w:id="820" w:name="_Toc3411"/>
      <w:bookmarkStart w:id="821" w:name="_Toc26370"/>
      <w:bookmarkStart w:id="822" w:name="_Toc494206417"/>
      <w:bookmarkStart w:id="823" w:name="_Toc487188695"/>
      <w:r>
        <w:rPr>
          <w:rFonts w:hint="default" w:ascii="Times New Roman" w:hAnsi="Times New Roman" w:eastAsia="宋体" w:cs="Times New Roman"/>
          <w:color w:val="auto"/>
          <w:highlight w:val="none"/>
        </w:rPr>
        <w:t>（1）环境空气</w:t>
      </w:r>
      <w:bookmarkEnd w:id="818"/>
      <w:bookmarkEnd w:id="819"/>
      <w:bookmarkEnd w:id="820"/>
      <w:bookmarkEnd w:id="821"/>
    </w:p>
    <w:p w14:paraId="115AA73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kern w:val="0"/>
          <w:sz w:val="24"/>
          <w:szCs w:val="24"/>
          <w:highlight w:val="none"/>
          <w:lang w:eastAsia="zh-CN"/>
        </w:rPr>
        <w:t>《巴彦淖尔市环境质量状况公报（2023年）》，本项目所在地巴彦淖尔市</w:t>
      </w:r>
      <w:r>
        <w:rPr>
          <w:rFonts w:hint="default" w:ascii="Times New Roman" w:hAnsi="Times New Roman" w:eastAsia="宋体" w:cs="Times New Roman"/>
          <w:color w:val="auto"/>
          <w:sz w:val="24"/>
          <w:szCs w:val="24"/>
          <w:highlight w:val="none"/>
          <w:lang w:eastAsia="zh-CN"/>
        </w:rPr>
        <w:t>五原县</w:t>
      </w:r>
      <w:r>
        <w:rPr>
          <w:rFonts w:hint="default" w:ascii="Times New Roman" w:hAnsi="Times New Roman" w:eastAsia="宋体" w:cs="Times New Roman"/>
          <w:color w:val="auto"/>
          <w:kern w:val="0"/>
          <w:sz w:val="24"/>
          <w:szCs w:val="24"/>
          <w:highlight w:val="none"/>
          <w:lang w:val="en-US" w:eastAsia="zh-CN"/>
        </w:rPr>
        <w:t>2023年大气环境中6项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w:t>
      </w:r>
      <w:r>
        <w:rPr>
          <w:rFonts w:hint="default" w:ascii="Times New Roman" w:hAnsi="Times New Roman" w:eastAsia="宋体" w:cs="Times New Roman"/>
          <w:color w:val="auto"/>
          <w:kern w:val="0"/>
          <w:sz w:val="24"/>
          <w:szCs w:val="24"/>
          <w:highlight w:val="none"/>
          <w:lang w:eastAsia="zh-CN"/>
        </w:rPr>
        <w:t>本项目所在地为</w:t>
      </w:r>
      <w:r>
        <w:rPr>
          <w:rFonts w:hint="default" w:ascii="Times New Roman" w:hAnsi="Times New Roman" w:eastAsia="宋体" w:cs="Times New Roman"/>
          <w:color w:val="auto"/>
          <w:kern w:val="0"/>
          <w:sz w:val="24"/>
          <w:szCs w:val="24"/>
          <w:highlight w:val="none"/>
        </w:rPr>
        <w:t>达标区</w:t>
      </w:r>
      <w:r>
        <w:rPr>
          <w:rFonts w:hint="default" w:ascii="Times New Roman" w:hAnsi="Times New Roman" w:eastAsia="宋体" w:cs="Times New Roman"/>
          <w:color w:val="auto"/>
          <w:kern w:val="0"/>
          <w:sz w:val="24"/>
          <w:szCs w:val="24"/>
          <w:highlight w:val="none"/>
          <w:lang w:eastAsia="zh-CN"/>
        </w:rPr>
        <w:t>；根据</w:t>
      </w:r>
      <w:r>
        <w:rPr>
          <w:rFonts w:hint="default" w:ascii="Times New Roman" w:hAnsi="Times New Roman" w:eastAsia="宋体" w:cs="Times New Roman"/>
          <w:color w:val="auto"/>
          <w:sz w:val="24"/>
          <w:highlight w:val="none"/>
        </w:rPr>
        <w:t>特征因子</w:t>
      </w:r>
      <w:r>
        <w:rPr>
          <w:rFonts w:hint="default" w:ascii="Times New Roman" w:hAnsi="Times New Roman" w:eastAsia="宋体" w:cs="Times New Roman"/>
          <w:color w:val="auto"/>
          <w:kern w:val="0"/>
          <w:sz w:val="24"/>
          <w:szCs w:val="24"/>
          <w:highlight w:val="none"/>
          <w:lang w:eastAsia="zh-CN"/>
        </w:rPr>
        <w:t>监测结果可知，</w:t>
      </w:r>
      <w:r>
        <w:rPr>
          <w:rFonts w:hint="default" w:ascii="Times New Roman" w:hAnsi="Times New Roman" w:eastAsia="宋体" w:cs="Times New Roman"/>
          <w:color w:val="auto"/>
          <w:kern w:val="0"/>
          <w:sz w:val="24"/>
          <w:szCs w:val="24"/>
          <w:highlight w:val="none"/>
          <w:lang w:val="en-US" w:eastAsia="zh-CN"/>
        </w:rPr>
        <w:t>TSP</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vertAlign w:val="baseline"/>
          <w:lang w:eastAsia="zh-CN"/>
        </w:rPr>
        <w:t>；</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S、NH</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满足</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环境影响评价技术导则 大气环境</w:t>
      </w:r>
      <w:r>
        <w:rPr>
          <w:rFonts w:hint="default" w:ascii="Times New Roman" w:hAnsi="Times New Roman" w:eastAsia="宋体" w:cs="Times New Roman"/>
          <w:color w:val="auto"/>
          <w:kern w:val="0"/>
          <w:sz w:val="24"/>
          <w:szCs w:val="24"/>
          <w:highlight w:val="none"/>
        </w:rPr>
        <w:t>》（HJ2.2-2018）附录D</w:t>
      </w:r>
      <w:r>
        <w:rPr>
          <w:rFonts w:hint="default" w:ascii="Times New Roman" w:hAnsi="Times New Roman" w:eastAsia="宋体" w:cs="Times New Roman"/>
          <w:color w:val="auto"/>
          <w:kern w:val="0"/>
          <w:sz w:val="24"/>
          <w:szCs w:val="24"/>
          <w:highlight w:val="none"/>
          <w:lang w:eastAsia="zh-CN"/>
        </w:rPr>
        <w:t>其他污染物空气质量浓度参考限值</w:t>
      </w:r>
      <w:r>
        <w:rPr>
          <w:rFonts w:hint="default" w:ascii="Times New Roman" w:hAnsi="Times New Roman" w:eastAsia="宋体" w:cs="Times New Roman"/>
          <w:color w:val="auto"/>
          <w:highlight w:val="none"/>
        </w:rPr>
        <w:t>。</w:t>
      </w:r>
    </w:p>
    <w:p w14:paraId="0A781FE5">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24" w:name="_Toc5764"/>
      <w:bookmarkStart w:id="825" w:name="_Toc1841"/>
      <w:bookmarkStart w:id="826" w:name="_Toc15721"/>
      <w:bookmarkStart w:id="827" w:name="_Toc24661"/>
      <w:r>
        <w:rPr>
          <w:rFonts w:hint="default" w:ascii="Times New Roman" w:hAnsi="Times New Roman" w:eastAsia="宋体" w:cs="Times New Roman"/>
          <w:color w:val="auto"/>
          <w:highlight w:val="none"/>
        </w:rPr>
        <w:t>（2）地下水环境</w:t>
      </w:r>
      <w:bookmarkEnd w:id="824"/>
      <w:bookmarkEnd w:id="825"/>
      <w:bookmarkEnd w:id="826"/>
      <w:bookmarkEnd w:id="827"/>
    </w:p>
    <w:p w14:paraId="6B49B2F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1、五原县兄弟农民专业合作社W1项目区西北水井检测项目钙和镁总量（总硬度）、溶解性总固体、氯化物、氨氮、钠不符合《地下水质量标准》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p>
    <w:p w14:paraId="50F0966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2、五原县兄弟农民专业合作社W2项目区西北水井检测项目钾、钙、镁、碳酸盐、重碳酸盐、氯离子、硫酸根在《地下水质量标准》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p>
    <w:p w14:paraId="654D1E1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3、五原县兄弟农民专业合作社W3项目区西北水井检测项目钙和镁总量（总硬度）、溶解性总固体、氯化物、高锰酸盐指数、氨氮、钠不符合《地下水质量标准》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III类标准限值；钾、钙、镁、碳酸盐、重碳酸盐、氯离子、硫酸根在《地下水质量标准》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III类中无相关限值要求；其余检测项目均符合《地下水质量标准》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GB/T14848-2017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III类标准限值</w:t>
      </w:r>
      <w:r>
        <w:rPr>
          <w:rFonts w:hint="default" w:ascii="Times New Roman" w:hAnsi="Times New Roman" w:eastAsia="宋体" w:cs="Times New Roman"/>
          <w:color w:val="auto"/>
          <w:highlight w:val="none"/>
          <w:lang w:eastAsia="zh-CN"/>
        </w:rPr>
        <w:t>。</w:t>
      </w:r>
    </w:p>
    <w:p w14:paraId="64B53BE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超标原因：</w:t>
      </w:r>
      <w:r>
        <w:rPr>
          <w:rFonts w:hint="default" w:ascii="Times New Roman" w:hAnsi="Times New Roman" w:eastAsia="宋体" w:cs="Times New Roman"/>
          <w:color w:val="auto"/>
          <w:highlight w:val="none"/>
          <w:lang w:val="en-US" w:eastAsia="zh-CN"/>
        </w:rPr>
        <w:t>由于</w:t>
      </w:r>
      <w:r>
        <w:rPr>
          <w:rFonts w:hint="default" w:ascii="Times New Roman" w:hAnsi="Times New Roman" w:eastAsia="宋体" w:cs="Times New Roman"/>
          <w:color w:val="auto"/>
          <w:highlight w:val="none"/>
        </w:rPr>
        <w:t>评价区含水层形成环境与现状地下水特征所决定的。</w:t>
      </w:r>
    </w:p>
    <w:p w14:paraId="3D83DF1E">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28" w:name="_Toc11539"/>
      <w:bookmarkStart w:id="829" w:name="_Toc394"/>
      <w:bookmarkStart w:id="830" w:name="_Toc16085"/>
      <w:bookmarkStart w:id="831" w:name="_Toc8317"/>
      <w:r>
        <w:rPr>
          <w:rFonts w:hint="default" w:ascii="Times New Roman" w:hAnsi="Times New Roman" w:eastAsia="宋体" w:cs="Times New Roman"/>
          <w:color w:val="auto"/>
          <w:highlight w:val="none"/>
        </w:rPr>
        <w:t>（3）土壤环境</w:t>
      </w:r>
      <w:bookmarkEnd w:id="828"/>
      <w:bookmarkEnd w:id="829"/>
      <w:bookmarkEnd w:id="830"/>
      <w:bookmarkEnd w:id="831"/>
    </w:p>
    <w:p w14:paraId="03BE7A6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根据检测结果，</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用地范围内各监测点</w:t>
      </w:r>
      <w:r>
        <w:rPr>
          <w:rFonts w:hint="default" w:ascii="Times New Roman" w:hAnsi="Times New Roman" w:eastAsia="宋体" w:cs="Times New Roman"/>
          <w:color w:val="auto"/>
          <w:highlight w:val="none"/>
          <w:lang w:eastAsia="zh-CN"/>
        </w:rPr>
        <w:t>土壤环境</w:t>
      </w:r>
      <w:r>
        <w:rPr>
          <w:rFonts w:hint="default" w:ascii="Times New Roman" w:hAnsi="Times New Roman" w:eastAsia="宋体" w:cs="Times New Roman"/>
          <w:color w:val="auto"/>
          <w:highlight w:val="none"/>
        </w:rPr>
        <w:t>各项监测指标均满足项目用地土壤</w:t>
      </w:r>
      <w:r>
        <w:rPr>
          <w:rFonts w:hint="default" w:ascii="Times New Roman" w:hAnsi="Times New Roman" w:eastAsia="宋体" w:cs="Times New Roman"/>
          <w:color w:val="auto"/>
          <w:highlight w:val="none"/>
          <w:lang w:eastAsia="zh-CN"/>
        </w:rPr>
        <w:t>环境质量</w:t>
      </w:r>
      <w:r>
        <w:rPr>
          <w:rFonts w:hint="default" w:ascii="Times New Roman" w:hAnsi="Times New Roman" w:eastAsia="宋体" w:cs="Times New Roman"/>
          <w:color w:val="auto"/>
          <w:highlight w:val="none"/>
        </w:rPr>
        <w:t>执行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土壤环境质量 建设用地土壤污染风险管控标准</w:t>
      </w:r>
      <w:r>
        <w:rPr>
          <w:rFonts w:hint="default" w:ascii="Times New Roman" w:hAnsi="Times New Roman" w:eastAsia="宋体" w:cs="Times New Roman"/>
          <w:color w:val="auto"/>
          <w:highlight w:val="none"/>
          <w:lang w:eastAsia="zh-CN"/>
        </w:rPr>
        <w:t>（试行）》（GB36600-2018）第二类用地筛选值的限值要求</w:t>
      </w:r>
      <w:r>
        <w:rPr>
          <w:rFonts w:hint="default" w:ascii="Times New Roman" w:hAnsi="Times New Roman" w:eastAsia="宋体" w:cs="Times New Roman"/>
          <w:color w:val="auto"/>
          <w:highlight w:val="none"/>
        </w:rPr>
        <w:t>，项目所在地土壤环境质量良好。</w:t>
      </w:r>
    </w:p>
    <w:p w14:paraId="3F326DA7">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32" w:name="_Toc28308"/>
      <w:bookmarkStart w:id="833" w:name="_Toc4601"/>
      <w:bookmarkStart w:id="834" w:name="_Toc1219"/>
      <w:bookmarkStart w:id="835" w:name="_Toc28314"/>
      <w:r>
        <w:rPr>
          <w:rFonts w:hint="default" w:ascii="Times New Roman" w:hAnsi="Times New Roman" w:eastAsia="宋体" w:cs="Times New Roman"/>
          <w:color w:val="auto"/>
          <w:highlight w:val="none"/>
        </w:rPr>
        <w:t>（4）声环境</w:t>
      </w:r>
      <w:bookmarkEnd w:id="832"/>
      <w:bookmarkEnd w:id="833"/>
      <w:bookmarkEnd w:id="834"/>
      <w:bookmarkEnd w:id="835"/>
    </w:p>
    <w:p w14:paraId="22E6CD62">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根据本次噪声现状监测结果，项目区厂界四周及敏感点各监测点昼间、夜间噪声值均满足《声环境质量标准》（GB3096-2008）</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类标准，项目区声环境质量较好。</w:t>
      </w:r>
    </w:p>
    <w:bookmarkEnd w:id="822"/>
    <w:bookmarkEnd w:id="823"/>
    <w:p w14:paraId="15A0A5DB">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836" w:name="_Toc523322414"/>
      <w:bookmarkStart w:id="837" w:name="_Toc11850"/>
      <w:r>
        <w:rPr>
          <w:rFonts w:hint="default" w:ascii="Times New Roman" w:hAnsi="Times New Roman" w:eastAsia="宋体" w:cs="Times New Roman"/>
          <w:color w:val="auto"/>
          <w:highlight w:val="none"/>
        </w:rPr>
        <w:t>10.4环境影响分析结论</w:t>
      </w:r>
      <w:bookmarkEnd w:id="836"/>
      <w:bookmarkEnd w:id="837"/>
    </w:p>
    <w:p w14:paraId="459045A5">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838" w:name="_Toc22491"/>
      <w:bookmarkStart w:id="839" w:name="_Toc471227933"/>
      <w:bookmarkStart w:id="840" w:name="_Toc523322415"/>
      <w:r>
        <w:rPr>
          <w:rFonts w:hint="default" w:ascii="Times New Roman" w:hAnsi="Times New Roman" w:eastAsia="宋体" w:cs="Times New Roman"/>
          <w:color w:val="auto"/>
          <w:highlight w:val="none"/>
        </w:rPr>
        <w:t>10.4.1施工期环境影响</w:t>
      </w:r>
      <w:bookmarkEnd w:id="838"/>
      <w:bookmarkEnd w:id="839"/>
      <w:bookmarkEnd w:id="840"/>
    </w:p>
    <w:p w14:paraId="59450A31">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在项目施工期间各项施工活动产生噪声、废水、扬尘和固体废弃物，有可能对周围环境产生短期的、局部的影响。项目方对产生噪声的机械设备采取减振、隔声措施，施工期</w:t>
      </w:r>
      <w:r>
        <w:rPr>
          <w:rFonts w:hint="default" w:ascii="Times New Roman" w:hAnsi="Times New Roman" w:eastAsia="宋体" w:cs="Times New Roman"/>
          <w:color w:val="auto"/>
          <w:highlight w:val="none"/>
          <w:lang w:eastAsia="zh-CN"/>
        </w:rPr>
        <w:t>生活污水排入临时</w:t>
      </w:r>
      <w:r>
        <w:rPr>
          <w:rFonts w:hint="default" w:ascii="Times New Roman" w:hAnsi="Times New Roman" w:eastAsia="宋体" w:cs="Times New Roman"/>
          <w:color w:val="auto"/>
          <w:highlight w:val="none"/>
        </w:rPr>
        <w:t>旱厕，施工场地及运输道路定期洒水抑尘，材料堆放及运输粉状材料</w:t>
      </w:r>
      <w:r>
        <w:rPr>
          <w:rFonts w:hint="default" w:ascii="Times New Roman" w:hAnsi="Times New Roman" w:eastAsia="宋体" w:cs="Times New Roman"/>
          <w:color w:val="auto"/>
          <w:highlight w:val="none"/>
          <w:lang w:eastAsia="zh-CN"/>
        </w:rPr>
        <w:t>时</w:t>
      </w:r>
      <w:r>
        <w:rPr>
          <w:rFonts w:hint="default" w:ascii="Times New Roman" w:hAnsi="Times New Roman" w:eastAsia="宋体" w:cs="Times New Roman"/>
          <w:color w:val="auto"/>
          <w:highlight w:val="none"/>
        </w:rPr>
        <w:t>采取遮盖等措施，产生建筑垃圾部分全部利用，生活垃圾运至环卫部门指定地点等措施后，本项目施工期对周围环境的影响可以接受。</w:t>
      </w:r>
    </w:p>
    <w:p w14:paraId="229702AE">
      <w:pPr>
        <w:pStyle w:val="6"/>
        <w:pageBreakBefore w:val="0"/>
        <w:shd w:val="clear"/>
        <w:kinsoku/>
        <w:wordWrap/>
        <w:bidi w:val="0"/>
        <w:snapToGrid w:val="0"/>
        <w:spacing w:before="0" w:after="0" w:line="360" w:lineRule="auto"/>
        <w:ind w:left="0" w:leftChars="0" w:right="0" w:rightChars="0"/>
        <w:outlineLvl w:val="1"/>
        <w:rPr>
          <w:rFonts w:hint="default" w:ascii="Times New Roman" w:hAnsi="Times New Roman" w:eastAsia="宋体" w:cs="Times New Roman"/>
          <w:color w:val="auto"/>
          <w:highlight w:val="none"/>
        </w:rPr>
      </w:pPr>
      <w:bookmarkStart w:id="841" w:name="_Toc523322416"/>
      <w:bookmarkStart w:id="842" w:name="_Toc11558"/>
      <w:r>
        <w:rPr>
          <w:rFonts w:hint="default" w:ascii="Times New Roman" w:hAnsi="Times New Roman" w:eastAsia="宋体" w:cs="Times New Roman"/>
          <w:color w:val="auto"/>
          <w:highlight w:val="none"/>
        </w:rPr>
        <w:t>10.4.2运营期环境影响</w:t>
      </w:r>
      <w:bookmarkEnd w:id="841"/>
      <w:bookmarkEnd w:id="842"/>
    </w:p>
    <w:p w14:paraId="5AABA884">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sz w:val="24"/>
          <w:szCs w:val="24"/>
          <w:highlight w:val="none"/>
        </w:rPr>
      </w:pPr>
      <w:bookmarkStart w:id="843" w:name="_Toc494206423"/>
      <w:bookmarkStart w:id="844" w:name="_Toc4743"/>
      <w:bookmarkStart w:id="845" w:name="_Toc10750"/>
      <w:bookmarkStart w:id="846" w:name="_Toc487188701"/>
      <w:bookmarkStart w:id="847" w:name="_Toc24154"/>
      <w:bookmarkStart w:id="848" w:name="_Toc371696644"/>
      <w:bookmarkStart w:id="849" w:name="_Toc30537"/>
      <w:bookmarkStart w:id="850" w:name="_Toc371696648"/>
      <w:bookmarkStart w:id="851" w:name="_Toc494206429"/>
      <w:bookmarkStart w:id="852" w:name="_Toc523322418"/>
      <w:bookmarkStart w:id="853" w:name="_Toc487188707"/>
      <w:r>
        <w:rPr>
          <w:rFonts w:hint="default" w:ascii="Times New Roman" w:hAnsi="Times New Roman" w:eastAsia="宋体" w:cs="Times New Roman"/>
          <w:color w:val="auto"/>
          <w:sz w:val="24"/>
          <w:szCs w:val="24"/>
          <w:highlight w:val="none"/>
        </w:rPr>
        <w:t>（1）大气环境影响评价</w:t>
      </w:r>
      <w:bookmarkEnd w:id="843"/>
      <w:bookmarkEnd w:id="844"/>
      <w:bookmarkEnd w:id="845"/>
      <w:bookmarkEnd w:id="846"/>
      <w:bookmarkEnd w:id="847"/>
      <w:bookmarkEnd w:id="848"/>
      <w:bookmarkEnd w:id="849"/>
    </w:p>
    <w:p w14:paraId="506D1C5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854" w:name="_Toc487188702"/>
      <w:bookmarkStart w:id="855" w:name="_Toc494206424"/>
      <w:bookmarkStart w:id="856" w:name="_Toc371696645"/>
      <w:r>
        <w:rPr>
          <w:rFonts w:hint="default" w:ascii="Times New Roman" w:hAnsi="Times New Roman" w:eastAsia="宋体" w:cs="Times New Roman"/>
          <w:color w:val="auto"/>
          <w:sz w:val="24"/>
          <w:szCs w:val="24"/>
          <w:highlight w:val="none"/>
        </w:rPr>
        <w:t>根据估算模式计算可知，本项目所产生的污染物的最大落地浓度的占标率均未超过10%，其中占标率相对较大的H</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S、NH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占标率分别为</w:t>
      </w:r>
      <w:r>
        <w:rPr>
          <w:rFonts w:hint="default" w:ascii="Times New Roman" w:hAnsi="Times New Roman" w:eastAsia="宋体" w:cs="Times New Roman"/>
          <w:i w:val="0"/>
          <w:iCs w:val="0"/>
          <w:color w:val="auto"/>
          <w:sz w:val="24"/>
          <w:szCs w:val="24"/>
          <w:highlight w:val="none"/>
        </w:rPr>
        <w:t>2.4</w:t>
      </w:r>
      <w:r>
        <w:rPr>
          <w:rFonts w:hint="default" w:ascii="Times New Roman" w:hAnsi="Times New Roman" w:eastAsia="宋体" w:cs="Times New Roman"/>
          <w:i w:val="0"/>
          <w:iCs w:val="0"/>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val="0"/>
          <w:iCs w:val="0"/>
          <w:color w:val="auto"/>
          <w:sz w:val="24"/>
          <w:szCs w:val="24"/>
          <w:highlight w:val="none"/>
        </w:rPr>
        <w:t>9.5</w:t>
      </w:r>
      <w:r>
        <w:rPr>
          <w:rFonts w:hint="default" w:ascii="Times New Roman" w:hAnsi="Times New Roman" w:eastAsia="宋体" w:cs="Times New Roman"/>
          <w:i w:val="0"/>
          <w:iCs w:val="0"/>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其他的</w:t>
      </w:r>
      <w:r>
        <w:rPr>
          <w:rFonts w:hint="default" w:ascii="Times New Roman" w:hAnsi="Times New Roman" w:eastAsia="宋体" w:cs="Times New Roman"/>
          <w:color w:val="auto"/>
          <w:sz w:val="24"/>
          <w:szCs w:val="24"/>
          <w:highlight w:val="none"/>
        </w:rPr>
        <w:t>均相对较低，因此本项目产生的污染对周围环境产生的影响不大。</w:t>
      </w:r>
    </w:p>
    <w:p w14:paraId="43EE29EF">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857" w:name="_Toc5147"/>
      <w:bookmarkStart w:id="858" w:name="_Toc15911"/>
      <w:bookmarkStart w:id="859" w:name="_Toc12844"/>
      <w:bookmarkStart w:id="860" w:name="_Toc9530"/>
      <w:r>
        <w:rPr>
          <w:rFonts w:hint="default" w:ascii="Times New Roman" w:hAnsi="Times New Roman" w:eastAsia="宋体" w:cs="Times New Roman"/>
          <w:color w:val="auto"/>
          <w:highlight w:val="none"/>
        </w:rPr>
        <w:t>（2）地表水环境影响评价</w:t>
      </w:r>
      <w:bookmarkEnd w:id="854"/>
      <w:bookmarkEnd w:id="855"/>
      <w:bookmarkEnd w:id="856"/>
      <w:bookmarkEnd w:id="857"/>
      <w:bookmarkEnd w:id="858"/>
      <w:bookmarkEnd w:id="859"/>
      <w:bookmarkEnd w:id="860"/>
    </w:p>
    <w:p w14:paraId="34FD7BB6">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sz w:val="24"/>
          <w:szCs w:val="28"/>
          <w:highlight w:val="none"/>
        </w:rPr>
        <w:t>本项目</w:t>
      </w:r>
      <w:r>
        <w:rPr>
          <w:rFonts w:hint="default" w:ascii="Times New Roman" w:hAnsi="Times New Roman" w:eastAsia="宋体" w:cs="Times New Roman"/>
          <w:color w:val="auto"/>
          <w:kern w:val="0"/>
          <w:sz w:val="24"/>
          <w:szCs w:val="24"/>
          <w:highlight w:val="none"/>
          <w:lang w:eastAsia="zh-CN"/>
        </w:rPr>
        <w:t>羊粪便含水率较低</w:t>
      </w:r>
      <w:r>
        <w:rPr>
          <w:rFonts w:hint="default" w:ascii="Times New Roman" w:hAnsi="Times New Roman" w:eastAsia="宋体" w:cs="Times New Roman"/>
          <w:color w:val="auto"/>
          <w:kern w:val="0"/>
          <w:sz w:val="24"/>
          <w:szCs w:val="24"/>
          <w:highlight w:val="none"/>
          <w:lang w:eastAsia="zh-CN"/>
        </w:rPr>
        <w:t>，在养殖区排放的尿液大部分由于当地气候干燥蒸发，剩余尿液与粪便完全黏结混合在一起，一起运往堆肥场</w:t>
      </w:r>
      <w:r>
        <w:rPr>
          <w:rFonts w:hint="default" w:ascii="Times New Roman" w:hAnsi="Times New Roman" w:eastAsia="宋体" w:cs="Times New Roman"/>
          <w:color w:val="auto"/>
          <w:kern w:val="0"/>
          <w:sz w:val="24"/>
          <w:szCs w:val="24"/>
          <w:highlight w:val="none"/>
        </w:rPr>
        <w:t>储存并堆肥</w:t>
      </w:r>
      <w:r>
        <w:rPr>
          <w:rFonts w:hint="default" w:ascii="Times New Roman" w:hAnsi="Times New Roman" w:eastAsia="宋体" w:cs="Times New Roman"/>
          <w:color w:val="auto"/>
          <w:kern w:val="0"/>
          <w:sz w:val="24"/>
          <w:szCs w:val="24"/>
          <w:highlight w:val="none"/>
          <w:lang w:eastAsia="zh-CN"/>
        </w:rPr>
        <w:t>，因此，没有尿液排放；养殖区场地不采取水冲洗方式清理，采用消毒水每周喷洒消毒2～3次，因此，养殖区</w:t>
      </w:r>
      <w:r>
        <w:rPr>
          <w:rFonts w:hint="default" w:ascii="Times New Roman" w:hAnsi="Times New Roman" w:eastAsia="宋体" w:cs="Times New Roman"/>
          <w:color w:val="auto"/>
          <w:kern w:val="0"/>
          <w:sz w:val="24"/>
          <w:szCs w:val="24"/>
          <w:highlight w:val="none"/>
        </w:rPr>
        <w:t>不产生冲洗废水</w:t>
      </w:r>
      <w:r>
        <w:rPr>
          <w:rFonts w:hint="default" w:ascii="Times New Roman" w:hAnsi="Times New Roman" w:eastAsia="宋体" w:cs="Times New Roman"/>
          <w:color w:val="auto"/>
          <w:kern w:val="0"/>
          <w:sz w:val="24"/>
          <w:szCs w:val="24"/>
          <w:highlight w:val="none"/>
          <w:lang w:eastAsia="zh-CN"/>
        </w:rPr>
        <w:t>。</w:t>
      </w:r>
    </w:p>
    <w:p w14:paraId="2F7DB5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项目生活污水</w:t>
      </w:r>
      <w:r>
        <w:rPr>
          <w:rFonts w:hint="default" w:ascii="Times New Roman" w:hAnsi="Times New Roman" w:eastAsia="宋体" w:cs="Times New Roman"/>
          <w:color w:val="auto"/>
          <w:highlight w:val="none"/>
          <w:lang w:eastAsia="zh-CN"/>
        </w:rPr>
        <w:t>经化粪池处理后，定期由当地环卫部门清运处置</w:t>
      </w:r>
      <w:r>
        <w:rPr>
          <w:rFonts w:hint="default" w:ascii="Times New Roman" w:hAnsi="Times New Roman" w:eastAsia="宋体" w:cs="Times New Roman"/>
          <w:color w:val="auto"/>
          <w:highlight w:val="none"/>
        </w:rPr>
        <w:t>，因此对区域水环境影响很小。</w:t>
      </w:r>
    </w:p>
    <w:p w14:paraId="1C355864">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861" w:name="_Toc26218"/>
      <w:bookmarkStart w:id="862" w:name="_Toc25215"/>
      <w:bookmarkStart w:id="863" w:name="_Toc10898"/>
      <w:bookmarkStart w:id="864" w:name="_Toc14420"/>
      <w:bookmarkStart w:id="865" w:name="_Toc494206425"/>
      <w:bookmarkStart w:id="866" w:name="_Toc371696646"/>
      <w:bookmarkStart w:id="867" w:name="_Toc487188703"/>
      <w:r>
        <w:rPr>
          <w:rFonts w:hint="default" w:ascii="Times New Roman" w:hAnsi="Times New Roman" w:eastAsia="宋体" w:cs="Times New Roman"/>
          <w:color w:val="auto"/>
          <w:highlight w:val="none"/>
        </w:rPr>
        <w:t>（3）地下水环境影响评价</w:t>
      </w:r>
      <w:bookmarkEnd w:id="861"/>
      <w:bookmarkEnd w:id="862"/>
      <w:bookmarkEnd w:id="863"/>
      <w:bookmarkEnd w:id="864"/>
      <w:bookmarkEnd w:id="865"/>
      <w:bookmarkEnd w:id="866"/>
      <w:bookmarkEnd w:id="867"/>
    </w:p>
    <w:p w14:paraId="5A7AC8D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危废暂存间</w:t>
      </w:r>
      <w:r>
        <w:rPr>
          <w:rFonts w:hint="default" w:ascii="Times New Roman" w:hAnsi="Times New Roman" w:eastAsia="宋体" w:cs="Times New Roman"/>
          <w:color w:val="auto"/>
          <w:highlight w:val="none"/>
        </w:rPr>
        <w:t>等场区重点防渗区渗透系数要求≤10</w:t>
      </w:r>
      <w:r>
        <w:rPr>
          <w:rFonts w:hint="default" w:ascii="Times New Roman" w:hAnsi="Times New Roman" w:eastAsia="宋体" w:cs="Times New Roman"/>
          <w:color w:val="auto"/>
          <w:highlight w:val="none"/>
          <w:vertAlign w:val="superscript"/>
        </w:rPr>
        <w:t>-10</w:t>
      </w:r>
      <w:r>
        <w:rPr>
          <w:rFonts w:hint="default" w:ascii="Times New Roman" w:hAnsi="Times New Roman" w:eastAsia="宋体" w:cs="Times New Roman"/>
          <w:color w:val="auto"/>
          <w:highlight w:val="none"/>
        </w:rPr>
        <w:t>cm/s；</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底部</w:t>
      </w:r>
      <w:r>
        <w:rPr>
          <w:rFonts w:hint="default" w:ascii="Times New Roman" w:hAnsi="Times New Roman" w:eastAsia="宋体" w:cs="Times New Roman"/>
          <w:color w:val="auto"/>
          <w:highlight w:val="none"/>
          <w:lang w:eastAsia="zh-CN"/>
        </w:rPr>
        <w:t>、化粪池</w:t>
      </w:r>
      <w:r>
        <w:rPr>
          <w:rFonts w:hint="default" w:ascii="Times New Roman" w:hAnsi="Times New Roman" w:eastAsia="宋体" w:cs="Times New Roman"/>
          <w:color w:val="auto"/>
          <w:highlight w:val="none"/>
        </w:rPr>
        <w:t>等一般防渗区渗透系数要求≤10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对于</w:t>
      </w:r>
      <w:r>
        <w:rPr>
          <w:rFonts w:hint="default" w:ascii="Times New Roman" w:hAnsi="Times New Roman" w:eastAsia="宋体" w:cs="Times New Roman"/>
          <w:color w:val="auto"/>
          <w:highlight w:val="none"/>
          <w:lang w:eastAsia="zh-CN"/>
        </w:rPr>
        <w:t>日粮搅拌车间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场区道路、</w:t>
      </w:r>
      <w:r>
        <w:rPr>
          <w:rFonts w:hint="default" w:ascii="Times New Roman" w:hAnsi="Times New Roman" w:eastAsia="宋体" w:cs="Times New Roman"/>
          <w:color w:val="auto"/>
          <w:highlight w:val="none"/>
          <w:lang w:eastAsia="zh-CN"/>
        </w:rPr>
        <w:t>羊圈</w:t>
      </w:r>
      <w:r>
        <w:rPr>
          <w:rFonts w:hint="default" w:ascii="Times New Roman" w:hAnsi="Times New Roman" w:eastAsia="宋体" w:cs="Times New Roman"/>
          <w:color w:val="auto"/>
          <w:highlight w:val="none"/>
        </w:rPr>
        <w:t>饲料通道、运输道路单元等生产区，铺设防渗混凝土地面进行防渗。经防渗措施处理后该项目不会对附近地下水造成不良影响。</w:t>
      </w:r>
    </w:p>
    <w:p w14:paraId="7D483F64">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综上所述，项目在采用相应的措施后，对区域地下水产生的影响较小。</w:t>
      </w:r>
    </w:p>
    <w:p w14:paraId="658697A7">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868" w:name="_Toc27073"/>
      <w:bookmarkStart w:id="869" w:name="_Toc494206426"/>
      <w:bookmarkStart w:id="870" w:name="_Toc487188704"/>
      <w:bookmarkStart w:id="871" w:name="_Toc371696647"/>
      <w:bookmarkStart w:id="872" w:name="_Toc12705"/>
      <w:bookmarkStart w:id="873" w:name="_Toc13211"/>
      <w:bookmarkStart w:id="874" w:name="_Toc12530"/>
      <w:r>
        <w:rPr>
          <w:rFonts w:hint="default" w:ascii="Times New Roman" w:hAnsi="Times New Roman" w:eastAsia="宋体" w:cs="Times New Roman"/>
          <w:color w:val="auto"/>
          <w:highlight w:val="none"/>
        </w:rPr>
        <w:t>（4）声环境影响评价</w:t>
      </w:r>
      <w:bookmarkEnd w:id="868"/>
      <w:bookmarkEnd w:id="869"/>
      <w:bookmarkEnd w:id="870"/>
      <w:bookmarkEnd w:id="871"/>
      <w:bookmarkEnd w:id="872"/>
      <w:bookmarkEnd w:id="873"/>
      <w:bookmarkEnd w:id="874"/>
    </w:p>
    <w:p w14:paraId="59FE0AD9">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采取措施后，本项目厂界噪声昼夜间均可满足《工业企业厂界环境噪声排放标准》（GB12348-2008）</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1工业企业厂界环境噪声排放限值中</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类功能区排放限值</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对周围</w:t>
      </w:r>
      <w:r>
        <w:rPr>
          <w:rFonts w:hint="default" w:ascii="Times New Roman" w:hAnsi="Times New Roman" w:eastAsia="宋体" w:cs="Times New Roman"/>
          <w:color w:val="auto"/>
          <w:highlight w:val="none"/>
        </w:rPr>
        <w:t>声环境影响</w:t>
      </w:r>
      <w:r>
        <w:rPr>
          <w:rFonts w:hint="default" w:ascii="Times New Roman" w:hAnsi="Times New Roman" w:eastAsia="宋体" w:cs="Times New Roman"/>
          <w:color w:val="auto"/>
          <w:highlight w:val="none"/>
          <w:lang w:eastAsia="zh-CN"/>
        </w:rPr>
        <w:t>较小</w:t>
      </w:r>
      <w:r>
        <w:rPr>
          <w:rFonts w:hint="default" w:ascii="Times New Roman" w:hAnsi="Times New Roman" w:eastAsia="宋体" w:cs="Times New Roman"/>
          <w:color w:val="auto"/>
          <w:highlight w:val="none"/>
        </w:rPr>
        <w:t>。</w:t>
      </w:r>
    </w:p>
    <w:p w14:paraId="4EE24ED1">
      <w:pPr>
        <w:pageBreakBefore w:val="0"/>
        <w:shd w:val="clear"/>
        <w:kinsoku/>
        <w:wordWrap/>
        <w:bidi w:val="0"/>
        <w:snapToGrid w:val="0"/>
        <w:spacing w:line="360" w:lineRule="auto"/>
        <w:ind w:left="0" w:leftChars="0" w:right="0" w:rightChars="0" w:firstLine="480"/>
        <w:outlineLvl w:val="2"/>
        <w:rPr>
          <w:rFonts w:hint="default" w:ascii="Times New Roman" w:hAnsi="Times New Roman" w:eastAsia="宋体" w:cs="Times New Roman"/>
          <w:color w:val="auto"/>
          <w:highlight w:val="none"/>
        </w:rPr>
      </w:pPr>
      <w:bookmarkStart w:id="875" w:name="_Toc487188705"/>
      <w:bookmarkStart w:id="876" w:name="_Toc16327"/>
      <w:bookmarkStart w:id="877" w:name="_Toc28554"/>
      <w:bookmarkStart w:id="878" w:name="_Toc14755"/>
      <w:bookmarkStart w:id="879" w:name="_Toc494206427"/>
      <w:bookmarkStart w:id="880" w:name="_Toc27991"/>
      <w:r>
        <w:rPr>
          <w:rFonts w:hint="default" w:ascii="Times New Roman" w:hAnsi="Times New Roman" w:eastAsia="宋体" w:cs="Times New Roman"/>
          <w:color w:val="auto"/>
          <w:highlight w:val="none"/>
        </w:rPr>
        <w:t>（5）固体废物影响评价</w:t>
      </w:r>
      <w:bookmarkEnd w:id="875"/>
      <w:bookmarkEnd w:id="876"/>
      <w:bookmarkEnd w:id="877"/>
      <w:bookmarkEnd w:id="878"/>
      <w:bookmarkEnd w:id="879"/>
      <w:bookmarkEnd w:id="880"/>
    </w:p>
    <w:p w14:paraId="1D261E5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项目产生的养殖过程由于疾病等原因产生的</w:t>
      </w:r>
      <w:r>
        <w:rPr>
          <w:rFonts w:hint="default" w:ascii="Times New Roman" w:hAnsi="Times New Roman" w:eastAsia="宋体" w:cs="Times New Roman"/>
          <w:color w:val="auto"/>
          <w:highlight w:val="none"/>
          <w:lang w:eastAsia="zh-CN"/>
        </w:rPr>
        <w:t>病死羊</w:t>
      </w:r>
      <w:r>
        <w:rPr>
          <w:rFonts w:hint="default" w:ascii="Times New Roman" w:hAnsi="Times New Roman" w:eastAsia="宋体" w:cs="Times New Roman"/>
          <w:color w:val="auto"/>
          <w:highlight w:val="none"/>
        </w:rPr>
        <w:t>等应按照当地兽医局的相关文件规定处理，交由巴彦淖尔市绿之源生物技术发展有限公司进行无害化处理；运营过程产生的</w:t>
      </w:r>
      <w:r>
        <w:rPr>
          <w:rFonts w:hint="default" w:ascii="Times New Roman" w:hAnsi="Times New Roman" w:eastAsia="宋体" w:cs="Times New Roman"/>
          <w:color w:val="auto"/>
          <w:highlight w:val="none"/>
          <w:lang w:eastAsia="zh-CN"/>
        </w:rPr>
        <w:t>医疗垃圾</w:t>
      </w:r>
      <w:r>
        <w:rPr>
          <w:rFonts w:hint="default" w:ascii="Times New Roman" w:hAnsi="Times New Roman" w:eastAsia="宋体" w:cs="Times New Roman"/>
          <w:color w:val="auto"/>
          <w:highlight w:val="none"/>
        </w:rPr>
        <w:t>，暂存</w:t>
      </w:r>
      <w:r>
        <w:rPr>
          <w:rFonts w:hint="default" w:ascii="Times New Roman" w:hAnsi="Times New Roman" w:eastAsia="宋体" w:cs="Times New Roman"/>
          <w:color w:val="auto"/>
          <w:highlight w:val="none"/>
          <w:lang w:eastAsia="zh-CN"/>
        </w:rPr>
        <w:t>于危废暂存间定期</w:t>
      </w:r>
      <w:r>
        <w:rPr>
          <w:rFonts w:hint="default" w:ascii="Times New Roman" w:hAnsi="Times New Roman" w:eastAsia="宋体" w:cs="Times New Roman"/>
          <w:color w:val="auto"/>
          <w:highlight w:val="none"/>
        </w:rPr>
        <w:t>交由有资质单位处理；</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采取干清粪工艺清运至</w:t>
      </w:r>
      <w:r>
        <w:rPr>
          <w:rFonts w:hint="default" w:ascii="Times New Roman" w:hAnsi="Times New Roman" w:eastAsia="宋体" w:cs="Times New Roman"/>
          <w:color w:val="auto"/>
          <w:highlight w:val="none"/>
          <w:lang w:eastAsia="zh-CN"/>
        </w:rPr>
        <w:t>堆肥场</w:t>
      </w:r>
      <w:r>
        <w:rPr>
          <w:rFonts w:hint="default" w:ascii="Times New Roman" w:hAnsi="Times New Roman" w:eastAsia="宋体" w:cs="Times New Roman"/>
          <w:color w:val="auto"/>
          <w:highlight w:val="none"/>
        </w:rPr>
        <w:t>，堆肥后最终作为有机肥进行资源化利用；</w:t>
      </w:r>
      <w:r>
        <w:rPr>
          <w:rFonts w:hint="default" w:ascii="Times New Roman" w:hAnsi="Times New Roman" w:eastAsia="宋体" w:cs="Times New Roman"/>
          <w:color w:val="auto"/>
          <w:kern w:val="0"/>
          <w:sz w:val="24"/>
          <w:szCs w:val="24"/>
          <w:highlight w:val="none"/>
          <w:lang w:eastAsia="zh-CN"/>
        </w:rPr>
        <w:t>筛分过程收集的</w:t>
      </w:r>
      <w:r>
        <w:rPr>
          <w:rFonts w:hint="default" w:ascii="Times New Roman" w:hAnsi="Times New Roman" w:eastAsia="宋体" w:cs="Times New Roman"/>
          <w:color w:val="auto"/>
          <w:kern w:val="0"/>
          <w:sz w:val="24"/>
          <w:szCs w:val="24"/>
          <w:highlight w:val="none"/>
          <w:lang w:eastAsia="zh-CN"/>
        </w:rPr>
        <w:t>碎玉米、皮屑等杂质，采用编织袋收集后</w:t>
      </w:r>
      <w:r>
        <w:rPr>
          <w:rFonts w:hint="default" w:ascii="Times New Roman" w:hAnsi="Times New Roman" w:eastAsia="宋体" w:cs="Times New Roman"/>
          <w:color w:val="auto"/>
          <w:kern w:val="0"/>
          <w:sz w:val="24"/>
          <w:szCs w:val="24"/>
          <w:highlight w:val="none"/>
          <w:lang w:eastAsia="zh-CN"/>
        </w:rPr>
        <w:t>暂存于一般固废暂存间内</w:t>
      </w:r>
      <w:r>
        <w:rPr>
          <w:rFonts w:hint="default" w:ascii="Times New Roman" w:hAnsi="Times New Roman" w:eastAsia="宋体" w:cs="Times New Roman"/>
          <w:color w:val="auto"/>
          <w:kern w:val="0"/>
          <w:sz w:val="24"/>
          <w:szCs w:val="24"/>
          <w:highlight w:val="none"/>
          <w:lang w:eastAsia="zh-CN"/>
        </w:rPr>
        <w:t>，定期</w:t>
      </w:r>
      <w:r>
        <w:rPr>
          <w:rFonts w:hint="default" w:ascii="Times New Roman" w:hAnsi="Times New Roman" w:eastAsia="宋体" w:cs="Times New Roman"/>
          <w:color w:val="auto"/>
          <w:kern w:val="0"/>
          <w:sz w:val="24"/>
          <w:szCs w:val="24"/>
          <w:highlight w:val="none"/>
          <w:lang w:val="en-US" w:eastAsia="zh-CN"/>
        </w:rPr>
        <w:t>用于</w:t>
      </w:r>
      <w:r>
        <w:rPr>
          <w:rFonts w:hint="default" w:ascii="Times New Roman" w:hAnsi="Times New Roman" w:eastAsia="宋体" w:cs="Times New Roman"/>
          <w:color w:val="auto"/>
          <w:sz w:val="24"/>
          <w:szCs w:val="24"/>
          <w:highlight w:val="none"/>
        </w:rPr>
        <w:t>饲料搅拌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生物质热风炉炉渣、</w:t>
      </w:r>
      <w:r>
        <w:rPr>
          <w:rFonts w:hint="default" w:ascii="Times New Roman" w:hAnsi="Times New Roman" w:eastAsia="宋体" w:cs="Times New Roman"/>
          <w:color w:val="auto"/>
          <w:kern w:val="0"/>
          <w:sz w:val="24"/>
          <w:szCs w:val="24"/>
          <w:highlight w:val="none"/>
          <w:lang w:eastAsia="zh-CN"/>
        </w:rPr>
        <w:t>布袋除尘器</w:t>
      </w:r>
      <w:r>
        <w:rPr>
          <w:rFonts w:hint="default" w:ascii="Times New Roman" w:hAnsi="Times New Roman" w:eastAsia="宋体" w:cs="Times New Roman"/>
          <w:color w:val="auto"/>
          <w:kern w:val="0"/>
          <w:sz w:val="24"/>
          <w:szCs w:val="24"/>
          <w:highlight w:val="none"/>
          <w:lang w:eastAsia="zh-CN"/>
        </w:rPr>
        <w:t>收集的除尘灰暂存于全封闭灰渣库内，定期外售综合利用；</w:t>
      </w:r>
      <w:r>
        <w:rPr>
          <w:rFonts w:hint="default" w:ascii="Times New Roman" w:hAnsi="Times New Roman" w:eastAsia="宋体" w:cs="Times New Roman"/>
          <w:color w:val="auto"/>
          <w:highlight w:val="none"/>
        </w:rPr>
        <w:t>生活垃圾</w:t>
      </w:r>
      <w:r>
        <w:rPr>
          <w:rFonts w:hint="default" w:ascii="Times New Roman" w:hAnsi="Times New Roman" w:eastAsia="宋体" w:cs="Times New Roman"/>
          <w:color w:val="auto"/>
          <w:highlight w:val="none"/>
          <w:lang w:bidi="zh-CN"/>
        </w:rPr>
        <w:t>清运到环卫部门指定的地点集中处理</w:t>
      </w:r>
      <w:r>
        <w:rPr>
          <w:rFonts w:hint="default" w:ascii="Times New Roman" w:hAnsi="Times New Roman" w:eastAsia="宋体" w:cs="Times New Roman"/>
          <w:color w:val="auto"/>
          <w:highlight w:val="none"/>
        </w:rPr>
        <w:t>。</w:t>
      </w:r>
    </w:p>
    <w:p w14:paraId="20246ED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本项目根据固体废物的不同性质采取了不同的处理措施，能利用的废物均被有效利用，不能利用的固废也均能得到妥善处置，因此本项目固体废物处置合理，基本不会对周围环境产生影响。</w:t>
      </w:r>
    </w:p>
    <w:p w14:paraId="4B9A3F55">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881" w:name="_Toc17681"/>
      <w:r>
        <w:rPr>
          <w:rFonts w:hint="default" w:ascii="Times New Roman" w:hAnsi="Times New Roman" w:eastAsia="宋体" w:cs="Times New Roman"/>
          <w:color w:val="auto"/>
          <w:highlight w:val="none"/>
        </w:rPr>
        <w:t>10.5污染防治措施</w:t>
      </w:r>
      <w:bookmarkEnd w:id="850"/>
      <w:bookmarkEnd w:id="851"/>
      <w:bookmarkEnd w:id="852"/>
      <w:bookmarkEnd w:id="853"/>
      <w:bookmarkEnd w:id="881"/>
    </w:p>
    <w:p w14:paraId="5951AC04">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82" w:name="_Toc7191"/>
      <w:bookmarkStart w:id="883" w:name="_Toc10597"/>
      <w:bookmarkStart w:id="884" w:name="_Toc13439"/>
      <w:bookmarkStart w:id="885" w:name="_Toc18331"/>
      <w:bookmarkStart w:id="886" w:name="_Toc371696649"/>
      <w:bookmarkStart w:id="887" w:name="_Toc494206430"/>
      <w:bookmarkStart w:id="888" w:name="_Toc487188708"/>
      <w:bookmarkStart w:id="889" w:name="_Toc523322419"/>
      <w:r>
        <w:rPr>
          <w:rFonts w:hint="default" w:ascii="Times New Roman" w:hAnsi="Times New Roman" w:eastAsia="宋体" w:cs="Times New Roman"/>
          <w:color w:val="auto"/>
          <w:highlight w:val="none"/>
        </w:rPr>
        <w:t>（1）大气污染防治措施</w:t>
      </w:r>
      <w:bookmarkEnd w:id="882"/>
      <w:bookmarkEnd w:id="883"/>
      <w:bookmarkEnd w:id="884"/>
      <w:bookmarkEnd w:id="885"/>
    </w:p>
    <w:p w14:paraId="22C30A4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本项目对养殖过程产生的无组织恶臭采用科学喂养、通风换气、控制圈养密度、饲料添加EM剂益生菌等治理措施；并对厂区进行绿化，使企业厂界无组织</w:t>
      </w:r>
      <w:r>
        <w:rPr>
          <w:rFonts w:hint="default" w:ascii="Times New Roman" w:hAnsi="Times New Roman" w:eastAsia="宋体" w:cs="Times New Roman"/>
          <w:color w:val="auto"/>
          <w:highlight w:val="none"/>
          <w:lang w:eastAsia="zh-CN"/>
        </w:rPr>
        <w:t>氨和硫化氢</w:t>
      </w:r>
      <w:r>
        <w:rPr>
          <w:rFonts w:hint="default" w:ascii="Times New Roman" w:hAnsi="Times New Roman" w:eastAsia="宋体" w:cs="Times New Roman"/>
          <w:color w:val="auto"/>
          <w:highlight w:val="none"/>
        </w:rPr>
        <w:t>排放满足《恶臭污染物排放标准》（GB14554-93）表1恶臭污染物厂界标准值中“二级、新扩改建”标准要求</w:t>
      </w:r>
      <w:r>
        <w:rPr>
          <w:rFonts w:hint="default" w:ascii="Times New Roman" w:hAnsi="Times New Roman" w:eastAsia="宋体" w:cs="Times New Roman"/>
          <w:color w:val="auto"/>
          <w:highlight w:val="none"/>
          <w:lang w:eastAsia="zh-CN"/>
        </w:rPr>
        <w:t>、臭气浓度排放满足</w:t>
      </w:r>
      <w:r>
        <w:rPr>
          <w:rFonts w:hint="default" w:ascii="Times New Roman" w:hAnsi="Times New Roman" w:eastAsia="宋体" w:cs="Times New Roman"/>
          <w:color w:val="auto"/>
          <w:highlight w:val="none"/>
        </w:rPr>
        <w:t>《畜禽养殖业污染物排放标准》（GB18596-2001）表7集约化畜禽养殖业恶臭污染物排放标准。</w:t>
      </w:r>
    </w:p>
    <w:p w14:paraId="419F263A">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90" w:name="_Toc17125"/>
      <w:bookmarkStart w:id="891" w:name="_Toc31953"/>
      <w:bookmarkStart w:id="892" w:name="_Toc16890"/>
      <w:bookmarkStart w:id="893" w:name="_Toc12070"/>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eastAsia="zh-CN"/>
        </w:rPr>
        <w:t>废</w:t>
      </w:r>
      <w:r>
        <w:rPr>
          <w:rFonts w:hint="default" w:ascii="Times New Roman" w:hAnsi="Times New Roman" w:eastAsia="宋体" w:cs="Times New Roman"/>
          <w:color w:val="auto"/>
          <w:highlight w:val="none"/>
        </w:rPr>
        <w:t>水污染防治措施</w:t>
      </w:r>
      <w:bookmarkEnd w:id="890"/>
      <w:bookmarkEnd w:id="891"/>
      <w:bookmarkEnd w:id="892"/>
      <w:bookmarkEnd w:id="893"/>
    </w:p>
    <w:p w14:paraId="5569E5CA">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场区严格实行雨污分流制度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项目设置严格的分区防渗措施并在场地</w:t>
      </w:r>
      <w:r>
        <w:rPr>
          <w:rFonts w:hint="default" w:ascii="Times New Roman" w:hAnsi="Times New Roman" w:eastAsia="宋体" w:cs="Times New Roman"/>
          <w:color w:val="auto"/>
          <w:highlight w:val="none"/>
          <w:lang w:eastAsia="zh-CN"/>
        </w:rPr>
        <w:t>内</w:t>
      </w:r>
      <w:r>
        <w:rPr>
          <w:rFonts w:hint="default" w:ascii="Times New Roman" w:hAnsi="Times New Roman" w:eastAsia="宋体" w:cs="Times New Roman"/>
          <w:color w:val="auto"/>
          <w:highlight w:val="none"/>
        </w:rPr>
        <w:t>设置1眼地下水监控井，综上项目水污染防治措施是可行的。</w:t>
      </w:r>
    </w:p>
    <w:p w14:paraId="76C1D666">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94" w:name="_Toc25462"/>
      <w:bookmarkStart w:id="895" w:name="_Toc6955"/>
      <w:bookmarkStart w:id="896" w:name="_Toc12471"/>
      <w:bookmarkStart w:id="897" w:name="_Toc17919"/>
      <w:r>
        <w:rPr>
          <w:rFonts w:hint="default" w:ascii="Times New Roman" w:hAnsi="Times New Roman" w:eastAsia="宋体" w:cs="Times New Roman"/>
          <w:color w:val="auto"/>
          <w:highlight w:val="none"/>
        </w:rPr>
        <w:t>（3）噪声污染防治措施</w:t>
      </w:r>
      <w:bookmarkEnd w:id="894"/>
      <w:bookmarkEnd w:id="895"/>
      <w:bookmarkEnd w:id="896"/>
      <w:bookmarkEnd w:id="897"/>
    </w:p>
    <w:p w14:paraId="539C9DE7">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主要通过合理布局、优先选择低噪声设备，将设备置于室内，并进行基础减振，尽可能满足</w:t>
      </w:r>
      <w:r>
        <w:rPr>
          <w:rFonts w:hint="default" w:ascii="Times New Roman" w:hAnsi="Times New Roman" w:eastAsia="宋体" w:cs="Times New Roman"/>
          <w:color w:val="auto"/>
          <w:highlight w:val="none"/>
          <w:lang w:eastAsia="zh-CN"/>
        </w:rPr>
        <w:t>羊群</w:t>
      </w:r>
      <w:r>
        <w:rPr>
          <w:rFonts w:hint="default" w:ascii="Times New Roman" w:hAnsi="Times New Roman" w:eastAsia="宋体" w:cs="Times New Roman"/>
          <w:color w:val="auto"/>
          <w:highlight w:val="none"/>
        </w:rPr>
        <w:t>饮食需要，避免因饥饿或口渴而发出叫声。对于水泵，在水泵底部安装</w:t>
      </w:r>
      <w:r>
        <w:rPr>
          <w:rFonts w:hint="default" w:ascii="Times New Roman" w:hAnsi="Times New Roman" w:eastAsia="宋体" w:cs="Times New Roman"/>
          <w:color w:val="auto"/>
          <w:highlight w:val="none"/>
          <w:lang w:eastAsia="zh-CN"/>
        </w:rPr>
        <w:t>减振</w:t>
      </w:r>
      <w:r>
        <w:rPr>
          <w:rFonts w:hint="default" w:ascii="Times New Roman" w:hAnsi="Times New Roman" w:eastAsia="宋体" w:cs="Times New Roman"/>
          <w:color w:val="auto"/>
          <w:highlight w:val="none"/>
        </w:rPr>
        <w:t>垫、使用软性接头，设置于独立的泵房内；将噪声大的噪声源远离厂界和敏感点，通过距离衰减降噪。同时可在</w:t>
      </w:r>
      <w:r>
        <w:rPr>
          <w:rFonts w:hint="default" w:ascii="Times New Roman" w:hAnsi="Times New Roman" w:eastAsia="宋体" w:cs="Times New Roman"/>
          <w:color w:val="FF0000"/>
          <w:highlight w:val="none"/>
          <w:lang w:eastAsia="zh-CN"/>
        </w:rPr>
        <w:t>羊</w:t>
      </w:r>
      <w:r>
        <w:rPr>
          <w:rFonts w:hint="default" w:ascii="Times New Roman" w:hAnsi="Times New Roman" w:eastAsia="宋体" w:cs="Times New Roman"/>
          <w:color w:val="auto"/>
          <w:highlight w:val="none"/>
        </w:rPr>
        <w:t>场周围种植高大树木，起到吸声降噪的效果。</w:t>
      </w:r>
    </w:p>
    <w:p w14:paraId="0F579272">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898" w:name="_Toc15461"/>
      <w:bookmarkStart w:id="899" w:name="_Toc7411"/>
      <w:bookmarkStart w:id="900" w:name="_Toc17916"/>
      <w:bookmarkStart w:id="901" w:name="_Toc19367"/>
      <w:r>
        <w:rPr>
          <w:rFonts w:hint="default" w:ascii="Times New Roman" w:hAnsi="Times New Roman" w:eastAsia="宋体" w:cs="Times New Roman"/>
          <w:color w:val="auto"/>
          <w:highlight w:val="none"/>
        </w:rPr>
        <w:t>（4）固体废物污染防治措施</w:t>
      </w:r>
      <w:bookmarkEnd w:id="898"/>
      <w:bookmarkEnd w:id="899"/>
      <w:bookmarkEnd w:id="900"/>
      <w:bookmarkEnd w:id="901"/>
    </w:p>
    <w:bookmarkEnd w:id="886"/>
    <w:bookmarkEnd w:id="887"/>
    <w:bookmarkEnd w:id="888"/>
    <w:p w14:paraId="16B9894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固废按照“无害化、资源化、减量化”原则实行管理，</w:t>
      </w:r>
      <w:r>
        <w:rPr>
          <w:rFonts w:hint="default" w:ascii="Times New Roman" w:hAnsi="Times New Roman" w:eastAsia="宋体" w:cs="Times New Roman"/>
          <w:color w:val="auto"/>
          <w:highlight w:val="none"/>
          <w:lang w:eastAsia="zh-CN"/>
        </w:rPr>
        <w:t>羊粪便</w:t>
      </w:r>
      <w:r>
        <w:rPr>
          <w:rFonts w:hint="default" w:ascii="Times New Roman" w:hAnsi="Times New Roman" w:eastAsia="宋体" w:cs="Times New Roman"/>
          <w:color w:val="auto"/>
          <w:highlight w:val="none"/>
        </w:rPr>
        <w:t>经好氧堆肥后用于农肥；</w:t>
      </w:r>
      <w:r>
        <w:rPr>
          <w:rFonts w:hint="default" w:ascii="Times New Roman" w:hAnsi="Times New Roman" w:eastAsia="宋体" w:cs="Times New Roman"/>
          <w:color w:val="auto"/>
          <w:highlight w:val="none"/>
          <w:lang w:eastAsia="zh-CN"/>
        </w:rPr>
        <w:t>病死羊</w:t>
      </w:r>
      <w:r>
        <w:rPr>
          <w:rFonts w:hint="default" w:ascii="Times New Roman" w:hAnsi="Times New Roman" w:eastAsia="宋体" w:cs="Times New Roman"/>
          <w:color w:val="auto"/>
          <w:highlight w:val="none"/>
        </w:rPr>
        <w:t>交第三方按照规范进行处理；危险废物委托有资质单位进行处理。本项目根据固体废物的性质采取了不同的处理措施，能利用的废物均被有效利用，不能利用的固废也均能得到妥善处置，不会产生二次污染。</w:t>
      </w:r>
    </w:p>
    <w:p w14:paraId="2266699D">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902" w:name="_Toc31083"/>
      <w:r>
        <w:rPr>
          <w:rFonts w:hint="default" w:ascii="Times New Roman" w:hAnsi="Times New Roman" w:eastAsia="宋体" w:cs="Times New Roman"/>
          <w:color w:val="auto"/>
          <w:highlight w:val="none"/>
        </w:rPr>
        <w:t>10.6总量控制指标</w:t>
      </w:r>
      <w:bookmarkEnd w:id="889"/>
      <w:bookmarkEnd w:id="902"/>
    </w:p>
    <w:p w14:paraId="23EB146D">
      <w:pPr>
        <w:pageBreakBefore w:val="0"/>
        <w:shd w:val="clear"/>
        <w:kinsoku/>
        <w:wordWrap/>
        <w:overflowPunct w:val="0"/>
        <w:autoSpaceDE/>
        <w:bidi w:val="0"/>
        <w:snapToGrid w:val="0"/>
        <w:spacing w:line="360" w:lineRule="auto"/>
        <w:ind w:left="0" w:leftChars="0" w:right="0" w:rightChars="0" w:firstLine="480"/>
        <w:rPr>
          <w:rFonts w:hint="default" w:ascii="Times New Roman" w:hAnsi="Times New Roman" w:eastAsia="宋体" w:cs="Times New Roman"/>
          <w:color w:val="auto"/>
          <w:szCs w:val="20"/>
          <w:highlight w:val="none"/>
        </w:rPr>
      </w:pPr>
      <w:bookmarkStart w:id="903" w:name="_Toc523322420"/>
      <w:r>
        <w:rPr>
          <w:rFonts w:hint="default" w:ascii="Times New Roman" w:hAnsi="Times New Roman" w:eastAsia="宋体" w:cs="Times New Roman"/>
          <w:color w:val="auto"/>
          <w:szCs w:val="20"/>
          <w:highlight w:val="none"/>
          <w:lang w:eastAsia="zh-CN"/>
        </w:rPr>
        <w:t>无</w:t>
      </w:r>
      <w:r>
        <w:rPr>
          <w:rFonts w:hint="default" w:ascii="Times New Roman" w:hAnsi="Times New Roman" w:eastAsia="宋体" w:cs="Times New Roman"/>
          <w:color w:val="auto"/>
          <w:szCs w:val="20"/>
          <w:highlight w:val="none"/>
        </w:rPr>
        <w:t>。</w:t>
      </w:r>
    </w:p>
    <w:p w14:paraId="0C952E53">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904" w:name="_Toc24471"/>
      <w:r>
        <w:rPr>
          <w:rFonts w:hint="default" w:ascii="Times New Roman" w:hAnsi="Times New Roman" w:eastAsia="宋体" w:cs="Times New Roman"/>
          <w:color w:val="auto"/>
          <w:highlight w:val="none"/>
        </w:rPr>
        <w:t>10.7环境影响经济损益分析</w:t>
      </w:r>
      <w:bookmarkEnd w:id="903"/>
      <w:bookmarkEnd w:id="904"/>
    </w:p>
    <w:p w14:paraId="3ABDFA0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本项目总投资</w:t>
      </w:r>
      <w:r>
        <w:rPr>
          <w:rFonts w:hint="default" w:ascii="Times New Roman" w:hAnsi="Times New Roman" w:eastAsia="宋体" w:cs="Times New Roman"/>
          <w:color w:val="auto"/>
          <w:highlight w:val="none"/>
          <w:lang w:val="en-US" w:eastAsia="zh-CN"/>
        </w:rPr>
        <w:t>450万元</w:t>
      </w:r>
      <w:r>
        <w:rPr>
          <w:rFonts w:hint="default" w:ascii="Times New Roman" w:hAnsi="Times New Roman" w:eastAsia="宋体" w:cs="Times New Roman"/>
          <w:color w:val="auto"/>
          <w:highlight w:val="none"/>
        </w:rPr>
        <w:t>，环保投资</w:t>
      </w:r>
      <w:r>
        <w:rPr>
          <w:rFonts w:hint="default" w:ascii="Times New Roman" w:hAnsi="Times New Roman" w:eastAsia="宋体" w:cs="Times New Roman"/>
          <w:color w:val="auto"/>
          <w:highlight w:val="none"/>
          <w:lang w:eastAsia="zh-CN"/>
        </w:rPr>
        <w:t>68.5</w:t>
      </w:r>
      <w:r>
        <w:rPr>
          <w:rFonts w:hint="default" w:ascii="Times New Roman" w:hAnsi="Times New Roman" w:eastAsia="宋体" w:cs="Times New Roman"/>
          <w:color w:val="auto"/>
          <w:highlight w:val="none"/>
        </w:rPr>
        <w:t>万元，占总投资比例为</w:t>
      </w:r>
      <w:r>
        <w:rPr>
          <w:rFonts w:hint="default" w:ascii="Times New Roman" w:hAnsi="Times New Roman" w:eastAsia="宋体" w:cs="Times New Roman"/>
          <w:color w:val="auto"/>
          <w:highlight w:val="none"/>
          <w:lang w:val="en-US" w:eastAsia="zh-CN"/>
        </w:rPr>
        <w:t>15.22</w:t>
      </w:r>
      <w:r>
        <w:rPr>
          <w:rFonts w:hint="default" w:ascii="Times New Roman" w:hAnsi="Times New Roman" w:eastAsia="宋体" w:cs="Times New Roman"/>
          <w:color w:val="auto"/>
          <w:highlight w:val="none"/>
        </w:rPr>
        <w:t>%。项目建设具有良好的经济效益和社会效益，但对环境的损害是存在的。建设单位要加强污染防治的投资与环境管理，把污染控制在最低限度，保证项目经济效益、社会效益和环境效益的同步发展。</w:t>
      </w:r>
    </w:p>
    <w:p w14:paraId="43B6BF71">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905" w:name="_Toc23816"/>
      <w:bookmarkStart w:id="906" w:name="_Toc523322422"/>
      <w:r>
        <w:rPr>
          <w:rFonts w:hint="default" w:ascii="Times New Roman" w:hAnsi="Times New Roman" w:eastAsia="宋体" w:cs="Times New Roman"/>
          <w:color w:val="auto"/>
          <w:highlight w:val="none"/>
        </w:rPr>
        <w:t>10.8环境管理和监测计划</w:t>
      </w:r>
      <w:bookmarkEnd w:id="905"/>
      <w:bookmarkEnd w:id="906"/>
    </w:p>
    <w:p w14:paraId="054B476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企业应配置环保管理机构、监测人员等。按环境影响报告书的要求严格落实环保要求，明确职责，专人管理，切实搞好环境管理和监测、验收工作，保证环保设施的正常运行，规范各排污口。</w:t>
      </w:r>
    </w:p>
    <w:p w14:paraId="75CAB648">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907" w:name="_Toc32197"/>
      <w:r>
        <w:rPr>
          <w:rFonts w:hint="default" w:ascii="Times New Roman" w:hAnsi="Times New Roman" w:eastAsia="宋体" w:cs="Times New Roman"/>
          <w:color w:val="auto"/>
          <w:highlight w:val="none"/>
        </w:rPr>
        <w:t>10.9公众参与情况</w:t>
      </w:r>
      <w:bookmarkEnd w:id="907"/>
    </w:p>
    <w:p w14:paraId="3DF5855C">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bookmarkStart w:id="908" w:name="_Toc494206436"/>
      <w:bookmarkStart w:id="909" w:name="_Toc523322423"/>
      <w:bookmarkStart w:id="910" w:name="_Toc487188715"/>
      <w:bookmarkStart w:id="911" w:name="_Toc371696657"/>
      <w:r>
        <w:rPr>
          <w:rFonts w:hint="default" w:ascii="Times New Roman" w:hAnsi="Times New Roman" w:eastAsia="宋体" w:cs="Times New Roman"/>
          <w:color w:val="auto"/>
          <w:highlight w:val="none"/>
        </w:rPr>
        <w:t>建设单位按照《环境影响评价公众参与办法》要求，在本项目</w:t>
      </w:r>
      <w:r>
        <w:rPr>
          <w:rFonts w:hint="default" w:ascii="Times New Roman" w:hAnsi="Times New Roman" w:eastAsia="宋体" w:cs="Times New Roman"/>
          <w:color w:val="auto"/>
          <w:highlight w:val="none"/>
          <w:lang w:eastAsia="zh-CN"/>
        </w:rPr>
        <w:t>环境影响报告书</w:t>
      </w:r>
      <w:r>
        <w:rPr>
          <w:rFonts w:hint="default" w:ascii="Times New Roman" w:hAnsi="Times New Roman" w:eastAsia="宋体" w:cs="Times New Roman"/>
          <w:color w:val="auto"/>
          <w:highlight w:val="none"/>
        </w:rPr>
        <w:t>编制阶段开展了公众参与工作，根据建设单位提供的公众参与调查说明，202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25</w:t>
      </w:r>
      <w:r>
        <w:rPr>
          <w:rFonts w:hint="default" w:ascii="Times New Roman" w:hAnsi="Times New Roman" w:eastAsia="宋体" w:cs="Times New Roman"/>
          <w:color w:val="auto"/>
          <w:highlight w:val="none"/>
        </w:rPr>
        <w:t>日</w:t>
      </w:r>
      <w:r>
        <w:rPr>
          <w:rFonts w:hint="default" w:ascii="Times New Roman" w:hAnsi="Times New Roman" w:eastAsia="宋体" w:cs="Times New Roman"/>
          <w:color w:val="auto"/>
          <w:highlight w:val="none"/>
          <w:lang w:eastAsia="zh-CN"/>
        </w:rPr>
        <w:t>五原县兄弟农民专业合作社</w:t>
      </w:r>
      <w:r>
        <w:rPr>
          <w:rFonts w:hint="default" w:ascii="Times New Roman" w:hAnsi="Times New Roman" w:eastAsia="宋体" w:cs="Times New Roman"/>
          <w:color w:val="auto"/>
          <w:highlight w:val="none"/>
        </w:rPr>
        <w:t>在</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人民政府网进行了第一次公众参与公告，20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日在</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人民政府网进行了环境影响评价征求意见稿网上公示，公示时间为公布之日起十个工作日，同期进行了登报公示，并在项目区附近张贴了公示信息。</w:t>
      </w:r>
    </w:p>
    <w:p w14:paraId="6FE920DD">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对于本项目的建设，无公众提出文字性意见和建议。建设单位已编制公众参与说明书，其相关内容详见说明书。</w:t>
      </w:r>
    </w:p>
    <w:p w14:paraId="6D07ACFC">
      <w:pPr>
        <w:pStyle w:val="4"/>
        <w:pageBreakBefore w:val="0"/>
        <w:shd w:val="clear"/>
        <w:kinsoku/>
        <w:wordWrap/>
        <w:bidi w:val="0"/>
        <w:snapToGrid w:val="0"/>
        <w:spacing w:before="0" w:after="0" w:line="360" w:lineRule="auto"/>
        <w:ind w:left="0" w:leftChars="0" w:right="0" w:rightChars="0"/>
        <w:outlineLvl w:val="0"/>
        <w:rPr>
          <w:rFonts w:hint="default" w:ascii="Times New Roman" w:hAnsi="Times New Roman" w:eastAsia="宋体" w:cs="Times New Roman"/>
          <w:color w:val="auto"/>
          <w:highlight w:val="none"/>
        </w:rPr>
      </w:pPr>
      <w:bookmarkStart w:id="912" w:name="_Toc5521"/>
      <w:r>
        <w:rPr>
          <w:rFonts w:hint="default" w:ascii="Times New Roman" w:hAnsi="Times New Roman" w:eastAsia="宋体" w:cs="Times New Roman"/>
          <w:color w:val="auto"/>
          <w:highlight w:val="none"/>
        </w:rPr>
        <w:t>10.10总结论</w:t>
      </w:r>
      <w:bookmarkEnd w:id="908"/>
      <w:bookmarkEnd w:id="909"/>
      <w:bookmarkEnd w:id="910"/>
      <w:bookmarkEnd w:id="911"/>
      <w:bookmarkEnd w:id="912"/>
    </w:p>
    <w:p w14:paraId="60EA8F57">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913" w:name="_Toc31370"/>
      <w:bookmarkStart w:id="914" w:name="_Toc28511"/>
      <w:bookmarkStart w:id="915" w:name="_Toc20633"/>
      <w:bookmarkStart w:id="916" w:name="_Toc1652"/>
      <w:r>
        <w:rPr>
          <w:rFonts w:hint="default" w:ascii="Times New Roman" w:hAnsi="Times New Roman" w:eastAsia="宋体" w:cs="Times New Roman"/>
          <w:color w:val="auto"/>
          <w:highlight w:val="none"/>
        </w:rPr>
        <w:t>（1）结论</w:t>
      </w:r>
      <w:bookmarkEnd w:id="913"/>
      <w:bookmarkEnd w:id="914"/>
      <w:bookmarkEnd w:id="915"/>
      <w:bookmarkEnd w:id="916"/>
    </w:p>
    <w:p w14:paraId="101BBBBE">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五原县兄弟农民专业合作社肉羊育肥养殖及附属设施建设项目</w:t>
      </w:r>
      <w:r>
        <w:rPr>
          <w:rFonts w:hint="default" w:ascii="Times New Roman" w:hAnsi="Times New Roman" w:eastAsia="宋体" w:cs="Times New Roman"/>
          <w:color w:val="auto"/>
          <w:highlight w:val="none"/>
        </w:rPr>
        <w:t>采用农业循环经济发展模式进行</w:t>
      </w:r>
      <w:r>
        <w:rPr>
          <w:rFonts w:hint="default" w:ascii="Times New Roman" w:hAnsi="Times New Roman" w:eastAsia="宋体" w:cs="Times New Roman"/>
          <w:color w:val="auto"/>
          <w:highlight w:val="none"/>
          <w:lang w:eastAsia="zh-CN"/>
        </w:rPr>
        <w:t>肉羊</w:t>
      </w:r>
      <w:r>
        <w:rPr>
          <w:rFonts w:hint="default" w:ascii="Times New Roman" w:hAnsi="Times New Roman" w:eastAsia="宋体" w:cs="Times New Roman"/>
          <w:color w:val="auto"/>
          <w:highlight w:val="none"/>
        </w:rPr>
        <w:t>养殖并配套消纳土地实现粪污资源化利用，符合国家当前产业政策及内蒙古自治区农业发展规划的要求，其选址符合</w:t>
      </w:r>
      <w:r>
        <w:rPr>
          <w:rFonts w:hint="default" w:ascii="Times New Roman" w:hAnsi="Times New Roman" w:eastAsia="宋体" w:cs="Times New Roman"/>
          <w:color w:val="auto"/>
          <w:highlight w:val="none"/>
          <w:lang w:eastAsia="zh-CN"/>
        </w:rPr>
        <w:t>五原县</w:t>
      </w:r>
      <w:r>
        <w:rPr>
          <w:rFonts w:hint="default" w:ascii="Times New Roman" w:hAnsi="Times New Roman" w:eastAsia="宋体" w:cs="Times New Roman"/>
          <w:color w:val="auto"/>
          <w:highlight w:val="none"/>
        </w:rPr>
        <w:t>农业发展规划，不属于禁养区和限养区范围内，场址选址可行，具有良好的社会经济效益。</w:t>
      </w:r>
    </w:p>
    <w:p w14:paraId="34D1C93F">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的建设符合国家“三线一单”的管控原则，拟定的各项环保措施可行有效，项目所产生的污染物均能合规利用或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建设是可行的。</w:t>
      </w:r>
    </w:p>
    <w:p w14:paraId="63E4F469">
      <w:pPr>
        <w:pageBreakBefore w:val="0"/>
        <w:shd w:val="clear"/>
        <w:kinsoku/>
        <w:wordWrap/>
        <w:bidi w:val="0"/>
        <w:snapToGrid w:val="0"/>
        <w:spacing w:line="360" w:lineRule="auto"/>
        <w:ind w:left="0" w:leftChars="0" w:right="0" w:rightChars="0" w:firstLine="480"/>
        <w:outlineLvl w:val="1"/>
        <w:rPr>
          <w:rFonts w:hint="default" w:ascii="Times New Roman" w:hAnsi="Times New Roman" w:eastAsia="宋体" w:cs="Times New Roman"/>
          <w:color w:val="auto"/>
          <w:highlight w:val="none"/>
        </w:rPr>
      </w:pPr>
      <w:bookmarkStart w:id="917" w:name="_Toc4122"/>
      <w:bookmarkStart w:id="918" w:name="_Toc5864"/>
      <w:bookmarkStart w:id="919" w:name="_Toc19199707"/>
      <w:bookmarkStart w:id="920" w:name="_Toc9316"/>
      <w:bookmarkStart w:id="921" w:name="_Toc1773"/>
      <w:r>
        <w:rPr>
          <w:rFonts w:hint="default" w:ascii="Times New Roman" w:hAnsi="Times New Roman" w:eastAsia="宋体" w:cs="Times New Roman"/>
          <w:color w:val="auto"/>
          <w:highlight w:val="none"/>
        </w:rPr>
        <w:t>（2）建议</w:t>
      </w:r>
      <w:bookmarkEnd w:id="917"/>
      <w:bookmarkEnd w:id="918"/>
      <w:bookmarkEnd w:id="919"/>
      <w:bookmarkEnd w:id="920"/>
      <w:bookmarkEnd w:id="921"/>
    </w:p>
    <w:p w14:paraId="3B1BD445">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1）污染</w:t>
      </w:r>
      <w:r>
        <w:rPr>
          <w:rFonts w:hint="default" w:ascii="Times New Roman" w:hAnsi="Times New Roman" w:eastAsia="宋体" w:cs="Times New Roman"/>
          <w:color w:val="auto"/>
          <w:szCs w:val="16"/>
          <w:highlight w:val="none"/>
        </w:rPr>
        <w:t>防治措施必须与项目主体工程同时设计、同时施工、同时投产使用。</w:t>
      </w:r>
      <w:r>
        <w:rPr>
          <w:rFonts w:hint="default" w:ascii="Times New Roman" w:hAnsi="Times New Roman" w:eastAsia="宋体" w:cs="Times New Roman"/>
          <w:color w:val="auto"/>
          <w:szCs w:val="24"/>
          <w:highlight w:val="none"/>
        </w:rPr>
        <w:t>项目运行期间，需加强环保设施的维护及管理，保证环保设施的正常运行，提高其运行效率，确保污染物达标排放或合规利用，减少对环境的影响。</w:t>
      </w:r>
    </w:p>
    <w:p w14:paraId="3C497ED0">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2）全面实施场区除臭方案，加强场区边界恶臭污染因子浓度监测，保证项目场区边界及周围各敏感点恶臭污染因子浓度达标。</w:t>
      </w:r>
    </w:p>
    <w:p w14:paraId="21A1A813">
      <w:pPr>
        <w:pageBreakBefore w:val="0"/>
        <w:shd w:val="clear"/>
        <w:kinsoku/>
        <w:wordWrap/>
        <w:bidi w:val="0"/>
        <w:snapToGrid w:val="0"/>
        <w:spacing w:line="360" w:lineRule="auto"/>
        <w:ind w:left="0" w:leftChars="0" w:right="0" w:rightChars="0"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3）企业应建立健全的环保规章制度，配备专职环保人员，加强管理，杜绝生产过程中的跑、冒、滴、漏。加强设备、管道、各项治污措施的定期检修和维护工作。做好病死畜、危险废物管理制度</w:t>
      </w:r>
      <w:r>
        <w:rPr>
          <w:rFonts w:hint="default" w:ascii="Times New Roman" w:hAnsi="Times New Roman" w:eastAsia="宋体" w:cs="Times New Roman"/>
          <w:color w:val="auto"/>
          <w:highlight w:val="none"/>
          <w:lang w:eastAsia="zh-CN"/>
        </w:rPr>
        <w:t>。</w:t>
      </w:r>
    </w:p>
    <w:p w14:paraId="7C0AF5C8">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lang w:eastAsia="zh-CN"/>
        </w:rPr>
      </w:pPr>
    </w:p>
    <w:p w14:paraId="6647D71D">
      <w:pPr>
        <w:pageBreakBefore w:val="0"/>
        <w:shd w:val="clear"/>
        <w:kinsoku/>
        <w:wordWrap/>
        <w:bidi w:val="0"/>
        <w:snapToGrid w:val="0"/>
        <w:spacing w:line="360" w:lineRule="auto"/>
        <w:ind w:left="0" w:leftChars="0" w:right="0" w:rightChars="0"/>
        <w:rPr>
          <w:rFonts w:hint="default" w:ascii="Times New Roman" w:hAnsi="Times New Roman" w:eastAsia="宋体" w:cs="Times New Roman"/>
          <w:color w:val="auto"/>
          <w:highlight w:val="none"/>
          <w:lang w:eastAsia="zh-CN"/>
        </w:rPr>
      </w:pPr>
    </w:p>
    <w:sectPr>
      <w:pgSz w:w="11906" w:h="16838"/>
      <w:pgMar w:top="1440" w:right="1800" w:bottom="1440" w:left="1800" w:header="851" w:footer="1134" w:gutter="0"/>
      <w:pgBorders>
        <w:top w:val="none" w:sz="0" w:space="0"/>
        <w:left w:val="none" w:sz="0" w:space="0"/>
        <w:bottom w:val="none" w:sz="0" w:space="0"/>
        <w:right w:val="none" w:sz="0" w:space="0"/>
      </w:pgBorders>
      <w:pgNumType w:fmt="decimal"/>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A6AB8">
    <w:pPr>
      <w:pStyle w:val="27"/>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6280">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2718332"/>
    </w:sdtPr>
    <w:sdtContent>
      <w:p w14:paraId="4BEF0BD6">
        <w:pPr>
          <w:pStyle w:val="27"/>
          <w:ind w:firstLine="480"/>
          <w:jc w:val="center"/>
        </w:pPr>
        <w:r>
          <w:fldChar w:fldCharType="begin"/>
        </w:r>
        <w:r>
          <w:instrText xml:space="preserve">PAGE   \* MERGEFORMAT</w:instrText>
        </w:r>
        <w:r>
          <w:fldChar w:fldCharType="separate"/>
        </w:r>
        <w:r>
          <w:rPr>
            <w:lang w:val="zh-CN"/>
          </w:rPr>
          <w:t>X</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5E5A">
    <w:pPr>
      <w:pStyle w:val="27"/>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12D52B">
                          <w:pPr>
                            <w:pStyle w:val="2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MCLg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1T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zAi4NAIAAGUEAAAOAAAAAAAAAAEAIAAAAB8BAABkcnMvZTJvRG9jLnhtbFBL&#10;BQYAAAAABgAGAFkBAADFBQAAAAA=&#10;">
              <v:fill on="f" focussize="0,0"/>
              <v:stroke on="f" weight="0.5pt"/>
              <v:imagedata o:title=""/>
              <o:lock v:ext="edit" aspectratio="f"/>
              <v:textbox inset="0mm,0mm,0mm,0mm" style="mso-fit-shape-to-text:t;">
                <w:txbxContent>
                  <w:p w14:paraId="1F12D52B">
                    <w:pPr>
                      <w:pStyle w:val="2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F8F5">
    <w:pPr>
      <w:pStyle w:val="29"/>
      <w:pBdr>
        <w:bottom w:val="double" w:color="auto" w:sz="8" w:space="1"/>
      </w:pBdr>
      <w:ind w:firstLine="420"/>
      <w:rPr>
        <w:rFonts w:hint="eastAsia" w:eastAsia="宋体"/>
        <w:sz w:val="22"/>
        <w:szCs w:val="22"/>
        <w:lang w:eastAsia="zh-CN"/>
      </w:rPr>
    </w:pPr>
    <w:r>
      <w:rPr>
        <w:rFonts w:hint="eastAsia"/>
        <w:sz w:val="22"/>
        <w:szCs w:val="22"/>
        <w:lang w:eastAsia="zh-CN"/>
      </w:rPr>
      <w:t>五原县兄弟农民专业合作社肉羊育肥养殖及附属设施建设项目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CAB2">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F879BA"/>
    <w:multiLevelType w:val="singleLevel"/>
    <w:tmpl w:val="C3F879BA"/>
    <w:lvl w:ilvl="0" w:tentative="0">
      <w:start w:val="1"/>
      <w:numFmt w:val="bullet"/>
      <w:pStyle w:val="18"/>
      <w:lvlText w:val=""/>
      <w:lvlJc w:val="left"/>
      <w:pPr>
        <w:tabs>
          <w:tab w:val="left" w:pos="2040"/>
        </w:tabs>
        <w:ind w:left="2040" w:hanging="360"/>
      </w:pPr>
      <w:rPr>
        <w:rFonts w:hint="default" w:ascii="Wingdings" w:hAnsi="Wingdings"/>
      </w:rPr>
    </w:lvl>
  </w:abstractNum>
  <w:abstractNum w:abstractNumId="1">
    <w:nsid w:val="4C8C5312"/>
    <w:multiLevelType w:val="multilevel"/>
    <w:tmpl w:val="4C8C5312"/>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default" w:ascii="Times New Roman" w:hAnsi="Times New Roman" w:cs="Times New Roman"/>
        <w:sz w:val="30"/>
        <w:szCs w:val="30"/>
      </w:rPr>
    </w:lvl>
    <w:lvl w:ilvl="2" w:tentative="0">
      <w:start w:val="1"/>
      <w:numFmt w:val="decimal"/>
      <w:lvlText w:val="%1.%2.%3."/>
      <w:lvlJc w:val="left"/>
      <w:pPr>
        <w:tabs>
          <w:tab w:val="left" w:pos="0"/>
        </w:tabs>
        <w:ind w:left="0" w:firstLine="0"/>
      </w:pPr>
      <w:rPr>
        <w:rFonts w:hint="eastAsia"/>
      </w:rPr>
    </w:lvl>
    <w:lvl w:ilvl="3" w:tentative="0">
      <w:start w:val="1"/>
      <w:numFmt w:val="decimal"/>
      <w:pStyle w:val="5"/>
      <w:lvlText w:val="%1.%2.%3.%4."/>
      <w:lvlJc w:val="left"/>
      <w:pPr>
        <w:tabs>
          <w:tab w:val="left" w:pos="851"/>
        </w:tabs>
        <w:ind w:left="851" w:hanging="851"/>
      </w:pPr>
      <w:rPr>
        <w:rFonts w:hint="eastAsia"/>
        <w:b/>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gutterAtTop/>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5OTNhYzQzNWRhZTJhMDE3N2Y2NzUwMzE4NDkyMjUifQ=="/>
  </w:docVars>
  <w:rsids>
    <w:rsidRoot w:val="008E14A2"/>
    <w:rsid w:val="00000098"/>
    <w:rsid w:val="000003C2"/>
    <w:rsid w:val="00000777"/>
    <w:rsid w:val="00000CF0"/>
    <w:rsid w:val="00000E94"/>
    <w:rsid w:val="000013D6"/>
    <w:rsid w:val="00001AD7"/>
    <w:rsid w:val="00002925"/>
    <w:rsid w:val="0000311E"/>
    <w:rsid w:val="0000317A"/>
    <w:rsid w:val="00003189"/>
    <w:rsid w:val="0000366E"/>
    <w:rsid w:val="0000427E"/>
    <w:rsid w:val="00004647"/>
    <w:rsid w:val="000047A0"/>
    <w:rsid w:val="00005A39"/>
    <w:rsid w:val="00006083"/>
    <w:rsid w:val="00006412"/>
    <w:rsid w:val="00006AA7"/>
    <w:rsid w:val="000076FD"/>
    <w:rsid w:val="00007B11"/>
    <w:rsid w:val="00010750"/>
    <w:rsid w:val="00010C6E"/>
    <w:rsid w:val="00011584"/>
    <w:rsid w:val="00011A62"/>
    <w:rsid w:val="00012557"/>
    <w:rsid w:val="00013D16"/>
    <w:rsid w:val="00014005"/>
    <w:rsid w:val="00014184"/>
    <w:rsid w:val="0001450A"/>
    <w:rsid w:val="00014A6E"/>
    <w:rsid w:val="0001515A"/>
    <w:rsid w:val="0001554D"/>
    <w:rsid w:val="00015A18"/>
    <w:rsid w:val="0001616B"/>
    <w:rsid w:val="000162E2"/>
    <w:rsid w:val="000168CD"/>
    <w:rsid w:val="000170D7"/>
    <w:rsid w:val="000177D4"/>
    <w:rsid w:val="000217FE"/>
    <w:rsid w:val="0002217B"/>
    <w:rsid w:val="000238F3"/>
    <w:rsid w:val="00024180"/>
    <w:rsid w:val="00024287"/>
    <w:rsid w:val="00026AB5"/>
    <w:rsid w:val="00026D25"/>
    <w:rsid w:val="00026E3B"/>
    <w:rsid w:val="0002798E"/>
    <w:rsid w:val="0003053F"/>
    <w:rsid w:val="000307C0"/>
    <w:rsid w:val="00030C18"/>
    <w:rsid w:val="00032F70"/>
    <w:rsid w:val="00033205"/>
    <w:rsid w:val="00033359"/>
    <w:rsid w:val="00033493"/>
    <w:rsid w:val="000336FD"/>
    <w:rsid w:val="00033F2F"/>
    <w:rsid w:val="000344E3"/>
    <w:rsid w:val="00034D6A"/>
    <w:rsid w:val="000351D9"/>
    <w:rsid w:val="00035B43"/>
    <w:rsid w:val="00036850"/>
    <w:rsid w:val="00040C00"/>
    <w:rsid w:val="00041391"/>
    <w:rsid w:val="0004205A"/>
    <w:rsid w:val="0004254E"/>
    <w:rsid w:val="00042A80"/>
    <w:rsid w:val="00042D03"/>
    <w:rsid w:val="0004313F"/>
    <w:rsid w:val="00044BDB"/>
    <w:rsid w:val="00045214"/>
    <w:rsid w:val="00045A93"/>
    <w:rsid w:val="00046007"/>
    <w:rsid w:val="00046B35"/>
    <w:rsid w:val="000478C8"/>
    <w:rsid w:val="00047A49"/>
    <w:rsid w:val="000503AC"/>
    <w:rsid w:val="00050759"/>
    <w:rsid w:val="0005101D"/>
    <w:rsid w:val="000524D8"/>
    <w:rsid w:val="00052E7B"/>
    <w:rsid w:val="00053CBF"/>
    <w:rsid w:val="00053E2E"/>
    <w:rsid w:val="00054E57"/>
    <w:rsid w:val="00055E05"/>
    <w:rsid w:val="00055F31"/>
    <w:rsid w:val="00057443"/>
    <w:rsid w:val="00057678"/>
    <w:rsid w:val="000577C1"/>
    <w:rsid w:val="00057A23"/>
    <w:rsid w:val="00060DE1"/>
    <w:rsid w:val="000619DE"/>
    <w:rsid w:val="000619F6"/>
    <w:rsid w:val="00062317"/>
    <w:rsid w:val="00064572"/>
    <w:rsid w:val="00066AD7"/>
    <w:rsid w:val="000672CB"/>
    <w:rsid w:val="0006733E"/>
    <w:rsid w:val="000702FC"/>
    <w:rsid w:val="00070403"/>
    <w:rsid w:val="0007103F"/>
    <w:rsid w:val="0007189F"/>
    <w:rsid w:val="00071FC2"/>
    <w:rsid w:val="00073B60"/>
    <w:rsid w:val="00074460"/>
    <w:rsid w:val="00075C74"/>
    <w:rsid w:val="00076227"/>
    <w:rsid w:val="00076470"/>
    <w:rsid w:val="00076FF3"/>
    <w:rsid w:val="00077768"/>
    <w:rsid w:val="00077821"/>
    <w:rsid w:val="00077AB6"/>
    <w:rsid w:val="000801E8"/>
    <w:rsid w:val="0008043C"/>
    <w:rsid w:val="00080B32"/>
    <w:rsid w:val="000818C5"/>
    <w:rsid w:val="00081AB3"/>
    <w:rsid w:val="0008202C"/>
    <w:rsid w:val="000820A3"/>
    <w:rsid w:val="00083E1E"/>
    <w:rsid w:val="0008647B"/>
    <w:rsid w:val="00086A86"/>
    <w:rsid w:val="00086F18"/>
    <w:rsid w:val="00087841"/>
    <w:rsid w:val="000907D0"/>
    <w:rsid w:val="00090D2D"/>
    <w:rsid w:val="00091083"/>
    <w:rsid w:val="0009201D"/>
    <w:rsid w:val="00092035"/>
    <w:rsid w:val="0009241E"/>
    <w:rsid w:val="000936CB"/>
    <w:rsid w:val="00093A9D"/>
    <w:rsid w:val="00093DE8"/>
    <w:rsid w:val="00095722"/>
    <w:rsid w:val="0009574C"/>
    <w:rsid w:val="000962DC"/>
    <w:rsid w:val="00097530"/>
    <w:rsid w:val="000A0049"/>
    <w:rsid w:val="000A0A8B"/>
    <w:rsid w:val="000A0B28"/>
    <w:rsid w:val="000A1749"/>
    <w:rsid w:val="000A1A2E"/>
    <w:rsid w:val="000A2966"/>
    <w:rsid w:val="000A33EE"/>
    <w:rsid w:val="000A36EF"/>
    <w:rsid w:val="000A43F9"/>
    <w:rsid w:val="000A676C"/>
    <w:rsid w:val="000A6C8A"/>
    <w:rsid w:val="000A6D2B"/>
    <w:rsid w:val="000B0153"/>
    <w:rsid w:val="000B094D"/>
    <w:rsid w:val="000B0B9D"/>
    <w:rsid w:val="000B114F"/>
    <w:rsid w:val="000B16B9"/>
    <w:rsid w:val="000B19FA"/>
    <w:rsid w:val="000B1E16"/>
    <w:rsid w:val="000B4222"/>
    <w:rsid w:val="000B44C0"/>
    <w:rsid w:val="000B4A72"/>
    <w:rsid w:val="000B502A"/>
    <w:rsid w:val="000B548D"/>
    <w:rsid w:val="000B69A6"/>
    <w:rsid w:val="000B7C29"/>
    <w:rsid w:val="000C0252"/>
    <w:rsid w:val="000C08D1"/>
    <w:rsid w:val="000C16A3"/>
    <w:rsid w:val="000C192C"/>
    <w:rsid w:val="000C1B14"/>
    <w:rsid w:val="000C1CDC"/>
    <w:rsid w:val="000C28E9"/>
    <w:rsid w:val="000C2B7F"/>
    <w:rsid w:val="000C2BDF"/>
    <w:rsid w:val="000C378E"/>
    <w:rsid w:val="000C39B0"/>
    <w:rsid w:val="000C4411"/>
    <w:rsid w:val="000C552E"/>
    <w:rsid w:val="000C6155"/>
    <w:rsid w:val="000C68FF"/>
    <w:rsid w:val="000C73C4"/>
    <w:rsid w:val="000C7DA2"/>
    <w:rsid w:val="000D01E1"/>
    <w:rsid w:val="000D063B"/>
    <w:rsid w:val="000D216F"/>
    <w:rsid w:val="000D21F5"/>
    <w:rsid w:val="000D314F"/>
    <w:rsid w:val="000D4057"/>
    <w:rsid w:val="000D4932"/>
    <w:rsid w:val="000D4BF4"/>
    <w:rsid w:val="000D57FE"/>
    <w:rsid w:val="000D63CB"/>
    <w:rsid w:val="000D6F41"/>
    <w:rsid w:val="000D71BD"/>
    <w:rsid w:val="000E0A89"/>
    <w:rsid w:val="000E0EEA"/>
    <w:rsid w:val="000E149A"/>
    <w:rsid w:val="000E2107"/>
    <w:rsid w:val="000E22B4"/>
    <w:rsid w:val="000E257A"/>
    <w:rsid w:val="000E2968"/>
    <w:rsid w:val="000E2A00"/>
    <w:rsid w:val="000E2D85"/>
    <w:rsid w:val="000E4A5C"/>
    <w:rsid w:val="000E5E01"/>
    <w:rsid w:val="000E7AB8"/>
    <w:rsid w:val="000F0AE5"/>
    <w:rsid w:val="000F15C5"/>
    <w:rsid w:val="000F1648"/>
    <w:rsid w:val="000F2401"/>
    <w:rsid w:val="000F2E79"/>
    <w:rsid w:val="000F4EEF"/>
    <w:rsid w:val="000F5ED7"/>
    <w:rsid w:val="000F5FEF"/>
    <w:rsid w:val="000F6FDF"/>
    <w:rsid w:val="000F7456"/>
    <w:rsid w:val="000F7C5F"/>
    <w:rsid w:val="00100672"/>
    <w:rsid w:val="001009A2"/>
    <w:rsid w:val="00100B30"/>
    <w:rsid w:val="00103A7C"/>
    <w:rsid w:val="0010415D"/>
    <w:rsid w:val="00104447"/>
    <w:rsid w:val="001057F8"/>
    <w:rsid w:val="001060FC"/>
    <w:rsid w:val="00106169"/>
    <w:rsid w:val="00107078"/>
    <w:rsid w:val="00107443"/>
    <w:rsid w:val="001077B3"/>
    <w:rsid w:val="00111754"/>
    <w:rsid w:val="001117CA"/>
    <w:rsid w:val="00111A4D"/>
    <w:rsid w:val="00112B62"/>
    <w:rsid w:val="00113313"/>
    <w:rsid w:val="0011331B"/>
    <w:rsid w:val="001138BA"/>
    <w:rsid w:val="00113EEF"/>
    <w:rsid w:val="00113F9F"/>
    <w:rsid w:val="00114020"/>
    <w:rsid w:val="00114D22"/>
    <w:rsid w:val="0011671C"/>
    <w:rsid w:val="00116A0A"/>
    <w:rsid w:val="0012040F"/>
    <w:rsid w:val="00124239"/>
    <w:rsid w:val="0012477A"/>
    <w:rsid w:val="00124FAC"/>
    <w:rsid w:val="00124FCE"/>
    <w:rsid w:val="00125FCF"/>
    <w:rsid w:val="0012685A"/>
    <w:rsid w:val="00126B5D"/>
    <w:rsid w:val="001279AB"/>
    <w:rsid w:val="00127A0C"/>
    <w:rsid w:val="001301AD"/>
    <w:rsid w:val="001301BB"/>
    <w:rsid w:val="0013058D"/>
    <w:rsid w:val="001311B8"/>
    <w:rsid w:val="001312CE"/>
    <w:rsid w:val="0013164A"/>
    <w:rsid w:val="00131741"/>
    <w:rsid w:val="00132310"/>
    <w:rsid w:val="00133AF3"/>
    <w:rsid w:val="00133F47"/>
    <w:rsid w:val="0013567A"/>
    <w:rsid w:val="00135B20"/>
    <w:rsid w:val="00135D32"/>
    <w:rsid w:val="00136279"/>
    <w:rsid w:val="001369DE"/>
    <w:rsid w:val="00137243"/>
    <w:rsid w:val="0013745F"/>
    <w:rsid w:val="001375C6"/>
    <w:rsid w:val="00142B86"/>
    <w:rsid w:val="00143F0A"/>
    <w:rsid w:val="001445F0"/>
    <w:rsid w:val="0014493A"/>
    <w:rsid w:val="0014615A"/>
    <w:rsid w:val="001478EC"/>
    <w:rsid w:val="001500F6"/>
    <w:rsid w:val="00150345"/>
    <w:rsid w:val="00150F25"/>
    <w:rsid w:val="001512B8"/>
    <w:rsid w:val="00153828"/>
    <w:rsid w:val="00154BFF"/>
    <w:rsid w:val="00154E02"/>
    <w:rsid w:val="001555EB"/>
    <w:rsid w:val="00156292"/>
    <w:rsid w:val="001569A5"/>
    <w:rsid w:val="00156A6A"/>
    <w:rsid w:val="001573C5"/>
    <w:rsid w:val="001573F7"/>
    <w:rsid w:val="00160362"/>
    <w:rsid w:val="00161328"/>
    <w:rsid w:val="00161ADE"/>
    <w:rsid w:val="00161C5C"/>
    <w:rsid w:val="00162B8F"/>
    <w:rsid w:val="00162BB4"/>
    <w:rsid w:val="00163A0B"/>
    <w:rsid w:val="00164B74"/>
    <w:rsid w:val="00164CCC"/>
    <w:rsid w:val="00166635"/>
    <w:rsid w:val="00167D0E"/>
    <w:rsid w:val="00170998"/>
    <w:rsid w:val="001711D9"/>
    <w:rsid w:val="00171D3B"/>
    <w:rsid w:val="00171F45"/>
    <w:rsid w:val="00171FF3"/>
    <w:rsid w:val="001746DE"/>
    <w:rsid w:val="001748CE"/>
    <w:rsid w:val="00174ABA"/>
    <w:rsid w:val="00174F22"/>
    <w:rsid w:val="00175978"/>
    <w:rsid w:val="00175B9B"/>
    <w:rsid w:val="00175C16"/>
    <w:rsid w:val="0017716C"/>
    <w:rsid w:val="0017767F"/>
    <w:rsid w:val="00180885"/>
    <w:rsid w:val="0018105E"/>
    <w:rsid w:val="00181F74"/>
    <w:rsid w:val="00182285"/>
    <w:rsid w:val="00182C63"/>
    <w:rsid w:val="00182CA8"/>
    <w:rsid w:val="00182D53"/>
    <w:rsid w:val="00183095"/>
    <w:rsid w:val="001842BC"/>
    <w:rsid w:val="00184B2B"/>
    <w:rsid w:val="00184E43"/>
    <w:rsid w:val="0018522D"/>
    <w:rsid w:val="00185553"/>
    <w:rsid w:val="00185DB6"/>
    <w:rsid w:val="001872F3"/>
    <w:rsid w:val="00191434"/>
    <w:rsid w:val="001922C9"/>
    <w:rsid w:val="001933EB"/>
    <w:rsid w:val="00193EB1"/>
    <w:rsid w:val="00194230"/>
    <w:rsid w:val="00194C5A"/>
    <w:rsid w:val="00196338"/>
    <w:rsid w:val="00196659"/>
    <w:rsid w:val="00196C0F"/>
    <w:rsid w:val="0019735E"/>
    <w:rsid w:val="00197424"/>
    <w:rsid w:val="00197D41"/>
    <w:rsid w:val="001A05AE"/>
    <w:rsid w:val="001A1354"/>
    <w:rsid w:val="001A1C43"/>
    <w:rsid w:val="001A1DC1"/>
    <w:rsid w:val="001A320E"/>
    <w:rsid w:val="001A3A81"/>
    <w:rsid w:val="001A4625"/>
    <w:rsid w:val="001A495F"/>
    <w:rsid w:val="001A53F2"/>
    <w:rsid w:val="001A6F40"/>
    <w:rsid w:val="001A7E21"/>
    <w:rsid w:val="001A7F92"/>
    <w:rsid w:val="001B08E7"/>
    <w:rsid w:val="001B0CF4"/>
    <w:rsid w:val="001B13E2"/>
    <w:rsid w:val="001B15D2"/>
    <w:rsid w:val="001B2145"/>
    <w:rsid w:val="001B5452"/>
    <w:rsid w:val="001B55C5"/>
    <w:rsid w:val="001B5F4A"/>
    <w:rsid w:val="001B614F"/>
    <w:rsid w:val="001B68C4"/>
    <w:rsid w:val="001B7229"/>
    <w:rsid w:val="001B75A9"/>
    <w:rsid w:val="001B7835"/>
    <w:rsid w:val="001B7928"/>
    <w:rsid w:val="001C037B"/>
    <w:rsid w:val="001C0A0D"/>
    <w:rsid w:val="001C0B7F"/>
    <w:rsid w:val="001C1884"/>
    <w:rsid w:val="001C1B7C"/>
    <w:rsid w:val="001C275B"/>
    <w:rsid w:val="001C3AB9"/>
    <w:rsid w:val="001C430F"/>
    <w:rsid w:val="001C495C"/>
    <w:rsid w:val="001C5483"/>
    <w:rsid w:val="001C5846"/>
    <w:rsid w:val="001C5B53"/>
    <w:rsid w:val="001C75BF"/>
    <w:rsid w:val="001D0321"/>
    <w:rsid w:val="001D05AF"/>
    <w:rsid w:val="001D09C6"/>
    <w:rsid w:val="001D0A06"/>
    <w:rsid w:val="001D1174"/>
    <w:rsid w:val="001D16E7"/>
    <w:rsid w:val="001D24C1"/>
    <w:rsid w:val="001D3710"/>
    <w:rsid w:val="001D3EAA"/>
    <w:rsid w:val="001D4BEF"/>
    <w:rsid w:val="001D6061"/>
    <w:rsid w:val="001D723F"/>
    <w:rsid w:val="001D7C24"/>
    <w:rsid w:val="001D7DD2"/>
    <w:rsid w:val="001E01D4"/>
    <w:rsid w:val="001E1132"/>
    <w:rsid w:val="001E13DE"/>
    <w:rsid w:val="001E1999"/>
    <w:rsid w:val="001E1BFD"/>
    <w:rsid w:val="001E1D68"/>
    <w:rsid w:val="001E23F4"/>
    <w:rsid w:val="001E2AC1"/>
    <w:rsid w:val="001E3218"/>
    <w:rsid w:val="001E388D"/>
    <w:rsid w:val="001E4028"/>
    <w:rsid w:val="001E4204"/>
    <w:rsid w:val="001E4B72"/>
    <w:rsid w:val="001E5950"/>
    <w:rsid w:val="001E5D11"/>
    <w:rsid w:val="001E68FC"/>
    <w:rsid w:val="001E71D5"/>
    <w:rsid w:val="001E7919"/>
    <w:rsid w:val="001E7E63"/>
    <w:rsid w:val="001F0437"/>
    <w:rsid w:val="001F0F5B"/>
    <w:rsid w:val="001F1541"/>
    <w:rsid w:val="001F22AA"/>
    <w:rsid w:val="001F2401"/>
    <w:rsid w:val="001F2605"/>
    <w:rsid w:val="001F296A"/>
    <w:rsid w:val="001F2A8B"/>
    <w:rsid w:val="001F3580"/>
    <w:rsid w:val="001F459E"/>
    <w:rsid w:val="001F4FBB"/>
    <w:rsid w:val="001F4FE8"/>
    <w:rsid w:val="001F5002"/>
    <w:rsid w:val="001F50EC"/>
    <w:rsid w:val="001F5830"/>
    <w:rsid w:val="001F5949"/>
    <w:rsid w:val="001F692C"/>
    <w:rsid w:val="001F6965"/>
    <w:rsid w:val="001F6A43"/>
    <w:rsid w:val="001F6E90"/>
    <w:rsid w:val="001F7528"/>
    <w:rsid w:val="001F7A5D"/>
    <w:rsid w:val="001F7B46"/>
    <w:rsid w:val="001F7DC7"/>
    <w:rsid w:val="001F7EFF"/>
    <w:rsid w:val="0020081A"/>
    <w:rsid w:val="00200A3D"/>
    <w:rsid w:val="00201526"/>
    <w:rsid w:val="00202282"/>
    <w:rsid w:val="00202D8E"/>
    <w:rsid w:val="00202E81"/>
    <w:rsid w:val="002037F3"/>
    <w:rsid w:val="00203939"/>
    <w:rsid w:val="00203BF3"/>
    <w:rsid w:val="00204ACF"/>
    <w:rsid w:val="00204E0B"/>
    <w:rsid w:val="00205673"/>
    <w:rsid w:val="00205F32"/>
    <w:rsid w:val="002065DA"/>
    <w:rsid w:val="002073C0"/>
    <w:rsid w:val="00207A22"/>
    <w:rsid w:val="00210A54"/>
    <w:rsid w:val="00210D94"/>
    <w:rsid w:val="00211408"/>
    <w:rsid w:val="00211BD7"/>
    <w:rsid w:val="002120B0"/>
    <w:rsid w:val="002126B4"/>
    <w:rsid w:val="00212975"/>
    <w:rsid w:val="00212BB0"/>
    <w:rsid w:val="00213D58"/>
    <w:rsid w:val="00213F5E"/>
    <w:rsid w:val="00215AC7"/>
    <w:rsid w:val="002160BC"/>
    <w:rsid w:val="00217D38"/>
    <w:rsid w:val="00220C32"/>
    <w:rsid w:val="00221386"/>
    <w:rsid w:val="00221918"/>
    <w:rsid w:val="00221F35"/>
    <w:rsid w:val="00222262"/>
    <w:rsid w:val="0022241D"/>
    <w:rsid w:val="002226CF"/>
    <w:rsid w:val="00222BBC"/>
    <w:rsid w:val="00222FD8"/>
    <w:rsid w:val="002236BB"/>
    <w:rsid w:val="0022492C"/>
    <w:rsid w:val="00224AE2"/>
    <w:rsid w:val="00225642"/>
    <w:rsid w:val="0022578D"/>
    <w:rsid w:val="0022593F"/>
    <w:rsid w:val="00225A76"/>
    <w:rsid w:val="00225B1B"/>
    <w:rsid w:val="00226427"/>
    <w:rsid w:val="002266FD"/>
    <w:rsid w:val="00226DBC"/>
    <w:rsid w:val="002272F8"/>
    <w:rsid w:val="00227309"/>
    <w:rsid w:val="00227AA7"/>
    <w:rsid w:val="002305CF"/>
    <w:rsid w:val="002309EE"/>
    <w:rsid w:val="00232211"/>
    <w:rsid w:val="0023238D"/>
    <w:rsid w:val="00232828"/>
    <w:rsid w:val="00232948"/>
    <w:rsid w:val="00232F15"/>
    <w:rsid w:val="00234FEA"/>
    <w:rsid w:val="0023509A"/>
    <w:rsid w:val="0023541F"/>
    <w:rsid w:val="002358C1"/>
    <w:rsid w:val="00236930"/>
    <w:rsid w:val="00236D19"/>
    <w:rsid w:val="0023720A"/>
    <w:rsid w:val="00237DDD"/>
    <w:rsid w:val="0024098F"/>
    <w:rsid w:val="00240A60"/>
    <w:rsid w:val="00240D4C"/>
    <w:rsid w:val="00241F3D"/>
    <w:rsid w:val="0024218B"/>
    <w:rsid w:val="0024322A"/>
    <w:rsid w:val="0024555A"/>
    <w:rsid w:val="00246171"/>
    <w:rsid w:val="00246559"/>
    <w:rsid w:val="00246A54"/>
    <w:rsid w:val="00246B35"/>
    <w:rsid w:val="002472A6"/>
    <w:rsid w:val="0024740B"/>
    <w:rsid w:val="002478F3"/>
    <w:rsid w:val="00247F91"/>
    <w:rsid w:val="00252C8F"/>
    <w:rsid w:val="002533EE"/>
    <w:rsid w:val="00253951"/>
    <w:rsid w:val="002555E3"/>
    <w:rsid w:val="00255ECE"/>
    <w:rsid w:val="002569DD"/>
    <w:rsid w:val="00256CA5"/>
    <w:rsid w:val="00260681"/>
    <w:rsid w:val="00262968"/>
    <w:rsid w:val="00263E96"/>
    <w:rsid w:val="00264812"/>
    <w:rsid w:val="00265838"/>
    <w:rsid w:val="00265EF1"/>
    <w:rsid w:val="00266693"/>
    <w:rsid w:val="002670A4"/>
    <w:rsid w:val="00267BBF"/>
    <w:rsid w:val="00267BD7"/>
    <w:rsid w:val="00270418"/>
    <w:rsid w:val="002709DD"/>
    <w:rsid w:val="002718F3"/>
    <w:rsid w:val="00272090"/>
    <w:rsid w:val="00272F2C"/>
    <w:rsid w:val="00273143"/>
    <w:rsid w:val="00273400"/>
    <w:rsid w:val="002743D1"/>
    <w:rsid w:val="00274E35"/>
    <w:rsid w:val="002753E6"/>
    <w:rsid w:val="00276562"/>
    <w:rsid w:val="00276694"/>
    <w:rsid w:val="00276DF5"/>
    <w:rsid w:val="00276F1A"/>
    <w:rsid w:val="002771F3"/>
    <w:rsid w:val="0028064C"/>
    <w:rsid w:val="00280A22"/>
    <w:rsid w:val="00281605"/>
    <w:rsid w:val="00281CBC"/>
    <w:rsid w:val="002831C8"/>
    <w:rsid w:val="00284247"/>
    <w:rsid w:val="002842D9"/>
    <w:rsid w:val="00284D6B"/>
    <w:rsid w:val="00286036"/>
    <w:rsid w:val="00286262"/>
    <w:rsid w:val="002864F7"/>
    <w:rsid w:val="00286B8F"/>
    <w:rsid w:val="00287F54"/>
    <w:rsid w:val="0029030D"/>
    <w:rsid w:val="0029089F"/>
    <w:rsid w:val="0029157B"/>
    <w:rsid w:val="00293B2C"/>
    <w:rsid w:val="00293F8A"/>
    <w:rsid w:val="002942C6"/>
    <w:rsid w:val="002942D1"/>
    <w:rsid w:val="0029456B"/>
    <w:rsid w:val="00295E08"/>
    <w:rsid w:val="00296155"/>
    <w:rsid w:val="00296B1A"/>
    <w:rsid w:val="002A0841"/>
    <w:rsid w:val="002A0B3D"/>
    <w:rsid w:val="002A0D34"/>
    <w:rsid w:val="002A0F92"/>
    <w:rsid w:val="002A1454"/>
    <w:rsid w:val="002A1847"/>
    <w:rsid w:val="002A2092"/>
    <w:rsid w:val="002A30D9"/>
    <w:rsid w:val="002A3606"/>
    <w:rsid w:val="002A5254"/>
    <w:rsid w:val="002A527F"/>
    <w:rsid w:val="002A6817"/>
    <w:rsid w:val="002A697B"/>
    <w:rsid w:val="002A6B37"/>
    <w:rsid w:val="002A7AF0"/>
    <w:rsid w:val="002A7FA3"/>
    <w:rsid w:val="002B00E0"/>
    <w:rsid w:val="002B0525"/>
    <w:rsid w:val="002B05C6"/>
    <w:rsid w:val="002B1098"/>
    <w:rsid w:val="002B1259"/>
    <w:rsid w:val="002B1642"/>
    <w:rsid w:val="002B1CEC"/>
    <w:rsid w:val="002B1E8B"/>
    <w:rsid w:val="002B240D"/>
    <w:rsid w:val="002B3462"/>
    <w:rsid w:val="002B3534"/>
    <w:rsid w:val="002B367C"/>
    <w:rsid w:val="002B47FD"/>
    <w:rsid w:val="002B4D42"/>
    <w:rsid w:val="002B5C88"/>
    <w:rsid w:val="002B6088"/>
    <w:rsid w:val="002C014F"/>
    <w:rsid w:val="002C12FC"/>
    <w:rsid w:val="002C134C"/>
    <w:rsid w:val="002C2A5B"/>
    <w:rsid w:val="002C2AD8"/>
    <w:rsid w:val="002C2B97"/>
    <w:rsid w:val="002C3022"/>
    <w:rsid w:val="002C383B"/>
    <w:rsid w:val="002C3C47"/>
    <w:rsid w:val="002C579E"/>
    <w:rsid w:val="002C6122"/>
    <w:rsid w:val="002C6BF8"/>
    <w:rsid w:val="002D03DD"/>
    <w:rsid w:val="002D1796"/>
    <w:rsid w:val="002D21A6"/>
    <w:rsid w:val="002D23D9"/>
    <w:rsid w:val="002D2775"/>
    <w:rsid w:val="002D2979"/>
    <w:rsid w:val="002D2CBB"/>
    <w:rsid w:val="002D39E1"/>
    <w:rsid w:val="002D41F6"/>
    <w:rsid w:val="002D43AA"/>
    <w:rsid w:val="002D45CC"/>
    <w:rsid w:val="002D5446"/>
    <w:rsid w:val="002D5A70"/>
    <w:rsid w:val="002D5AA8"/>
    <w:rsid w:val="002D6545"/>
    <w:rsid w:val="002D6AB7"/>
    <w:rsid w:val="002D7D19"/>
    <w:rsid w:val="002E06AF"/>
    <w:rsid w:val="002E18A2"/>
    <w:rsid w:val="002E36E7"/>
    <w:rsid w:val="002E5967"/>
    <w:rsid w:val="002E5ED6"/>
    <w:rsid w:val="002E6683"/>
    <w:rsid w:val="002E7A61"/>
    <w:rsid w:val="002E7C3E"/>
    <w:rsid w:val="002E7EAB"/>
    <w:rsid w:val="002F04C3"/>
    <w:rsid w:val="002F070A"/>
    <w:rsid w:val="002F07DB"/>
    <w:rsid w:val="002F0B0F"/>
    <w:rsid w:val="002F0EDC"/>
    <w:rsid w:val="002F1614"/>
    <w:rsid w:val="002F193E"/>
    <w:rsid w:val="002F22BE"/>
    <w:rsid w:val="002F28DA"/>
    <w:rsid w:val="002F2EB7"/>
    <w:rsid w:val="002F3757"/>
    <w:rsid w:val="002F39EC"/>
    <w:rsid w:val="002F4085"/>
    <w:rsid w:val="002F40BD"/>
    <w:rsid w:val="002F516D"/>
    <w:rsid w:val="002F7086"/>
    <w:rsid w:val="002F79AF"/>
    <w:rsid w:val="003007D6"/>
    <w:rsid w:val="00300E12"/>
    <w:rsid w:val="00301A8C"/>
    <w:rsid w:val="00301C26"/>
    <w:rsid w:val="00301F53"/>
    <w:rsid w:val="00303137"/>
    <w:rsid w:val="0030367C"/>
    <w:rsid w:val="00303E89"/>
    <w:rsid w:val="0030473A"/>
    <w:rsid w:val="00304C1A"/>
    <w:rsid w:val="00304F6E"/>
    <w:rsid w:val="00305383"/>
    <w:rsid w:val="003073EF"/>
    <w:rsid w:val="00307DEF"/>
    <w:rsid w:val="0031004D"/>
    <w:rsid w:val="00310365"/>
    <w:rsid w:val="00310EE8"/>
    <w:rsid w:val="00310F00"/>
    <w:rsid w:val="003114D1"/>
    <w:rsid w:val="00311E43"/>
    <w:rsid w:val="0031236E"/>
    <w:rsid w:val="0031259B"/>
    <w:rsid w:val="00313B3A"/>
    <w:rsid w:val="003148A3"/>
    <w:rsid w:val="00314BA0"/>
    <w:rsid w:val="00314D98"/>
    <w:rsid w:val="0031539B"/>
    <w:rsid w:val="00315BBA"/>
    <w:rsid w:val="00316395"/>
    <w:rsid w:val="0031686A"/>
    <w:rsid w:val="00316B9F"/>
    <w:rsid w:val="0031731B"/>
    <w:rsid w:val="00317878"/>
    <w:rsid w:val="003223B4"/>
    <w:rsid w:val="00322EE9"/>
    <w:rsid w:val="00322F4D"/>
    <w:rsid w:val="0032430F"/>
    <w:rsid w:val="003246B6"/>
    <w:rsid w:val="00324A39"/>
    <w:rsid w:val="00325539"/>
    <w:rsid w:val="00325D73"/>
    <w:rsid w:val="00326BC8"/>
    <w:rsid w:val="00327C77"/>
    <w:rsid w:val="00331E37"/>
    <w:rsid w:val="0033226C"/>
    <w:rsid w:val="00332312"/>
    <w:rsid w:val="003324CB"/>
    <w:rsid w:val="00332D41"/>
    <w:rsid w:val="0033339E"/>
    <w:rsid w:val="00336A63"/>
    <w:rsid w:val="00336E61"/>
    <w:rsid w:val="0033763C"/>
    <w:rsid w:val="00340906"/>
    <w:rsid w:val="00340C31"/>
    <w:rsid w:val="00341A57"/>
    <w:rsid w:val="0034259C"/>
    <w:rsid w:val="00342D0D"/>
    <w:rsid w:val="00342E89"/>
    <w:rsid w:val="00344639"/>
    <w:rsid w:val="003446CF"/>
    <w:rsid w:val="003455D3"/>
    <w:rsid w:val="0034586B"/>
    <w:rsid w:val="0034597E"/>
    <w:rsid w:val="00345A9A"/>
    <w:rsid w:val="00345C36"/>
    <w:rsid w:val="00346C47"/>
    <w:rsid w:val="00346F4C"/>
    <w:rsid w:val="0034712E"/>
    <w:rsid w:val="0034773A"/>
    <w:rsid w:val="003508AB"/>
    <w:rsid w:val="003508C6"/>
    <w:rsid w:val="0035235B"/>
    <w:rsid w:val="003523D9"/>
    <w:rsid w:val="00352EBC"/>
    <w:rsid w:val="00353B46"/>
    <w:rsid w:val="003544FB"/>
    <w:rsid w:val="003546CE"/>
    <w:rsid w:val="00354888"/>
    <w:rsid w:val="00354EC0"/>
    <w:rsid w:val="003559A7"/>
    <w:rsid w:val="003563FA"/>
    <w:rsid w:val="003571CB"/>
    <w:rsid w:val="003576AF"/>
    <w:rsid w:val="00360083"/>
    <w:rsid w:val="00360727"/>
    <w:rsid w:val="00360D25"/>
    <w:rsid w:val="00360FBA"/>
    <w:rsid w:val="00361784"/>
    <w:rsid w:val="00361802"/>
    <w:rsid w:val="00361DA5"/>
    <w:rsid w:val="0036214B"/>
    <w:rsid w:val="003624C1"/>
    <w:rsid w:val="00362F10"/>
    <w:rsid w:val="003633BA"/>
    <w:rsid w:val="00363818"/>
    <w:rsid w:val="003638BC"/>
    <w:rsid w:val="00363F4C"/>
    <w:rsid w:val="0036417A"/>
    <w:rsid w:val="00364195"/>
    <w:rsid w:val="003646A1"/>
    <w:rsid w:val="00365E1E"/>
    <w:rsid w:val="00367371"/>
    <w:rsid w:val="003674AC"/>
    <w:rsid w:val="0036763B"/>
    <w:rsid w:val="003705D5"/>
    <w:rsid w:val="00370869"/>
    <w:rsid w:val="00371AEE"/>
    <w:rsid w:val="00372365"/>
    <w:rsid w:val="00372C61"/>
    <w:rsid w:val="003740BB"/>
    <w:rsid w:val="0037529B"/>
    <w:rsid w:val="00375664"/>
    <w:rsid w:val="00375C16"/>
    <w:rsid w:val="00376445"/>
    <w:rsid w:val="0037714E"/>
    <w:rsid w:val="0037722B"/>
    <w:rsid w:val="00377496"/>
    <w:rsid w:val="003775D7"/>
    <w:rsid w:val="0037779B"/>
    <w:rsid w:val="0038029E"/>
    <w:rsid w:val="00380423"/>
    <w:rsid w:val="00380457"/>
    <w:rsid w:val="003807AF"/>
    <w:rsid w:val="00381E63"/>
    <w:rsid w:val="00384242"/>
    <w:rsid w:val="003844BD"/>
    <w:rsid w:val="00384D48"/>
    <w:rsid w:val="003850C1"/>
    <w:rsid w:val="003852AB"/>
    <w:rsid w:val="0038780B"/>
    <w:rsid w:val="00387C9B"/>
    <w:rsid w:val="00387DFC"/>
    <w:rsid w:val="00387FB3"/>
    <w:rsid w:val="003910E1"/>
    <w:rsid w:val="00391D3B"/>
    <w:rsid w:val="00392CE0"/>
    <w:rsid w:val="003940EF"/>
    <w:rsid w:val="003970AD"/>
    <w:rsid w:val="003971BB"/>
    <w:rsid w:val="003971D8"/>
    <w:rsid w:val="003A05F9"/>
    <w:rsid w:val="003A0C0D"/>
    <w:rsid w:val="003A0F18"/>
    <w:rsid w:val="003A1A98"/>
    <w:rsid w:val="003A1E00"/>
    <w:rsid w:val="003A3595"/>
    <w:rsid w:val="003A35DC"/>
    <w:rsid w:val="003A3CFB"/>
    <w:rsid w:val="003A4060"/>
    <w:rsid w:val="003A40BA"/>
    <w:rsid w:val="003A4E66"/>
    <w:rsid w:val="003A60B9"/>
    <w:rsid w:val="003A690E"/>
    <w:rsid w:val="003A7049"/>
    <w:rsid w:val="003B033E"/>
    <w:rsid w:val="003B0473"/>
    <w:rsid w:val="003B1F99"/>
    <w:rsid w:val="003B23F5"/>
    <w:rsid w:val="003B4601"/>
    <w:rsid w:val="003B4668"/>
    <w:rsid w:val="003B648B"/>
    <w:rsid w:val="003B64CC"/>
    <w:rsid w:val="003B78C6"/>
    <w:rsid w:val="003C07DB"/>
    <w:rsid w:val="003C0A28"/>
    <w:rsid w:val="003C19EC"/>
    <w:rsid w:val="003C1C45"/>
    <w:rsid w:val="003C1CF7"/>
    <w:rsid w:val="003C1D2E"/>
    <w:rsid w:val="003C1F5F"/>
    <w:rsid w:val="003C2E08"/>
    <w:rsid w:val="003C6772"/>
    <w:rsid w:val="003C79E9"/>
    <w:rsid w:val="003C7B5F"/>
    <w:rsid w:val="003D003C"/>
    <w:rsid w:val="003D0283"/>
    <w:rsid w:val="003D032C"/>
    <w:rsid w:val="003D1640"/>
    <w:rsid w:val="003D2194"/>
    <w:rsid w:val="003D25ED"/>
    <w:rsid w:val="003D304B"/>
    <w:rsid w:val="003D308F"/>
    <w:rsid w:val="003D3E89"/>
    <w:rsid w:val="003D3FDE"/>
    <w:rsid w:val="003D6513"/>
    <w:rsid w:val="003D6C00"/>
    <w:rsid w:val="003E3DB9"/>
    <w:rsid w:val="003E5B45"/>
    <w:rsid w:val="003E5CDF"/>
    <w:rsid w:val="003E6AE5"/>
    <w:rsid w:val="003F0332"/>
    <w:rsid w:val="003F0FEC"/>
    <w:rsid w:val="003F17E6"/>
    <w:rsid w:val="003F1FAC"/>
    <w:rsid w:val="003F224C"/>
    <w:rsid w:val="003F26E8"/>
    <w:rsid w:val="003F2A3E"/>
    <w:rsid w:val="003F2FF5"/>
    <w:rsid w:val="003F4339"/>
    <w:rsid w:val="003F4E9E"/>
    <w:rsid w:val="003F51BA"/>
    <w:rsid w:val="003F5745"/>
    <w:rsid w:val="003F707C"/>
    <w:rsid w:val="003F7446"/>
    <w:rsid w:val="003F7872"/>
    <w:rsid w:val="003F7A43"/>
    <w:rsid w:val="004004A2"/>
    <w:rsid w:val="00400E72"/>
    <w:rsid w:val="004016FA"/>
    <w:rsid w:val="00402296"/>
    <w:rsid w:val="00403581"/>
    <w:rsid w:val="004037F5"/>
    <w:rsid w:val="004045E0"/>
    <w:rsid w:val="0040532C"/>
    <w:rsid w:val="004057EA"/>
    <w:rsid w:val="0040661D"/>
    <w:rsid w:val="00411327"/>
    <w:rsid w:val="00412176"/>
    <w:rsid w:val="004124F5"/>
    <w:rsid w:val="00412DF2"/>
    <w:rsid w:val="00412EB4"/>
    <w:rsid w:val="004133DC"/>
    <w:rsid w:val="0041489B"/>
    <w:rsid w:val="00414D55"/>
    <w:rsid w:val="00416785"/>
    <w:rsid w:val="00416B4E"/>
    <w:rsid w:val="00417267"/>
    <w:rsid w:val="00417497"/>
    <w:rsid w:val="0042072D"/>
    <w:rsid w:val="00420DBD"/>
    <w:rsid w:val="00421812"/>
    <w:rsid w:val="0042212E"/>
    <w:rsid w:val="00422C5F"/>
    <w:rsid w:val="004232D6"/>
    <w:rsid w:val="00423525"/>
    <w:rsid w:val="0042366C"/>
    <w:rsid w:val="00423FD9"/>
    <w:rsid w:val="004242F4"/>
    <w:rsid w:val="00424586"/>
    <w:rsid w:val="00424AFE"/>
    <w:rsid w:val="004251A1"/>
    <w:rsid w:val="00425227"/>
    <w:rsid w:val="0042547F"/>
    <w:rsid w:val="00426651"/>
    <w:rsid w:val="00427314"/>
    <w:rsid w:val="004300DD"/>
    <w:rsid w:val="0043050D"/>
    <w:rsid w:val="004334C1"/>
    <w:rsid w:val="00434400"/>
    <w:rsid w:val="00434E65"/>
    <w:rsid w:val="00434E98"/>
    <w:rsid w:val="00435354"/>
    <w:rsid w:val="00437725"/>
    <w:rsid w:val="004401A6"/>
    <w:rsid w:val="00441B76"/>
    <w:rsid w:val="00442392"/>
    <w:rsid w:val="004423CE"/>
    <w:rsid w:val="004433BF"/>
    <w:rsid w:val="0044373E"/>
    <w:rsid w:val="00443AD2"/>
    <w:rsid w:val="00444791"/>
    <w:rsid w:val="00444842"/>
    <w:rsid w:val="004449D5"/>
    <w:rsid w:val="00444AB2"/>
    <w:rsid w:val="00444F17"/>
    <w:rsid w:val="0044605F"/>
    <w:rsid w:val="0045026D"/>
    <w:rsid w:val="00450C67"/>
    <w:rsid w:val="00450D24"/>
    <w:rsid w:val="00450EF3"/>
    <w:rsid w:val="004520E1"/>
    <w:rsid w:val="0045250D"/>
    <w:rsid w:val="00452B67"/>
    <w:rsid w:val="00452C1D"/>
    <w:rsid w:val="00452FDC"/>
    <w:rsid w:val="00455097"/>
    <w:rsid w:val="00455309"/>
    <w:rsid w:val="00455747"/>
    <w:rsid w:val="00455BAF"/>
    <w:rsid w:val="00456EE4"/>
    <w:rsid w:val="0045743F"/>
    <w:rsid w:val="0046069A"/>
    <w:rsid w:val="00460BB0"/>
    <w:rsid w:val="00460D69"/>
    <w:rsid w:val="0046147C"/>
    <w:rsid w:val="0046147E"/>
    <w:rsid w:val="00461A15"/>
    <w:rsid w:val="00462396"/>
    <w:rsid w:val="004639DF"/>
    <w:rsid w:val="00463DB2"/>
    <w:rsid w:val="00463FB8"/>
    <w:rsid w:val="00464760"/>
    <w:rsid w:val="00464761"/>
    <w:rsid w:val="0046543D"/>
    <w:rsid w:val="0046603E"/>
    <w:rsid w:val="004670AB"/>
    <w:rsid w:val="00471142"/>
    <w:rsid w:val="004711AF"/>
    <w:rsid w:val="00471491"/>
    <w:rsid w:val="0047176D"/>
    <w:rsid w:val="004718BB"/>
    <w:rsid w:val="004722A2"/>
    <w:rsid w:val="00472B75"/>
    <w:rsid w:val="0047382A"/>
    <w:rsid w:val="00473AE6"/>
    <w:rsid w:val="00473AF8"/>
    <w:rsid w:val="00473C1C"/>
    <w:rsid w:val="004744E3"/>
    <w:rsid w:val="0047492B"/>
    <w:rsid w:val="00474A16"/>
    <w:rsid w:val="00476170"/>
    <w:rsid w:val="0047665B"/>
    <w:rsid w:val="00476D35"/>
    <w:rsid w:val="0048116A"/>
    <w:rsid w:val="004811E4"/>
    <w:rsid w:val="00481F2B"/>
    <w:rsid w:val="00481FEC"/>
    <w:rsid w:val="00482B43"/>
    <w:rsid w:val="00483C8B"/>
    <w:rsid w:val="00483E1B"/>
    <w:rsid w:val="004840EC"/>
    <w:rsid w:val="004840F7"/>
    <w:rsid w:val="004847DF"/>
    <w:rsid w:val="00484DCF"/>
    <w:rsid w:val="00485674"/>
    <w:rsid w:val="00485C55"/>
    <w:rsid w:val="00485DC6"/>
    <w:rsid w:val="004861EA"/>
    <w:rsid w:val="004876C8"/>
    <w:rsid w:val="00490036"/>
    <w:rsid w:val="00491082"/>
    <w:rsid w:val="00491181"/>
    <w:rsid w:val="00491B48"/>
    <w:rsid w:val="004933FE"/>
    <w:rsid w:val="00493D29"/>
    <w:rsid w:val="00493E74"/>
    <w:rsid w:val="00493EB1"/>
    <w:rsid w:val="0049492E"/>
    <w:rsid w:val="00495525"/>
    <w:rsid w:val="00495C6B"/>
    <w:rsid w:val="004971E0"/>
    <w:rsid w:val="004A0926"/>
    <w:rsid w:val="004A1DA2"/>
    <w:rsid w:val="004A2B24"/>
    <w:rsid w:val="004A2F08"/>
    <w:rsid w:val="004A2F78"/>
    <w:rsid w:val="004A3186"/>
    <w:rsid w:val="004A3E37"/>
    <w:rsid w:val="004A5B80"/>
    <w:rsid w:val="004A628E"/>
    <w:rsid w:val="004A6ACE"/>
    <w:rsid w:val="004A6EDE"/>
    <w:rsid w:val="004B0537"/>
    <w:rsid w:val="004B1371"/>
    <w:rsid w:val="004B138B"/>
    <w:rsid w:val="004B13D9"/>
    <w:rsid w:val="004B1BCA"/>
    <w:rsid w:val="004B1C79"/>
    <w:rsid w:val="004B1FC1"/>
    <w:rsid w:val="004B2078"/>
    <w:rsid w:val="004B2C99"/>
    <w:rsid w:val="004B3D3E"/>
    <w:rsid w:val="004B41C4"/>
    <w:rsid w:val="004B4F06"/>
    <w:rsid w:val="004B4FF4"/>
    <w:rsid w:val="004B5028"/>
    <w:rsid w:val="004B5E1B"/>
    <w:rsid w:val="004B71F2"/>
    <w:rsid w:val="004C14AC"/>
    <w:rsid w:val="004C1508"/>
    <w:rsid w:val="004C1892"/>
    <w:rsid w:val="004C1D06"/>
    <w:rsid w:val="004C1F4F"/>
    <w:rsid w:val="004C2706"/>
    <w:rsid w:val="004C2A44"/>
    <w:rsid w:val="004C2B24"/>
    <w:rsid w:val="004C3772"/>
    <w:rsid w:val="004C3A5D"/>
    <w:rsid w:val="004C40BE"/>
    <w:rsid w:val="004C43B0"/>
    <w:rsid w:val="004C45D1"/>
    <w:rsid w:val="004C681F"/>
    <w:rsid w:val="004C6AAB"/>
    <w:rsid w:val="004C6F65"/>
    <w:rsid w:val="004C7296"/>
    <w:rsid w:val="004C72C9"/>
    <w:rsid w:val="004C7859"/>
    <w:rsid w:val="004C7EE8"/>
    <w:rsid w:val="004D081C"/>
    <w:rsid w:val="004D08CF"/>
    <w:rsid w:val="004D1269"/>
    <w:rsid w:val="004D1393"/>
    <w:rsid w:val="004D1815"/>
    <w:rsid w:val="004D1856"/>
    <w:rsid w:val="004D195E"/>
    <w:rsid w:val="004D2488"/>
    <w:rsid w:val="004D3210"/>
    <w:rsid w:val="004D3963"/>
    <w:rsid w:val="004D4066"/>
    <w:rsid w:val="004D43C4"/>
    <w:rsid w:val="004D5274"/>
    <w:rsid w:val="004D5CA0"/>
    <w:rsid w:val="004D70BF"/>
    <w:rsid w:val="004D7A3A"/>
    <w:rsid w:val="004E006D"/>
    <w:rsid w:val="004E01BA"/>
    <w:rsid w:val="004E0A2B"/>
    <w:rsid w:val="004E1BC9"/>
    <w:rsid w:val="004E202C"/>
    <w:rsid w:val="004E2160"/>
    <w:rsid w:val="004E286B"/>
    <w:rsid w:val="004E2FBF"/>
    <w:rsid w:val="004E34F9"/>
    <w:rsid w:val="004E474D"/>
    <w:rsid w:val="004E5760"/>
    <w:rsid w:val="004E680D"/>
    <w:rsid w:val="004F145D"/>
    <w:rsid w:val="004F1FB0"/>
    <w:rsid w:val="004F2F51"/>
    <w:rsid w:val="004F34E3"/>
    <w:rsid w:val="004F41F9"/>
    <w:rsid w:val="004F4566"/>
    <w:rsid w:val="004F53EE"/>
    <w:rsid w:val="004F54EC"/>
    <w:rsid w:val="004F58C8"/>
    <w:rsid w:val="004F619A"/>
    <w:rsid w:val="004F666C"/>
    <w:rsid w:val="00500E5D"/>
    <w:rsid w:val="00500F08"/>
    <w:rsid w:val="0050189B"/>
    <w:rsid w:val="00501AE3"/>
    <w:rsid w:val="00501BFB"/>
    <w:rsid w:val="00501C05"/>
    <w:rsid w:val="00502A9C"/>
    <w:rsid w:val="005035AD"/>
    <w:rsid w:val="0050421B"/>
    <w:rsid w:val="00505664"/>
    <w:rsid w:val="005067B4"/>
    <w:rsid w:val="00506F6E"/>
    <w:rsid w:val="00506FC5"/>
    <w:rsid w:val="00507549"/>
    <w:rsid w:val="00507EEC"/>
    <w:rsid w:val="0051065C"/>
    <w:rsid w:val="00510AC9"/>
    <w:rsid w:val="005112C7"/>
    <w:rsid w:val="00511827"/>
    <w:rsid w:val="00512A93"/>
    <w:rsid w:val="005133A2"/>
    <w:rsid w:val="00513BAA"/>
    <w:rsid w:val="00513DB6"/>
    <w:rsid w:val="005144A0"/>
    <w:rsid w:val="00514A11"/>
    <w:rsid w:val="00514A71"/>
    <w:rsid w:val="005159DB"/>
    <w:rsid w:val="00515CCB"/>
    <w:rsid w:val="00516BB5"/>
    <w:rsid w:val="00520478"/>
    <w:rsid w:val="00520DD4"/>
    <w:rsid w:val="0052114F"/>
    <w:rsid w:val="00521607"/>
    <w:rsid w:val="0052192F"/>
    <w:rsid w:val="0052225C"/>
    <w:rsid w:val="0052255A"/>
    <w:rsid w:val="005226AE"/>
    <w:rsid w:val="00522EA5"/>
    <w:rsid w:val="00522F9A"/>
    <w:rsid w:val="00523068"/>
    <w:rsid w:val="005234A7"/>
    <w:rsid w:val="00523F63"/>
    <w:rsid w:val="005241D6"/>
    <w:rsid w:val="005247AD"/>
    <w:rsid w:val="00524EF9"/>
    <w:rsid w:val="0052688A"/>
    <w:rsid w:val="00526F49"/>
    <w:rsid w:val="005276E1"/>
    <w:rsid w:val="00530B6F"/>
    <w:rsid w:val="0053105A"/>
    <w:rsid w:val="00531FAB"/>
    <w:rsid w:val="005326E2"/>
    <w:rsid w:val="00532BAE"/>
    <w:rsid w:val="005336F2"/>
    <w:rsid w:val="00533AA9"/>
    <w:rsid w:val="00533FCB"/>
    <w:rsid w:val="005340B4"/>
    <w:rsid w:val="00534285"/>
    <w:rsid w:val="005343BD"/>
    <w:rsid w:val="005343F3"/>
    <w:rsid w:val="0053591D"/>
    <w:rsid w:val="00535D72"/>
    <w:rsid w:val="00535E29"/>
    <w:rsid w:val="005372B8"/>
    <w:rsid w:val="00537428"/>
    <w:rsid w:val="00537F8C"/>
    <w:rsid w:val="00540353"/>
    <w:rsid w:val="00542460"/>
    <w:rsid w:val="00542B3D"/>
    <w:rsid w:val="00542DF5"/>
    <w:rsid w:val="00543036"/>
    <w:rsid w:val="00543D05"/>
    <w:rsid w:val="00544B2F"/>
    <w:rsid w:val="00544DD8"/>
    <w:rsid w:val="00545425"/>
    <w:rsid w:val="00546303"/>
    <w:rsid w:val="0054639F"/>
    <w:rsid w:val="00546F11"/>
    <w:rsid w:val="0055017E"/>
    <w:rsid w:val="00550430"/>
    <w:rsid w:val="005543BB"/>
    <w:rsid w:val="00554A3D"/>
    <w:rsid w:val="00554A90"/>
    <w:rsid w:val="00555153"/>
    <w:rsid w:val="0055525A"/>
    <w:rsid w:val="00555B37"/>
    <w:rsid w:val="0055631B"/>
    <w:rsid w:val="00556901"/>
    <w:rsid w:val="0055695D"/>
    <w:rsid w:val="005569F2"/>
    <w:rsid w:val="00556AB8"/>
    <w:rsid w:val="0055748E"/>
    <w:rsid w:val="00557CF8"/>
    <w:rsid w:val="00561479"/>
    <w:rsid w:val="00561DE6"/>
    <w:rsid w:val="00562410"/>
    <w:rsid w:val="00562517"/>
    <w:rsid w:val="00564225"/>
    <w:rsid w:val="00564BAB"/>
    <w:rsid w:val="005653BC"/>
    <w:rsid w:val="00565A54"/>
    <w:rsid w:val="00565AD4"/>
    <w:rsid w:val="0056663A"/>
    <w:rsid w:val="00566C96"/>
    <w:rsid w:val="005701B7"/>
    <w:rsid w:val="00570A7D"/>
    <w:rsid w:val="00570CF3"/>
    <w:rsid w:val="00571180"/>
    <w:rsid w:val="00571BF8"/>
    <w:rsid w:val="00571C27"/>
    <w:rsid w:val="00571FA2"/>
    <w:rsid w:val="0057357E"/>
    <w:rsid w:val="00573FFC"/>
    <w:rsid w:val="005748F1"/>
    <w:rsid w:val="00574F2B"/>
    <w:rsid w:val="00575397"/>
    <w:rsid w:val="0057628E"/>
    <w:rsid w:val="005770D8"/>
    <w:rsid w:val="005778FF"/>
    <w:rsid w:val="005807B2"/>
    <w:rsid w:val="00580B2E"/>
    <w:rsid w:val="00581977"/>
    <w:rsid w:val="0058213D"/>
    <w:rsid w:val="0058492C"/>
    <w:rsid w:val="00584D71"/>
    <w:rsid w:val="00584D9A"/>
    <w:rsid w:val="00584FE1"/>
    <w:rsid w:val="00585BCE"/>
    <w:rsid w:val="00586F5A"/>
    <w:rsid w:val="0058763D"/>
    <w:rsid w:val="005902B3"/>
    <w:rsid w:val="00590463"/>
    <w:rsid w:val="005908C3"/>
    <w:rsid w:val="00590E92"/>
    <w:rsid w:val="005913EB"/>
    <w:rsid w:val="005916C7"/>
    <w:rsid w:val="0059171A"/>
    <w:rsid w:val="00591C76"/>
    <w:rsid w:val="00595B63"/>
    <w:rsid w:val="005965B2"/>
    <w:rsid w:val="00596A26"/>
    <w:rsid w:val="00596EDE"/>
    <w:rsid w:val="00597375"/>
    <w:rsid w:val="00597869"/>
    <w:rsid w:val="00597B29"/>
    <w:rsid w:val="00597EDF"/>
    <w:rsid w:val="005A0034"/>
    <w:rsid w:val="005A100A"/>
    <w:rsid w:val="005A1469"/>
    <w:rsid w:val="005A18FD"/>
    <w:rsid w:val="005A1B7B"/>
    <w:rsid w:val="005A2BB2"/>
    <w:rsid w:val="005A2E47"/>
    <w:rsid w:val="005A5108"/>
    <w:rsid w:val="005A5724"/>
    <w:rsid w:val="005A6166"/>
    <w:rsid w:val="005A6C1A"/>
    <w:rsid w:val="005A7A34"/>
    <w:rsid w:val="005A7FAE"/>
    <w:rsid w:val="005B092D"/>
    <w:rsid w:val="005B0B4E"/>
    <w:rsid w:val="005B0CD9"/>
    <w:rsid w:val="005B0F8E"/>
    <w:rsid w:val="005B184C"/>
    <w:rsid w:val="005B2278"/>
    <w:rsid w:val="005B2434"/>
    <w:rsid w:val="005B3E98"/>
    <w:rsid w:val="005B4483"/>
    <w:rsid w:val="005B4513"/>
    <w:rsid w:val="005B4982"/>
    <w:rsid w:val="005B4F2E"/>
    <w:rsid w:val="005B523B"/>
    <w:rsid w:val="005B5DB8"/>
    <w:rsid w:val="005B6DEB"/>
    <w:rsid w:val="005B7B55"/>
    <w:rsid w:val="005C05F6"/>
    <w:rsid w:val="005C0F65"/>
    <w:rsid w:val="005C175C"/>
    <w:rsid w:val="005C2439"/>
    <w:rsid w:val="005C271F"/>
    <w:rsid w:val="005C2C49"/>
    <w:rsid w:val="005C2D7E"/>
    <w:rsid w:val="005C3BD2"/>
    <w:rsid w:val="005C4263"/>
    <w:rsid w:val="005C42AF"/>
    <w:rsid w:val="005C441B"/>
    <w:rsid w:val="005C4A43"/>
    <w:rsid w:val="005C4C60"/>
    <w:rsid w:val="005C4EC3"/>
    <w:rsid w:val="005C632A"/>
    <w:rsid w:val="005C6437"/>
    <w:rsid w:val="005C6657"/>
    <w:rsid w:val="005D04D8"/>
    <w:rsid w:val="005D07D8"/>
    <w:rsid w:val="005D1149"/>
    <w:rsid w:val="005D1200"/>
    <w:rsid w:val="005D1BDC"/>
    <w:rsid w:val="005D22EB"/>
    <w:rsid w:val="005D266C"/>
    <w:rsid w:val="005D2CFF"/>
    <w:rsid w:val="005D37C1"/>
    <w:rsid w:val="005D4287"/>
    <w:rsid w:val="005D4885"/>
    <w:rsid w:val="005D498F"/>
    <w:rsid w:val="005D5CDD"/>
    <w:rsid w:val="005D6E30"/>
    <w:rsid w:val="005D7D2F"/>
    <w:rsid w:val="005E0FCC"/>
    <w:rsid w:val="005E1437"/>
    <w:rsid w:val="005E1D57"/>
    <w:rsid w:val="005E1E8B"/>
    <w:rsid w:val="005E333B"/>
    <w:rsid w:val="005E407A"/>
    <w:rsid w:val="005E6AAB"/>
    <w:rsid w:val="005E7BCC"/>
    <w:rsid w:val="005E7C8A"/>
    <w:rsid w:val="005F06AE"/>
    <w:rsid w:val="005F1968"/>
    <w:rsid w:val="005F1C06"/>
    <w:rsid w:val="005F35F6"/>
    <w:rsid w:val="005F3A09"/>
    <w:rsid w:val="005F4D95"/>
    <w:rsid w:val="005F59E4"/>
    <w:rsid w:val="005F6693"/>
    <w:rsid w:val="005F766F"/>
    <w:rsid w:val="005F7B5D"/>
    <w:rsid w:val="006019AF"/>
    <w:rsid w:val="00601F72"/>
    <w:rsid w:val="00602822"/>
    <w:rsid w:val="00602856"/>
    <w:rsid w:val="00602CA1"/>
    <w:rsid w:val="00605591"/>
    <w:rsid w:val="00605976"/>
    <w:rsid w:val="00605A95"/>
    <w:rsid w:val="00605AD5"/>
    <w:rsid w:val="00606E2C"/>
    <w:rsid w:val="00606FF3"/>
    <w:rsid w:val="00611041"/>
    <w:rsid w:val="00611BDE"/>
    <w:rsid w:val="00611CF7"/>
    <w:rsid w:val="0061269B"/>
    <w:rsid w:val="0061292F"/>
    <w:rsid w:val="00612B35"/>
    <w:rsid w:val="00613831"/>
    <w:rsid w:val="00615C38"/>
    <w:rsid w:val="00615ECE"/>
    <w:rsid w:val="006162B8"/>
    <w:rsid w:val="00616826"/>
    <w:rsid w:val="00616A6B"/>
    <w:rsid w:val="00616AB8"/>
    <w:rsid w:val="00616FA6"/>
    <w:rsid w:val="00617688"/>
    <w:rsid w:val="00617D5C"/>
    <w:rsid w:val="0062216F"/>
    <w:rsid w:val="00622AAD"/>
    <w:rsid w:val="0062446E"/>
    <w:rsid w:val="00624615"/>
    <w:rsid w:val="00624C73"/>
    <w:rsid w:val="0062584A"/>
    <w:rsid w:val="00626414"/>
    <w:rsid w:val="006272BF"/>
    <w:rsid w:val="00627D8B"/>
    <w:rsid w:val="00627E0D"/>
    <w:rsid w:val="006302A4"/>
    <w:rsid w:val="00630DA3"/>
    <w:rsid w:val="006317D6"/>
    <w:rsid w:val="00631AB7"/>
    <w:rsid w:val="00632BE4"/>
    <w:rsid w:val="0063482B"/>
    <w:rsid w:val="006360BC"/>
    <w:rsid w:val="0063697D"/>
    <w:rsid w:val="00637021"/>
    <w:rsid w:val="00637395"/>
    <w:rsid w:val="0063755D"/>
    <w:rsid w:val="0063779E"/>
    <w:rsid w:val="006377CA"/>
    <w:rsid w:val="0064253B"/>
    <w:rsid w:val="006435E7"/>
    <w:rsid w:val="00643900"/>
    <w:rsid w:val="006446CD"/>
    <w:rsid w:val="006452F0"/>
    <w:rsid w:val="00645BAF"/>
    <w:rsid w:val="00645BE4"/>
    <w:rsid w:val="006460DC"/>
    <w:rsid w:val="00646941"/>
    <w:rsid w:val="00646B0E"/>
    <w:rsid w:val="00647415"/>
    <w:rsid w:val="00647D9E"/>
    <w:rsid w:val="006503CA"/>
    <w:rsid w:val="006506AB"/>
    <w:rsid w:val="006509F6"/>
    <w:rsid w:val="006511CD"/>
    <w:rsid w:val="00652410"/>
    <w:rsid w:val="00652C15"/>
    <w:rsid w:val="00653CB9"/>
    <w:rsid w:val="006545B2"/>
    <w:rsid w:val="006547D8"/>
    <w:rsid w:val="00655874"/>
    <w:rsid w:val="00656144"/>
    <w:rsid w:val="00656760"/>
    <w:rsid w:val="00660416"/>
    <w:rsid w:val="006608BA"/>
    <w:rsid w:val="00660A73"/>
    <w:rsid w:val="00660B98"/>
    <w:rsid w:val="006623E8"/>
    <w:rsid w:val="00663850"/>
    <w:rsid w:val="00663B2F"/>
    <w:rsid w:val="00663E32"/>
    <w:rsid w:val="00664551"/>
    <w:rsid w:val="00664BBE"/>
    <w:rsid w:val="006656A7"/>
    <w:rsid w:val="0066616D"/>
    <w:rsid w:val="00666478"/>
    <w:rsid w:val="00666AC5"/>
    <w:rsid w:val="00666C51"/>
    <w:rsid w:val="00667209"/>
    <w:rsid w:val="00667DF7"/>
    <w:rsid w:val="006740A8"/>
    <w:rsid w:val="00674AF5"/>
    <w:rsid w:val="00675050"/>
    <w:rsid w:val="00675154"/>
    <w:rsid w:val="0067674E"/>
    <w:rsid w:val="006772D8"/>
    <w:rsid w:val="00677667"/>
    <w:rsid w:val="00680622"/>
    <w:rsid w:val="00681919"/>
    <w:rsid w:val="00682356"/>
    <w:rsid w:val="006823DC"/>
    <w:rsid w:val="00682689"/>
    <w:rsid w:val="00682F79"/>
    <w:rsid w:val="00682FC7"/>
    <w:rsid w:val="00683532"/>
    <w:rsid w:val="00683969"/>
    <w:rsid w:val="00684573"/>
    <w:rsid w:val="00685013"/>
    <w:rsid w:val="00686125"/>
    <w:rsid w:val="00686185"/>
    <w:rsid w:val="0068675C"/>
    <w:rsid w:val="00686D48"/>
    <w:rsid w:val="00690B1B"/>
    <w:rsid w:val="00690D48"/>
    <w:rsid w:val="00692A7F"/>
    <w:rsid w:val="00693997"/>
    <w:rsid w:val="00694074"/>
    <w:rsid w:val="00694696"/>
    <w:rsid w:val="006948F4"/>
    <w:rsid w:val="00696532"/>
    <w:rsid w:val="00696C49"/>
    <w:rsid w:val="00697057"/>
    <w:rsid w:val="006970C3"/>
    <w:rsid w:val="006972CA"/>
    <w:rsid w:val="00697B40"/>
    <w:rsid w:val="006A0426"/>
    <w:rsid w:val="006A1BEB"/>
    <w:rsid w:val="006A2724"/>
    <w:rsid w:val="006A34DE"/>
    <w:rsid w:val="006A4CAF"/>
    <w:rsid w:val="006A4D24"/>
    <w:rsid w:val="006A4FE9"/>
    <w:rsid w:val="006A5137"/>
    <w:rsid w:val="006A5D26"/>
    <w:rsid w:val="006A622D"/>
    <w:rsid w:val="006A6764"/>
    <w:rsid w:val="006A6E0F"/>
    <w:rsid w:val="006A7912"/>
    <w:rsid w:val="006A7DE0"/>
    <w:rsid w:val="006A7E40"/>
    <w:rsid w:val="006B0030"/>
    <w:rsid w:val="006B01F9"/>
    <w:rsid w:val="006B0407"/>
    <w:rsid w:val="006B0439"/>
    <w:rsid w:val="006B1957"/>
    <w:rsid w:val="006B248B"/>
    <w:rsid w:val="006B36A0"/>
    <w:rsid w:val="006B52B8"/>
    <w:rsid w:val="006B5F62"/>
    <w:rsid w:val="006B7436"/>
    <w:rsid w:val="006C0648"/>
    <w:rsid w:val="006C17F0"/>
    <w:rsid w:val="006C1EA0"/>
    <w:rsid w:val="006C21D0"/>
    <w:rsid w:val="006C3C71"/>
    <w:rsid w:val="006C4139"/>
    <w:rsid w:val="006C447B"/>
    <w:rsid w:val="006C54D4"/>
    <w:rsid w:val="006C5737"/>
    <w:rsid w:val="006C5D1E"/>
    <w:rsid w:val="006C5F3E"/>
    <w:rsid w:val="006C7191"/>
    <w:rsid w:val="006D1703"/>
    <w:rsid w:val="006D2903"/>
    <w:rsid w:val="006D301B"/>
    <w:rsid w:val="006D315E"/>
    <w:rsid w:val="006D4033"/>
    <w:rsid w:val="006D454D"/>
    <w:rsid w:val="006D4CAA"/>
    <w:rsid w:val="006D511C"/>
    <w:rsid w:val="006D5433"/>
    <w:rsid w:val="006D5969"/>
    <w:rsid w:val="006D5DAC"/>
    <w:rsid w:val="006D6551"/>
    <w:rsid w:val="006D6D4F"/>
    <w:rsid w:val="006D7C76"/>
    <w:rsid w:val="006E0CB4"/>
    <w:rsid w:val="006E1213"/>
    <w:rsid w:val="006E2C04"/>
    <w:rsid w:val="006E32C0"/>
    <w:rsid w:val="006E37D2"/>
    <w:rsid w:val="006E3E4F"/>
    <w:rsid w:val="006E429B"/>
    <w:rsid w:val="006E62AD"/>
    <w:rsid w:val="006E6701"/>
    <w:rsid w:val="006E72A1"/>
    <w:rsid w:val="006F0A68"/>
    <w:rsid w:val="006F0B07"/>
    <w:rsid w:val="006F175D"/>
    <w:rsid w:val="006F1985"/>
    <w:rsid w:val="006F1D7A"/>
    <w:rsid w:val="006F225C"/>
    <w:rsid w:val="006F317A"/>
    <w:rsid w:val="006F34A5"/>
    <w:rsid w:val="006F39EF"/>
    <w:rsid w:val="006F3A78"/>
    <w:rsid w:val="006F4061"/>
    <w:rsid w:val="006F4B1D"/>
    <w:rsid w:val="006F4F13"/>
    <w:rsid w:val="006F5CFB"/>
    <w:rsid w:val="006F6354"/>
    <w:rsid w:val="006F6543"/>
    <w:rsid w:val="006F6630"/>
    <w:rsid w:val="006F730E"/>
    <w:rsid w:val="006F73A3"/>
    <w:rsid w:val="00700759"/>
    <w:rsid w:val="00700D88"/>
    <w:rsid w:val="00701815"/>
    <w:rsid w:val="007019CF"/>
    <w:rsid w:val="0070230E"/>
    <w:rsid w:val="007027EF"/>
    <w:rsid w:val="00702882"/>
    <w:rsid w:val="007035D6"/>
    <w:rsid w:val="007065FE"/>
    <w:rsid w:val="00707873"/>
    <w:rsid w:val="00711130"/>
    <w:rsid w:val="00712A32"/>
    <w:rsid w:val="00712A8B"/>
    <w:rsid w:val="00713D48"/>
    <w:rsid w:val="00714209"/>
    <w:rsid w:val="0071465E"/>
    <w:rsid w:val="00715FC6"/>
    <w:rsid w:val="007169AE"/>
    <w:rsid w:val="00716D16"/>
    <w:rsid w:val="00716EB2"/>
    <w:rsid w:val="00717233"/>
    <w:rsid w:val="00717C44"/>
    <w:rsid w:val="007206E0"/>
    <w:rsid w:val="00720F19"/>
    <w:rsid w:val="00721302"/>
    <w:rsid w:val="007231BB"/>
    <w:rsid w:val="0072367D"/>
    <w:rsid w:val="0072368F"/>
    <w:rsid w:val="00724BBD"/>
    <w:rsid w:val="00724E7D"/>
    <w:rsid w:val="007254E4"/>
    <w:rsid w:val="00725DC3"/>
    <w:rsid w:val="00726272"/>
    <w:rsid w:val="00726A64"/>
    <w:rsid w:val="007270F7"/>
    <w:rsid w:val="007316DE"/>
    <w:rsid w:val="00731D02"/>
    <w:rsid w:val="00732697"/>
    <w:rsid w:val="00732C7E"/>
    <w:rsid w:val="00732ED9"/>
    <w:rsid w:val="00733785"/>
    <w:rsid w:val="00733E51"/>
    <w:rsid w:val="007343F8"/>
    <w:rsid w:val="00735BBA"/>
    <w:rsid w:val="007363EA"/>
    <w:rsid w:val="0073697C"/>
    <w:rsid w:val="00736EF7"/>
    <w:rsid w:val="00737D53"/>
    <w:rsid w:val="00741A82"/>
    <w:rsid w:val="00743886"/>
    <w:rsid w:val="00743A37"/>
    <w:rsid w:val="007446A6"/>
    <w:rsid w:val="0074546B"/>
    <w:rsid w:val="00745E25"/>
    <w:rsid w:val="00746623"/>
    <w:rsid w:val="007466B6"/>
    <w:rsid w:val="00746704"/>
    <w:rsid w:val="0074706D"/>
    <w:rsid w:val="00747A47"/>
    <w:rsid w:val="007510B0"/>
    <w:rsid w:val="00751E38"/>
    <w:rsid w:val="007522EB"/>
    <w:rsid w:val="00753C6B"/>
    <w:rsid w:val="00753D46"/>
    <w:rsid w:val="007542E6"/>
    <w:rsid w:val="007547EC"/>
    <w:rsid w:val="007552FC"/>
    <w:rsid w:val="00756C86"/>
    <w:rsid w:val="00756D63"/>
    <w:rsid w:val="0076052C"/>
    <w:rsid w:val="00760A90"/>
    <w:rsid w:val="00761413"/>
    <w:rsid w:val="007637E0"/>
    <w:rsid w:val="0076643A"/>
    <w:rsid w:val="00766C18"/>
    <w:rsid w:val="007676F9"/>
    <w:rsid w:val="00770CE0"/>
    <w:rsid w:val="0077336E"/>
    <w:rsid w:val="007735B7"/>
    <w:rsid w:val="00773B1B"/>
    <w:rsid w:val="00773B5B"/>
    <w:rsid w:val="007744A5"/>
    <w:rsid w:val="00775000"/>
    <w:rsid w:val="0077552B"/>
    <w:rsid w:val="00775CE3"/>
    <w:rsid w:val="00776DBB"/>
    <w:rsid w:val="00777462"/>
    <w:rsid w:val="00777642"/>
    <w:rsid w:val="0078034D"/>
    <w:rsid w:val="00780F83"/>
    <w:rsid w:val="00781372"/>
    <w:rsid w:val="00781ABB"/>
    <w:rsid w:val="00782ECF"/>
    <w:rsid w:val="00783026"/>
    <w:rsid w:val="00784589"/>
    <w:rsid w:val="0078472E"/>
    <w:rsid w:val="0078497A"/>
    <w:rsid w:val="00784FD8"/>
    <w:rsid w:val="00785A09"/>
    <w:rsid w:val="007867E0"/>
    <w:rsid w:val="00790D60"/>
    <w:rsid w:val="0079255F"/>
    <w:rsid w:val="00792ABF"/>
    <w:rsid w:val="00792CB3"/>
    <w:rsid w:val="00792E29"/>
    <w:rsid w:val="007930FD"/>
    <w:rsid w:val="007936E8"/>
    <w:rsid w:val="00794528"/>
    <w:rsid w:val="007954AC"/>
    <w:rsid w:val="0079593C"/>
    <w:rsid w:val="00795BD1"/>
    <w:rsid w:val="007964C3"/>
    <w:rsid w:val="00796D52"/>
    <w:rsid w:val="00796D9A"/>
    <w:rsid w:val="00796ECA"/>
    <w:rsid w:val="007A02CF"/>
    <w:rsid w:val="007A0609"/>
    <w:rsid w:val="007A2387"/>
    <w:rsid w:val="007A3104"/>
    <w:rsid w:val="007A3900"/>
    <w:rsid w:val="007A3A2C"/>
    <w:rsid w:val="007A3B6F"/>
    <w:rsid w:val="007A4F3F"/>
    <w:rsid w:val="007A63CA"/>
    <w:rsid w:val="007A63D9"/>
    <w:rsid w:val="007A7867"/>
    <w:rsid w:val="007A7B33"/>
    <w:rsid w:val="007A7D79"/>
    <w:rsid w:val="007B0500"/>
    <w:rsid w:val="007B1475"/>
    <w:rsid w:val="007B18A7"/>
    <w:rsid w:val="007B2F45"/>
    <w:rsid w:val="007B3FA0"/>
    <w:rsid w:val="007B459D"/>
    <w:rsid w:val="007B49E9"/>
    <w:rsid w:val="007B4FE0"/>
    <w:rsid w:val="007B530C"/>
    <w:rsid w:val="007B644B"/>
    <w:rsid w:val="007B6B4C"/>
    <w:rsid w:val="007B795B"/>
    <w:rsid w:val="007C07AC"/>
    <w:rsid w:val="007C08FD"/>
    <w:rsid w:val="007C1CA3"/>
    <w:rsid w:val="007C3041"/>
    <w:rsid w:val="007C3132"/>
    <w:rsid w:val="007C448E"/>
    <w:rsid w:val="007C44A9"/>
    <w:rsid w:val="007C4EB5"/>
    <w:rsid w:val="007C5BE6"/>
    <w:rsid w:val="007C60BB"/>
    <w:rsid w:val="007C6375"/>
    <w:rsid w:val="007C64C3"/>
    <w:rsid w:val="007C7032"/>
    <w:rsid w:val="007C77E7"/>
    <w:rsid w:val="007D0FA4"/>
    <w:rsid w:val="007D10AF"/>
    <w:rsid w:val="007D14EE"/>
    <w:rsid w:val="007D1871"/>
    <w:rsid w:val="007D239D"/>
    <w:rsid w:val="007D2985"/>
    <w:rsid w:val="007D2A8D"/>
    <w:rsid w:val="007D2BFE"/>
    <w:rsid w:val="007D2CC0"/>
    <w:rsid w:val="007D30A9"/>
    <w:rsid w:val="007D46AC"/>
    <w:rsid w:val="007D4EF9"/>
    <w:rsid w:val="007D523C"/>
    <w:rsid w:val="007D536F"/>
    <w:rsid w:val="007D57FE"/>
    <w:rsid w:val="007D6ADA"/>
    <w:rsid w:val="007D7479"/>
    <w:rsid w:val="007D79CD"/>
    <w:rsid w:val="007D7D73"/>
    <w:rsid w:val="007E0591"/>
    <w:rsid w:val="007E0A7C"/>
    <w:rsid w:val="007E0C9F"/>
    <w:rsid w:val="007E0F18"/>
    <w:rsid w:val="007E0F5F"/>
    <w:rsid w:val="007E44AD"/>
    <w:rsid w:val="007E552D"/>
    <w:rsid w:val="007E6F96"/>
    <w:rsid w:val="007E7B86"/>
    <w:rsid w:val="007E7C77"/>
    <w:rsid w:val="007E7D05"/>
    <w:rsid w:val="007F13E8"/>
    <w:rsid w:val="007F1484"/>
    <w:rsid w:val="007F1719"/>
    <w:rsid w:val="007F2860"/>
    <w:rsid w:val="007F313F"/>
    <w:rsid w:val="007F31F6"/>
    <w:rsid w:val="007F335C"/>
    <w:rsid w:val="007F4D25"/>
    <w:rsid w:val="007F51A8"/>
    <w:rsid w:val="007F51F3"/>
    <w:rsid w:val="007F5487"/>
    <w:rsid w:val="007F6402"/>
    <w:rsid w:val="007F6A23"/>
    <w:rsid w:val="007F7A5F"/>
    <w:rsid w:val="0080034A"/>
    <w:rsid w:val="00800E85"/>
    <w:rsid w:val="00801168"/>
    <w:rsid w:val="0080126E"/>
    <w:rsid w:val="008014F7"/>
    <w:rsid w:val="00802254"/>
    <w:rsid w:val="0080249A"/>
    <w:rsid w:val="008026ED"/>
    <w:rsid w:val="00804429"/>
    <w:rsid w:val="0080470F"/>
    <w:rsid w:val="0080482C"/>
    <w:rsid w:val="00805474"/>
    <w:rsid w:val="00807C3D"/>
    <w:rsid w:val="00807D00"/>
    <w:rsid w:val="00810002"/>
    <w:rsid w:val="0081080B"/>
    <w:rsid w:val="00810B7B"/>
    <w:rsid w:val="008111D3"/>
    <w:rsid w:val="00812269"/>
    <w:rsid w:val="008145B5"/>
    <w:rsid w:val="00814637"/>
    <w:rsid w:val="008154CD"/>
    <w:rsid w:val="008162CB"/>
    <w:rsid w:val="00816EAB"/>
    <w:rsid w:val="00817E3D"/>
    <w:rsid w:val="008202A7"/>
    <w:rsid w:val="00820BB3"/>
    <w:rsid w:val="00821317"/>
    <w:rsid w:val="00821A96"/>
    <w:rsid w:val="00822317"/>
    <w:rsid w:val="0082285F"/>
    <w:rsid w:val="00822B8A"/>
    <w:rsid w:val="008233AA"/>
    <w:rsid w:val="008239ED"/>
    <w:rsid w:val="00824078"/>
    <w:rsid w:val="0082485E"/>
    <w:rsid w:val="00824E12"/>
    <w:rsid w:val="008250D4"/>
    <w:rsid w:val="00826191"/>
    <w:rsid w:val="00826CE0"/>
    <w:rsid w:val="00827028"/>
    <w:rsid w:val="008272FF"/>
    <w:rsid w:val="00830E9A"/>
    <w:rsid w:val="00831164"/>
    <w:rsid w:val="00832776"/>
    <w:rsid w:val="00832A4E"/>
    <w:rsid w:val="0083329B"/>
    <w:rsid w:val="008335B2"/>
    <w:rsid w:val="0083373A"/>
    <w:rsid w:val="008342AD"/>
    <w:rsid w:val="00834FA6"/>
    <w:rsid w:val="00835553"/>
    <w:rsid w:val="00835870"/>
    <w:rsid w:val="00835B48"/>
    <w:rsid w:val="00835D90"/>
    <w:rsid w:val="00836FD3"/>
    <w:rsid w:val="00837067"/>
    <w:rsid w:val="00837948"/>
    <w:rsid w:val="00840330"/>
    <w:rsid w:val="00841064"/>
    <w:rsid w:val="00841477"/>
    <w:rsid w:val="00842C1E"/>
    <w:rsid w:val="00844385"/>
    <w:rsid w:val="00844CDF"/>
    <w:rsid w:val="00844DDA"/>
    <w:rsid w:val="008450A3"/>
    <w:rsid w:val="00845BC5"/>
    <w:rsid w:val="008461FB"/>
    <w:rsid w:val="0084672F"/>
    <w:rsid w:val="00846892"/>
    <w:rsid w:val="00847294"/>
    <w:rsid w:val="00847B03"/>
    <w:rsid w:val="00850506"/>
    <w:rsid w:val="008508A9"/>
    <w:rsid w:val="0085105A"/>
    <w:rsid w:val="00851C00"/>
    <w:rsid w:val="00852834"/>
    <w:rsid w:val="008529C0"/>
    <w:rsid w:val="00852B83"/>
    <w:rsid w:val="00853148"/>
    <w:rsid w:val="0085319C"/>
    <w:rsid w:val="0085358E"/>
    <w:rsid w:val="00854616"/>
    <w:rsid w:val="00854FD5"/>
    <w:rsid w:val="00854FD7"/>
    <w:rsid w:val="008556CB"/>
    <w:rsid w:val="008557E2"/>
    <w:rsid w:val="00855A66"/>
    <w:rsid w:val="00855BAB"/>
    <w:rsid w:val="0085653E"/>
    <w:rsid w:val="00857249"/>
    <w:rsid w:val="00857394"/>
    <w:rsid w:val="008575D4"/>
    <w:rsid w:val="008602E4"/>
    <w:rsid w:val="00862BE6"/>
    <w:rsid w:val="00863539"/>
    <w:rsid w:val="00863646"/>
    <w:rsid w:val="00865278"/>
    <w:rsid w:val="00866139"/>
    <w:rsid w:val="008661FA"/>
    <w:rsid w:val="008666AC"/>
    <w:rsid w:val="00866A75"/>
    <w:rsid w:val="00866C8D"/>
    <w:rsid w:val="00866E40"/>
    <w:rsid w:val="00867C75"/>
    <w:rsid w:val="00870343"/>
    <w:rsid w:val="008730B6"/>
    <w:rsid w:val="0087313F"/>
    <w:rsid w:val="00873222"/>
    <w:rsid w:val="008745D6"/>
    <w:rsid w:val="00874BE4"/>
    <w:rsid w:val="00874FC4"/>
    <w:rsid w:val="008755C2"/>
    <w:rsid w:val="00875613"/>
    <w:rsid w:val="008757C6"/>
    <w:rsid w:val="0087696E"/>
    <w:rsid w:val="00876AD4"/>
    <w:rsid w:val="00877FF5"/>
    <w:rsid w:val="00880F4F"/>
    <w:rsid w:val="00882964"/>
    <w:rsid w:val="00883642"/>
    <w:rsid w:val="00884596"/>
    <w:rsid w:val="00885388"/>
    <w:rsid w:val="00886F22"/>
    <w:rsid w:val="00887748"/>
    <w:rsid w:val="00890EF2"/>
    <w:rsid w:val="00891817"/>
    <w:rsid w:val="00891DCB"/>
    <w:rsid w:val="00893C5C"/>
    <w:rsid w:val="00893D71"/>
    <w:rsid w:val="00894048"/>
    <w:rsid w:val="0089511F"/>
    <w:rsid w:val="008954D1"/>
    <w:rsid w:val="00895D9A"/>
    <w:rsid w:val="00895F6C"/>
    <w:rsid w:val="00896324"/>
    <w:rsid w:val="0089693B"/>
    <w:rsid w:val="00897D17"/>
    <w:rsid w:val="008A0346"/>
    <w:rsid w:val="008A10CD"/>
    <w:rsid w:val="008A23F7"/>
    <w:rsid w:val="008A2765"/>
    <w:rsid w:val="008A481F"/>
    <w:rsid w:val="008A4A61"/>
    <w:rsid w:val="008A4FC8"/>
    <w:rsid w:val="008A5BC3"/>
    <w:rsid w:val="008A61A9"/>
    <w:rsid w:val="008A6ED6"/>
    <w:rsid w:val="008A716E"/>
    <w:rsid w:val="008B0B53"/>
    <w:rsid w:val="008B1277"/>
    <w:rsid w:val="008B130D"/>
    <w:rsid w:val="008B1B7E"/>
    <w:rsid w:val="008B1C21"/>
    <w:rsid w:val="008B1F9B"/>
    <w:rsid w:val="008B2C73"/>
    <w:rsid w:val="008B43DF"/>
    <w:rsid w:val="008B5DAE"/>
    <w:rsid w:val="008B6AE4"/>
    <w:rsid w:val="008B70AB"/>
    <w:rsid w:val="008B79CC"/>
    <w:rsid w:val="008C0734"/>
    <w:rsid w:val="008C0E4F"/>
    <w:rsid w:val="008C0EF9"/>
    <w:rsid w:val="008C0FD1"/>
    <w:rsid w:val="008C107D"/>
    <w:rsid w:val="008C1809"/>
    <w:rsid w:val="008C193B"/>
    <w:rsid w:val="008C277E"/>
    <w:rsid w:val="008C3E3B"/>
    <w:rsid w:val="008C58FA"/>
    <w:rsid w:val="008C5E62"/>
    <w:rsid w:val="008C6255"/>
    <w:rsid w:val="008C641E"/>
    <w:rsid w:val="008C6425"/>
    <w:rsid w:val="008C7403"/>
    <w:rsid w:val="008C7960"/>
    <w:rsid w:val="008D11BE"/>
    <w:rsid w:val="008D1F9F"/>
    <w:rsid w:val="008D214E"/>
    <w:rsid w:val="008D32E8"/>
    <w:rsid w:val="008D37B5"/>
    <w:rsid w:val="008D51BC"/>
    <w:rsid w:val="008D54C4"/>
    <w:rsid w:val="008D60C5"/>
    <w:rsid w:val="008E0041"/>
    <w:rsid w:val="008E0584"/>
    <w:rsid w:val="008E10FF"/>
    <w:rsid w:val="008E1424"/>
    <w:rsid w:val="008E14A2"/>
    <w:rsid w:val="008E2338"/>
    <w:rsid w:val="008E24F5"/>
    <w:rsid w:val="008E24F6"/>
    <w:rsid w:val="008E2605"/>
    <w:rsid w:val="008E2640"/>
    <w:rsid w:val="008E34EF"/>
    <w:rsid w:val="008E3E89"/>
    <w:rsid w:val="008E3ED5"/>
    <w:rsid w:val="008E50CA"/>
    <w:rsid w:val="008E6256"/>
    <w:rsid w:val="008E69D3"/>
    <w:rsid w:val="008E6C19"/>
    <w:rsid w:val="008E753F"/>
    <w:rsid w:val="008E7B58"/>
    <w:rsid w:val="008F175F"/>
    <w:rsid w:val="008F1AAF"/>
    <w:rsid w:val="008F1E00"/>
    <w:rsid w:val="008F281B"/>
    <w:rsid w:val="008F2A87"/>
    <w:rsid w:val="008F2FA3"/>
    <w:rsid w:val="008F3262"/>
    <w:rsid w:val="008F3658"/>
    <w:rsid w:val="008F373D"/>
    <w:rsid w:val="008F37D5"/>
    <w:rsid w:val="008F42DA"/>
    <w:rsid w:val="008F522B"/>
    <w:rsid w:val="008F59D9"/>
    <w:rsid w:val="008F6119"/>
    <w:rsid w:val="008F6369"/>
    <w:rsid w:val="008F63BB"/>
    <w:rsid w:val="008F6832"/>
    <w:rsid w:val="008F6D75"/>
    <w:rsid w:val="008F6D8A"/>
    <w:rsid w:val="008F7C16"/>
    <w:rsid w:val="00901065"/>
    <w:rsid w:val="009015D9"/>
    <w:rsid w:val="00901B76"/>
    <w:rsid w:val="00901C14"/>
    <w:rsid w:val="00901DA3"/>
    <w:rsid w:val="00902708"/>
    <w:rsid w:val="0090303E"/>
    <w:rsid w:val="00903942"/>
    <w:rsid w:val="009053DE"/>
    <w:rsid w:val="00905410"/>
    <w:rsid w:val="00905494"/>
    <w:rsid w:val="00905D4C"/>
    <w:rsid w:val="00906333"/>
    <w:rsid w:val="0090677C"/>
    <w:rsid w:val="00906AC8"/>
    <w:rsid w:val="00906E9D"/>
    <w:rsid w:val="00907234"/>
    <w:rsid w:val="00910A98"/>
    <w:rsid w:val="00910E4F"/>
    <w:rsid w:val="00911409"/>
    <w:rsid w:val="009121E6"/>
    <w:rsid w:val="00912202"/>
    <w:rsid w:val="00912D3E"/>
    <w:rsid w:val="00915ADE"/>
    <w:rsid w:val="00915C13"/>
    <w:rsid w:val="009174AA"/>
    <w:rsid w:val="00917608"/>
    <w:rsid w:val="00920C21"/>
    <w:rsid w:val="0092148D"/>
    <w:rsid w:val="00921548"/>
    <w:rsid w:val="0092332B"/>
    <w:rsid w:val="00924556"/>
    <w:rsid w:val="00924A17"/>
    <w:rsid w:val="00924A9E"/>
    <w:rsid w:val="00924DE7"/>
    <w:rsid w:val="00925762"/>
    <w:rsid w:val="00926507"/>
    <w:rsid w:val="00927444"/>
    <w:rsid w:val="0092780E"/>
    <w:rsid w:val="00930064"/>
    <w:rsid w:val="00931DAC"/>
    <w:rsid w:val="0093246F"/>
    <w:rsid w:val="00933827"/>
    <w:rsid w:val="00933EB9"/>
    <w:rsid w:val="009347F3"/>
    <w:rsid w:val="009359FC"/>
    <w:rsid w:val="0093750B"/>
    <w:rsid w:val="00937A68"/>
    <w:rsid w:val="00940770"/>
    <w:rsid w:val="0094172C"/>
    <w:rsid w:val="009419E4"/>
    <w:rsid w:val="00941A4B"/>
    <w:rsid w:val="00942526"/>
    <w:rsid w:val="00943715"/>
    <w:rsid w:val="0094461F"/>
    <w:rsid w:val="00944B03"/>
    <w:rsid w:val="00945A7B"/>
    <w:rsid w:val="00946B8D"/>
    <w:rsid w:val="00947521"/>
    <w:rsid w:val="009522A7"/>
    <w:rsid w:val="00952763"/>
    <w:rsid w:val="00952D55"/>
    <w:rsid w:val="00953802"/>
    <w:rsid w:val="00954480"/>
    <w:rsid w:val="009548AF"/>
    <w:rsid w:val="009557F5"/>
    <w:rsid w:val="00955B54"/>
    <w:rsid w:val="00957289"/>
    <w:rsid w:val="00960DEF"/>
    <w:rsid w:val="009628BB"/>
    <w:rsid w:val="00963809"/>
    <w:rsid w:val="00964ED0"/>
    <w:rsid w:val="00965A46"/>
    <w:rsid w:val="009669E0"/>
    <w:rsid w:val="009673CE"/>
    <w:rsid w:val="00967B2F"/>
    <w:rsid w:val="00970F96"/>
    <w:rsid w:val="00971B4B"/>
    <w:rsid w:val="00971FDB"/>
    <w:rsid w:val="00972CBC"/>
    <w:rsid w:val="0097359D"/>
    <w:rsid w:val="00973633"/>
    <w:rsid w:val="009739DA"/>
    <w:rsid w:val="00973AAF"/>
    <w:rsid w:val="00973C21"/>
    <w:rsid w:val="00974FD8"/>
    <w:rsid w:val="009761B8"/>
    <w:rsid w:val="009763D6"/>
    <w:rsid w:val="0097744C"/>
    <w:rsid w:val="00977746"/>
    <w:rsid w:val="0097795E"/>
    <w:rsid w:val="00977D91"/>
    <w:rsid w:val="00980603"/>
    <w:rsid w:val="0098163D"/>
    <w:rsid w:val="00982025"/>
    <w:rsid w:val="00982832"/>
    <w:rsid w:val="00983FD0"/>
    <w:rsid w:val="009842F4"/>
    <w:rsid w:val="0098443B"/>
    <w:rsid w:val="00984C61"/>
    <w:rsid w:val="009865D1"/>
    <w:rsid w:val="00986E16"/>
    <w:rsid w:val="00987266"/>
    <w:rsid w:val="00990394"/>
    <w:rsid w:val="00990621"/>
    <w:rsid w:val="00990BBC"/>
    <w:rsid w:val="00990DFF"/>
    <w:rsid w:val="009919EC"/>
    <w:rsid w:val="00991BD7"/>
    <w:rsid w:val="009930B4"/>
    <w:rsid w:val="00993179"/>
    <w:rsid w:val="00993AFB"/>
    <w:rsid w:val="00994F1D"/>
    <w:rsid w:val="00994F32"/>
    <w:rsid w:val="00996012"/>
    <w:rsid w:val="0099612A"/>
    <w:rsid w:val="00996490"/>
    <w:rsid w:val="00996B55"/>
    <w:rsid w:val="00997EE8"/>
    <w:rsid w:val="009A0633"/>
    <w:rsid w:val="009A1458"/>
    <w:rsid w:val="009A1483"/>
    <w:rsid w:val="009A16B2"/>
    <w:rsid w:val="009A180C"/>
    <w:rsid w:val="009A2864"/>
    <w:rsid w:val="009A2BF2"/>
    <w:rsid w:val="009A46B3"/>
    <w:rsid w:val="009A4BE8"/>
    <w:rsid w:val="009A4EDD"/>
    <w:rsid w:val="009A568F"/>
    <w:rsid w:val="009A6128"/>
    <w:rsid w:val="009A66B1"/>
    <w:rsid w:val="009A696D"/>
    <w:rsid w:val="009A733B"/>
    <w:rsid w:val="009B06DC"/>
    <w:rsid w:val="009B12DF"/>
    <w:rsid w:val="009B2F1B"/>
    <w:rsid w:val="009B3A3D"/>
    <w:rsid w:val="009B4152"/>
    <w:rsid w:val="009B47A8"/>
    <w:rsid w:val="009B484A"/>
    <w:rsid w:val="009B55F9"/>
    <w:rsid w:val="009B5FD5"/>
    <w:rsid w:val="009B616E"/>
    <w:rsid w:val="009B67F6"/>
    <w:rsid w:val="009B6F41"/>
    <w:rsid w:val="009B7295"/>
    <w:rsid w:val="009B7839"/>
    <w:rsid w:val="009C07C7"/>
    <w:rsid w:val="009C1328"/>
    <w:rsid w:val="009C141F"/>
    <w:rsid w:val="009C21D8"/>
    <w:rsid w:val="009C2ED1"/>
    <w:rsid w:val="009C3474"/>
    <w:rsid w:val="009C46B0"/>
    <w:rsid w:val="009C4809"/>
    <w:rsid w:val="009C6743"/>
    <w:rsid w:val="009C7FA8"/>
    <w:rsid w:val="009D000B"/>
    <w:rsid w:val="009D4A08"/>
    <w:rsid w:val="009D4C26"/>
    <w:rsid w:val="009E087D"/>
    <w:rsid w:val="009E14FA"/>
    <w:rsid w:val="009E1A24"/>
    <w:rsid w:val="009E1C05"/>
    <w:rsid w:val="009E3AD8"/>
    <w:rsid w:val="009E3DD8"/>
    <w:rsid w:val="009E5411"/>
    <w:rsid w:val="009E5854"/>
    <w:rsid w:val="009E799E"/>
    <w:rsid w:val="009E7B9A"/>
    <w:rsid w:val="009F1364"/>
    <w:rsid w:val="009F2AA9"/>
    <w:rsid w:val="009F2D09"/>
    <w:rsid w:val="009F3188"/>
    <w:rsid w:val="009F32D3"/>
    <w:rsid w:val="009F4109"/>
    <w:rsid w:val="009F4679"/>
    <w:rsid w:val="009F4725"/>
    <w:rsid w:val="009F4D83"/>
    <w:rsid w:val="009F5A98"/>
    <w:rsid w:val="009F5BC2"/>
    <w:rsid w:val="009F5E48"/>
    <w:rsid w:val="009F664D"/>
    <w:rsid w:val="009F6885"/>
    <w:rsid w:val="009F78AA"/>
    <w:rsid w:val="00A00657"/>
    <w:rsid w:val="00A00A8E"/>
    <w:rsid w:val="00A01456"/>
    <w:rsid w:val="00A016E6"/>
    <w:rsid w:val="00A0184A"/>
    <w:rsid w:val="00A02F83"/>
    <w:rsid w:val="00A0314D"/>
    <w:rsid w:val="00A03F6A"/>
    <w:rsid w:val="00A0427C"/>
    <w:rsid w:val="00A04772"/>
    <w:rsid w:val="00A0528B"/>
    <w:rsid w:val="00A0596D"/>
    <w:rsid w:val="00A10010"/>
    <w:rsid w:val="00A10579"/>
    <w:rsid w:val="00A10DF3"/>
    <w:rsid w:val="00A11027"/>
    <w:rsid w:val="00A110CD"/>
    <w:rsid w:val="00A146A9"/>
    <w:rsid w:val="00A15D67"/>
    <w:rsid w:val="00A1606A"/>
    <w:rsid w:val="00A161EE"/>
    <w:rsid w:val="00A162C8"/>
    <w:rsid w:val="00A16BAF"/>
    <w:rsid w:val="00A17585"/>
    <w:rsid w:val="00A20121"/>
    <w:rsid w:val="00A20F37"/>
    <w:rsid w:val="00A20FBA"/>
    <w:rsid w:val="00A2183E"/>
    <w:rsid w:val="00A23681"/>
    <w:rsid w:val="00A23783"/>
    <w:rsid w:val="00A253BF"/>
    <w:rsid w:val="00A260CD"/>
    <w:rsid w:val="00A27548"/>
    <w:rsid w:val="00A27C07"/>
    <w:rsid w:val="00A31E21"/>
    <w:rsid w:val="00A32682"/>
    <w:rsid w:val="00A327EE"/>
    <w:rsid w:val="00A329C4"/>
    <w:rsid w:val="00A32A5C"/>
    <w:rsid w:val="00A330D7"/>
    <w:rsid w:val="00A341AD"/>
    <w:rsid w:val="00A346D0"/>
    <w:rsid w:val="00A34EDF"/>
    <w:rsid w:val="00A35E5B"/>
    <w:rsid w:val="00A374AB"/>
    <w:rsid w:val="00A40251"/>
    <w:rsid w:val="00A40618"/>
    <w:rsid w:val="00A40C6E"/>
    <w:rsid w:val="00A414BC"/>
    <w:rsid w:val="00A4154B"/>
    <w:rsid w:val="00A4165B"/>
    <w:rsid w:val="00A441F9"/>
    <w:rsid w:val="00A442FD"/>
    <w:rsid w:val="00A45518"/>
    <w:rsid w:val="00A4578D"/>
    <w:rsid w:val="00A464FD"/>
    <w:rsid w:val="00A46814"/>
    <w:rsid w:val="00A502EE"/>
    <w:rsid w:val="00A50D6F"/>
    <w:rsid w:val="00A50ED3"/>
    <w:rsid w:val="00A50EE0"/>
    <w:rsid w:val="00A51112"/>
    <w:rsid w:val="00A51385"/>
    <w:rsid w:val="00A515AB"/>
    <w:rsid w:val="00A51FAC"/>
    <w:rsid w:val="00A54B02"/>
    <w:rsid w:val="00A54FF2"/>
    <w:rsid w:val="00A558C8"/>
    <w:rsid w:val="00A566EB"/>
    <w:rsid w:val="00A57028"/>
    <w:rsid w:val="00A5738A"/>
    <w:rsid w:val="00A574C6"/>
    <w:rsid w:val="00A5784B"/>
    <w:rsid w:val="00A60AEB"/>
    <w:rsid w:val="00A61A70"/>
    <w:rsid w:val="00A61D72"/>
    <w:rsid w:val="00A6344A"/>
    <w:rsid w:val="00A636CA"/>
    <w:rsid w:val="00A64A1D"/>
    <w:rsid w:val="00A64C5F"/>
    <w:rsid w:val="00A64E0E"/>
    <w:rsid w:val="00A651C5"/>
    <w:rsid w:val="00A65265"/>
    <w:rsid w:val="00A6526C"/>
    <w:rsid w:val="00A652FD"/>
    <w:rsid w:val="00A65540"/>
    <w:rsid w:val="00A65EFF"/>
    <w:rsid w:val="00A67186"/>
    <w:rsid w:val="00A67BA8"/>
    <w:rsid w:val="00A70958"/>
    <w:rsid w:val="00A712CB"/>
    <w:rsid w:val="00A713FE"/>
    <w:rsid w:val="00A71736"/>
    <w:rsid w:val="00A7237B"/>
    <w:rsid w:val="00A72821"/>
    <w:rsid w:val="00A72A56"/>
    <w:rsid w:val="00A736FD"/>
    <w:rsid w:val="00A73AC4"/>
    <w:rsid w:val="00A7464A"/>
    <w:rsid w:val="00A74F26"/>
    <w:rsid w:val="00A75DED"/>
    <w:rsid w:val="00A7646B"/>
    <w:rsid w:val="00A76C86"/>
    <w:rsid w:val="00A770AA"/>
    <w:rsid w:val="00A773B1"/>
    <w:rsid w:val="00A776AD"/>
    <w:rsid w:val="00A77A70"/>
    <w:rsid w:val="00A77E2B"/>
    <w:rsid w:val="00A81A6C"/>
    <w:rsid w:val="00A82140"/>
    <w:rsid w:val="00A823E6"/>
    <w:rsid w:val="00A8314F"/>
    <w:rsid w:val="00A844E8"/>
    <w:rsid w:val="00A85477"/>
    <w:rsid w:val="00A854B7"/>
    <w:rsid w:val="00A85ADC"/>
    <w:rsid w:val="00A85DF4"/>
    <w:rsid w:val="00A902CF"/>
    <w:rsid w:val="00A90804"/>
    <w:rsid w:val="00A932AB"/>
    <w:rsid w:val="00A932E1"/>
    <w:rsid w:val="00A93FCF"/>
    <w:rsid w:val="00A94BFE"/>
    <w:rsid w:val="00A958A2"/>
    <w:rsid w:val="00A95C5E"/>
    <w:rsid w:val="00A968B0"/>
    <w:rsid w:val="00A96AA9"/>
    <w:rsid w:val="00A9708E"/>
    <w:rsid w:val="00A973DF"/>
    <w:rsid w:val="00A974C6"/>
    <w:rsid w:val="00AA0F49"/>
    <w:rsid w:val="00AA2C91"/>
    <w:rsid w:val="00AA3B59"/>
    <w:rsid w:val="00AA3F56"/>
    <w:rsid w:val="00AA4E3E"/>
    <w:rsid w:val="00AA60BE"/>
    <w:rsid w:val="00AB0671"/>
    <w:rsid w:val="00AB155E"/>
    <w:rsid w:val="00AB2E62"/>
    <w:rsid w:val="00AB523B"/>
    <w:rsid w:val="00AB5E3D"/>
    <w:rsid w:val="00AB6D40"/>
    <w:rsid w:val="00AB751A"/>
    <w:rsid w:val="00AB787F"/>
    <w:rsid w:val="00AC075A"/>
    <w:rsid w:val="00AC2477"/>
    <w:rsid w:val="00AC26BC"/>
    <w:rsid w:val="00AC29A7"/>
    <w:rsid w:val="00AC4BFE"/>
    <w:rsid w:val="00AC64EC"/>
    <w:rsid w:val="00AC7909"/>
    <w:rsid w:val="00AD00A0"/>
    <w:rsid w:val="00AD01F0"/>
    <w:rsid w:val="00AD0826"/>
    <w:rsid w:val="00AD1392"/>
    <w:rsid w:val="00AD1B1A"/>
    <w:rsid w:val="00AD1ECC"/>
    <w:rsid w:val="00AD223A"/>
    <w:rsid w:val="00AD33FB"/>
    <w:rsid w:val="00AD394E"/>
    <w:rsid w:val="00AD5285"/>
    <w:rsid w:val="00AD6C4B"/>
    <w:rsid w:val="00AE0240"/>
    <w:rsid w:val="00AE1715"/>
    <w:rsid w:val="00AE1AC9"/>
    <w:rsid w:val="00AE1E7F"/>
    <w:rsid w:val="00AE2F48"/>
    <w:rsid w:val="00AE314B"/>
    <w:rsid w:val="00AE3348"/>
    <w:rsid w:val="00AE3DD7"/>
    <w:rsid w:val="00AE4316"/>
    <w:rsid w:val="00AE4F79"/>
    <w:rsid w:val="00AE5043"/>
    <w:rsid w:val="00AE63FB"/>
    <w:rsid w:val="00AE7142"/>
    <w:rsid w:val="00AF28FD"/>
    <w:rsid w:val="00AF2C1E"/>
    <w:rsid w:val="00AF2DFA"/>
    <w:rsid w:val="00AF2FA7"/>
    <w:rsid w:val="00AF349D"/>
    <w:rsid w:val="00AF397A"/>
    <w:rsid w:val="00AF3A87"/>
    <w:rsid w:val="00AF44F1"/>
    <w:rsid w:val="00AF452F"/>
    <w:rsid w:val="00AF46C1"/>
    <w:rsid w:val="00AF4D7C"/>
    <w:rsid w:val="00AF5B02"/>
    <w:rsid w:val="00AF6056"/>
    <w:rsid w:val="00AF6E95"/>
    <w:rsid w:val="00AF74A4"/>
    <w:rsid w:val="00AF7E97"/>
    <w:rsid w:val="00B00FEC"/>
    <w:rsid w:val="00B02563"/>
    <w:rsid w:val="00B02AF7"/>
    <w:rsid w:val="00B031A8"/>
    <w:rsid w:val="00B044C5"/>
    <w:rsid w:val="00B04BCE"/>
    <w:rsid w:val="00B05309"/>
    <w:rsid w:val="00B053F6"/>
    <w:rsid w:val="00B056C1"/>
    <w:rsid w:val="00B05781"/>
    <w:rsid w:val="00B06421"/>
    <w:rsid w:val="00B068EB"/>
    <w:rsid w:val="00B06A7E"/>
    <w:rsid w:val="00B06A93"/>
    <w:rsid w:val="00B07721"/>
    <w:rsid w:val="00B07D45"/>
    <w:rsid w:val="00B10194"/>
    <w:rsid w:val="00B104D0"/>
    <w:rsid w:val="00B12EDF"/>
    <w:rsid w:val="00B13B24"/>
    <w:rsid w:val="00B13C5D"/>
    <w:rsid w:val="00B1518D"/>
    <w:rsid w:val="00B163F8"/>
    <w:rsid w:val="00B16452"/>
    <w:rsid w:val="00B16FE3"/>
    <w:rsid w:val="00B17C1C"/>
    <w:rsid w:val="00B201E0"/>
    <w:rsid w:val="00B20386"/>
    <w:rsid w:val="00B20AB8"/>
    <w:rsid w:val="00B20B4B"/>
    <w:rsid w:val="00B20D95"/>
    <w:rsid w:val="00B21FEF"/>
    <w:rsid w:val="00B23544"/>
    <w:rsid w:val="00B24B1F"/>
    <w:rsid w:val="00B24CF7"/>
    <w:rsid w:val="00B253E5"/>
    <w:rsid w:val="00B27FF0"/>
    <w:rsid w:val="00B30146"/>
    <w:rsid w:val="00B30711"/>
    <w:rsid w:val="00B30AD8"/>
    <w:rsid w:val="00B3145D"/>
    <w:rsid w:val="00B31491"/>
    <w:rsid w:val="00B31FF2"/>
    <w:rsid w:val="00B329AA"/>
    <w:rsid w:val="00B32B63"/>
    <w:rsid w:val="00B3340B"/>
    <w:rsid w:val="00B3366A"/>
    <w:rsid w:val="00B3477C"/>
    <w:rsid w:val="00B34C59"/>
    <w:rsid w:val="00B34D3E"/>
    <w:rsid w:val="00B34D48"/>
    <w:rsid w:val="00B350FD"/>
    <w:rsid w:val="00B3541B"/>
    <w:rsid w:val="00B35A94"/>
    <w:rsid w:val="00B361C7"/>
    <w:rsid w:val="00B3721E"/>
    <w:rsid w:val="00B376E2"/>
    <w:rsid w:val="00B37948"/>
    <w:rsid w:val="00B40068"/>
    <w:rsid w:val="00B40490"/>
    <w:rsid w:val="00B404B6"/>
    <w:rsid w:val="00B40B30"/>
    <w:rsid w:val="00B40CA4"/>
    <w:rsid w:val="00B418CC"/>
    <w:rsid w:val="00B41E88"/>
    <w:rsid w:val="00B422A6"/>
    <w:rsid w:val="00B444A6"/>
    <w:rsid w:val="00B4564D"/>
    <w:rsid w:val="00B456BD"/>
    <w:rsid w:val="00B45E4C"/>
    <w:rsid w:val="00B46F15"/>
    <w:rsid w:val="00B476C1"/>
    <w:rsid w:val="00B47EE9"/>
    <w:rsid w:val="00B534DB"/>
    <w:rsid w:val="00B5505F"/>
    <w:rsid w:val="00B55B15"/>
    <w:rsid w:val="00B55F58"/>
    <w:rsid w:val="00B55F7C"/>
    <w:rsid w:val="00B56985"/>
    <w:rsid w:val="00B57A69"/>
    <w:rsid w:val="00B57DFA"/>
    <w:rsid w:val="00B604A0"/>
    <w:rsid w:val="00B604AD"/>
    <w:rsid w:val="00B60662"/>
    <w:rsid w:val="00B60AFF"/>
    <w:rsid w:val="00B61027"/>
    <w:rsid w:val="00B61B80"/>
    <w:rsid w:val="00B63719"/>
    <w:rsid w:val="00B6371F"/>
    <w:rsid w:val="00B63DED"/>
    <w:rsid w:val="00B6470A"/>
    <w:rsid w:val="00B64F4F"/>
    <w:rsid w:val="00B65071"/>
    <w:rsid w:val="00B65434"/>
    <w:rsid w:val="00B67993"/>
    <w:rsid w:val="00B67CE6"/>
    <w:rsid w:val="00B70983"/>
    <w:rsid w:val="00B7143D"/>
    <w:rsid w:val="00B72C59"/>
    <w:rsid w:val="00B739CD"/>
    <w:rsid w:val="00B74077"/>
    <w:rsid w:val="00B7531E"/>
    <w:rsid w:val="00B7569A"/>
    <w:rsid w:val="00B764A3"/>
    <w:rsid w:val="00B80F09"/>
    <w:rsid w:val="00B80FB8"/>
    <w:rsid w:val="00B80FCD"/>
    <w:rsid w:val="00B81154"/>
    <w:rsid w:val="00B81758"/>
    <w:rsid w:val="00B8282A"/>
    <w:rsid w:val="00B8487F"/>
    <w:rsid w:val="00B85F1C"/>
    <w:rsid w:val="00B86196"/>
    <w:rsid w:val="00B87558"/>
    <w:rsid w:val="00B87D89"/>
    <w:rsid w:val="00B87EFA"/>
    <w:rsid w:val="00B90010"/>
    <w:rsid w:val="00B90C38"/>
    <w:rsid w:val="00B90E15"/>
    <w:rsid w:val="00B90EDD"/>
    <w:rsid w:val="00B910EC"/>
    <w:rsid w:val="00B9287D"/>
    <w:rsid w:val="00B935AE"/>
    <w:rsid w:val="00B93774"/>
    <w:rsid w:val="00B94923"/>
    <w:rsid w:val="00B94F37"/>
    <w:rsid w:val="00B96436"/>
    <w:rsid w:val="00B9752B"/>
    <w:rsid w:val="00BA0F9F"/>
    <w:rsid w:val="00BA14F4"/>
    <w:rsid w:val="00BA1953"/>
    <w:rsid w:val="00BA1A03"/>
    <w:rsid w:val="00BA1A3E"/>
    <w:rsid w:val="00BA3CE6"/>
    <w:rsid w:val="00BA5388"/>
    <w:rsid w:val="00BA53AB"/>
    <w:rsid w:val="00BA5D37"/>
    <w:rsid w:val="00BA6CD6"/>
    <w:rsid w:val="00BA6D6D"/>
    <w:rsid w:val="00BA6E88"/>
    <w:rsid w:val="00BA7322"/>
    <w:rsid w:val="00BB0865"/>
    <w:rsid w:val="00BB0B8D"/>
    <w:rsid w:val="00BB0B94"/>
    <w:rsid w:val="00BB0BEB"/>
    <w:rsid w:val="00BB1BFB"/>
    <w:rsid w:val="00BB1CDF"/>
    <w:rsid w:val="00BB2473"/>
    <w:rsid w:val="00BB2E27"/>
    <w:rsid w:val="00BB313C"/>
    <w:rsid w:val="00BB33E7"/>
    <w:rsid w:val="00BB34BF"/>
    <w:rsid w:val="00BB536D"/>
    <w:rsid w:val="00BB53EC"/>
    <w:rsid w:val="00BB543E"/>
    <w:rsid w:val="00BB60A8"/>
    <w:rsid w:val="00BB6E95"/>
    <w:rsid w:val="00BC068D"/>
    <w:rsid w:val="00BC0716"/>
    <w:rsid w:val="00BC0DD6"/>
    <w:rsid w:val="00BC30FB"/>
    <w:rsid w:val="00BC31DF"/>
    <w:rsid w:val="00BC4940"/>
    <w:rsid w:val="00BC57CD"/>
    <w:rsid w:val="00BC5A77"/>
    <w:rsid w:val="00BC5CF5"/>
    <w:rsid w:val="00BC6C2F"/>
    <w:rsid w:val="00BC7110"/>
    <w:rsid w:val="00BD001E"/>
    <w:rsid w:val="00BD074D"/>
    <w:rsid w:val="00BD1276"/>
    <w:rsid w:val="00BD1915"/>
    <w:rsid w:val="00BD1C0F"/>
    <w:rsid w:val="00BD1CEB"/>
    <w:rsid w:val="00BD2A46"/>
    <w:rsid w:val="00BD346B"/>
    <w:rsid w:val="00BD3501"/>
    <w:rsid w:val="00BD38A0"/>
    <w:rsid w:val="00BD3FEE"/>
    <w:rsid w:val="00BD4DA7"/>
    <w:rsid w:val="00BD510B"/>
    <w:rsid w:val="00BD5890"/>
    <w:rsid w:val="00BD6423"/>
    <w:rsid w:val="00BD73CE"/>
    <w:rsid w:val="00BD75E2"/>
    <w:rsid w:val="00BD77E2"/>
    <w:rsid w:val="00BD7C81"/>
    <w:rsid w:val="00BD7CEA"/>
    <w:rsid w:val="00BE0659"/>
    <w:rsid w:val="00BE0E40"/>
    <w:rsid w:val="00BE106B"/>
    <w:rsid w:val="00BE125A"/>
    <w:rsid w:val="00BE1414"/>
    <w:rsid w:val="00BE1A4D"/>
    <w:rsid w:val="00BE1DC7"/>
    <w:rsid w:val="00BE2240"/>
    <w:rsid w:val="00BE26CC"/>
    <w:rsid w:val="00BE31C3"/>
    <w:rsid w:val="00BE3606"/>
    <w:rsid w:val="00BE362E"/>
    <w:rsid w:val="00BE46C6"/>
    <w:rsid w:val="00BE4B1D"/>
    <w:rsid w:val="00BE75E0"/>
    <w:rsid w:val="00BE7D67"/>
    <w:rsid w:val="00BE7E4A"/>
    <w:rsid w:val="00BF0324"/>
    <w:rsid w:val="00BF0B2B"/>
    <w:rsid w:val="00BF1AF3"/>
    <w:rsid w:val="00BF1AFF"/>
    <w:rsid w:val="00BF1B56"/>
    <w:rsid w:val="00BF2695"/>
    <w:rsid w:val="00BF3095"/>
    <w:rsid w:val="00BF33A7"/>
    <w:rsid w:val="00BF3B07"/>
    <w:rsid w:val="00BF3D95"/>
    <w:rsid w:val="00BF48D5"/>
    <w:rsid w:val="00BF5123"/>
    <w:rsid w:val="00BF6423"/>
    <w:rsid w:val="00BF6556"/>
    <w:rsid w:val="00BF6AC3"/>
    <w:rsid w:val="00BF74A4"/>
    <w:rsid w:val="00BF7976"/>
    <w:rsid w:val="00BF79D9"/>
    <w:rsid w:val="00C009E4"/>
    <w:rsid w:val="00C00BD4"/>
    <w:rsid w:val="00C00EB5"/>
    <w:rsid w:val="00C027FC"/>
    <w:rsid w:val="00C03013"/>
    <w:rsid w:val="00C04AF1"/>
    <w:rsid w:val="00C04CE6"/>
    <w:rsid w:val="00C04D1C"/>
    <w:rsid w:val="00C05CF0"/>
    <w:rsid w:val="00C0686E"/>
    <w:rsid w:val="00C06967"/>
    <w:rsid w:val="00C07D54"/>
    <w:rsid w:val="00C101A8"/>
    <w:rsid w:val="00C11417"/>
    <w:rsid w:val="00C119A7"/>
    <w:rsid w:val="00C11B4F"/>
    <w:rsid w:val="00C132BC"/>
    <w:rsid w:val="00C13803"/>
    <w:rsid w:val="00C13ADE"/>
    <w:rsid w:val="00C14650"/>
    <w:rsid w:val="00C147B6"/>
    <w:rsid w:val="00C14823"/>
    <w:rsid w:val="00C14C57"/>
    <w:rsid w:val="00C14EA0"/>
    <w:rsid w:val="00C156A9"/>
    <w:rsid w:val="00C17102"/>
    <w:rsid w:val="00C17919"/>
    <w:rsid w:val="00C17F2D"/>
    <w:rsid w:val="00C17FB9"/>
    <w:rsid w:val="00C203D5"/>
    <w:rsid w:val="00C20DA6"/>
    <w:rsid w:val="00C24191"/>
    <w:rsid w:val="00C24B2A"/>
    <w:rsid w:val="00C26642"/>
    <w:rsid w:val="00C269E3"/>
    <w:rsid w:val="00C3040C"/>
    <w:rsid w:val="00C310DF"/>
    <w:rsid w:val="00C3162D"/>
    <w:rsid w:val="00C31884"/>
    <w:rsid w:val="00C31994"/>
    <w:rsid w:val="00C32765"/>
    <w:rsid w:val="00C32EBB"/>
    <w:rsid w:val="00C32ED8"/>
    <w:rsid w:val="00C33314"/>
    <w:rsid w:val="00C3358A"/>
    <w:rsid w:val="00C335BC"/>
    <w:rsid w:val="00C33D45"/>
    <w:rsid w:val="00C34183"/>
    <w:rsid w:val="00C35ABC"/>
    <w:rsid w:val="00C3716B"/>
    <w:rsid w:val="00C402A9"/>
    <w:rsid w:val="00C40896"/>
    <w:rsid w:val="00C40BEA"/>
    <w:rsid w:val="00C40C25"/>
    <w:rsid w:val="00C40C3B"/>
    <w:rsid w:val="00C41153"/>
    <w:rsid w:val="00C41BB4"/>
    <w:rsid w:val="00C41C19"/>
    <w:rsid w:val="00C43A47"/>
    <w:rsid w:val="00C43EE9"/>
    <w:rsid w:val="00C45D2F"/>
    <w:rsid w:val="00C46E29"/>
    <w:rsid w:val="00C4781E"/>
    <w:rsid w:val="00C514D4"/>
    <w:rsid w:val="00C516D7"/>
    <w:rsid w:val="00C538A8"/>
    <w:rsid w:val="00C5496C"/>
    <w:rsid w:val="00C54E0A"/>
    <w:rsid w:val="00C555B2"/>
    <w:rsid w:val="00C56A62"/>
    <w:rsid w:val="00C579F6"/>
    <w:rsid w:val="00C57FB8"/>
    <w:rsid w:val="00C602A1"/>
    <w:rsid w:val="00C607B0"/>
    <w:rsid w:val="00C61339"/>
    <w:rsid w:val="00C618BB"/>
    <w:rsid w:val="00C61B1A"/>
    <w:rsid w:val="00C628AF"/>
    <w:rsid w:val="00C63022"/>
    <w:rsid w:val="00C642AF"/>
    <w:rsid w:val="00C6642A"/>
    <w:rsid w:val="00C675FE"/>
    <w:rsid w:val="00C67E49"/>
    <w:rsid w:val="00C700A2"/>
    <w:rsid w:val="00C703C7"/>
    <w:rsid w:val="00C705A5"/>
    <w:rsid w:val="00C705DE"/>
    <w:rsid w:val="00C70881"/>
    <w:rsid w:val="00C70984"/>
    <w:rsid w:val="00C71107"/>
    <w:rsid w:val="00C715DB"/>
    <w:rsid w:val="00C71643"/>
    <w:rsid w:val="00C72B72"/>
    <w:rsid w:val="00C72FE5"/>
    <w:rsid w:val="00C7362D"/>
    <w:rsid w:val="00C73FF3"/>
    <w:rsid w:val="00C761DC"/>
    <w:rsid w:val="00C76266"/>
    <w:rsid w:val="00C812CA"/>
    <w:rsid w:val="00C817E7"/>
    <w:rsid w:val="00C81D8B"/>
    <w:rsid w:val="00C826AB"/>
    <w:rsid w:val="00C82CB2"/>
    <w:rsid w:val="00C85312"/>
    <w:rsid w:val="00C853EC"/>
    <w:rsid w:val="00C85D09"/>
    <w:rsid w:val="00C87123"/>
    <w:rsid w:val="00C8715B"/>
    <w:rsid w:val="00C87BB2"/>
    <w:rsid w:val="00C90654"/>
    <w:rsid w:val="00C9069A"/>
    <w:rsid w:val="00C906C5"/>
    <w:rsid w:val="00C90FDB"/>
    <w:rsid w:val="00C913E5"/>
    <w:rsid w:val="00C931D1"/>
    <w:rsid w:val="00C93C9A"/>
    <w:rsid w:val="00C93D36"/>
    <w:rsid w:val="00C93EC3"/>
    <w:rsid w:val="00C94198"/>
    <w:rsid w:val="00C96DF7"/>
    <w:rsid w:val="00C9726E"/>
    <w:rsid w:val="00C973F9"/>
    <w:rsid w:val="00C97894"/>
    <w:rsid w:val="00C97E02"/>
    <w:rsid w:val="00CA08D8"/>
    <w:rsid w:val="00CA16FF"/>
    <w:rsid w:val="00CA176E"/>
    <w:rsid w:val="00CA1948"/>
    <w:rsid w:val="00CA3859"/>
    <w:rsid w:val="00CA3B74"/>
    <w:rsid w:val="00CA3E4F"/>
    <w:rsid w:val="00CA5508"/>
    <w:rsid w:val="00CA55BB"/>
    <w:rsid w:val="00CA5E2D"/>
    <w:rsid w:val="00CA6425"/>
    <w:rsid w:val="00CA6658"/>
    <w:rsid w:val="00CA7BF2"/>
    <w:rsid w:val="00CA7C96"/>
    <w:rsid w:val="00CB127F"/>
    <w:rsid w:val="00CB1E41"/>
    <w:rsid w:val="00CB3F8D"/>
    <w:rsid w:val="00CB4362"/>
    <w:rsid w:val="00CB44CE"/>
    <w:rsid w:val="00CB4B9D"/>
    <w:rsid w:val="00CB5D2A"/>
    <w:rsid w:val="00CB6397"/>
    <w:rsid w:val="00CB6500"/>
    <w:rsid w:val="00CB6A17"/>
    <w:rsid w:val="00CB6AE5"/>
    <w:rsid w:val="00CB77AA"/>
    <w:rsid w:val="00CB7D7A"/>
    <w:rsid w:val="00CB7FF8"/>
    <w:rsid w:val="00CC0373"/>
    <w:rsid w:val="00CC195F"/>
    <w:rsid w:val="00CC1CF3"/>
    <w:rsid w:val="00CC5833"/>
    <w:rsid w:val="00CC63F0"/>
    <w:rsid w:val="00CC6D8B"/>
    <w:rsid w:val="00CC78A9"/>
    <w:rsid w:val="00CD0887"/>
    <w:rsid w:val="00CD1403"/>
    <w:rsid w:val="00CD170D"/>
    <w:rsid w:val="00CD1FE9"/>
    <w:rsid w:val="00CD23FE"/>
    <w:rsid w:val="00CD25C7"/>
    <w:rsid w:val="00CD29D9"/>
    <w:rsid w:val="00CD2BFF"/>
    <w:rsid w:val="00CD32E5"/>
    <w:rsid w:val="00CD4217"/>
    <w:rsid w:val="00CD485D"/>
    <w:rsid w:val="00CD6CD3"/>
    <w:rsid w:val="00CD7A12"/>
    <w:rsid w:val="00CE019B"/>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33E"/>
    <w:rsid w:val="00CF149E"/>
    <w:rsid w:val="00CF21D9"/>
    <w:rsid w:val="00CF228F"/>
    <w:rsid w:val="00CF42E2"/>
    <w:rsid w:val="00CF5580"/>
    <w:rsid w:val="00CF57F3"/>
    <w:rsid w:val="00CF6695"/>
    <w:rsid w:val="00CF7695"/>
    <w:rsid w:val="00D00B8B"/>
    <w:rsid w:val="00D00DCE"/>
    <w:rsid w:val="00D01247"/>
    <w:rsid w:val="00D01D9B"/>
    <w:rsid w:val="00D01E8E"/>
    <w:rsid w:val="00D038D1"/>
    <w:rsid w:val="00D03932"/>
    <w:rsid w:val="00D03B20"/>
    <w:rsid w:val="00D044E6"/>
    <w:rsid w:val="00D05A78"/>
    <w:rsid w:val="00D07CC2"/>
    <w:rsid w:val="00D07D29"/>
    <w:rsid w:val="00D1039A"/>
    <w:rsid w:val="00D107C5"/>
    <w:rsid w:val="00D12176"/>
    <w:rsid w:val="00D135EC"/>
    <w:rsid w:val="00D139FF"/>
    <w:rsid w:val="00D13B89"/>
    <w:rsid w:val="00D14522"/>
    <w:rsid w:val="00D14A54"/>
    <w:rsid w:val="00D14FD0"/>
    <w:rsid w:val="00D15E62"/>
    <w:rsid w:val="00D15EB8"/>
    <w:rsid w:val="00D16823"/>
    <w:rsid w:val="00D1686F"/>
    <w:rsid w:val="00D169E2"/>
    <w:rsid w:val="00D16EF3"/>
    <w:rsid w:val="00D211C7"/>
    <w:rsid w:val="00D2235B"/>
    <w:rsid w:val="00D22A1E"/>
    <w:rsid w:val="00D23041"/>
    <w:rsid w:val="00D23266"/>
    <w:rsid w:val="00D23415"/>
    <w:rsid w:val="00D2379B"/>
    <w:rsid w:val="00D257A1"/>
    <w:rsid w:val="00D26B97"/>
    <w:rsid w:val="00D276FF"/>
    <w:rsid w:val="00D27B7A"/>
    <w:rsid w:val="00D27CDA"/>
    <w:rsid w:val="00D30275"/>
    <w:rsid w:val="00D315DC"/>
    <w:rsid w:val="00D31CDF"/>
    <w:rsid w:val="00D32B14"/>
    <w:rsid w:val="00D32B90"/>
    <w:rsid w:val="00D3416E"/>
    <w:rsid w:val="00D35AA0"/>
    <w:rsid w:val="00D35F67"/>
    <w:rsid w:val="00D37AD3"/>
    <w:rsid w:val="00D40940"/>
    <w:rsid w:val="00D40AD7"/>
    <w:rsid w:val="00D4156B"/>
    <w:rsid w:val="00D42AB7"/>
    <w:rsid w:val="00D43169"/>
    <w:rsid w:val="00D44A2E"/>
    <w:rsid w:val="00D44DEA"/>
    <w:rsid w:val="00D45170"/>
    <w:rsid w:val="00D456F6"/>
    <w:rsid w:val="00D45D5C"/>
    <w:rsid w:val="00D47F3A"/>
    <w:rsid w:val="00D50024"/>
    <w:rsid w:val="00D518A5"/>
    <w:rsid w:val="00D518DE"/>
    <w:rsid w:val="00D51FBC"/>
    <w:rsid w:val="00D521D8"/>
    <w:rsid w:val="00D53041"/>
    <w:rsid w:val="00D53185"/>
    <w:rsid w:val="00D53805"/>
    <w:rsid w:val="00D54787"/>
    <w:rsid w:val="00D5757D"/>
    <w:rsid w:val="00D60C06"/>
    <w:rsid w:val="00D60CB8"/>
    <w:rsid w:val="00D60EDB"/>
    <w:rsid w:val="00D61BC6"/>
    <w:rsid w:val="00D62CE2"/>
    <w:rsid w:val="00D64F35"/>
    <w:rsid w:val="00D656AF"/>
    <w:rsid w:val="00D66223"/>
    <w:rsid w:val="00D6710D"/>
    <w:rsid w:val="00D6799C"/>
    <w:rsid w:val="00D71B25"/>
    <w:rsid w:val="00D725A9"/>
    <w:rsid w:val="00D72E41"/>
    <w:rsid w:val="00D739D0"/>
    <w:rsid w:val="00D7482B"/>
    <w:rsid w:val="00D74B33"/>
    <w:rsid w:val="00D7516A"/>
    <w:rsid w:val="00D75744"/>
    <w:rsid w:val="00D76161"/>
    <w:rsid w:val="00D762FA"/>
    <w:rsid w:val="00D7650A"/>
    <w:rsid w:val="00D76548"/>
    <w:rsid w:val="00D77B54"/>
    <w:rsid w:val="00D77B55"/>
    <w:rsid w:val="00D77F08"/>
    <w:rsid w:val="00D80016"/>
    <w:rsid w:val="00D80A91"/>
    <w:rsid w:val="00D812CC"/>
    <w:rsid w:val="00D831C9"/>
    <w:rsid w:val="00D83FE0"/>
    <w:rsid w:val="00D84471"/>
    <w:rsid w:val="00D84CA4"/>
    <w:rsid w:val="00D86CD1"/>
    <w:rsid w:val="00D86E52"/>
    <w:rsid w:val="00D86EB1"/>
    <w:rsid w:val="00D8706F"/>
    <w:rsid w:val="00D874C0"/>
    <w:rsid w:val="00D87CD4"/>
    <w:rsid w:val="00D90AEC"/>
    <w:rsid w:val="00D90D3E"/>
    <w:rsid w:val="00D914BE"/>
    <w:rsid w:val="00D91BD8"/>
    <w:rsid w:val="00D92622"/>
    <w:rsid w:val="00D93371"/>
    <w:rsid w:val="00D93D89"/>
    <w:rsid w:val="00D94623"/>
    <w:rsid w:val="00D94B6D"/>
    <w:rsid w:val="00D9587D"/>
    <w:rsid w:val="00D96F82"/>
    <w:rsid w:val="00D971F5"/>
    <w:rsid w:val="00D97431"/>
    <w:rsid w:val="00D97566"/>
    <w:rsid w:val="00D97B92"/>
    <w:rsid w:val="00D97BF7"/>
    <w:rsid w:val="00DA00D8"/>
    <w:rsid w:val="00DA04B3"/>
    <w:rsid w:val="00DA0C82"/>
    <w:rsid w:val="00DA1958"/>
    <w:rsid w:val="00DA2022"/>
    <w:rsid w:val="00DA3224"/>
    <w:rsid w:val="00DA37E6"/>
    <w:rsid w:val="00DA3A70"/>
    <w:rsid w:val="00DA409D"/>
    <w:rsid w:val="00DA42C1"/>
    <w:rsid w:val="00DA4322"/>
    <w:rsid w:val="00DA57F3"/>
    <w:rsid w:val="00DA5944"/>
    <w:rsid w:val="00DA614D"/>
    <w:rsid w:val="00DA6E2E"/>
    <w:rsid w:val="00DA76FB"/>
    <w:rsid w:val="00DA7C7A"/>
    <w:rsid w:val="00DB01DB"/>
    <w:rsid w:val="00DB07DF"/>
    <w:rsid w:val="00DB0B38"/>
    <w:rsid w:val="00DB0DAF"/>
    <w:rsid w:val="00DB2645"/>
    <w:rsid w:val="00DB2FE4"/>
    <w:rsid w:val="00DB363E"/>
    <w:rsid w:val="00DB39AC"/>
    <w:rsid w:val="00DB4BED"/>
    <w:rsid w:val="00DB4D38"/>
    <w:rsid w:val="00DB549A"/>
    <w:rsid w:val="00DB5940"/>
    <w:rsid w:val="00DB5DF8"/>
    <w:rsid w:val="00DB673D"/>
    <w:rsid w:val="00DB6E65"/>
    <w:rsid w:val="00DB7335"/>
    <w:rsid w:val="00DC002C"/>
    <w:rsid w:val="00DC017B"/>
    <w:rsid w:val="00DC0ADE"/>
    <w:rsid w:val="00DC218B"/>
    <w:rsid w:val="00DC2DD7"/>
    <w:rsid w:val="00DC4C08"/>
    <w:rsid w:val="00DC518F"/>
    <w:rsid w:val="00DC53B0"/>
    <w:rsid w:val="00DC552A"/>
    <w:rsid w:val="00DC56F2"/>
    <w:rsid w:val="00DC5D2A"/>
    <w:rsid w:val="00DC657C"/>
    <w:rsid w:val="00DC6B24"/>
    <w:rsid w:val="00DC71A0"/>
    <w:rsid w:val="00DD088B"/>
    <w:rsid w:val="00DD15F5"/>
    <w:rsid w:val="00DD2B73"/>
    <w:rsid w:val="00DD3B29"/>
    <w:rsid w:val="00DD44F3"/>
    <w:rsid w:val="00DD44F7"/>
    <w:rsid w:val="00DD456C"/>
    <w:rsid w:val="00DD5189"/>
    <w:rsid w:val="00DD599A"/>
    <w:rsid w:val="00DD5C58"/>
    <w:rsid w:val="00DD6285"/>
    <w:rsid w:val="00DD65A2"/>
    <w:rsid w:val="00DD698E"/>
    <w:rsid w:val="00DD6B4C"/>
    <w:rsid w:val="00DD7C85"/>
    <w:rsid w:val="00DE10C7"/>
    <w:rsid w:val="00DE1399"/>
    <w:rsid w:val="00DE1606"/>
    <w:rsid w:val="00DE1805"/>
    <w:rsid w:val="00DE1DC6"/>
    <w:rsid w:val="00DE20A0"/>
    <w:rsid w:val="00DE25D8"/>
    <w:rsid w:val="00DE2E07"/>
    <w:rsid w:val="00DE365D"/>
    <w:rsid w:val="00DE4096"/>
    <w:rsid w:val="00DE4776"/>
    <w:rsid w:val="00DE5A7F"/>
    <w:rsid w:val="00DE61F9"/>
    <w:rsid w:val="00DE6A6E"/>
    <w:rsid w:val="00DE75D1"/>
    <w:rsid w:val="00DE760C"/>
    <w:rsid w:val="00DE7C65"/>
    <w:rsid w:val="00DF0147"/>
    <w:rsid w:val="00DF14FB"/>
    <w:rsid w:val="00DF396C"/>
    <w:rsid w:val="00DF44DC"/>
    <w:rsid w:val="00DF5807"/>
    <w:rsid w:val="00DF5D80"/>
    <w:rsid w:val="00DF6648"/>
    <w:rsid w:val="00DF7860"/>
    <w:rsid w:val="00DF7C12"/>
    <w:rsid w:val="00E02752"/>
    <w:rsid w:val="00E02BBE"/>
    <w:rsid w:val="00E03598"/>
    <w:rsid w:val="00E053CB"/>
    <w:rsid w:val="00E0644A"/>
    <w:rsid w:val="00E06F91"/>
    <w:rsid w:val="00E10223"/>
    <w:rsid w:val="00E10B04"/>
    <w:rsid w:val="00E10B5F"/>
    <w:rsid w:val="00E127E7"/>
    <w:rsid w:val="00E145DA"/>
    <w:rsid w:val="00E14D1D"/>
    <w:rsid w:val="00E16044"/>
    <w:rsid w:val="00E161E8"/>
    <w:rsid w:val="00E167BF"/>
    <w:rsid w:val="00E16847"/>
    <w:rsid w:val="00E1699D"/>
    <w:rsid w:val="00E173D6"/>
    <w:rsid w:val="00E1742B"/>
    <w:rsid w:val="00E17910"/>
    <w:rsid w:val="00E17D2B"/>
    <w:rsid w:val="00E2023F"/>
    <w:rsid w:val="00E221D1"/>
    <w:rsid w:val="00E2264C"/>
    <w:rsid w:val="00E22F5D"/>
    <w:rsid w:val="00E237E2"/>
    <w:rsid w:val="00E24083"/>
    <w:rsid w:val="00E241E2"/>
    <w:rsid w:val="00E242E1"/>
    <w:rsid w:val="00E242EB"/>
    <w:rsid w:val="00E247B9"/>
    <w:rsid w:val="00E24897"/>
    <w:rsid w:val="00E2550D"/>
    <w:rsid w:val="00E25D1B"/>
    <w:rsid w:val="00E25F99"/>
    <w:rsid w:val="00E27C42"/>
    <w:rsid w:val="00E3022B"/>
    <w:rsid w:val="00E313F6"/>
    <w:rsid w:val="00E3271E"/>
    <w:rsid w:val="00E33201"/>
    <w:rsid w:val="00E3391E"/>
    <w:rsid w:val="00E33B8F"/>
    <w:rsid w:val="00E34B6A"/>
    <w:rsid w:val="00E3618A"/>
    <w:rsid w:val="00E37FDC"/>
    <w:rsid w:val="00E40371"/>
    <w:rsid w:val="00E40F2A"/>
    <w:rsid w:val="00E41115"/>
    <w:rsid w:val="00E42252"/>
    <w:rsid w:val="00E422BF"/>
    <w:rsid w:val="00E456F3"/>
    <w:rsid w:val="00E45A95"/>
    <w:rsid w:val="00E467B1"/>
    <w:rsid w:val="00E469B0"/>
    <w:rsid w:val="00E474EE"/>
    <w:rsid w:val="00E5040D"/>
    <w:rsid w:val="00E5116C"/>
    <w:rsid w:val="00E51796"/>
    <w:rsid w:val="00E51987"/>
    <w:rsid w:val="00E522B9"/>
    <w:rsid w:val="00E52C34"/>
    <w:rsid w:val="00E53342"/>
    <w:rsid w:val="00E53897"/>
    <w:rsid w:val="00E539DF"/>
    <w:rsid w:val="00E53EEA"/>
    <w:rsid w:val="00E53F45"/>
    <w:rsid w:val="00E56246"/>
    <w:rsid w:val="00E568F7"/>
    <w:rsid w:val="00E57108"/>
    <w:rsid w:val="00E604AC"/>
    <w:rsid w:val="00E60502"/>
    <w:rsid w:val="00E60DAF"/>
    <w:rsid w:val="00E61937"/>
    <w:rsid w:val="00E6202C"/>
    <w:rsid w:val="00E622D1"/>
    <w:rsid w:val="00E6282E"/>
    <w:rsid w:val="00E62F52"/>
    <w:rsid w:val="00E631A3"/>
    <w:rsid w:val="00E632FE"/>
    <w:rsid w:val="00E63653"/>
    <w:rsid w:val="00E63A13"/>
    <w:rsid w:val="00E63E60"/>
    <w:rsid w:val="00E641B9"/>
    <w:rsid w:val="00E6455E"/>
    <w:rsid w:val="00E67539"/>
    <w:rsid w:val="00E701C4"/>
    <w:rsid w:val="00E7075A"/>
    <w:rsid w:val="00E70E80"/>
    <w:rsid w:val="00E70F64"/>
    <w:rsid w:val="00E712E8"/>
    <w:rsid w:val="00E717E5"/>
    <w:rsid w:val="00E71FF3"/>
    <w:rsid w:val="00E72968"/>
    <w:rsid w:val="00E72B53"/>
    <w:rsid w:val="00E72F52"/>
    <w:rsid w:val="00E738DC"/>
    <w:rsid w:val="00E738F9"/>
    <w:rsid w:val="00E73C94"/>
    <w:rsid w:val="00E7602B"/>
    <w:rsid w:val="00E764D2"/>
    <w:rsid w:val="00E76B7A"/>
    <w:rsid w:val="00E776E2"/>
    <w:rsid w:val="00E80D76"/>
    <w:rsid w:val="00E81A5A"/>
    <w:rsid w:val="00E82712"/>
    <w:rsid w:val="00E82C63"/>
    <w:rsid w:val="00E83C42"/>
    <w:rsid w:val="00E856F0"/>
    <w:rsid w:val="00E859C0"/>
    <w:rsid w:val="00E863DF"/>
    <w:rsid w:val="00E86D82"/>
    <w:rsid w:val="00E86F97"/>
    <w:rsid w:val="00E8743D"/>
    <w:rsid w:val="00E8748A"/>
    <w:rsid w:val="00E87893"/>
    <w:rsid w:val="00E87906"/>
    <w:rsid w:val="00E9071E"/>
    <w:rsid w:val="00E91382"/>
    <w:rsid w:val="00E91CF0"/>
    <w:rsid w:val="00E929F5"/>
    <w:rsid w:val="00E92ECA"/>
    <w:rsid w:val="00E936D9"/>
    <w:rsid w:val="00E93D41"/>
    <w:rsid w:val="00E93F41"/>
    <w:rsid w:val="00E9630A"/>
    <w:rsid w:val="00E9632B"/>
    <w:rsid w:val="00E96678"/>
    <w:rsid w:val="00E96F99"/>
    <w:rsid w:val="00E97873"/>
    <w:rsid w:val="00EA0220"/>
    <w:rsid w:val="00EA071C"/>
    <w:rsid w:val="00EA0DE3"/>
    <w:rsid w:val="00EA1000"/>
    <w:rsid w:val="00EA2359"/>
    <w:rsid w:val="00EA2EEA"/>
    <w:rsid w:val="00EA34AE"/>
    <w:rsid w:val="00EA3598"/>
    <w:rsid w:val="00EA3AD0"/>
    <w:rsid w:val="00EA5D1F"/>
    <w:rsid w:val="00EA6DEA"/>
    <w:rsid w:val="00EA7041"/>
    <w:rsid w:val="00EB03F1"/>
    <w:rsid w:val="00EB0AD5"/>
    <w:rsid w:val="00EB1C82"/>
    <w:rsid w:val="00EB26DC"/>
    <w:rsid w:val="00EB2715"/>
    <w:rsid w:val="00EB2AE3"/>
    <w:rsid w:val="00EB32DC"/>
    <w:rsid w:val="00EB34D7"/>
    <w:rsid w:val="00EB3D0A"/>
    <w:rsid w:val="00EB4DCF"/>
    <w:rsid w:val="00EB56CE"/>
    <w:rsid w:val="00EB6BE4"/>
    <w:rsid w:val="00EC00B2"/>
    <w:rsid w:val="00EC0DCF"/>
    <w:rsid w:val="00EC269A"/>
    <w:rsid w:val="00EC2E3A"/>
    <w:rsid w:val="00EC2F87"/>
    <w:rsid w:val="00EC30B8"/>
    <w:rsid w:val="00EC32A1"/>
    <w:rsid w:val="00EC4569"/>
    <w:rsid w:val="00EC4CB9"/>
    <w:rsid w:val="00EC53DE"/>
    <w:rsid w:val="00EC56CA"/>
    <w:rsid w:val="00EC65F9"/>
    <w:rsid w:val="00EC7263"/>
    <w:rsid w:val="00ED0815"/>
    <w:rsid w:val="00ED1BD3"/>
    <w:rsid w:val="00ED6538"/>
    <w:rsid w:val="00ED7568"/>
    <w:rsid w:val="00EE076C"/>
    <w:rsid w:val="00EE1767"/>
    <w:rsid w:val="00EE47D2"/>
    <w:rsid w:val="00EE4F91"/>
    <w:rsid w:val="00EE4FE6"/>
    <w:rsid w:val="00EE5122"/>
    <w:rsid w:val="00EE5270"/>
    <w:rsid w:val="00EE568E"/>
    <w:rsid w:val="00EE59F1"/>
    <w:rsid w:val="00EE5DC0"/>
    <w:rsid w:val="00EE5DD1"/>
    <w:rsid w:val="00EE5F96"/>
    <w:rsid w:val="00EE6704"/>
    <w:rsid w:val="00EE7587"/>
    <w:rsid w:val="00EF109B"/>
    <w:rsid w:val="00EF2525"/>
    <w:rsid w:val="00EF346A"/>
    <w:rsid w:val="00EF3C67"/>
    <w:rsid w:val="00EF6143"/>
    <w:rsid w:val="00EF6410"/>
    <w:rsid w:val="00EF67FF"/>
    <w:rsid w:val="00EF6B5B"/>
    <w:rsid w:val="00EF6F4F"/>
    <w:rsid w:val="00F00753"/>
    <w:rsid w:val="00F007E5"/>
    <w:rsid w:val="00F009D1"/>
    <w:rsid w:val="00F0245A"/>
    <w:rsid w:val="00F036D1"/>
    <w:rsid w:val="00F04088"/>
    <w:rsid w:val="00F043DA"/>
    <w:rsid w:val="00F05FC4"/>
    <w:rsid w:val="00F0658E"/>
    <w:rsid w:val="00F06753"/>
    <w:rsid w:val="00F0727D"/>
    <w:rsid w:val="00F10C75"/>
    <w:rsid w:val="00F110A1"/>
    <w:rsid w:val="00F11A54"/>
    <w:rsid w:val="00F146CC"/>
    <w:rsid w:val="00F15361"/>
    <w:rsid w:val="00F156F3"/>
    <w:rsid w:val="00F157CA"/>
    <w:rsid w:val="00F15934"/>
    <w:rsid w:val="00F16252"/>
    <w:rsid w:val="00F16A7C"/>
    <w:rsid w:val="00F16C40"/>
    <w:rsid w:val="00F170AB"/>
    <w:rsid w:val="00F177D4"/>
    <w:rsid w:val="00F203FB"/>
    <w:rsid w:val="00F20D6D"/>
    <w:rsid w:val="00F21401"/>
    <w:rsid w:val="00F22158"/>
    <w:rsid w:val="00F22478"/>
    <w:rsid w:val="00F22FAC"/>
    <w:rsid w:val="00F231DE"/>
    <w:rsid w:val="00F235A6"/>
    <w:rsid w:val="00F24489"/>
    <w:rsid w:val="00F244AD"/>
    <w:rsid w:val="00F259FC"/>
    <w:rsid w:val="00F25C93"/>
    <w:rsid w:val="00F263BB"/>
    <w:rsid w:val="00F26E45"/>
    <w:rsid w:val="00F31ADF"/>
    <w:rsid w:val="00F31FB1"/>
    <w:rsid w:val="00F323D9"/>
    <w:rsid w:val="00F32D18"/>
    <w:rsid w:val="00F33DF6"/>
    <w:rsid w:val="00F33F5B"/>
    <w:rsid w:val="00F34196"/>
    <w:rsid w:val="00F35520"/>
    <w:rsid w:val="00F35644"/>
    <w:rsid w:val="00F35903"/>
    <w:rsid w:val="00F36156"/>
    <w:rsid w:val="00F3662A"/>
    <w:rsid w:val="00F36FCA"/>
    <w:rsid w:val="00F3706E"/>
    <w:rsid w:val="00F40298"/>
    <w:rsid w:val="00F40A5B"/>
    <w:rsid w:val="00F4249E"/>
    <w:rsid w:val="00F42880"/>
    <w:rsid w:val="00F43085"/>
    <w:rsid w:val="00F4399F"/>
    <w:rsid w:val="00F45000"/>
    <w:rsid w:val="00F45495"/>
    <w:rsid w:val="00F47A8B"/>
    <w:rsid w:val="00F506A9"/>
    <w:rsid w:val="00F50C26"/>
    <w:rsid w:val="00F50C71"/>
    <w:rsid w:val="00F5132A"/>
    <w:rsid w:val="00F51DD0"/>
    <w:rsid w:val="00F52BCC"/>
    <w:rsid w:val="00F537AC"/>
    <w:rsid w:val="00F53D1E"/>
    <w:rsid w:val="00F53DB8"/>
    <w:rsid w:val="00F54771"/>
    <w:rsid w:val="00F54B50"/>
    <w:rsid w:val="00F55684"/>
    <w:rsid w:val="00F55ECE"/>
    <w:rsid w:val="00F55F4D"/>
    <w:rsid w:val="00F55F69"/>
    <w:rsid w:val="00F5657C"/>
    <w:rsid w:val="00F56B6E"/>
    <w:rsid w:val="00F56DB4"/>
    <w:rsid w:val="00F573E1"/>
    <w:rsid w:val="00F579D9"/>
    <w:rsid w:val="00F57DAB"/>
    <w:rsid w:val="00F602DF"/>
    <w:rsid w:val="00F6093B"/>
    <w:rsid w:val="00F609A2"/>
    <w:rsid w:val="00F60F9C"/>
    <w:rsid w:val="00F61463"/>
    <w:rsid w:val="00F6176F"/>
    <w:rsid w:val="00F61CF3"/>
    <w:rsid w:val="00F61D6F"/>
    <w:rsid w:val="00F61E54"/>
    <w:rsid w:val="00F6210B"/>
    <w:rsid w:val="00F63CFA"/>
    <w:rsid w:val="00F64016"/>
    <w:rsid w:val="00F641D2"/>
    <w:rsid w:val="00F64418"/>
    <w:rsid w:val="00F6582E"/>
    <w:rsid w:val="00F65AD0"/>
    <w:rsid w:val="00F66815"/>
    <w:rsid w:val="00F66E5A"/>
    <w:rsid w:val="00F6739D"/>
    <w:rsid w:val="00F706DE"/>
    <w:rsid w:val="00F70FA2"/>
    <w:rsid w:val="00F71289"/>
    <w:rsid w:val="00F717BF"/>
    <w:rsid w:val="00F72C60"/>
    <w:rsid w:val="00F7397F"/>
    <w:rsid w:val="00F73A10"/>
    <w:rsid w:val="00F74A25"/>
    <w:rsid w:val="00F74AFC"/>
    <w:rsid w:val="00F74B20"/>
    <w:rsid w:val="00F76EC0"/>
    <w:rsid w:val="00F8034E"/>
    <w:rsid w:val="00F80D6A"/>
    <w:rsid w:val="00F81750"/>
    <w:rsid w:val="00F817DF"/>
    <w:rsid w:val="00F82674"/>
    <w:rsid w:val="00F82D8A"/>
    <w:rsid w:val="00F83E49"/>
    <w:rsid w:val="00F83F3E"/>
    <w:rsid w:val="00F858D0"/>
    <w:rsid w:val="00F85D66"/>
    <w:rsid w:val="00F875AF"/>
    <w:rsid w:val="00F8798E"/>
    <w:rsid w:val="00F87F5B"/>
    <w:rsid w:val="00F90334"/>
    <w:rsid w:val="00F907AC"/>
    <w:rsid w:val="00F90E4D"/>
    <w:rsid w:val="00F91EE9"/>
    <w:rsid w:val="00F91F9D"/>
    <w:rsid w:val="00F920E8"/>
    <w:rsid w:val="00F92327"/>
    <w:rsid w:val="00F931F0"/>
    <w:rsid w:val="00F944E9"/>
    <w:rsid w:val="00F957CE"/>
    <w:rsid w:val="00F95CFC"/>
    <w:rsid w:val="00F95FE9"/>
    <w:rsid w:val="00F96380"/>
    <w:rsid w:val="00FA004F"/>
    <w:rsid w:val="00FA0DC0"/>
    <w:rsid w:val="00FA2C59"/>
    <w:rsid w:val="00FA3761"/>
    <w:rsid w:val="00FA3AD6"/>
    <w:rsid w:val="00FA4847"/>
    <w:rsid w:val="00FA5A4F"/>
    <w:rsid w:val="00FA6147"/>
    <w:rsid w:val="00FA68A9"/>
    <w:rsid w:val="00FA6E4F"/>
    <w:rsid w:val="00FA78A3"/>
    <w:rsid w:val="00FB159D"/>
    <w:rsid w:val="00FB244F"/>
    <w:rsid w:val="00FB3E13"/>
    <w:rsid w:val="00FB58C4"/>
    <w:rsid w:val="00FC0C43"/>
    <w:rsid w:val="00FC1465"/>
    <w:rsid w:val="00FC17DC"/>
    <w:rsid w:val="00FC2781"/>
    <w:rsid w:val="00FC3929"/>
    <w:rsid w:val="00FC603A"/>
    <w:rsid w:val="00FC6150"/>
    <w:rsid w:val="00FC7510"/>
    <w:rsid w:val="00FC778C"/>
    <w:rsid w:val="00FC7E25"/>
    <w:rsid w:val="00FD0D14"/>
    <w:rsid w:val="00FD15FB"/>
    <w:rsid w:val="00FD1C4B"/>
    <w:rsid w:val="00FD252C"/>
    <w:rsid w:val="00FD43B6"/>
    <w:rsid w:val="00FD544C"/>
    <w:rsid w:val="00FD571D"/>
    <w:rsid w:val="00FD5DBE"/>
    <w:rsid w:val="00FD5F32"/>
    <w:rsid w:val="00FD6C1E"/>
    <w:rsid w:val="00FD6F1E"/>
    <w:rsid w:val="00FE048F"/>
    <w:rsid w:val="00FE0AFB"/>
    <w:rsid w:val="00FE2B8F"/>
    <w:rsid w:val="00FE2DF3"/>
    <w:rsid w:val="00FE2FEB"/>
    <w:rsid w:val="00FE31D9"/>
    <w:rsid w:val="00FE36F5"/>
    <w:rsid w:val="00FE4572"/>
    <w:rsid w:val="00FE495E"/>
    <w:rsid w:val="00FE550F"/>
    <w:rsid w:val="00FE64FC"/>
    <w:rsid w:val="00FF09FD"/>
    <w:rsid w:val="00FF26EC"/>
    <w:rsid w:val="00FF492D"/>
    <w:rsid w:val="00FF61D3"/>
    <w:rsid w:val="00FF6625"/>
    <w:rsid w:val="00FF6F2A"/>
    <w:rsid w:val="00FF7235"/>
    <w:rsid w:val="016920DC"/>
    <w:rsid w:val="01AD1873"/>
    <w:rsid w:val="02544A1E"/>
    <w:rsid w:val="02C10E79"/>
    <w:rsid w:val="02FA569D"/>
    <w:rsid w:val="03036665"/>
    <w:rsid w:val="031A4ACD"/>
    <w:rsid w:val="03696349"/>
    <w:rsid w:val="037670C0"/>
    <w:rsid w:val="04566264"/>
    <w:rsid w:val="04AE5EFC"/>
    <w:rsid w:val="04CC6316"/>
    <w:rsid w:val="05AB6BB5"/>
    <w:rsid w:val="060C7C04"/>
    <w:rsid w:val="06144A27"/>
    <w:rsid w:val="061C2766"/>
    <w:rsid w:val="06695AAF"/>
    <w:rsid w:val="068356C8"/>
    <w:rsid w:val="07993245"/>
    <w:rsid w:val="08055CAB"/>
    <w:rsid w:val="08220C21"/>
    <w:rsid w:val="083326B3"/>
    <w:rsid w:val="0896662D"/>
    <w:rsid w:val="094D1481"/>
    <w:rsid w:val="097A2864"/>
    <w:rsid w:val="0A0E0016"/>
    <w:rsid w:val="0B3A00B3"/>
    <w:rsid w:val="0BEE03B2"/>
    <w:rsid w:val="0C0F270E"/>
    <w:rsid w:val="0D0F3B82"/>
    <w:rsid w:val="0D187B50"/>
    <w:rsid w:val="0D5439A7"/>
    <w:rsid w:val="0D866B2D"/>
    <w:rsid w:val="0DB60928"/>
    <w:rsid w:val="0DD028B8"/>
    <w:rsid w:val="0DDD37E2"/>
    <w:rsid w:val="0E502773"/>
    <w:rsid w:val="0F0E7B3C"/>
    <w:rsid w:val="0F3A3DFF"/>
    <w:rsid w:val="0FA97B58"/>
    <w:rsid w:val="10872CD5"/>
    <w:rsid w:val="109D458D"/>
    <w:rsid w:val="109E624B"/>
    <w:rsid w:val="1154735C"/>
    <w:rsid w:val="116D2EC9"/>
    <w:rsid w:val="117D3ED1"/>
    <w:rsid w:val="11D44E9C"/>
    <w:rsid w:val="11F02745"/>
    <w:rsid w:val="121579A3"/>
    <w:rsid w:val="125B57AE"/>
    <w:rsid w:val="12962C44"/>
    <w:rsid w:val="12C77779"/>
    <w:rsid w:val="12C90CF0"/>
    <w:rsid w:val="13234267"/>
    <w:rsid w:val="13722859"/>
    <w:rsid w:val="13A6528A"/>
    <w:rsid w:val="13FC0C0A"/>
    <w:rsid w:val="14777F72"/>
    <w:rsid w:val="147D0064"/>
    <w:rsid w:val="15537E15"/>
    <w:rsid w:val="16164F06"/>
    <w:rsid w:val="17605172"/>
    <w:rsid w:val="17B4568F"/>
    <w:rsid w:val="17FF434E"/>
    <w:rsid w:val="180365AC"/>
    <w:rsid w:val="18057327"/>
    <w:rsid w:val="18AE37F5"/>
    <w:rsid w:val="18CA6249"/>
    <w:rsid w:val="19853F2F"/>
    <w:rsid w:val="19A72B95"/>
    <w:rsid w:val="19B54768"/>
    <w:rsid w:val="19E24C1C"/>
    <w:rsid w:val="1A3120C0"/>
    <w:rsid w:val="1AD10631"/>
    <w:rsid w:val="1AF276F8"/>
    <w:rsid w:val="1B2E266D"/>
    <w:rsid w:val="1BBE0DFF"/>
    <w:rsid w:val="1BD143CB"/>
    <w:rsid w:val="1C676ADD"/>
    <w:rsid w:val="1CF11735"/>
    <w:rsid w:val="1D1D3E84"/>
    <w:rsid w:val="1D725A26"/>
    <w:rsid w:val="1DB15B80"/>
    <w:rsid w:val="1E877B4C"/>
    <w:rsid w:val="1EEE5942"/>
    <w:rsid w:val="1F0A69A8"/>
    <w:rsid w:val="20D34BC1"/>
    <w:rsid w:val="20D774B1"/>
    <w:rsid w:val="20F45B3A"/>
    <w:rsid w:val="21194A7C"/>
    <w:rsid w:val="218441BA"/>
    <w:rsid w:val="218F47A7"/>
    <w:rsid w:val="2214019E"/>
    <w:rsid w:val="22977D57"/>
    <w:rsid w:val="22A27D04"/>
    <w:rsid w:val="24A43E2E"/>
    <w:rsid w:val="251F56D8"/>
    <w:rsid w:val="2572277A"/>
    <w:rsid w:val="25C97EC1"/>
    <w:rsid w:val="25F73654"/>
    <w:rsid w:val="25F803D3"/>
    <w:rsid w:val="262E0E93"/>
    <w:rsid w:val="26AF259A"/>
    <w:rsid w:val="2790513A"/>
    <w:rsid w:val="279D74CB"/>
    <w:rsid w:val="280B2A12"/>
    <w:rsid w:val="280C6CAA"/>
    <w:rsid w:val="281650F9"/>
    <w:rsid w:val="288307FB"/>
    <w:rsid w:val="28976054"/>
    <w:rsid w:val="28A13818"/>
    <w:rsid w:val="28B3029B"/>
    <w:rsid w:val="28EE63EB"/>
    <w:rsid w:val="28FC1734"/>
    <w:rsid w:val="28FC268A"/>
    <w:rsid w:val="29091082"/>
    <w:rsid w:val="2933430F"/>
    <w:rsid w:val="29A3069D"/>
    <w:rsid w:val="29DE0C5C"/>
    <w:rsid w:val="29F16550"/>
    <w:rsid w:val="2A1C711C"/>
    <w:rsid w:val="2A312ABD"/>
    <w:rsid w:val="2A7B3912"/>
    <w:rsid w:val="2AEE4CFE"/>
    <w:rsid w:val="2B563A16"/>
    <w:rsid w:val="2BBA4555"/>
    <w:rsid w:val="2BC80F3A"/>
    <w:rsid w:val="2BE94E51"/>
    <w:rsid w:val="2C37664E"/>
    <w:rsid w:val="2C3B1951"/>
    <w:rsid w:val="2C543180"/>
    <w:rsid w:val="2C8D7E32"/>
    <w:rsid w:val="2C9B7890"/>
    <w:rsid w:val="2D3D2B42"/>
    <w:rsid w:val="2D73578A"/>
    <w:rsid w:val="2E446497"/>
    <w:rsid w:val="2F4131BE"/>
    <w:rsid w:val="2F7E7EC7"/>
    <w:rsid w:val="2F800BA1"/>
    <w:rsid w:val="2F8F6CD2"/>
    <w:rsid w:val="307A24F6"/>
    <w:rsid w:val="30E052E7"/>
    <w:rsid w:val="3137452B"/>
    <w:rsid w:val="31C1529D"/>
    <w:rsid w:val="3208793B"/>
    <w:rsid w:val="32643B5D"/>
    <w:rsid w:val="329315A4"/>
    <w:rsid w:val="331A2B77"/>
    <w:rsid w:val="331E3659"/>
    <w:rsid w:val="33885346"/>
    <w:rsid w:val="33AD4F8F"/>
    <w:rsid w:val="33E74D8D"/>
    <w:rsid w:val="33EB36F8"/>
    <w:rsid w:val="341B520E"/>
    <w:rsid w:val="343B01DB"/>
    <w:rsid w:val="34623D23"/>
    <w:rsid w:val="34B95E12"/>
    <w:rsid w:val="34EE1612"/>
    <w:rsid w:val="35250630"/>
    <w:rsid w:val="35442E3D"/>
    <w:rsid w:val="36301A6E"/>
    <w:rsid w:val="367E2601"/>
    <w:rsid w:val="36BE3539"/>
    <w:rsid w:val="38204EE7"/>
    <w:rsid w:val="389425B0"/>
    <w:rsid w:val="39283912"/>
    <w:rsid w:val="398E4756"/>
    <w:rsid w:val="39AA4B42"/>
    <w:rsid w:val="39B05E71"/>
    <w:rsid w:val="3A3A7DDC"/>
    <w:rsid w:val="3A9737FA"/>
    <w:rsid w:val="3AE07468"/>
    <w:rsid w:val="3B9F62CF"/>
    <w:rsid w:val="3BD52EE7"/>
    <w:rsid w:val="3C392F1A"/>
    <w:rsid w:val="3C446E29"/>
    <w:rsid w:val="3C7E03CE"/>
    <w:rsid w:val="3C9327F7"/>
    <w:rsid w:val="3CBC0E0B"/>
    <w:rsid w:val="3D383C16"/>
    <w:rsid w:val="3DA9112C"/>
    <w:rsid w:val="3DBF74FD"/>
    <w:rsid w:val="3DD118B1"/>
    <w:rsid w:val="3DEE7E73"/>
    <w:rsid w:val="3E0209C7"/>
    <w:rsid w:val="3E1C30C0"/>
    <w:rsid w:val="3E344F3C"/>
    <w:rsid w:val="3E8B44B3"/>
    <w:rsid w:val="3EA220F0"/>
    <w:rsid w:val="3ECF4038"/>
    <w:rsid w:val="3F1B7587"/>
    <w:rsid w:val="3F5E7D4A"/>
    <w:rsid w:val="3FDE2F37"/>
    <w:rsid w:val="40644767"/>
    <w:rsid w:val="41AB4620"/>
    <w:rsid w:val="41DC347B"/>
    <w:rsid w:val="42083C6E"/>
    <w:rsid w:val="421A6102"/>
    <w:rsid w:val="42796079"/>
    <w:rsid w:val="427F3A82"/>
    <w:rsid w:val="430E2370"/>
    <w:rsid w:val="437F7C96"/>
    <w:rsid w:val="44393AF3"/>
    <w:rsid w:val="45333FF1"/>
    <w:rsid w:val="46032522"/>
    <w:rsid w:val="46036F85"/>
    <w:rsid w:val="464669B6"/>
    <w:rsid w:val="46D67093"/>
    <w:rsid w:val="46E279C6"/>
    <w:rsid w:val="471A45C8"/>
    <w:rsid w:val="472153AE"/>
    <w:rsid w:val="48254B96"/>
    <w:rsid w:val="485D456C"/>
    <w:rsid w:val="49A52D09"/>
    <w:rsid w:val="49A82CC8"/>
    <w:rsid w:val="49C967F5"/>
    <w:rsid w:val="49FC467B"/>
    <w:rsid w:val="4A7463DC"/>
    <w:rsid w:val="4A8E309D"/>
    <w:rsid w:val="4AA8125A"/>
    <w:rsid w:val="4B9C1CE2"/>
    <w:rsid w:val="4BAE1039"/>
    <w:rsid w:val="4C350FA0"/>
    <w:rsid w:val="4CB37889"/>
    <w:rsid w:val="4D4B1C0D"/>
    <w:rsid w:val="4D977098"/>
    <w:rsid w:val="4DBA2738"/>
    <w:rsid w:val="4DBC3CE3"/>
    <w:rsid w:val="4DC42A8D"/>
    <w:rsid w:val="4DE83669"/>
    <w:rsid w:val="4DF92415"/>
    <w:rsid w:val="4E7379CD"/>
    <w:rsid w:val="4F235B89"/>
    <w:rsid w:val="4F840831"/>
    <w:rsid w:val="50721F87"/>
    <w:rsid w:val="50EB4A95"/>
    <w:rsid w:val="512F4C4C"/>
    <w:rsid w:val="514A5E8C"/>
    <w:rsid w:val="5200097C"/>
    <w:rsid w:val="526A01B2"/>
    <w:rsid w:val="53083527"/>
    <w:rsid w:val="53876B42"/>
    <w:rsid w:val="538E4659"/>
    <w:rsid w:val="53BB196D"/>
    <w:rsid w:val="53F97BE8"/>
    <w:rsid w:val="54C35D5C"/>
    <w:rsid w:val="55023CE0"/>
    <w:rsid w:val="55FF2686"/>
    <w:rsid w:val="560F6013"/>
    <w:rsid w:val="561C2EC0"/>
    <w:rsid w:val="57935995"/>
    <w:rsid w:val="57F63F01"/>
    <w:rsid w:val="58D566F0"/>
    <w:rsid w:val="59CD7852"/>
    <w:rsid w:val="5A4A3F85"/>
    <w:rsid w:val="5A5A2754"/>
    <w:rsid w:val="5B1E36A3"/>
    <w:rsid w:val="5B3F7D02"/>
    <w:rsid w:val="5BB071C7"/>
    <w:rsid w:val="5BD65DB8"/>
    <w:rsid w:val="5BFB04BD"/>
    <w:rsid w:val="5C355706"/>
    <w:rsid w:val="5C455FC2"/>
    <w:rsid w:val="5C7436DF"/>
    <w:rsid w:val="5D047419"/>
    <w:rsid w:val="5E1516A2"/>
    <w:rsid w:val="5E766130"/>
    <w:rsid w:val="5EEC30F3"/>
    <w:rsid w:val="5FC14CC4"/>
    <w:rsid w:val="600648E7"/>
    <w:rsid w:val="60D540A2"/>
    <w:rsid w:val="60DA3D76"/>
    <w:rsid w:val="61043104"/>
    <w:rsid w:val="611C205A"/>
    <w:rsid w:val="619B657A"/>
    <w:rsid w:val="61E76B1A"/>
    <w:rsid w:val="62C96B81"/>
    <w:rsid w:val="62FB3D99"/>
    <w:rsid w:val="63216596"/>
    <w:rsid w:val="63C93060"/>
    <w:rsid w:val="63E458EA"/>
    <w:rsid w:val="63E94CAF"/>
    <w:rsid w:val="6472299F"/>
    <w:rsid w:val="651C23C7"/>
    <w:rsid w:val="65D42400"/>
    <w:rsid w:val="66234278"/>
    <w:rsid w:val="66335F59"/>
    <w:rsid w:val="6712451C"/>
    <w:rsid w:val="6730634A"/>
    <w:rsid w:val="673F17B5"/>
    <w:rsid w:val="674D05F7"/>
    <w:rsid w:val="67595369"/>
    <w:rsid w:val="68506B89"/>
    <w:rsid w:val="688748EA"/>
    <w:rsid w:val="69176DE2"/>
    <w:rsid w:val="692F15AC"/>
    <w:rsid w:val="694C01BA"/>
    <w:rsid w:val="69F34897"/>
    <w:rsid w:val="6A060028"/>
    <w:rsid w:val="6A110CB9"/>
    <w:rsid w:val="6A78677B"/>
    <w:rsid w:val="6AA542D9"/>
    <w:rsid w:val="6AD0773D"/>
    <w:rsid w:val="6B0153FF"/>
    <w:rsid w:val="6B1E5B86"/>
    <w:rsid w:val="6CD34175"/>
    <w:rsid w:val="6CE8600F"/>
    <w:rsid w:val="6D073456"/>
    <w:rsid w:val="6E73196B"/>
    <w:rsid w:val="6E7709DE"/>
    <w:rsid w:val="6E8751B3"/>
    <w:rsid w:val="6E9D7C4E"/>
    <w:rsid w:val="6F3E67F6"/>
    <w:rsid w:val="6FB464A6"/>
    <w:rsid w:val="6FCE0D4A"/>
    <w:rsid w:val="71300247"/>
    <w:rsid w:val="717C20A8"/>
    <w:rsid w:val="71866CA5"/>
    <w:rsid w:val="719B26A7"/>
    <w:rsid w:val="71B7457B"/>
    <w:rsid w:val="722A1E6B"/>
    <w:rsid w:val="72A006FF"/>
    <w:rsid w:val="73080A0D"/>
    <w:rsid w:val="736519A6"/>
    <w:rsid w:val="73C61889"/>
    <w:rsid w:val="73E00292"/>
    <w:rsid w:val="74247396"/>
    <w:rsid w:val="74A040AF"/>
    <w:rsid w:val="751B5C9C"/>
    <w:rsid w:val="75355FA6"/>
    <w:rsid w:val="753E1321"/>
    <w:rsid w:val="75736D3C"/>
    <w:rsid w:val="75A025E0"/>
    <w:rsid w:val="75BB7F0A"/>
    <w:rsid w:val="75DF3DA7"/>
    <w:rsid w:val="773D5571"/>
    <w:rsid w:val="77423989"/>
    <w:rsid w:val="77F9230A"/>
    <w:rsid w:val="785355D7"/>
    <w:rsid w:val="786E142C"/>
    <w:rsid w:val="788C41D3"/>
    <w:rsid w:val="78FB6994"/>
    <w:rsid w:val="79356981"/>
    <w:rsid w:val="799110FD"/>
    <w:rsid w:val="79A0771F"/>
    <w:rsid w:val="7A2E6882"/>
    <w:rsid w:val="7A772BBC"/>
    <w:rsid w:val="7B393714"/>
    <w:rsid w:val="7B3E6326"/>
    <w:rsid w:val="7C833A9B"/>
    <w:rsid w:val="7C952FEA"/>
    <w:rsid w:val="7CB1244A"/>
    <w:rsid w:val="7D6E25B9"/>
    <w:rsid w:val="7D9308DB"/>
    <w:rsid w:val="7DA6539C"/>
    <w:rsid w:val="7DBF481F"/>
    <w:rsid w:val="7E6703A4"/>
    <w:rsid w:val="7E8B756A"/>
    <w:rsid w:val="7EA30B1B"/>
    <w:rsid w:val="7EE90189"/>
    <w:rsid w:val="7F4D32B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9" w:semiHidden="0" w:name="heading 6"/>
    <w:lsdException w:qFormat="1" w:uiPriority="9"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name="Body Text First Indent"/>
    <w:lsdException w:qFormat="1" w:uiPriority="99" w:semiHidden="0" w:name="Body Text First Indent 2"/>
    <w:lsdException w:uiPriority="0"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55"/>
    <w:autoRedefine/>
    <w:qFormat/>
    <w:uiPriority w:val="0"/>
    <w:pPr>
      <w:widowControl w:val="0"/>
      <w:topLinePunct/>
      <w:autoSpaceDE w:val="0"/>
      <w:spacing w:line="480" w:lineRule="exact"/>
      <w:ind w:firstLine="200" w:firstLineChars="200"/>
      <w:jc w:val="both"/>
    </w:pPr>
    <w:rPr>
      <w:rFonts w:ascii="Times New Roman" w:hAnsi="Times New Roman" w:eastAsia="宋体" w:cs="Times New Roman"/>
      <w:kern w:val="2"/>
      <w:sz w:val="24"/>
      <w:szCs w:val="22"/>
      <w:lang w:val="en-US" w:eastAsia="zh-CN" w:bidi="ar-SA"/>
    </w:rPr>
  </w:style>
  <w:style w:type="paragraph" w:styleId="3">
    <w:name w:val="heading 1"/>
    <w:basedOn w:val="1"/>
    <w:next w:val="1"/>
    <w:link w:val="53"/>
    <w:autoRedefine/>
    <w:qFormat/>
    <w:uiPriority w:val="9"/>
    <w:pPr>
      <w:keepNext/>
      <w:keepLines/>
      <w:spacing w:before="180" w:after="180"/>
      <w:ind w:firstLine="0" w:firstLineChars="0"/>
      <w:outlineLvl w:val="0"/>
    </w:pPr>
    <w:rPr>
      <w:rFonts w:eastAsiaTheme="majorEastAsia" w:cstheme="minorBidi"/>
      <w:b/>
      <w:bCs/>
      <w:kern w:val="44"/>
      <w:sz w:val="30"/>
      <w:szCs w:val="44"/>
    </w:rPr>
  </w:style>
  <w:style w:type="paragraph" w:styleId="4">
    <w:name w:val="heading 2"/>
    <w:basedOn w:val="1"/>
    <w:next w:val="5"/>
    <w:link w:val="54"/>
    <w:autoRedefine/>
    <w:unhideWhenUsed/>
    <w:qFormat/>
    <w:uiPriority w:val="9"/>
    <w:pPr>
      <w:keepNext/>
      <w:keepLines/>
      <w:spacing w:before="120" w:after="120"/>
      <w:ind w:firstLine="0" w:firstLineChars="0"/>
      <w:outlineLvl w:val="1"/>
    </w:pPr>
    <w:rPr>
      <w:rFonts w:cstheme="majorBidi"/>
      <w:b/>
      <w:bCs/>
      <w:sz w:val="28"/>
      <w:szCs w:val="32"/>
    </w:rPr>
  </w:style>
  <w:style w:type="paragraph" w:styleId="6">
    <w:name w:val="heading 3"/>
    <w:basedOn w:val="1"/>
    <w:next w:val="1"/>
    <w:link w:val="55"/>
    <w:autoRedefine/>
    <w:unhideWhenUsed/>
    <w:qFormat/>
    <w:uiPriority w:val="9"/>
    <w:pPr>
      <w:keepNext/>
      <w:keepLines/>
      <w:spacing w:before="120" w:after="120"/>
      <w:ind w:firstLine="0" w:firstLineChars="0"/>
      <w:outlineLvl w:val="2"/>
    </w:pPr>
    <w:rPr>
      <w:b/>
      <w:bCs/>
      <w:szCs w:val="32"/>
    </w:rPr>
  </w:style>
  <w:style w:type="paragraph" w:styleId="7">
    <w:name w:val="heading 4"/>
    <w:basedOn w:val="1"/>
    <w:next w:val="1"/>
    <w:link w:val="56"/>
    <w:autoRedefine/>
    <w:unhideWhenUsed/>
    <w:qFormat/>
    <w:uiPriority w:val="9"/>
    <w:pPr>
      <w:keepNext/>
      <w:keepLines/>
      <w:spacing w:before="120" w:after="120"/>
      <w:ind w:firstLine="0" w:firstLineChars="0"/>
      <w:jc w:val="left"/>
      <w:outlineLvl w:val="3"/>
    </w:pPr>
    <w:rPr>
      <w:rFonts w:cstheme="majorBidi"/>
      <w:b/>
      <w:bCs/>
      <w:szCs w:val="28"/>
    </w:rPr>
  </w:style>
  <w:style w:type="paragraph" w:styleId="8">
    <w:name w:val="heading 5"/>
    <w:basedOn w:val="1"/>
    <w:next w:val="1"/>
    <w:link w:val="57"/>
    <w:autoRedefine/>
    <w:unhideWhenUsed/>
    <w:qFormat/>
    <w:uiPriority w:val="0"/>
    <w:pPr>
      <w:keepNext/>
      <w:keepLines/>
      <w:ind w:firstLine="0" w:firstLineChars="0"/>
      <w:jc w:val="center"/>
      <w:outlineLvl w:val="4"/>
    </w:pPr>
    <w:rPr>
      <w:b/>
      <w:bCs/>
      <w:szCs w:val="28"/>
    </w:rPr>
  </w:style>
  <w:style w:type="paragraph" w:styleId="9">
    <w:name w:val="heading 6"/>
    <w:basedOn w:val="1"/>
    <w:next w:val="1"/>
    <w:link w:val="58"/>
    <w:autoRedefine/>
    <w:unhideWhenUsed/>
    <w:qFormat/>
    <w:uiPriority w:val="9"/>
    <w:pPr>
      <w:keepNext/>
      <w:keepLines/>
      <w:spacing w:before="240" w:after="64" w:line="320" w:lineRule="auto"/>
      <w:outlineLvl w:val="5"/>
    </w:pPr>
    <w:rPr>
      <w:rFonts w:asciiTheme="majorHAnsi" w:hAnsiTheme="majorHAnsi" w:eastAsiaTheme="majorEastAsia" w:cstheme="majorBidi"/>
      <w:b/>
      <w:bCs/>
      <w:szCs w:val="24"/>
    </w:rPr>
  </w:style>
  <w:style w:type="paragraph" w:styleId="10">
    <w:name w:val="heading 7"/>
    <w:basedOn w:val="1"/>
    <w:next w:val="1"/>
    <w:link w:val="59"/>
    <w:autoRedefine/>
    <w:unhideWhenUsed/>
    <w:qFormat/>
    <w:uiPriority w:val="9"/>
    <w:pPr>
      <w:keepNext/>
      <w:keepLines/>
      <w:spacing w:before="240" w:after="64" w:line="320" w:lineRule="auto"/>
      <w:outlineLvl w:val="6"/>
    </w:pPr>
    <w:rPr>
      <w:b/>
      <w:bCs/>
      <w:szCs w:val="24"/>
    </w:rPr>
  </w:style>
  <w:style w:type="paragraph" w:styleId="11">
    <w:name w:val="heading 8"/>
    <w:basedOn w:val="1"/>
    <w:next w:val="1"/>
    <w:link w:val="60"/>
    <w:autoRedefine/>
    <w:unhideWhenUsed/>
    <w:qFormat/>
    <w:uiPriority w:val="0"/>
    <w:pPr>
      <w:keepNext/>
      <w:keepLines/>
      <w:spacing w:before="240" w:after="64" w:line="320" w:lineRule="auto"/>
      <w:outlineLvl w:val="7"/>
    </w:pPr>
    <w:rPr>
      <w:rFonts w:asciiTheme="majorHAnsi" w:hAnsiTheme="majorHAnsi" w:eastAsiaTheme="majorEastAsia" w:cstheme="majorBidi"/>
      <w:szCs w:val="24"/>
    </w:rPr>
  </w:style>
  <w:style w:type="paragraph" w:styleId="12">
    <w:name w:val="heading 9"/>
    <w:basedOn w:val="1"/>
    <w:next w:val="1"/>
    <w:link w:val="61"/>
    <w:autoRedefine/>
    <w:unhideWhenUsed/>
    <w:qFormat/>
    <w:uiPriority w:val="0"/>
    <w:pPr>
      <w:keepNext/>
      <w:keepLines/>
      <w:spacing w:before="240" w:after="64" w:line="320" w:lineRule="auto"/>
      <w:outlineLvl w:val="8"/>
    </w:pPr>
    <w:rPr>
      <w:rFonts w:asciiTheme="majorHAnsi" w:hAnsiTheme="majorHAnsi" w:eastAsiaTheme="majorEastAsia" w:cstheme="majorBidi"/>
    </w:rPr>
  </w:style>
  <w:style w:type="character" w:default="1" w:styleId="44">
    <w:name w:val="Default Paragraph Font"/>
    <w:autoRedefine/>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cs="Courier New"/>
      <w:sz w:val="32"/>
      <w:szCs w:val="21"/>
    </w:rPr>
  </w:style>
  <w:style w:type="paragraph" w:styleId="5">
    <w:name w:val="Normal Indent"/>
    <w:basedOn w:val="1"/>
    <w:autoRedefine/>
    <w:qFormat/>
    <w:uiPriority w:val="0"/>
    <w:pPr>
      <w:numPr>
        <w:ilvl w:val="3"/>
        <w:numId w:val="1"/>
      </w:numPr>
      <w:ind w:firstLineChars="0"/>
    </w:pPr>
  </w:style>
  <w:style w:type="paragraph" w:styleId="13">
    <w:name w:val="toc 7"/>
    <w:basedOn w:val="1"/>
    <w:next w:val="1"/>
    <w:autoRedefine/>
    <w:unhideWhenUsed/>
    <w:qFormat/>
    <w:uiPriority w:val="39"/>
    <w:pPr>
      <w:topLinePunct w:val="0"/>
      <w:autoSpaceDE/>
      <w:spacing w:line="240" w:lineRule="auto"/>
      <w:ind w:left="2520" w:leftChars="1200" w:firstLine="0" w:firstLineChars="0"/>
    </w:pPr>
    <w:rPr>
      <w:rFonts w:asciiTheme="minorHAnsi" w:hAnsiTheme="minorHAnsi" w:eastAsiaTheme="minorEastAsia" w:cstheme="minorBidi"/>
      <w:sz w:val="21"/>
    </w:rPr>
  </w:style>
  <w:style w:type="paragraph" w:styleId="14">
    <w:name w:val="caption"/>
    <w:basedOn w:val="1"/>
    <w:next w:val="1"/>
    <w:autoRedefine/>
    <w:qFormat/>
    <w:uiPriority w:val="0"/>
    <w:pPr>
      <w:spacing w:beforeLines="50" w:line="360" w:lineRule="auto"/>
      <w:jc w:val="center"/>
    </w:pPr>
    <w:rPr>
      <w:rFonts w:cs="Arial"/>
      <w:b/>
      <w:szCs w:val="20"/>
    </w:rPr>
  </w:style>
  <w:style w:type="paragraph" w:styleId="15">
    <w:name w:val="Document Map"/>
    <w:basedOn w:val="1"/>
    <w:link w:val="62"/>
    <w:autoRedefine/>
    <w:semiHidden/>
    <w:unhideWhenUsed/>
    <w:qFormat/>
    <w:uiPriority w:val="99"/>
    <w:rPr>
      <w:rFonts w:ascii="宋体"/>
      <w:sz w:val="18"/>
      <w:szCs w:val="18"/>
    </w:rPr>
  </w:style>
  <w:style w:type="paragraph" w:styleId="16">
    <w:name w:val="annotation text"/>
    <w:basedOn w:val="1"/>
    <w:link w:val="133"/>
    <w:autoRedefine/>
    <w:semiHidden/>
    <w:unhideWhenUsed/>
    <w:qFormat/>
    <w:uiPriority w:val="0"/>
    <w:pPr>
      <w:jc w:val="left"/>
    </w:pPr>
  </w:style>
  <w:style w:type="paragraph" w:styleId="17">
    <w:name w:val="Body Text"/>
    <w:basedOn w:val="1"/>
    <w:next w:val="18"/>
    <w:link w:val="126"/>
    <w:autoRedefine/>
    <w:semiHidden/>
    <w:unhideWhenUsed/>
    <w:qFormat/>
    <w:uiPriority w:val="99"/>
    <w:pPr>
      <w:spacing w:after="120"/>
    </w:pPr>
  </w:style>
  <w:style w:type="paragraph" w:styleId="18">
    <w:name w:val="List Bullet 5"/>
    <w:basedOn w:val="1"/>
    <w:autoRedefine/>
    <w:semiHidden/>
    <w:unhideWhenUsed/>
    <w:qFormat/>
    <w:uiPriority w:val="99"/>
    <w:pPr>
      <w:numPr>
        <w:ilvl w:val="0"/>
        <w:numId w:val="2"/>
      </w:numPr>
    </w:pPr>
  </w:style>
  <w:style w:type="paragraph" w:styleId="19">
    <w:name w:val="Body Text Indent"/>
    <w:basedOn w:val="1"/>
    <w:next w:val="5"/>
    <w:link w:val="124"/>
    <w:autoRedefine/>
    <w:semiHidden/>
    <w:unhideWhenUsed/>
    <w:qFormat/>
    <w:uiPriority w:val="99"/>
    <w:pPr>
      <w:spacing w:after="120"/>
      <w:ind w:left="420" w:leftChars="200"/>
    </w:pPr>
  </w:style>
  <w:style w:type="paragraph" w:styleId="20">
    <w:name w:val="toc 5"/>
    <w:basedOn w:val="1"/>
    <w:next w:val="1"/>
    <w:autoRedefine/>
    <w:unhideWhenUsed/>
    <w:qFormat/>
    <w:uiPriority w:val="39"/>
    <w:pPr>
      <w:topLinePunct w:val="0"/>
      <w:autoSpaceDE/>
      <w:spacing w:line="240" w:lineRule="auto"/>
      <w:ind w:left="1680" w:leftChars="800" w:firstLine="0" w:firstLineChars="0"/>
    </w:pPr>
    <w:rPr>
      <w:rFonts w:asciiTheme="minorHAnsi" w:hAnsiTheme="minorHAnsi" w:eastAsiaTheme="minorEastAsia" w:cstheme="minorBidi"/>
      <w:sz w:val="21"/>
    </w:rPr>
  </w:style>
  <w:style w:type="paragraph" w:styleId="21">
    <w:name w:val="toc 3"/>
    <w:basedOn w:val="1"/>
    <w:next w:val="1"/>
    <w:autoRedefine/>
    <w:unhideWhenUsed/>
    <w:qFormat/>
    <w:uiPriority w:val="39"/>
    <w:pPr>
      <w:ind w:left="840" w:leftChars="400"/>
    </w:pPr>
  </w:style>
  <w:style w:type="paragraph" w:styleId="22">
    <w:name w:val="toc 8"/>
    <w:basedOn w:val="1"/>
    <w:next w:val="1"/>
    <w:autoRedefine/>
    <w:unhideWhenUsed/>
    <w:qFormat/>
    <w:uiPriority w:val="39"/>
    <w:pPr>
      <w:topLinePunct w:val="0"/>
      <w:autoSpaceDE/>
      <w:spacing w:line="240" w:lineRule="auto"/>
      <w:ind w:left="2940" w:leftChars="1400" w:firstLine="0" w:firstLineChars="0"/>
    </w:pPr>
    <w:rPr>
      <w:rFonts w:asciiTheme="minorHAnsi" w:hAnsiTheme="minorHAnsi" w:eastAsiaTheme="minorEastAsia" w:cstheme="minorBidi"/>
      <w:sz w:val="21"/>
    </w:rPr>
  </w:style>
  <w:style w:type="paragraph" w:styleId="23">
    <w:name w:val="Date"/>
    <w:basedOn w:val="1"/>
    <w:next w:val="1"/>
    <w:link w:val="63"/>
    <w:autoRedefine/>
    <w:unhideWhenUsed/>
    <w:qFormat/>
    <w:uiPriority w:val="99"/>
    <w:pPr>
      <w:ind w:left="100" w:leftChars="2500"/>
    </w:pPr>
  </w:style>
  <w:style w:type="paragraph" w:styleId="24">
    <w:name w:val="Body Text Indent 2"/>
    <w:basedOn w:val="1"/>
    <w:link w:val="125"/>
    <w:autoRedefine/>
    <w:unhideWhenUsed/>
    <w:qFormat/>
    <w:uiPriority w:val="99"/>
    <w:pPr>
      <w:spacing w:after="120" w:line="480" w:lineRule="auto"/>
      <w:ind w:left="420" w:leftChars="200"/>
    </w:pPr>
  </w:style>
  <w:style w:type="paragraph" w:styleId="25">
    <w:name w:val="endnote text"/>
    <w:basedOn w:val="1"/>
    <w:qFormat/>
    <w:uiPriority w:val="0"/>
    <w:pPr>
      <w:snapToGrid w:val="0"/>
      <w:jc w:val="left"/>
    </w:pPr>
  </w:style>
  <w:style w:type="paragraph" w:styleId="26">
    <w:name w:val="Balloon Text"/>
    <w:basedOn w:val="1"/>
    <w:link w:val="127"/>
    <w:autoRedefine/>
    <w:unhideWhenUsed/>
    <w:qFormat/>
    <w:uiPriority w:val="99"/>
    <w:pPr>
      <w:spacing w:line="240" w:lineRule="auto"/>
    </w:pPr>
    <w:rPr>
      <w:sz w:val="18"/>
      <w:szCs w:val="18"/>
    </w:rPr>
  </w:style>
  <w:style w:type="paragraph" w:styleId="27">
    <w:name w:val="footer"/>
    <w:basedOn w:val="1"/>
    <w:next w:val="28"/>
    <w:link w:val="64"/>
    <w:autoRedefine/>
    <w:unhideWhenUsed/>
    <w:qFormat/>
    <w:uiPriority w:val="99"/>
    <w:pPr>
      <w:widowControl/>
      <w:tabs>
        <w:tab w:val="center" w:pos="4680"/>
        <w:tab w:val="right" w:pos="9360"/>
      </w:tabs>
      <w:topLinePunct w:val="0"/>
      <w:autoSpaceDE/>
      <w:spacing w:line="240" w:lineRule="auto"/>
      <w:ind w:firstLine="0" w:firstLineChars="0"/>
      <w:jc w:val="left"/>
    </w:pPr>
    <w:rPr>
      <w:rFonts w:asciiTheme="minorHAnsi" w:hAnsiTheme="minorHAnsi" w:eastAsiaTheme="minorHAnsi" w:cstheme="minorBidi"/>
      <w:kern w:val="0"/>
      <w:sz w:val="21"/>
      <w:szCs w:val="21"/>
    </w:rPr>
  </w:style>
  <w:style w:type="paragraph" w:customStyle="1" w:styleId="28">
    <w:name w:val="正文文字 6"/>
    <w:next w:val="1"/>
    <w:autoRedefine/>
    <w:qFormat/>
    <w:uiPriority w:val="0"/>
    <w:pPr>
      <w:widowControl w:val="0"/>
      <w:ind w:left="240"/>
      <w:jc w:val="both"/>
    </w:pPr>
    <w:rPr>
      <w:rFonts w:ascii="宋体" w:hAnsi="Calibri" w:eastAsia="宋体" w:cs="Times New Roman"/>
      <w:b/>
      <w:bCs/>
      <w:kern w:val="2"/>
      <w:sz w:val="32"/>
      <w:szCs w:val="32"/>
      <w:lang w:val="en-US" w:eastAsia="zh-CN" w:bidi="ar-SA"/>
    </w:rPr>
  </w:style>
  <w:style w:type="paragraph" w:styleId="29">
    <w:name w:val="header"/>
    <w:basedOn w:val="1"/>
    <w:link w:val="65"/>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topLinePunct w:val="0"/>
      <w:autoSpaceDE/>
      <w:spacing w:line="240" w:lineRule="auto"/>
      <w:ind w:left="1260" w:leftChars="600" w:firstLine="0" w:firstLineChars="0"/>
    </w:pPr>
    <w:rPr>
      <w:rFonts w:asciiTheme="minorHAnsi" w:hAnsiTheme="minorHAnsi" w:eastAsiaTheme="minorEastAsia" w:cstheme="minorBidi"/>
      <w:sz w:val="21"/>
    </w:rPr>
  </w:style>
  <w:style w:type="paragraph" w:styleId="32">
    <w:name w:val="List"/>
    <w:basedOn w:val="1"/>
    <w:autoRedefine/>
    <w:unhideWhenUsed/>
    <w:qFormat/>
    <w:uiPriority w:val="99"/>
    <w:pPr>
      <w:ind w:left="200" w:hanging="200" w:hangingChars="200"/>
    </w:pPr>
    <w:rPr>
      <w:szCs w:val="21"/>
    </w:rPr>
  </w:style>
  <w:style w:type="paragraph" w:styleId="33">
    <w:name w:val="toc 6"/>
    <w:basedOn w:val="1"/>
    <w:next w:val="1"/>
    <w:autoRedefine/>
    <w:unhideWhenUsed/>
    <w:qFormat/>
    <w:uiPriority w:val="39"/>
    <w:pPr>
      <w:topLinePunct w:val="0"/>
      <w:autoSpaceDE/>
      <w:spacing w:line="240" w:lineRule="auto"/>
      <w:ind w:left="2100" w:leftChars="1000" w:firstLine="0" w:firstLineChars="0"/>
    </w:pPr>
    <w:rPr>
      <w:rFonts w:asciiTheme="minorHAnsi" w:hAnsiTheme="minorHAnsi" w:eastAsiaTheme="minorEastAsia" w:cstheme="minorBidi"/>
      <w:sz w:val="21"/>
    </w:rPr>
  </w:style>
  <w:style w:type="paragraph" w:styleId="34">
    <w:name w:val="toc 2"/>
    <w:basedOn w:val="1"/>
    <w:next w:val="1"/>
    <w:autoRedefine/>
    <w:unhideWhenUsed/>
    <w:qFormat/>
    <w:uiPriority w:val="39"/>
    <w:pPr>
      <w:ind w:left="420" w:leftChars="200"/>
    </w:pPr>
  </w:style>
  <w:style w:type="paragraph" w:styleId="35">
    <w:name w:val="toc 9"/>
    <w:basedOn w:val="1"/>
    <w:next w:val="1"/>
    <w:autoRedefine/>
    <w:unhideWhenUsed/>
    <w:qFormat/>
    <w:uiPriority w:val="39"/>
    <w:pPr>
      <w:topLinePunct w:val="0"/>
      <w:autoSpaceDE/>
      <w:spacing w:line="240" w:lineRule="auto"/>
      <w:ind w:left="3360" w:leftChars="1600" w:firstLine="0" w:firstLineChars="0"/>
    </w:pPr>
    <w:rPr>
      <w:rFonts w:asciiTheme="minorHAnsi" w:hAnsiTheme="minorHAnsi" w:eastAsiaTheme="minorEastAsia" w:cstheme="minorBidi"/>
      <w:sz w:val="21"/>
    </w:rPr>
  </w:style>
  <w:style w:type="paragraph" w:styleId="3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7">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rPr>
  </w:style>
  <w:style w:type="paragraph" w:styleId="38">
    <w:name w:val="Title"/>
    <w:basedOn w:val="1"/>
    <w:next w:val="1"/>
    <w:link w:val="108"/>
    <w:autoRedefine/>
    <w:qFormat/>
    <w:uiPriority w:val="10"/>
    <w:pPr>
      <w:topLinePunct w:val="0"/>
      <w:autoSpaceDE/>
      <w:spacing w:before="240" w:after="60" w:line="240" w:lineRule="auto"/>
      <w:ind w:firstLine="0" w:firstLineChars="0"/>
      <w:jc w:val="center"/>
      <w:outlineLvl w:val="0"/>
    </w:pPr>
    <w:rPr>
      <w:rFonts w:ascii="Cambria" w:hAnsi="Cambria" w:eastAsiaTheme="minorEastAsia"/>
      <w:b/>
      <w:bCs/>
      <w:kern w:val="0"/>
      <w:sz w:val="32"/>
      <w:szCs w:val="32"/>
    </w:rPr>
  </w:style>
  <w:style w:type="paragraph" w:styleId="39">
    <w:name w:val="annotation subject"/>
    <w:basedOn w:val="1"/>
    <w:next w:val="1"/>
    <w:link w:val="122"/>
    <w:autoRedefine/>
    <w:semiHidden/>
    <w:unhideWhenUsed/>
    <w:qFormat/>
    <w:uiPriority w:val="99"/>
    <w:rPr>
      <w:b/>
      <w:bCs/>
    </w:rPr>
  </w:style>
  <w:style w:type="paragraph" w:styleId="40">
    <w:name w:val="Body Text First Indent"/>
    <w:basedOn w:val="17"/>
    <w:next w:val="1"/>
    <w:link w:val="105"/>
    <w:autoRedefine/>
    <w:semiHidden/>
    <w:unhideWhenUsed/>
    <w:qFormat/>
    <w:uiPriority w:val="99"/>
    <w:pPr>
      <w:spacing w:after="120"/>
      <w:ind w:firstLine="420" w:firstLineChars="100"/>
    </w:pPr>
    <w:rPr>
      <w:rFonts w:cs="Calibri" w:asciiTheme="minorHAnsi" w:hAnsiTheme="minorHAnsi" w:eastAsiaTheme="minorEastAsia"/>
      <w:kern w:val="0"/>
      <w:sz w:val="20"/>
      <w:szCs w:val="20"/>
    </w:rPr>
  </w:style>
  <w:style w:type="paragraph" w:styleId="41">
    <w:name w:val="Body Text First Indent 2"/>
    <w:basedOn w:val="19"/>
    <w:next w:val="1"/>
    <w:link w:val="92"/>
    <w:autoRedefine/>
    <w:unhideWhenUsed/>
    <w:qFormat/>
    <w:uiPriority w:val="99"/>
    <w:pPr>
      <w:spacing w:after="120"/>
      <w:ind w:left="420" w:leftChars="200" w:firstLine="420"/>
    </w:pPr>
    <w:rPr>
      <w:rFonts w:ascii="宋体" w:cs="宋体" w:hAnsiTheme="minorHAnsi"/>
      <w:kern w:val="0"/>
      <w:szCs w:val="24"/>
    </w:rPr>
  </w:style>
  <w:style w:type="table" w:styleId="43">
    <w:name w:val="Table Grid"/>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basedOn w:val="44"/>
    <w:autoRedefine/>
    <w:qFormat/>
    <w:uiPriority w:val="0"/>
    <w:rPr>
      <w:b/>
    </w:rPr>
  </w:style>
  <w:style w:type="character" w:styleId="46">
    <w:name w:val="page number"/>
    <w:autoRedefine/>
    <w:qFormat/>
    <w:uiPriority w:val="0"/>
    <w:rPr>
      <w:rFonts w:cs="Times New Roman"/>
    </w:rPr>
  </w:style>
  <w:style w:type="character" w:styleId="47">
    <w:name w:val="FollowedHyperlink"/>
    <w:basedOn w:val="44"/>
    <w:autoRedefine/>
    <w:semiHidden/>
    <w:unhideWhenUsed/>
    <w:qFormat/>
    <w:uiPriority w:val="99"/>
    <w:rPr>
      <w:color w:val="800080"/>
      <w:u w:val="single"/>
    </w:rPr>
  </w:style>
  <w:style w:type="character" w:styleId="48">
    <w:name w:val="Hyperlink"/>
    <w:basedOn w:val="44"/>
    <w:autoRedefine/>
    <w:unhideWhenUsed/>
    <w:qFormat/>
    <w:uiPriority w:val="99"/>
    <w:rPr>
      <w:color w:val="0000FF" w:themeColor="hyperlink"/>
      <w:u w:val="single"/>
      <w14:textFill>
        <w14:solidFill>
          <w14:schemeClr w14:val="hlink"/>
        </w14:solidFill>
      </w14:textFill>
    </w:rPr>
  </w:style>
  <w:style w:type="character" w:styleId="49">
    <w:name w:val="annotation reference"/>
    <w:basedOn w:val="44"/>
    <w:autoRedefine/>
    <w:semiHidden/>
    <w:unhideWhenUsed/>
    <w:qFormat/>
    <w:uiPriority w:val="99"/>
    <w:rPr>
      <w:sz w:val="21"/>
      <w:szCs w:val="21"/>
    </w:rPr>
  </w:style>
  <w:style w:type="paragraph" w:customStyle="1" w:styleId="50">
    <w:name w:val="样式 正文缩进正文缩进2正文缩进 Char Char正文缩进 Char Char Char Char正文缩进 Char ..."/>
    <w:basedOn w:val="5"/>
    <w:autoRedefine/>
    <w:qFormat/>
    <w:uiPriority w:val="0"/>
    <w:pPr>
      <w:tabs>
        <w:tab w:val="left" w:pos="0"/>
      </w:tabs>
      <w:spacing w:line="360" w:lineRule="auto"/>
      <w:ind w:firstLine="200"/>
    </w:pPr>
    <w:rPr>
      <w:rFonts w:cs="宋体"/>
      <w:sz w:val="24"/>
    </w:rPr>
  </w:style>
  <w:style w:type="paragraph" w:customStyle="1" w:styleId="51">
    <w:name w:val="样式 正文文本缩进 + 行距: 1.5 倍行距"/>
    <w:basedOn w:val="1"/>
    <w:autoRedefine/>
    <w:qFormat/>
    <w:uiPriority w:val="0"/>
    <w:pPr>
      <w:spacing w:after="120" w:line="360" w:lineRule="auto"/>
      <w:ind w:left="90" w:leftChars="32" w:firstLine="560" w:firstLineChars="200"/>
    </w:pPr>
    <w:rPr>
      <w:rFonts w:cs="宋体"/>
    </w:rPr>
  </w:style>
  <w:style w:type="paragraph" w:customStyle="1" w:styleId="52">
    <w:name w:val="UserStyle_0"/>
    <w:basedOn w:val="1"/>
    <w:autoRedefine/>
    <w:qFormat/>
    <w:uiPriority w:val="0"/>
    <w:pPr>
      <w:ind w:left="0" w:leftChars="0" w:firstLine="200" w:firstLineChars="200"/>
      <w:jc w:val="both"/>
      <w:textAlignment w:val="baseline"/>
    </w:pPr>
    <w:rPr>
      <w:rFonts w:ascii="Times New Roman" w:hAnsi="Times New Roman"/>
      <w:color w:val="000000"/>
      <w:kern w:val="0"/>
      <w:sz w:val="21"/>
      <w:szCs w:val="24"/>
      <w:lang w:val="zh-CN" w:eastAsia="zh-CN" w:bidi="ar-SA"/>
    </w:rPr>
  </w:style>
  <w:style w:type="character" w:customStyle="1" w:styleId="53">
    <w:name w:val="标题 1 Char"/>
    <w:basedOn w:val="44"/>
    <w:link w:val="3"/>
    <w:autoRedefine/>
    <w:qFormat/>
    <w:uiPriority w:val="9"/>
    <w:rPr>
      <w:rFonts w:ascii="Times New Roman" w:hAnsi="Times New Roman" w:eastAsiaTheme="majorEastAsia"/>
      <w:b/>
      <w:bCs/>
      <w:kern w:val="44"/>
      <w:sz w:val="30"/>
      <w:szCs w:val="44"/>
    </w:rPr>
  </w:style>
  <w:style w:type="character" w:customStyle="1" w:styleId="54">
    <w:name w:val="标题 2 Char1"/>
    <w:basedOn w:val="44"/>
    <w:link w:val="4"/>
    <w:autoRedefine/>
    <w:qFormat/>
    <w:uiPriority w:val="0"/>
    <w:rPr>
      <w:rFonts w:ascii="Times New Roman" w:hAnsi="Times New Roman" w:eastAsia="宋体" w:cstheme="majorBidi"/>
      <w:b/>
      <w:bCs/>
      <w:sz w:val="28"/>
      <w:szCs w:val="32"/>
    </w:rPr>
  </w:style>
  <w:style w:type="character" w:customStyle="1" w:styleId="55">
    <w:name w:val="标题 3 Char1"/>
    <w:basedOn w:val="44"/>
    <w:link w:val="6"/>
    <w:autoRedefine/>
    <w:qFormat/>
    <w:uiPriority w:val="9"/>
    <w:rPr>
      <w:rFonts w:ascii="Times New Roman" w:hAnsi="Times New Roman" w:eastAsia="宋体" w:cs="Times New Roman"/>
      <w:b/>
      <w:bCs/>
      <w:sz w:val="24"/>
      <w:szCs w:val="32"/>
    </w:rPr>
  </w:style>
  <w:style w:type="character" w:customStyle="1" w:styleId="56">
    <w:name w:val="标题 4 Char"/>
    <w:basedOn w:val="44"/>
    <w:link w:val="7"/>
    <w:autoRedefine/>
    <w:qFormat/>
    <w:uiPriority w:val="99"/>
    <w:rPr>
      <w:rFonts w:ascii="Times New Roman" w:hAnsi="Times New Roman" w:eastAsia="宋体" w:cstheme="majorBidi"/>
      <w:b/>
      <w:bCs/>
      <w:sz w:val="24"/>
      <w:szCs w:val="28"/>
    </w:rPr>
  </w:style>
  <w:style w:type="character" w:customStyle="1" w:styleId="57">
    <w:name w:val="标题 5 Char"/>
    <w:basedOn w:val="44"/>
    <w:link w:val="8"/>
    <w:autoRedefine/>
    <w:qFormat/>
    <w:uiPriority w:val="0"/>
    <w:rPr>
      <w:rFonts w:ascii="Times New Roman" w:hAnsi="Times New Roman" w:eastAsia="宋体" w:cs="Times New Roman"/>
      <w:b/>
      <w:bCs/>
      <w:kern w:val="2"/>
      <w:sz w:val="24"/>
      <w:szCs w:val="28"/>
    </w:rPr>
  </w:style>
  <w:style w:type="character" w:customStyle="1" w:styleId="58">
    <w:name w:val="标题 6 Char1"/>
    <w:basedOn w:val="44"/>
    <w:link w:val="9"/>
    <w:autoRedefine/>
    <w:qFormat/>
    <w:uiPriority w:val="0"/>
    <w:rPr>
      <w:rFonts w:asciiTheme="majorHAnsi" w:hAnsiTheme="majorHAnsi" w:eastAsiaTheme="majorEastAsia" w:cstheme="majorBidi"/>
      <w:b/>
      <w:bCs/>
      <w:sz w:val="24"/>
      <w:szCs w:val="24"/>
    </w:rPr>
  </w:style>
  <w:style w:type="character" w:customStyle="1" w:styleId="59">
    <w:name w:val="标题 7 Char1"/>
    <w:basedOn w:val="44"/>
    <w:link w:val="10"/>
    <w:autoRedefine/>
    <w:qFormat/>
    <w:uiPriority w:val="9"/>
    <w:rPr>
      <w:b/>
      <w:bCs/>
      <w:sz w:val="24"/>
      <w:szCs w:val="24"/>
    </w:rPr>
  </w:style>
  <w:style w:type="character" w:customStyle="1" w:styleId="60">
    <w:name w:val="标题 8 Char"/>
    <w:basedOn w:val="44"/>
    <w:link w:val="11"/>
    <w:autoRedefine/>
    <w:qFormat/>
    <w:uiPriority w:val="0"/>
    <w:rPr>
      <w:rFonts w:asciiTheme="majorHAnsi" w:hAnsiTheme="majorHAnsi" w:eastAsiaTheme="majorEastAsia" w:cstheme="majorBidi"/>
      <w:sz w:val="24"/>
      <w:szCs w:val="24"/>
    </w:rPr>
  </w:style>
  <w:style w:type="character" w:customStyle="1" w:styleId="61">
    <w:name w:val="标题 9 Char"/>
    <w:basedOn w:val="44"/>
    <w:link w:val="12"/>
    <w:autoRedefine/>
    <w:qFormat/>
    <w:uiPriority w:val="0"/>
    <w:rPr>
      <w:rFonts w:asciiTheme="majorHAnsi" w:hAnsiTheme="majorHAnsi" w:eastAsiaTheme="majorEastAsia" w:cstheme="majorBidi"/>
    </w:rPr>
  </w:style>
  <w:style w:type="character" w:customStyle="1" w:styleId="62">
    <w:name w:val="文档结构图 Char1"/>
    <w:basedOn w:val="44"/>
    <w:link w:val="15"/>
    <w:autoRedefine/>
    <w:semiHidden/>
    <w:qFormat/>
    <w:uiPriority w:val="0"/>
    <w:rPr>
      <w:rFonts w:ascii="宋体" w:eastAsia="宋体"/>
      <w:sz w:val="18"/>
      <w:szCs w:val="18"/>
    </w:rPr>
  </w:style>
  <w:style w:type="character" w:customStyle="1" w:styleId="63">
    <w:name w:val="日期 Char1"/>
    <w:basedOn w:val="44"/>
    <w:link w:val="23"/>
    <w:autoRedefine/>
    <w:semiHidden/>
    <w:qFormat/>
    <w:uiPriority w:val="0"/>
  </w:style>
  <w:style w:type="character" w:customStyle="1" w:styleId="64">
    <w:name w:val="页脚 Char1"/>
    <w:basedOn w:val="44"/>
    <w:link w:val="27"/>
    <w:autoRedefine/>
    <w:qFormat/>
    <w:uiPriority w:val="99"/>
    <w:rPr>
      <w:rFonts w:eastAsiaTheme="minorHAnsi"/>
      <w:kern w:val="0"/>
    </w:rPr>
  </w:style>
  <w:style w:type="character" w:customStyle="1" w:styleId="65">
    <w:name w:val="页眉 Char1"/>
    <w:basedOn w:val="44"/>
    <w:link w:val="29"/>
    <w:autoRedefine/>
    <w:qFormat/>
    <w:uiPriority w:val="0"/>
    <w:rPr>
      <w:rFonts w:ascii="Times New Roman" w:hAnsi="Times New Roman" w:eastAsia="宋体" w:cs="Times New Roman"/>
      <w:sz w:val="18"/>
      <w:szCs w:val="18"/>
    </w:rPr>
  </w:style>
  <w:style w:type="paragraph" w:customStyle="1" w:styleId="66">
    <w:name w:val="Char Char2 Char Char"/>
    <w:basedOn w:val="1"/>
    <w:autoRedefine/>
    <w:semiHidden/>
    <w:qFormat/>
    <w:uiPriority w:val="0"/>
    <w:pPr>
      <w:spacing w:after="160" w:line="240" w:lineRule="exact"/>
      <w:jc w:val="left"/>
    </w:pPr>
    <w:rPr>
      <w:rFonts w:ascii="Verdana" w:hAnsi="Verdana"/>
      <w:kern w:val="0"/>
      <w:sz w:val="20"/>
      <w:szCs w:val="20"/>
      <w:lang w:eastAsia="en-US"/>
    </w:rPr>
  </w:style>
  <w:style w:type="character" w:customStyle="1" w:styleId="67">
    <w:name w:val="HTML 预设格式 Char1"/>
    <w:basedOn w:val="44"/>
    <w:autoRedefine/>
    <w:semiHidden/>
    <w:qFormat/>
    <w:uiPriority w:val="99"/>
    <w:rPr>
      <w:rFonts w:ascii="Courier New" w:hAnsi="Courier New" w:eastAsia="宋体" w:cs="Courier New"/>
      <w:sz w:val="20"/>
      <w:szCs w:val="20"/>
    </w:rPr>
  </w:style>
  <w:style w:type="paragraph" w:customStyle="1" w:styleId="68">
    <w:name w:val="TOC 标题1"/>
    <w:basedOn w:val="3"/>
    <w:next w:val="1"/>
    <w:autoRedefine/>
    <w:unhideWhenUsed/>
    <w:qFormat/>
    <w:uiPriority w:val="39"/>
    <w:pPr>
      <w:outlineLvl w:val="9"/>
    </w:pPr>
  </w:style>
  <w:style w:type="table" w:customStyle="1" w:styleId="69">
    <w:name w:val="wenya"/>
    <w:basedOn w:val="42"/>
    <w:autoRedefine/>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70">
    <w:name w:val="wenya1"/>
    <w:basedOn w:val="42"/>
    <w:autoRedefine/>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71">
    <w:name w:val="表格类型2"/>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
    <w:name w:val="表格类型3"/>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
    <w:name w:val="表格类型4"/>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
    <w:name w:val="网格型4"/>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
    <w:name w:val="网格型1"/>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
    <w:name w:val="样式3"/>
    <w:basedOn w:val="42"/>
    <w:autoRedefine/>
    <w:qFormat/>
    <w:uiPriority w:val="99"/>
    <w:rPr>
      <w:rFonts w:ascii="Times New Roman" w:hAnsi="Times New Roman" w:eastAsia="宋体" w:cs="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styleId="77">
    <w:name w:val="Placeholder Text"/>
    <w:autoRedefine/>
    <w:semiHidden/>
    <w:qFormat/>
    <w:uiPriority w:val="99"/>
    <w:rPr>
      <w:color w:val="808080"/>
    </w:rPr>
  </w:style>
  <w:style w:type="character" w:customStyle="1" w:styleId="78">
    <w:name w:val="正文文本 2 Char1"/>
    <w:basedOn w:val="44"/>
    <w:autoRedefine/>
    <w:semiHidden/>
    <w:qFormat/>
    <w:uiPriority w:val="99"/>
    <w:rPr>
      <w:rFonts w:ascii="Times New Roman" w:hAnsi="Times New Roman" w:eastAsia="宋体" w:cs="Times New Roman"/>
      <w:sz w:val="24"/>
    </w:rPr>
  </w:style>
  <w:style w:type="character" w:customStyle="1" w:styleId="79">
    <w:name w:val="正文文本缩进 3 Char1"/>
    <w:basedOn w:val="44"/>
    <w:autoRedefine/>
    <w:semiHidden/>
    <w:qFormat/>
    <w:uiPriority w:val="99"/>
    <w:rPr>
      <w:rFonts w:ascii="Times New Roman" w:hAnsi="Times New Roman" w:eastAsia="宋体" w:cs="Times New Roman"/>
      <w:sz w:val="16"/>
      <w:szCs w:val="16"/>
    </w:rPr>
  </w:style>
  <w:style w:type="character" w:customStyle="1" w:styleId="80">
    <w:name w:val="正文文本缩进 Char"/>
    <w:basedOn w:val="44"/>
    <w:autoRedefine/>
    <w:semiHidden/>
    <w:qFormat/>
    <w:uiPriority w:val="99"/>
    <w:rPr>
      <w:rFonts w:ascii="Times New Roman" w:hAnsi="Times New Roman" w:eastAsia="宋体" w:cs="Times New Roman"/>
      <w:sz w:val="24"/>
    </w:rPr>
  </w:style>
  <w:style w:type="character" w:customStyle="1" w:styleId="81">
    <w:name w:val="正文文本 Char1"/>
    <w:autoRedefine/>
    <w:semiHidden/>
    <w:qFormat/>
    <w:uiPriority w:val="0"/>
    <w:rPr>
      <w:kern w:val="2"/>
      <w:sz w:val="24"/>
      <w:szCs w:val="22"/>
    </w:rPr>
  </w:style>
  <w:style w:type="table" w:customStyle="1" w:styleId="82">
    <w:name w:val="网格型2"/>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3">
    <w:name w:val="网格型3"/>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4">
    <w:name w:val="网格型5"/>
    <w:basedOn w:val="42"/>
    <w:autoRedefine/>
    <w:qFormat/>
    <w:uiPriority w:val="9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85">
    <w:name w:val="网格型6"/>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6">
    <w:name w:val="网格型7"/>
    <w:basedOn w:val="42"/>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7">
    <w:name w:val="网格型8"/>
    <w:basedOn w:val="42"/>
    <w:autoRedefine/>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88">
    <w:name w:val="Table Normal"/>
    <w:autoRedefine/>
    <w:semiHidden/>
    <w:qFormat/>
    <w:uiPriority w:val="2"/>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89">
    <w:name w:val="网格型9"/>
    <w:basedOn w:val="42"/>
    <w:autoRedefine/>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0">
    <w:name w:val="xpp"/>
    <w:basedOn w:val="42"/>
    <w:autoRedefine/>
    <w:qFormat/>
    <w:uiPriority w:val="0"/>
    <w:rPr>
      <w:rFonts w:ascii="Times New Roman" w:hAnsi="Times New Roman" w:eastAsia="宋体" w:cs="Times New Roman"/>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style>
  <w:style w:type="table" w:customStyle="1" w:styleId="91">
    <w:name w:val="灰度表格1"/>
    <w:basedOn w:val="42"/>
    <w:autoRedefine/>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customStyle="1" w:styleId="92">
    <w:name w:val="正文首行缩进 2 Char"/>
    <w:link w:val="41"/>
    <w:autoRedefine/>
    <w:qFormat/>
    <w:locked/>
    <w:uiPriority w:val="99"/>
    <w:rPr>
      <w:rFonts w:ascii="宋体" w:eastAsia="宋体" w:cs="宋体"/>
      <w:sz w:val="24"/>
      <w:szCs w:val="24"/>
    </w:rPr>
  </w:style>
  <w:style w:type="character" w:customStyle="1" w:styleId="93">
    <w:name w:val="注释标题 Char"/>
    <w:basedOn w:val="44"/>
    <w:autoRedefine/>
    <w:semiHidden/>
    <w:qFormat/>
    <w:uiPriority w:val="99"/>
    <w:rPr>
      <w:rFonts w:ascii="Times New Roman" w:hAnsi="Times New Roman" w:eastAsia="宋体" w:cs="Times New Roman"/>
      <w:kern w:val="2"/>
      <w:sz w:val="24"/>
      <w:szCs w:val="22"/>
    </w:rPr>
  </w:style>
  <w:style w:type="table" w:customStyle="1" w:styleId="94">
    <w:name w:val="灰度表格2"/>
    <w:basedOn w:val="42"/>
    <w:autoRedefine/>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paragraph" w:customStyle="1" w:styleId="95">
    <w:name w:val="_Style 63"/>
    <w:basedOn w:val="1"/>
    <w:next w:val="41"/>
    <w:autoRedefine/>
    <w:qFormat/>
    <w:uiPriority w:val="99"/>
    <w:pPr>
      <w:topLinePunct w:val="0"/>
      <w:autoSpaceDE/>
      <w:adjustRightInd w:val="0"/>
      <w:snapToGrid w:val="0"/>
      <w:spacing w:line="360" w:lineRule="auto"/>
      <w:ind w:firstLine="420"/>
    </w:pPr>
    <w:rPr>
      <w:rFonts w:ascii="Calibri" w:hAnsi="Calibri"/>
      <w:kern w:val="0"/>
      <w:sz w:val="20"/>
      <w:szCs w:val="21"/>
      <w:lang w:val="zh-CN" w:eastAsia="zh-CN"/>
    </w:rPr>
  </w:style>
  <w:style w:type="character" w:customStyle="1" w:styleId="96">
    <w:name w:val="正文文本首行缩进 2 字符"/>
    <w:basedOn w:val="44"/>
    <w:autoRedefine/>
    <w:semiHidden/>
    <w:qFormat/>
    <w:uiPriority w:val="99"/>
    <w:rPr>
      <w:rFonts w:ascii="Times New Roman" w:hAnsi="Times New Roman" w:eastAsia="宋体" w:cs="Times New Roman"/>
      <w:kern w:val="2"/>
      <w:sz w:val="24"/>
      <w:szCs w:val="22"/>
    </w:rPr>
  </w:style>
  <w:style w:type="character" w:customStyle="1" w:styleId="97">
    <w:name w:val="页眉 Char"/>
    <w:autoRedefine/>
    <w:qFormat/>
    <w:uiPriority w:val="99"/>
    <w:rPr>
      <w:rFonts w:cs="Calibri"/>
      <w:sz w:val="18"/>
      <w:szCs w:val="18"/>
    </w:rPr>
  </w:style>
  <w:style w:type="character" w:customStyle="1" w:styleId="98">
    <w:name w:val="正文首行缩进 2 Char1"/>
    <w:link w:val="99"/>
    <w:autoRedefine/>
    <w:qFormat/>
    <w:locked/>
    <w:uiPriority w:val="99"/>
    <w:rPr>
      <w:rFonts w:ascii="宋体" w:eastAsia="宋体" w:cs="宋体"/>
      <w:sz w:val="24"/>
      <w:szCs w:val="24"/>
    </w:rPr>
  </w:style>
  <w:style w:type="paragraph" w:customStyle="1" w:styleId="99">
    <w:name w:val="_Style 67"/>
    <w:basedOn w:val="1"/>
    <w:next w:val="1"/>
    <w:link w:val="98"/>
    <w:autoRedefine/>
    <w:qFormat/>
    <w:uiPriority w:val="99"/>
    <w:pPr>
      <w:topLinePunct w:val="0"/>
      <w:autoSpaceDN w:val="0"/>
      <w:spacing w:line="240" w:lineRule="auto"/>
      <w:ind w:left="1319" w:hanging="601" w:firstLineChars="0"/>
      <w:jc w:val="left"/>
    </w:pPr>
    <w:rPr>
      <w:rFonts w:ascii="宋体" w:cs="宋体" w:hAnsiTheme="minorHAnsi"/>
      <w:kern w:val="0"/>
      <w:szCs w:val="24"/>
    </w:rPr>
  </w:style>
  <w:style w:type="character" w:customStyle="1" w:styleId="100">
    <w:name w:val="Heading 4 Char"/>
    <w:autoRedefine/>
    <w:semiHidden/>
    <w:qFormat/>
    <w:uiPriority w:val="9"/>
    <w:rPr>
      <w:rFonts w:ascii="Cambria" w:hAnsi="Cambria" w:eastAsia="宋体" w:cs="Times New Roman"/>
      <w:b/>
      <w:bCs/>
      <w:sz w:val="28"/>
      <w:szCs w:val="28"/>
    </w:rPr>
  </w:style>
  <w:style w:type="character" w:customStyle="1" w:styleId="101">
    <w:name w:val="Body Text Char"/>
    <w:autoRedefine/>
    <w:semiHidden/>
    <w:qFormat/>
    <w:uiPriority w:val="99"/>
    <w:rPr>
      <w:rFonts w:cs="Calibri"/>
      <w:szCs w:val="21"/>
    </w:rPr>
  </w:style>
  <w:style w:type="character" w:customStyle="1" w:styleId="102">
    <w:name w:val="Balloon Text Char"/>
    <w:autoRedefine/>
    <w:semiHidden/>
    <w:qFormat/>
    <w:uiPriority w:val="99"/>
    <w:rPr>
      <w:rFonts w:cs="Calibri"/>
      <w:sz w:val="16"/>
      <w:szCs w:val="0"/>
    </w:rPr>
  </w:style>
  <w:style w:type="character" w:customStyle="1" w:styleId="103">
    <w:name w:val="标题 6 Char"/>
    <w:autoRedefine/>
    <w:semiHidden/>
    <w:qFormat/>
    <w:uiPriority w:val="9"/>
    <w:rPr>
      <w:rFonts w:ascii="Cambria" w:hAnsi="Cambria" w:eastAsia="宋体" w:cs="Times New Roman"/>
      <w:b/>
      <w:bCs/>
      <w:sz w:val="24"/>
      <w:szCs w:val="24"/>
    </w:rPr>
  </w:style>
  <w:style w:type="character" w:customStyle="1" w:styleId="104">
    <w:name w:val="Comment Text Char"/>
    <w:autoRedefine/>
    <w:semiHidden/>
    <w:qFormat/>
    <w:uiPriority w:val="99"/>
    <w:rPr>
      <w:rFonts w:cs="Calibri"/>
      <w:szCs w:val="21"/>
    </w:rPr>
  </w:style>
  <w:style w:type="character" w:customStyle="1" w:styleId="105">
    <w:name w:val="正文首行缩进 Char"/>
    <w:link w:val="40"/>
    <w:autoRedefine/>
    <w:semiHidden/>
    <w:qFormat/>
    <w:uiPriority w:val="99"/>
    <w:rPr>
      <w:rFonts w:cs="Calibri"/>
      <w:szCs w:val="21"/>
    </w:rPr>
  </w:style>
  <w:style w:type="character" w:customStyle="1" w:styleId="106">
    <w:name w:val="页脚 Char"/>
    <w:autoRedefine/>
    <w:semiHidden/>
    <w:qFormat/>
    <w:uiPriority w:val="99"/>
    <w:rPr>
      <w:rFonts w:cs="Calibri"/>
      <w:sz w:val="18"/>
      <w:szCs w:val="18"/>
    </w:rPr>
  </w:style>
  <w:style w:type="character" w:customStyle="1" w:styleId="107">
    <w:name w:val="文档结构图 Char"/>
    <w:autoRedefine/>
    <w:semiHidden/>
    <w:qFormat/>
    <w:uiPriority w:val="99"/>
    <w:rPr>
      <w:rFonts w:ascii="Times New Roman" w:hAnsi="Times New Roman" w:cs="Calibri"/>
      <w:sz w:val="16"/>
      <w:szCs w:val="0"/>
    </w:rPr>
  </w:style>
  <w:style w:type="character" w:customStyle="1" w:styleId="108">
    <w:name w:val="标题 Char"/>
    <w:link w:val="38"/>
    <w:autoRedefine/>
    <w:qFormat/>
    <w:uiPriority w:val="10"/>
    <w:rPr>
      <w:rFonts w:ascii="Cambria" w:hAnsi="Cambria" w:cs="Times New Roman"/>
      <w:b/>
      <w:bCs/>
      <w:sz w:val="32"/>
      <w:szCs w:val="32"/>
    </w:rPr>
  </w:style>
  <w:style w:type="paragraph" w:styleId="109">
    <w:name w:val="List Paragraph"/>
    <w:basedOn w:val="1"/>
    <w:autoRedefine/>
    <w:qFormat/>
    <w:uiPriority w:val="34"/>
    <w:pPr>
      <w:topLinePunct w:val="0"/>
      <w:autoSpaceDE/>
      <w:ind w:firstLine="420"/>
    </w:pPr>
    <w:rPr>
      <w:szCs w:val="24"/>
    </w:rPr>
  </w:style>
  <w:style w:type="character" w:customStyle="1" w:styleId="110">
    <w:name w:val="标题 7 Char"/>
    <w:autoRedefine/>
    <w:semiHidden/>
    <w:qFormat/>
    <w:uiPriority w:val="9"/>
    <w:rPr>
      <w:rFonts w:cs="Calibri"/>
      <w:b/>
      <w:bCs/>
      <w:sz w:val="24"/>
      <w:szCs w:val="24"/>
    </w:rPr>
  </w:style>
  <w:style w:type="character" w:customStyle="1" w:styleId="111">
    <w:name w:val="Body Text First Indent 2 Char"/>
    <w:basedOn w:val="80"/>
    <w:autoRedefine/>
    <w:semiHidden/>
    <w:qFormat/>
    <w:uiPriority w:val="99"/>
    <w:rPr>
      <w:rFonts w:ascii="Times New Roman" w:hAnsi="Times New Roman" w:eastAsia="宋体" w:cs="Calibri"/>
      <w:sz w:val="24"/>
      <w:szCs w:val="21"/>
    </w:rPr>
  </w:style>
  <w:style w:type="table" w:customStyle="1" w:styleId="112">
    <w:name w:val="网格型10"/>
    <w:basedOn w:val="42"/>
    <w:autoRedefine/>
    <w:unhideWhenUsed/>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3">
    <w:name w:val="批注主题 Char"/>
    <w:autoRedefine/>
    <w:semiHidden/>
    <w:qFormat/>
    <w:uiPriority w:val="99"/>
    <w:rPr>
      <w:rFonts w:cs="Calibri"/>
      <w:b/>
      <w:bCs/>
      <w:szCs w:val="21"/>
    </w:rPr>
  </w:style>
  <w:style w:type="character" w:customStyle="1" w:styleId="114">
    <w:name w:val="标题 2 Char"/>
    <w:autoRedefine/>
    <w:semiHidden/>
    <w:qFormat/>
    <w:uiPriority w:val="9"/>
    <w:rPr>
      <w:rFonts w:ascii="Cambria" w:hAnsi="Cambria" w:eastAsia="宋体" w:cs="Times New Roman"/>
      <w:b/>
      <w:bCs/>
      <w:sz w:val="32"/>
      <w:szCs w:val="32"/>
    </w:rPr>
  </w:style>
  <w:style w:type="character" w:customStyle="1" w:styleId="115">
    <w:name w:val="标题 3 Char"/>
    <w:autoRedefine/>
    <w:semiHidden/>
    <w:qFormat/>
    <w:uiPriority w:val="9"/>
    <w:rPr>
      <w:rFonts w:cs="Calibri"/>
      <w:b/>
      <w:bCs/>
      <w:sz w:val="32"/>
      <w:szCs w:val="32"/>
    </w:rPr>
  </w:style>
  <w:style w:type="character" w:customStyle="1" w:styleId="116">
    <w:name w:val="日期 Char"/>
    <w:autoRedefine/>
    <w:semiHidden/>
    <w:qFormat/>
    <w:uiPriority w:val="99"/>
    <w:rPr>
      <w:rFonts w:cs="Calibri"/>
      <w:szCs w:val="21"/>
    </w:rPr>
  </w:style>
  <w:style w:type="paragraph" w:customStyle="1" w:styleId="117">
    <w:name w:val="二级标题 Char Char Char"/>
    <w:basedOn w:val="1"/>
    <w:next w:val="1"/>
    <w:autoRedefine/>
    <w:semiHidden/>
    <w:qFormat/>
    <w:uiPriority w:val="99"/>
    <w:pPr>
      <w:topLinePunct w:val="0"/>
      <w:autoSpaceDE/>
      <w:spacing w:line="529" w:lineRule="exact"/>
    </w:pPr>
    <w:rPr>
      <w:rFonts w:ascii="宋体" w:hAnsi="宋体" w:cs="宋体"/>
      <w:szCs w:val="24"/>
    </w:rPr>
  </w:style>
  <w:style w:type="character" w:customStyle="1" w:styleId="118">
    <w:name w:val="正文文本 字符"/>
    <w:basedOn w:val="44"/>
    <w:autoRedefine/>
    <w:semiHidden/>
    <w:qFormat/>
    <w:uiPriority w:val="1"/>
    <w:rPr>
      <w:rFonts w:ascii="Times New Roman" w:hAnsi="Times New Roman" w:eastAsia="宋体" w:cs="Times New Roman"/>
      <w:kern w:val="2"/>
      <w:sz w:val="24"/>
      <w:szCs w:val="22"/>
    </w:rPr>
  </w:style>
  <w:style w:type="character" w:customStyle="1" w:styleId="119">
    <w:name w:val="正文文本缩进 2 字符"/>
    <w:basedOn w:val="44"/>
    <w:autoRedefine/>
    <w:semiHidden/>
    <w:qFormat/>
    <w:uiPriority w:val="99"/>
    <w:rPr>
      <w:rFonts w:ascii="Times New Roman" w:hAnsi="Times New Roman" w:eastAsia="宋体" w:cs="Times New Roman"/>
      <w:kern w:val="2"/>
      <w:sz w:val="24"/>
      <w:szCs w:val="22"/>
    </w:rPr>
  </w:style>
  <w:style w:type="character" w:customStyle="1" w:styleId="120">
    <w:name w:val="纯文本 字符"/>
    <w:basedOn w:val="44"/>
    <w:autoRedefine/>
    <w:semiHidden/>
    <w:qFormat/>
    <w:uiPriority w:val="99"/>
    <w:rPr>
      <w:rFonts w:hAnsi="Courier New" w:cs="Courier New" w:asciiTheme="minorEastAsia"/>
      <w:kern w:val="2"/>
      <w:sz w:val="24"/>
      <w:szCs w:val="22"/>
    </w:rPr>
  </w:style>
  <w:style w:type="character" w:customStyle="1" w:styleId="121">
    <w:name w:val="正文文本首行缩进 字符"/>
    <w:basedOn w:val="118"/>
    <w:autoRedefine/>
    <w:semiHidden/>
    <w:qFormat/>
    <w:uiPriority w:val="99"/>
    <w:rPr>
      <w:rFonts w:ascii="Times New Roman" w:hAnsi="Times New Roman" w:eastAsia="宋体" w:cs="Times New Roman"/>
      <w:kern w:val="2"/>
      <w:sz w:val="24"/>
      <w:szCs w:val="22"/>
    </w:rPr>
  </w:style>
  <w:style w:type="character" w:customStyle="1" w:styleId="122">
    <w:name w:val="批注主题 Char1"/>
    <w:basedOn w:val="44"/>
    <w:link w:val="39"/>
    <w:autoRedefine/>
    <w:semiHidden/>
    <w:qFormat/>
    <w:uiPriority w:val="99"/>
    <w:rPr>
      <w:rFonts w:ascii="Times New Roman" w:hAnsi="Times New Roman" w:eastAsia="宋体" w:cs="Times New Roman"/>
      <w:b/>
      <w:bCs/>
      <w:kern w:val="2"/>
      <w:sz w:val="24"/>
      <w:szCs w:val="22"/>
    </w:rPr>
  </w:style>
  <w:style w:type="table" w:customStyle="1" w:styleId="123">
    <w:name w:val="灰度表格3"/>
    <w:basedOn w:val="42"/>
    <w:autoRedefine/>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4">
    <w:name w:val="正文文本缩进 Char1"/>
    <w:basedOn w:val="44"/>
    <w:link w:val="19"/>
    <w:autoRedefine/>
    <w:semiHidden/>
    <w:qFormat/>
    <w:uiPriority w:val="99"/>
    <w:rPr>
      <w:rFonts w:ascii="Times New Roman" w:hAnsi="Times New Roman" w:eastAsia="宋体" w:cs="Times New Roman"/>
      <w:kern w:val="2"/>
      <w:sz w:val="24"/>
      <w:szCs w:val="22"/>
    </w:rPr>
  </w:style>
  <w:style w:type="character" w:customStyle="1" w:styleId="125">
    <w:name w:val="正文文本缩进 2 Char"/>
    <w:basedOn w:val="44"/>
    <w:link w:val="24"/>
    <w:autoRedefine/>
    <w:qFormat/>
    <w:uiPriority w:val="99"/>
    <w:rPr>
      <w:rFonts w:ascii="Times New Roman" w:hAnsi="Times New Roman" w:eastAsia="宋体" w:cs="Times New Roman"/>
      <w:kern w:val="2"/>
      <w:sz w:val="24"/>
      <w:szCs w:val="22"/>
    </w:rPr>
  </w:style>
  <w:style w:type="character" w:customStyle="1" w:styleId="126">
    <w:name w:val="正文文本 Char"/>
    <w:basedOn w:val="44"/>
    <w:link w:val="17"/>
    <w:autoRedefine/>
    <w:semiHidden/>
    <w:qFormat/>
    <w:uiPriority w:val="99"/>
    <w:rPr>
      <w:rFonts w:ascii="Times New Roman" w:hAnsi="Times New Roman" w:eastAsia="宋体" w:cs="Times New Roman"/>
      <w:kern w:val="2"/>
      <w:sz w:val="24"/>
      <w:szCs w:val="22"/>
    </w:rPr>
  </w:style>
  <w:style w:type="character" w:customStyle="1" w:styleId="127">
    <w:name w:val="批注框文本 Char"/>
    <w:basedOn w:val="44"/>
    <w:link w:val="26"/>
    <w:autoRedefine/>
    <w:qFormat/>
    <w:uiPriority w:val="99"/>
    <w:rPr>
      <w:rFonts w:ascii="Times New Roman" w:hAnsi="Times New Roman" w:eastAsia="宋体" w:cs="Times New Roman"/>
      <w:kern w:val="2"/>
      <w:sz w:val="18"/>
      <w:szCs w:val="18"/>
    </w:rPr>
  </w:style>
  <w:style w:type="character" w:customStyle="1" w:styleId="128">
    <w:name w:val="页脚 Char2"/>
    <w:autoRedefine/>
    <w:semiHidden/>
    <w:qFormat/>
    <w:uiPriority w:val="99"/>
    <w:rPr>
      <w:rFonts w:ascii="Times New Roman" w:hAnsi="Times New Roman" w:eastAsia="宋体" w:cs="Times New Roman"/>
      <w:sz w:val="18"/>
      <w:szCs w:val="18"/>
    </w:rPr>
  </w:style>
  <w:style w:type="character" w:customStyle="1" w:styleId="129">
    <w:name w:val="纯文本 Char5"/>
    <w:autoRedefine/>
    <w:semiHidden/>
    <w:qFormat/>
    <w:uiPriority w:val="0"/>
    <w:rPr>
      <w:rFonts w:ascii="宋体" w:hAnsi="Courier New" w:cs="Courier New"/>
      <w:kern w:val="2"/>
      <w:sz w:val="21"/>
      <w:szCs w:val="21"/>
    </w:rPr>
  </w:style>
  <w:style w:type="character" w:customStyle="1" w:styleId="130">
    <w:name w:val="正文首行缩进 2 Char2"/>
    <w:link w:val="131"/>
    <w:autoRedefine/>
    <w:semiHidden/>
    <w:qFormat/>
    <w:uiPriority w:val="99"/>
    <w:rPr>
      <w:rFonts w:ascii="Times New Roman" w:hAnsi="Times New Roman" w:eastAsia="宋体" w:cs="Times New Roman"/>
      <w:sz w:val="32"/>
      <w:szCs w:val="20"/>
    </w:rPr>
  </w:style>
  <w:style w:type="paragraph" w:customStyle="1" w:styleId="131">
    <w:name w:val="_Style 111"/>
    <w:basedOn w:val="19"/>
    <w:next w:val="1"/>
    <w:link w:val="130"/>
    <w:autoRedefine/>
    <w:qFormat/>
    <w:uiPriority w:val="99"/>
    <w:pPr>
      <w:topLinePunct w:val="0"/>
      <w:autoSpaceDE/>
      <w:spacing w:line="240" w:lineRule="auto"/>
      <w:ind w:firstLine="420"/>
    </w:pPr>
    <w:rPr>
      <w:kern w:val="0"/>
      <w:sz w:val="32"/>
      <w:szCs w:val="20"/>
    </w:rPr>
  </w:style>
  <w:style w:type="character" w:customStyle="1" w:styleId="132">
    <w:name w:val="纯文本 字符1"/>
    <w:basedOn w:val="44"/>
    <w:autoRedefine/>
    <w:semiHidden/>
    <w:qFormat/>
    <w:uiPriority w:val="0"/>
    <w:rPr>
      <w:rFonts w:hAnsi="Courier New" w:cs="Courier New" w:asciiTheme="minorEastAsia"/>
      <w:kern w:val="2"/>
      <w:sz w:val="24"/>
      <w:szCs w:val="22"/>
    </w:rPr>
  </w:style>
  <w:style w:type="character" w:customStyle="1" w:styleId="133">
    <w:name w:val="批注文字 Char"/>
    <w:basedOn w:val="44"/>
    <w:link w:val="16"/>
    <w:autoRedefine/>
    <w:semiHidden/>
    <w:qFormat/>
    <w:uiPriority w:val="0"/>
    <w:rPr>
      <w:rFonts w:ascii="Times New Roman" w:hAnsi="Times New Roman" w:eastAsia="宋体" w:cs="Times New Roman"/>
      <w:kern w:val="2"/>
      <w:sz w:val="24"/>
      <w:szCs w:val="22"/>
    </w:rPr>
  </w:style>
  <w:style w:type="paragraph" w:customStyle="1" w:styleId="134">
    <w:name w:val="表格内容"/>
    <w:basedOn w:val="1"/>
    <w:autoRedefine/>
    <w:qFormat/>
    <w:uiPriority w:val="0"/>
    <w:pPr>
      <w:topLinePunct w:val="0"/>
      <w:autoSpaceDE/>
      <w:adjustRightInd w:val="0"/>
      <w:spacing w:line="240" w:lineRule="auto"/>
      <w:ind w:firstLine="0" w:firstLineChars="0"/>
      <w:jc w:val="center"/>
      <w:textAlignment w:val="baseline"/>
    </w:pPr>
    <w:rPr>
      <w:sz w:val="21"/>
    </w:rPr>
  </w:style>
  <w:style w:type="character" w:customStyle="1" w:styleId="135">
    <w:name w:val="表头—高 Char"/>
    <w:link w:val="136"/>
    <w:autoRedefine/>
    <w:qFormat/>
    <w:uiPriority w:val="0"/>
    <w:rPr>
      <w:rFonts w:ascii="Times New Roman" w:hAnsi="Times New Roman" w:eastAsia="宋体"/>
      <w:b/>
      <w:sz w:val="24"/>
    </w:rPr>
  </w:style>
  <w:style w:type="paragraph" w:customStyle="1" w:styleId="136">
    <w:name w:val="表头—高"/>
    <w:basedOn w:val="1"/>
    <w:link w:val="135"/>
    <w:autoRedefine/>
    <w:qFormat/>
    <w:uiPriority w:val="0"/>
    <w:pPr>
      <w:topLinePunct w:val="0"/>
      <w:autoSpaceDE/>
      <w:adjustRightInd w:val="0"/>
      <w:snapToGrid w:val="0"/>
      <w:spacing w:before="120" w:after="40" w:line="360" w:lineRule="auto"/>
      <w:ind w:firstLine="0" w:firstLineChars="0"/>
      <w:jc w:val="center"/>
    </w:pPr>
    <w:rPr>
      <w:rFonts w:cstheme="minorBidi"/>
      <w:b/>
      <w:kern w:val="0"/>
      <w:szCs w:val="20"/>
    </w:rPr>
  </w:style>
  <w:style w:type="character" w:customStyle="1" w:styleId="137">
    <w:name w:val="表格内容--高 Char"/>
    <w:link w:val="138"/>
    <w:autoRedefine/>
    <w:qFormat/>
    <w:uiPriority w:val="0"/>
    <w:rPr>
      <w:rFonts w:ascii="Times New Roman" w:hAnsi="Times New Roman" w:eastAsia="宋体" w:cs="宋体"/>
      <w:szCs w:val="21"/>
    </w:rPr>
  </w:style>
  <w:style w:type="paragraph" w:customStyle="1" w:styleId="138">
    <w:name w:val="表格内容--高"/>
    <w:basedOn w:val="1"/>
    <w:link w:val="137"/>
    <w:autoRedefine/>
    <w:qFormat/>
    <w:uiPriority w:val="0"/>
    <w:pPr>
      <w:topLinePunct w:val="0"/>
      <w:autoSpaceDE/>
      <w:spacing w:line="240" w:lineRule="auto"/>
      <w:ind w:firstLine="0" w:firstLineChars="0"/>
      <w:jc w:val="center"/>
    </w:pPr>
    <w:rPr>
      <w:rFonts w:cs="宋体"/>
      <w:kern w:val="0"/>
      <w:sz w:val="20"/>
      <w:szCs w:val="21"/>
    </w:rPr>
  </w:style>
  <w:style w:type="character" w:customStyle="1" w:styleId="139">
    <w:name w:val="高-正文 Char"/>
    <w:link w:val="140"/>
    <w:autoRedefine/>
    <w:qFormat/>
    <w:uiPriority w:val="0"/>
    <w:rPr>
      <w:rFonts w:ascii="Times New Roman" w:hAnsi="Times New Roman" w:eastAsia="宋体"/>
      <w:snapToGrid w:val="0"/>
      <w:sz w:val="24"/>
    </w:rPr>
  </w:style>
  <w:style w:type="paragraph" w:customStyle="1" w:styleId="140">
    <w:name w:val="高-正文"/>
    <w:basedOn w:val="1"/>
    <w:link w:val="139"/>
    <w:autoRedefine/>
    <w:qFormat/>
    <w:uiPriority w:val="0"/>
    <w:pPr>
      <w:autoSpaceDE/>
      <w:adjustRightInd w:val="0"/>
      <w:snapToGrid w:val="0"/>
      <w:spacing w:line="360" w:lineRule="auto"/>
      <w:ind w:firstLine="600"/>
      <w:jc w:val="left"/>
    </w:pPr>
    <w:rPr>
      <w:rFonts w:cstheme="minorBidi"/>
      <w:snapToGrid w:val="0"/>
      <w:kern w:val="0"/>
      <w:szCs w:val="20"/>
    </w:rPr>
  </w:style>
  <w:style w:type="character" w:customStyle="1" w:styleId="141">
    <w:name w:val="正文样式 Char"/>
    <w:link w:val="142"/>
    <w:autoRedefine/>
    <w:qFormat/>
    <w:uiPriority w:val="0"/>
    <w:rPr>
      <w:rFonts w:ascii="宋体" w:hAnsi="宋体" w:eastAsia="宋体"/>
      <w:kern w:val="2"/>
      <w:sz w:val="24"/>
      <w:szCs w:val="24"/>
    </w:rPr>
  </w:style>
  <w:style w:type="paragraph" w:customStyle="1" w:styleId="142">
    <w:name w:val="正文样式"/>
    <w:basedOn w:val="1"/>
    <w:link w:val="141"/>
    <w:autoRedefine/>
    <w:qFormat/>
    <w:uiPriority w:val="0"/>
    <w:pPr>
      <w:topLinePunct w:val="0"/>
      <w:autoSpaceDE/>
      <w:adjustRightInd w:val="0"/>
      <w:snapToGrid w:val="0"/>
      <w:spacing w:line="360" w:lineRule="auto"/>
      <w:ind w:firstLine="480"/>
    </w:pPr>
    <w:rPr>
      <w:rFonts w:ascii="宋体" w:hAnsi="宋体" w:cstheme="minorBidi"/>
      <w:szCs w:val="24"/>
    </w:rPr>
  </w:style>
  <w:style w:type="paragraph" w:customStyle="1" w:styleId="143">
    <w:name w:val="默认段落字体 Para Char"/>
    <w:basedOn w:val="1"/>
    <w:next w:val="1"/>
    <w:autoRedefine/>
    <w:qFormat/>
    <w:uiPriority w:val="0"/>
    <w:pPr>
      <w:topLinePunct w:val="0"/>
      <w:autoSpaceDE/>
      <w:adjustRightInd w:val="0"/>
      <w:snapToGrid w:val="0"/>
      <w:spacing w:line="360" w:lineRule="auto"/>
    </w:pPr>
    <w:rPr>
      <w:rFonts w:ascii="宋体" w:hAnsi="宋体" w:cs="宋体"/>
      <w:szCs w:val="24"/>
    </w:rPr>
  </w:style>
  <w:style w:type="character" w:customStyle="1" w:styleId="144">
    <w:name w:val="【表中文字】 Char"/>
    <w:link w:val="145"/>
    <w:autoRedefine/>
    <w:qFormat/>
    <w:uiPriority w:val="0"/>
    <w:rPr>
      <w:kern w:val="2"/>
      <w:sz w:val="21"/>
    </w:rPr>
  </w:style>
  <w:style w:type="paragraph" w:customStyle="1" w:styleId="145">
    <w:name w:val="【表中文字】"/>
    <w:basedOn w:val="1"/>
    <w:link w:val="144"/>
    <w:autoRedefine/>
    <w:qFormat/>
    <w:uiPriority w:val="0"/>
    <w:pPr>
      <w:topLinePunct w:val="0"/>
      <w:autoSpaceDE/>
      <w:spacing w:line="240" w:lineRule="auto"/>
      <w:ind w:firstLine="0" w:firstLineChars="0"/>
      <w:jc w:val="center"/>
    </w:pPr>
    <w:rPr>
      <w:rFonts w:asciiTheme="minorHAnsi" w:hAnsiTheme="minorHAnsi" w:eastAsiaTheme="minorEastAsia" w:cstheme="minorBidi"/>
      <w:sz w:val="21"/>
      <w:szCs w:val="20"/>
    </w:rPr>
  </w:style>
  <w:style w:type="paragraph" w:customStyle="1" w:styleId="146">
    <w:name w:val="表格文字"/>
    <w:basedOn w:val="1"/>
    <w:autoRedefine/>
    <w:qFormat/>
    <w:uiPriority w:val="0"/>
    <w:pPr>
      <w:spacing w:line="400" w:lineRule="exact"/>
      <w:ind w:firstLine="0" w:firstLineChars="0"/>
      <w:jc w:val="center"/>
    </w:pPr>
    <w:rPr>
      <w:sz w:val="21"/>
    </w:rPr>
  </w:style>
  <w:style w:type="table" w:customStyle="1" w:styleId="147">
    <w:name w:val="标准表格"/>
    <w:basedOn w:val="42"/>
    <w:autoRedefine/>
    <w:qFormat/>
    <w:uiPriority w:val="99"/>
    <w:pPr>
      <w:spacing w:before="74"/>
      <w:jc w:val="center"/>
    </w:pPr>
    <w:rPr>
      <w:sz w:val="18"/>
    </w:rPr>
    <w:tblP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
    <w:tcPr>
      <w:shd w:val="clear" w:color="auto" w:fill="FFFFFF" w:themeFill="background1"/>
      <w:vAlign w:val="center"/>
    </w:tcPr>
    <w:tblStylePr w:type="firstRow">
      <w:pPr>
        <w:wordWrap/>
        <w:spacing w:beforeLines="0" w:beforeAutospacing="1" w:afterLines="0" w:afterAutospacing="1" w:line="240" w:lineRule="auto"/>
        <w:ind w:left="0" w:leftChars="0" w:right="0" w:rightChars="0" w:firstLine="0" w:firstLineChars="0"/>
        <w:jc w:val="center"/>
      </w:pPr>
      <w:rPr>
        <w:rFonts w:hint="default" w:ascii="Times New Roman" w:hAnsi="Times New Roman" w:eastAsia="宋体" w:cs="Times New Roman"/>
        <w:sz w:val="18"/>
        <w:szCs w:val="18"/>
      </w:rPr>
    </w:tblStylePr>
    <w:tblStylePr w:type="firstCol">
      <w:pPr>
        <w:jc w:val="center"/>
      </w:pPr>
    </w:tblStylePr>
  </w:style>
  <w:style w:type="table" w:customStyle="1" w:styleId="148">
    <w:name w:val="Table Normal3"/>
    <w:autoRedefine/>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49">
    <w:name w:val="Table Paragraph"/>
    <w:basedOn w:val="1"/>
    <w:autoRedefine/>
    <w:qFormat/>
    <w:uiPriority w:val="1"/>
  </w:style>
  <w:style w:type="table" w:customStyle="1" w:styleId="150">
    <w:name w:val="Table Normal4"/>
    <w:autoRedefine/>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51">
    <w:name w:val="Table Normal5"/>
    <w:autoRedefine/>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52">
    <w:name w:val="Table Normal7"/>
    <w:autoRedefine/>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53">
    <w:name w:val="Table Normal8"/>
    <w:autoRedefine/>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54">
    <w:name w:val="表头"/>
    <w:basedOn w:val="32"/>
    <w:next w:val="1"/>
    <w:link w:val="156"/>
    <w:autoRedefine/>
    <w:qFormat/>
    <w:uiPriority w:val="0"/>
    <w:pPr>
      <w:spacing w:before="50" w:beforeLines="50" w:line="360" w:lineRule="auto"/>
      <w:ind w:left="0" w:firstLine="0" w:firstLineChars="0"/>
      <w:jc w:val="center"/>
    </w:pPr>
    <w:rPr>
      <w:rFonts w:ascii="Times New Roman" w:hAnsi="Times New Roman" w:cs="宋体"/>
      <w:b/>
      <w:szCs w:val="24"/>
    </w:rPr>
  </w:style>
  <w:style w:type="character" w:customStyle="1" w:styleId="155">
    <w:name w:val="NormalCharacter"/>
    <w:link w:val="1"/>
    <w:autoRedefine/>
    <w:semiHidden/>
    <w:qFormat/>
    <w:uiPriority w:val="0"/>
    <w:rPr>
      <w:rFonts w:ascii="Times New Roman" w:hAnsi="Times New Roman" w:eastAsia="宋体" w:cs="Times New Roman"/>
      <w:kern w:val="2"/>
      <w:sz w:val="24"/>
      <w:szCs w:val="22"/>
      <w:lang w:val="en-US" w:eastAsia="zh-CN" w:bidi="ar-SA"/>
    </w:rPr>
  </w:style>
  <w:style w:type="character" w:customStyle="1" w:styleId="156">
    <w:name w:val="表头 Char"/>
    <w:link w:val="154"/>
    <w:autoRedefine/>
    <w:qFormat/>
    <w:uiPriority w:val="0"/>
    <w:rPr>
      <w:rFonts w:ascii="Times New Roman" w:hAnsi="Times New Roman" w:cs="宋体"/>
      <w:b/>
      <w:szCs w:val="24"/>
    </w:rPr>
  </w:style>
  <w:style w:type="paragraph" w:styleId="157">
    <w:name w:val="No Spacing"/>
    <w:basedOn w:val="1"/>
    <w:autoRedefine/>
    <w:qFormat/>
    <w:uiPriority w:val="1"/>
    <w:pPr>
      <w:spacing w:line="240" w:lineRule="auto"/>
    </w:pPr>
  </w:style>
  <w:style w:type="table" w:customStyle="1" w:styleId="158">
    <w:name w:val="表格样式3"/>
    <w:basedOn w:val="42"/>
    <w:autoRedefine/>
    <w:qFormat/>
    <w:uiPriority w:val="0"/>
    <w:pPr>
      <w:jc w:val="center"/>
    </w:p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paragraph" w:customStyle="1" w:styleId="159">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60">
    <w:name w:val="font01"/>
    <w:basedOn w:val="44"/>
    <w:autoRedefine/>
    <w:qFormat/>
    <w:uiPriority w:val="0"/>
    <w:rPr>
      <w:rFonts w:hint="eastAsia" w:ascii="宋体" w:hAnsi="宋体" w:eastAsia="宋体" w:cs="宋体"/>
      <w:color w:val="000000"/>
      <w:sz w:val="24"/>
      <w:szCs w:val="24"/>
      <w:u w:val="none"/>
    </w:rPr>
  </w:style>
  <w:style w:type="paragraph" w:customStyle="1" w:styleId="161">
    <w:name w:val="[1]正文"/>
    <w:basedOn w:val="1"/>
    <w:qFormat/>
    <w:uiPriority w:val="0"/>
    <w:pPr>
      <w:autoSpaceDE w:val="0"/>
      <w:autoSpaceDN w:val="0"/>
      <w:ind w:left="0" w:leftChars="0" w:firstLine="200" w:firstLineChars="200"/>
    </w:pPr>
    <w:rPr>
      <w:rFonts w:ascii="Times New Roman" w:hAnsi="Times New Roman"/>
      <w:color w:val="000000"/>
      <w:kern w:val="0"/>
      <w:szCs w:val="24"/>
      <w:lang w:val="zh-CN"/>
    </w:rPr>
  </w:style>
  <w:style w:type="paragraph" w:customStyle="1" w:styleId="162">
    <w:name w:val="正文1"/>
    <w:basedOn w:val="1"/>
    <w:next w:val="1"/>
    <w:qFormat/>
    <w:uiPriority w:val="0"/>
    <w:pPr>
      <w:tabs>
        <w:tab w:val="left" w:pos="780"/>
        <w:tab w:val="left" w:pos="1077"/>
        <w:tab w:val="left" w:pos="3419"/>
      </w:tabs>
      <w:spacing w:before="60" w:after="60" w:line="520" w:lineRule="exact"/>
      <w:ind w:left="567" w:firstLine="420"/>
    </w:pPr>
    <w:rPr>
      <w:rFonts w:ascii="Arial" w:hAnsi="Arial" w:eastAsia="仿宋_GB2312"/>
      <w:kern w:val="0"/>
      <w:sz w:val="28"/>
    </w:rPr>
  </w:style>
  <w:style w:type="paragraph" w:customStyle="1" w:styleId="16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2.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65.png"/><Relationship Id="rId93" Type="http://schemas.openxmlformats.org/officeDocument/2006/relationships/image" Target="media/image64.jpeg"/><Relationship Id="rId92" Type="http://schemas.openxmlformats.org/officeDocument/2006/relationships/image" Target="media/image63.jpeg"/><Relationship Id="rId91" Type="http://schemas.openxmlformats.org/officeDocument/2006/relationships/image" Target="media/image62.png"/><Relationship Id="rId90" Type="http://schemas.openxmlformats.org/officeDocument/2006/relationships/image" Target="media/image61.png"/><Relationship Id="rId9" Type="http://schemas.openxmlformats.org/officeDocument/2006/relationships/footer" Target="footer3.xml"/><Relationship Id="rId89" Type="http://schemas.openxmlformats.org/officeDocument/2006/relationships/image" Target="media/image60.png"/><Relationship Id="rId88" Type="http://schemas.openxmlformats.org/officeDocument/2006/relationships/image" Target="media/image59.png"/><Relationship Id="rId87" Type="http://schemas.openxmlformats.org/officeDocument/2006/relationships/image" Target="media/image58.png"/><Relationship Id="rId86" Type="http://schemas.openxmlformats.org/officeDocument/2006/relationships/image" Target="media/image57.wmf"/><Relationship Id="rId85" Type="http://schemas.openxmlformats.org/officeDocument/2006/relationships/image" Target="media/image56.wmf"/><Relationship Id="rId84" Type="http://schemas.openxmlformats.org/officeDocument/2006/relationships/oleObject" Target="embeddings/oleObject18.bin"/><Relationship Id="rId83" Type="http://schemas.openxmlformats.org/officeDocument/2006/relationships/image" Target="media/image55.wmf"/><Relationship Id="rId82" Type="http://schemas.openxmlformats.org/officeDocument/2006/relationships/oleObject" Target="embeddings/oleObject17.bin"/><Relationship Id="rId81" Type="http://schemas.openxmlformats.org/officeDocument/2006/relationships/image" Target="media/image54.wmf"/><Relationship Id="rId80" Type="http://schemas.openxmlformats.org/officeDocument/2006/relationships/oleObject" Target="embeddings/oleObject16.bin"/><Relationship Id="rId8" Type="http://schemas.openxmlformats.org/officeDocument/2006/relationships/footer" Target="footer2.xml"/><Relationship Id="rId79" Type="http://schemas.openxmlformats.org/officeDocument/2006/relationships/image" Target="media/image53.wmf"/><Relationship Id="rId78" Type="http://schemas.openxmlformats.org/officeDocument/2006/relationships/oleObject" Target="embeddings/oleObject15.bin"/><Relationship Id="rId77" Type="http://schemas.openxmlformats.org/officeDocument/2006/relationships/image" Target="media/image52.wmf"/><Relationship Id="rId76" Type="http://schemas.openxmlformats.org/officeDocument/2006/relationships/oleObject" Target="embeddings/oleObject14.bin"/><Relationship Id="rId75" Type="http://schemas.openxmlformats.org/officeDocument/2006/relationships/image" Target="media/image51.wmf"/><Relationship Id="rId74" Type="http://schemas.openxmlformats.org/officeDocument/2006/relationships/oleObject" Target="embeddings/oleObject13.bin"/><Relationship Id="rId73" Type="http://schemas.openxmlformats.org/officeDocument/2006/relationships/image" Target="media/image50.wmf"/><Relationship Id="rId72" Type="http://schemas.openxmlformats.org/officeDocument/2006/relationships/oleObject" Target="embeddings/oleObject12.bin"/><Relationship Id="rId71" Type="http://schemas.openxmlformats.org/officeDocument/2006/relationships/image" Target="media/image49.wmf"/><Relationship Id="rId70" Type="http://schemas.openxmlformats.org/officeDocument/2006/relationships/oleObject" Target="embeddings/oleObject11.bin"/><Relationship Id="rId7" Type="http://schemas.openxmlformats.org/officeDocument/2006/relationships/footer" Target="footer1.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header" Target="header2.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1.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0.bin"/><Relationship Id="rId44" Type="http://schemas.openxmlformats.org/officeDocument/2006/relationships/image" Target="media/image24.png"/><Relationship Id="rId43" Type="http://schemas.openxmlformats.org/officeDocument/2006/relationships/image" Target="media/image23.jpeg"/><Relationship Id="rId42" Type="http://schemas.openxmlformats.org/officeDocument/2006/relationships/image" Target="media/image22.jpeg"/><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endnotes" Target="endnotes.xml"/><Relationship Id="rId39" Type="http://schemas.openxmlformats.org/officeDocument/2006/relationships/image" Target="media/image19.emf"/><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emf"/><Relationship Id="rId33" Type="http://schemas.openxmlformats.org/officeDocument/2006/relationships/oleObject" Target="embeddings/oleObject7.bin"/><Relationship Id="rId32" Type="http://schemas.openxmlformats.org/officeDocument/2006/relationships/image" Target="media/image15.emf"/><Relationship Id="rId31" Type="http://schemas.openxmlformats.org/officeDocument/2006/relationships/oleObject" Target="embeddings/oleObject6.bin"/><Relationship Id="rId30" Type="http://schemas.openxmlformats.org/officeDocument/2006/relationships/image" Target="media/image14.emf"/><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image" Target="media/image13.png"/><Relationship Id="rId27" Type="http://schemas.openxmlformats.org/officeDocument/2006/relationships/image" Target="media/image12.emf"/><Relationship Id="rId26" Type="http://schemas.openxmlformats.org/officeDocument/2006/relationships/oleObject" Target="embeddings/oleObject4.bin"/><Relationship Id="rId25" Type="http://schemas.openxmlformats.org/officeDocument/2006/relationships/image" Target="media/image11.pn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emf"/><Relationship Id="rId21" Type="http://schemas.openxmlformats.org/officeDocument/2006/relationships/oleObject" Target="embeddings/oleObject3.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2.bin"/><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1.bin"/><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759F18-44CD-45F3-AFB8-4645B9FFDB67}">
  <ds:schemaRefs/>
</ds:datastoreItem>
</file>

<file path=docProps/app.xml><?xml version="1.0" encoding="utf-8"?>
<Properties xmlns="http://schemas.openxmlformats.org/officeDocument/2006/extended-properties" xmlns:vt="http://schemas.openxmlformats.org/officeDocument/2006/docPropsVTypes">
  <Template>Normal.dotm</Template>
  <Company>Www.SangSan.Cn</Company>
  <Pages>222</Pages>
  <Words>118740</Words>
  <Characters>143303</Characters>
  <Lines>1308</Lines>
  <Paragraphs>368</Paragraphs>
  <TotalTime>0</TotalTime>
  <ScaleCrop>false</ScaleCrop>
  <LinksUpToDate>false</LinksUpToDate>
  <CharactersWithSpaces>144371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2019-02-21T01:54:00Z</dcterms:created>
  <dc:creator>tie</dc:creator>
  <cp:lastModifiedBy>11</cp:lastModifiedBy>
  <dcterms:modified xsi:type="dcterms:W3CDTF">2024-10-11T05:58:09Z</dcterms:modified>
  <cp:revision>1078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21C1104DF1F842468E13AC8D63008606</vt:lpwstr>
  </property>
</Properties>
</file>