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eastAsia="黑体"/>
          <w:bCs/>
          <w:spacing w:val="-20"/>
          <w:sz w:val="44"/>
          <w:szCs w:val="44"/>
        </w:rPr>
      </w:pPr>
    </w:p>
    <w:p>
      <w:pPr>
        <w:ind w:firstLine="0" w:firstLineChars="0"/>
        <w:jc w:val="center"/>
        <w:rPr>
          <w:rFonts w:hAnsi="方正大黑简体" w:eastAsia="方正大黑简体"/>
          <w:spacing w:val="20"/>
          <w:sz w:val="44"/>
          <w:szCs w:val="44"/>
        </w:rPr>
      </w:pPr>
      <w:r>
        <w:rPr>
          <w:rFonts w:hint="eastAsia" w:hAnsi="方正大黑简体" w:eastAsia="方正大黑简体"/>
          <w:spacing w:val="20"/>
          <w:sz w:val="44"/>
          <w:szCs w:val="44"/>
        </w:rPr>
        <w:t>内蒙古春园满循环农业科技有限公司</w:t>
      </w:r>
    </w:p>
    <w:p>
      <w:pPr>
        <w:ind w:firstLine="0" w:firstLineChars="0"/>
        <w:jc w:val="center"/>
        <w:rPr>
          <w:rFonts w:hAnsi="方正大黑简体" w:eastAsia="方正大黑简体"/>
          <w:spacing w:val="20"/>
          <w:sz w:val="44"/>
          <w:szCs w:val="44"/>
        </w:rPr>
      </w:pPr>
      <w:r>
        <w:rPr>
          <w:rFonts w:hint="eastAsia" w:hAnsi="方正大黑简体" w:eastAsia="方正大黑简体"/>
          <w:spacing w:val="20"/>
          <w:sz w:val="44"/>
          <w:szCs w:val="44"/>
        </w:rPr>
        <w:t>肉羊养殖园区项目</w:t>
      </w:r>
    </w:p>
    <w:p>
      <w:pPr>
        <w:ind w:firstLine="0" w:firstLineChars="0"/>
        <w:jc w:val="center"/>
        <w:rPr>
          <w:rFonts w:ascii="华文行楷" w:hAnsi="华文楷体" w:eastAsia="华文行楷"/>
          <w:sz w:val="72"/>
          <w:szCs w:val="72"/>
        </w:rPr>
      </w:pPr>
      <w:r>
        <w:rPr>
          <w:rFonts w:hint="eastAsia" w:ascii="华文行楷" w:hAnsi="华文楷体" w:eastAsia="华文行楷"/>
          <w:spacing w:val="52"/>
          <w:sz w:val="72"/>
          <w:szCs w:val="72"/>
        </w:rPr>
        <w:t>环境影响报告书</w:t>
      </w:r>
    </w:p>
    <w:p>
      <w:pPr>
        <w:ind w:firstLine="0" w:firstLineChars="0"/>
        <w:jc w:val="center"/>
        <w:rPr>
          <w:rFonts w:eastAsia="楷体_GB2312"/>
          <w:b/>
          <w:sz w:val="32"/>
          <w:szCs w:val="32"/>
        </w:rPr>
      </w:pPr>
      <w:r>
        <w:rPr>
          <w:rFonts w:hint="eastAsia" w:eastAsia="楷体_GB2312"/>
          <w:b/>
          <w:sz w:val="32"/>
          <w:szCs w:val="32"/>
        </w:rPr>
        <w:t>（</w:t>
      </w:r>
      <w:r>
        <w:rPr>
          <w:rFonts w:hint="eastAsia" w:eastAsia="楷体_GB2312"/>
          <w:b/>
          <w:sz w:val="32"/>
          <w:szCs w:val="32"/>
          <w:lang w:val="en-US" w:eastAsia="zh-CN"/>
        </w:rPr>
        <w:t>报批</w:t>
      </w:r>
      <w:r>
        <w:rPr>
          <w:rFonts w:hint="eastAsia" w:eastAsia="楷体_GB2312"/>
          <w:b/>
          <w:sz w:val="32"/>
          <w:szCs w:val="32"/>
        </w:rPr>
        <w:t>版）</w:t>
      </w:r>
    </w:p>
    <w:p>
      <w:pPr>
        <w:ind w:firstLine="0" w:firstLineChars="0"/>
        <w:jc w:val="center"/>
        <w:rPr>
          <w:rFonts w:eastAsia="楷体_GB2312"/>
          <w:b/>
          <w:sz w:val="32"/>
          <w:szCs w:val="32"/>
        </w:rPr>
      </w:pPr>
    </w:p>
    <w:p>
      <w:pPr>
        <w:ind w:firstLine="0" w:firstLineChars="0"/>
        <w:jc w:val="center"/>
        <w:rPr>
          <w:rFonts w:eastAsia="楷体_GB2312"/>
          <w:b/>
          <w:sz w:val="32"/>
          <w:szCs w:val="32"/>
        </w:rPr>
      </w:pPr>
    </w:p>
    <w:p>
      <w:pPr>
        <w:ind w:firstLine="0" w:firstLineChars="0"/>
        <w:jc w:val="center"/>
        <w:rPr>
          <w:rFonts w:eastAsia="楷体_GB2312"/>
          <w:b/>
          <w:sz w:val="32"/>
          <w:szCs w:val="32"/>
        </w:rPr>
      </w:pPr>
    </w:p>
    <w:p>
      <w:pPr>
        <w:ind w:firstLine="0" w:firstLineChars="0"/>
        <w:jc w:val="center"/>
        <w:rPr>
          <w:rFonts w:eastAsia="楷体_GB2312"/>
          <w:b/>
          <w:sz w:val="32"/>
          <w:szCs w:val="32"/>
        </w:rPr>
      </w:pPr>
    </w:p>
    <w:p>
      <w:pPr>
        <w:ind w:firstLine="0" w:firstLineChars="0"/>
        <w:rPr>
          <w:rFonts w:eastAsia="楷体_GB2312"/>
          <w:b/>
          <w:sz w:val="32"/>
          <w:szCs w:val="32"/>
        </w:rPr>
      </w:pPr>
    </w:p>
    <w:p>
      <w:pPr>
        <w:ind w:firstLine="0" w:firstLineChars="0"/>
        <w:rPr>
          <w:rFonts w:eastAsia="楷体_GB2312"/>
          <w:b/>
          <w:sz w:val="32"/>
          <w:szCs w:val="32"/>
        </w:rPr>
      </w:pPr>
    </w:p>
    <w:p>
      <w:pPr>
        <w:ind w:firstLine="0" w:firstLineChars="0"/>
        <w:rPr>
          <w:rFonts w:eastAsia="楷体_GB2312"/>
          <w:b/>
          <w:sz w:val="32"/>
          <w:szCs w:val="32"/>
        </w:rPr>
      </w:pPr>
    </w:p>
    <w:p>
      <w:pPr>
        <w:ind w:firstLine="0" w:firstLineChars="0"/>
        <w:rPr>
          <w:rFonts w:eastAsia="楷体_GB2312"/>
          <w:b/>
          <w:sz w:val="32"/>
          <w:szCs w:val="32"/>
        </w:rPr>
      </w:pPr>
    </w:p>
    <w:p>
      <w:pPr>
        <w:ind w:firstLine="0" w:firstLineChars="0"/>
        <w:jc w:val="center"/>
        <w:rPr>
          <w:rFonts w:eastAsia="楷体_GB2312"/>
          <w:b/>
          <w:sz w:val="32"/>
          <w:szCs w:val="32"/>
        </w:rPr>
      </w:pPr>
    </w:p>
    <w:p>
      <w:pPr>
        <w:snapToGrid w:val="0"/>
        <w:ind w:firstLine="0" w:firstLineChars="0"/>
        <w:jc w:val="center"/>
        <w:rPr>
          <w:rFonts w:hAnsi="楷体_GB2312" w:eastAsia="楷体_GB2312"/>
          <w:b/>
          <w:spacing w:val="6"/>
          <w:sz w:val="28"/>
          <w:szCs w:val="28"/>
        </w:rPr>
      </w:pPr>
      <w:r>
        <w:rPr>
          <w:rFonts w:hint="eastAsia" w:hAnsi="楷体_GB2312" w:eastAsia="楷体_GB2312"/>
          <w:b/>
          <w:spacing w:val="6"/>
          <w:sz w:val="28"/>
          <w:szCs w:val="28"/>
        </w:rPr>
        <w:t>建设单位：内蒙古春园满循环农业科技有限公司</w:t>
      </w:r>
    </w:p>
    <w:p>
      <w:pPr>
        <w:snapToGrid w:val="0"/>
        <w:ind w:firstLine="0" w:firstLineChars="0"/>
        <w:jc w:val="center"/>
        <w:rPr>
          <w:rFonts w:eastAsia="楷体_GB2312"/>
        </w:rPr>
      </w:pPr>
      <w:r>
        <w:rPr>
          <w:rFonts w:hint="eastAsia" w:hAnsi="楷体_GB2312" w:eastAsia="楷体_GB2312"/>
          <w:b/>
          <w:spacing w:val="6"/>
          <w:sz w:val="28"/>
          <w:szCs w:val="28"/>
        </w:rPr>
        <w:t xml:space="preserve">评价单位： 内蒙古百霖环保科技有限公司   </w:t>
      </w:r>
      <w:r>
        <w:rPr>
          <w:rFonts w:hint="eastAsia" w:eastAsia="楷体_GB2312"/>
          <w:b/>
          <w:sz w:val="28"/>
          <w:szCs w:val="28"/>
        </w:rPr>
        <w:t xml:space="preserve">         </w:t>
      </w:r>
    </w:p>
    <w:p>
      <w:pPr>
        <w:ind w:firstLine="0" w:firstLineChars="0"/>
        <w:jc w:val="center"/>
        <w:rPr>
          <w:rFonts w:eastAsia="楷体_GB2312"/>
          <w:b/>
          <w:sz w:val="32"/>
          <w:szCs w:val="32"/>
        </w:rPr>
      </w:pPr>
      <w:r>
        <w:rPr>
          <w:rFonts w:hint="eastAsia" w:hAnsi="楷体_GB2312" w:eastAsia="楷体_GB2312"/>
          <w:b/>
          <w:spacing w:val="6"/>
          <w:sz w:val="28"/>
          <w:szCs w:val="28"/>
        </w:rPr>
        <w:t>二</w:t>
      </w:r>
      <w:r>
        <w:rPr>
          <w:rFonts w:hint="eastAsia" w:ascii="宋体" w:hAnsi="宋体" w:cs="宋体"/>
          <w:b/>
          <w:spacing w:val="6"/>
          <w:sz w:val="28"/>
          <w:szCs w:val="28"/>
        </w:rPr>
        <w:t>〇</w:t>
      </w:r>
      <w:r>
        <w:rPr>
          <w:rFonts w:hint="eastAsia" w:hAnsi="楷体_GB2312" w:eastAsia="楷体_GB2312"/>
          <w:b/>
          <w:spacing w:val="6"/>
          <w:sz w:val="28"/>
          <w:szCs w:val="28"/>
        </w:rPr>
        <w:t>二</w:t>
      </w:r>
      <w:r>
        <w:rPr>
          <w:rFonts w:hint="eastAsia" w:ascii="宋体" w:hAnsi="宋体" w:eastAsia="楷体_GB2312" w:cs="宋体"/>
          <w:b/>
          <w:spacing w:val="6"/>
          <w:sz w:val="28"/>
          <w:szCs w:val="28"/>
        </w:rPr>
        <w:t>三</w:t>
      </w:r>
      <w:r>
        <w:rPr>
          <w:rFonts w:hint="eastAsia" w:hAnsi="楷体_GB2312" w:eastAsia="楷体_GB2312"/>
          <w:b/>
          <w:spacing w:val="6"/>
          <w:sz w:val="28"/>
          <w:szCs w:val="28"/>
        </w:rPr>
        <w:t>年</w:t>
      </w:r>
      <w:r>
        <w:rPr>
          <w:rFonts w:hint="eastAsia" w:hAnsi="楷体_GB2312" w:eastAsia="楷体_GB2312"/>
          <w:b/>
          <w:spacing w:val="6"/>
          <w:sz w:val="28"/>
          <w:szCs w:val="28"/>
          <w:lang w:val="en-US" w:eastAsia="zh-CN"/>
        </w:rPr>
        <w:t>十一</w:t>
      </w:r>
      <w:r>
        <w:rPr>
          <w:rFonts w:hint="eastAsia" w:hAnsi="楷体_GB2312" w:eastAsia="楷体_GB2312"/>
          <w:b/>
          <w:spacing w:val="6"/>
          <w:sz w:val="28"/>
          <w:szCs w:val="28"/>
        </w:rPr>
        <w:t>月</w:t>
      </w:r>
    </w:p>
    <w:p>
      <w:pPr>
        <w:ind w:firstLine="420"/>
        <w:rPr>
          <w:bCs/>
          <w:caps/>
          <w:w w:val="0"/>
          <w:kern w:val="0"/>
          <w:sz w:val="21"/>
          <w:lang w:val="zh-CN"/>
        </w:rPr>
      </w:pPr>
    </w:p>
    <w:p>
      <w:pPr>
        <w:ind w:firstLine="480"/>
        <w:rPr>
          <w:lang w:val="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NumType w:fmt="decimal"/>
          <w:cols w:space="425" w:num="1"/>
          <w:docGrid w:linePitch="326" w:charSpace="0"/>
        </w:sectPr>
      </w:pPr>
    </w:p>
    <w:p>
      <w:pPr>
        <w:ind w:firstLine="482"/>
        <w:jc w:val="center"/>
        <w:rPr>
          <w:b/>
          <w:lang w:val="zh-CN"/>
        </w:rPr>
      </w:pPr>
      <w:r>
        <w:rPr>
          <w:rFonts w:hint="eastAsia"/>
          <w:b/>
          <w:lang w:val="zh-CN"/>
        </w:rPr>
        <w:t>目录</w:t>
      </w:r>
    </w:p>
    <w:p>
      <w:pPr>
        <w:pStyle w:val="26"/>
        <w:tabs>
          <w:tab w:val="right" w:leader="dot" w:pos="8312"/>
        </w:tabs>
      </w:pPr>
      <w:r>
        <w:rPr>
          <w:iCs/>
          <w:caps w:val="0"/>
          <w:lang w:val="zh-CN"/>
        </w:rPr>
        <w:fldChar w:fldCharType="begin"/>
      </w:r>
      <w:r>
        <w:rPr>
          <w:iCs/>
          <w:caps w:val="0"/>
          <w:lang w:val="zh-CN"/>
        </w:rPr>
        <w:instrText xml:space="preserve"> TOC \o "1-2" \h \z \u </w:instrText>
      </w:r>
      <w:r>
        <w:rPr>
          <w:iCs/>
          <w:caps w:val="0"/>
          <w:lang w:val="zh-CN"/>
        </w:rPr>
        <w:fldChar w:fldCharType="separate"/>
      </w:r>
      <w:r>
        <w:rPr>
          <w:iCs/>
          <w:caps w:val="0"/>
          <w:lang w:val="zh-CN"/>
        </w:rPr>
        <w:fldChar w:fldCharType="begin"/>
      </w:r>
      <w:r>
        <w:rPr>
          <w:iCs/>
          <w:caps w:val="0"/>
          <w:lang w:val="zh-CN"/>
        </w:rPr>
        <w:instrText xml:space="preserve"> HYPERLINK \l _Toc24844 </w:instrText>
      </w:r>
      <w:r>
        <w:rPr>
          <w:iCs/>
          <w:caps w:val="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 </w:t>
      </w:r>
      <w:r>
        <w:rPr>
          <w:rFonts w:hint="eastAsia"/>
        </w:rPr>
        <w:t>概述</w:t>
      </w:r>
      <w:r>
        <w:tab/>
      </w:r>
      <w:r>
        <w:fldChar w:fldCharType="begin"/>
      </w:r>
      <w:r>
        <w:instrText xml:space="preserve"> PAGEREF _Toc24844 \h </w:instrText>
      </w:r>
      <w:r>
        <w:fldChar w:fldCharType="separate"/>
      </w:r>
      <w:r>
        <w:t>1</w:t>
      </w:r>
      <w:r>
        <w:fldChar w:fldCharType="end"/>
      </w:r>
      <w:r>
        <w:rPr>
          <w:iCs/>
          <w:caps w:val="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_Toc5214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 </w:t>
      </w:r>
      <w:r>
        <w:rPr>
          <w:rFonts w:hint="eastAsia"/>
        </w:rPr>
        <w:t>建设项目由来</w:t>
      </w:r>
      <w:r>
        <w:tab/>
      </w:r>
      <w:r>
        <w:fldChar w:fldCharType="begin"/>
      </w:r>
      <w:r>
        <w:instrText xml:space="preserve"> PAGEREF _Toc5214 \h </w:instrText>
      </w:r>
      <w:r>
        <w:fldChar w:fldCharType="separate"/>
      </w:r>
      <w:r>
        <w:t>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_Toc18516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1.2 </w:t>
      </w:r>
      <w:r>
        <w:rPr>
          <w:rFonts w:hint="eastAsia"/>
        </w:rPr>
        <w:t>环境影响评价工作过程</w:t>
      </w:r>
      <w:r>
        <w:tab/>
      </w:r>
      <w:r>
        <w:fldChar w:fldCharType="begin"/>
      </w:r>
      <w:r>
        <w:instrText xml:space="preserve"> PAGEREF _Toc18516 \h </w:instrText>
      </w:r>
      <w:r>
        <w:fldChar w:fldCharType="separate"/>
      </w:r>
      <w:r>
        <w:t>2</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_Toc7519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1.3 </w:t>
      </w:r>
      <w:r>
        <w:rPr>
          <w:rFonts w:hint="eastAsia"/>
        </w:rPr>
        <w:t>相关情况的分析判定</w:t>
      </w:r>
      <w:r>
        <w:tab/>
      </w:r>
      <w:r>
        <w:fldChar w:fldCharType="begin"/>
      </w:r>
      <w:r>
        <w:instrText xml:space="preserve"> PAGEREF _Toc7519 \h </w:instrText>
      </w:r>
      <w:r>
        <w:fldChar w:fldCharType="separate"/>
      </w:r>
      <w:r>
        <w:t>4</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_Toc30380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1.4 </w:t>
      </w:r>
      <w:r>
        <w:rPr>
          <w:rFonts w:hint="eastAsia"/>
        </w:rPr>
        <w:t>关注的主要环境问题</w:t>
      </w:r>
      <w:r>
        <w:tab/>
      </w:r>
      <w:r>
        <w:fldChar w:fldCharType="begin"/>
      </w:r>
      <w:r>
        <w:instrText xml:space="preserve"> PAGEREF _Toc30380 \h </w:instrText>
      </w:r>
      <w:r>
        <w:fldChar w:fldCharType="separate"/>
      </w:r>
      <w:r>
        <w:t>24</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_Toc6871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1.5 </w:t>
      </w:r>
      <w:r>
        <w:rPr>
          <w:rFonts w:hint="eastAsia"/>
        </w:rPr>
        <w:t>环境影响评价的主要结论</w:t>
      </w:r>
      <w:r>
        <w:tab/>
      </w:r>
      <w:r>
        <w:fldChar w:fldCharType="begin"/>
      </w:r>
      <w:r>
        <w:instrText xml:space="preserve"> PAGEREF _Toc6871 \h </w:instrText>
      </w:r>
      <w:r>
        <w:fldChar w:fldCharType="separate"/>
      </w:r>
      <w:r>
        <w:t>24</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_Toc6038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 </w:t>
      </w:r>
      <w:r>
        <w:rPr>
          <w:rFonts w:hint="eastAsia"/>
        </w:rPr>
        <w:t>总则</w:t>
      </w:r>
      <w:r>
        <w:tab/>
      </w:r>
      <w:r>
        <w:fldChar w:fldCharType="begin"/>
      </w:r>
      <w:r>
        <w:instrText xml:space="preserve"> PAGEREF _Toc6038 \h </w:instrText>
      </w:r>
      <w:r>
        <w:fldChar w:fldCharType="separate"/>
      </w:r>
      <w:r>
        <w:t>25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_Toc14660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2.1 </w:t>
      </w:r>
      <w:r>
        <w:rPr>
          <w:rFonts w:hint="eastAsia"/>
        </w:rPr>
        <w:t>编制依据</w:t>
      </w:r>
      <w:r>
        <w:tab/>
      </w:r>
      <w:r>
        <w:fldChar w:fldCharType="begin"/>
      </w:r>
      <w:r>
        <w:instrText xml:space="preserve"> PAGEREF _Toc14660 \h </w:instrText>
      </w:r>
      <w:r>
        <w:fldChar w:fldCharType="separate"/>
      </w:r>
      <w:r>
        <w:t>25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_Toc20838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2.2 </w:t>
      </w:r>
      <w:r>
        <w:rPr>
          <w:rFonts w:hint="eastAsia"/>
        </w:rPr>
        <w:t>评价目的及指导思想</w:t>
      </w:r>
      <w:r>
        <w:tab/>
      </w:r>
      <w:r>
        <w:fldChar w:fldCharType="begin"/>
      </w:r>
      <w:r>
        <w:instrText xml:space="preserve"> PAGEREF _Toc20838 \h </w:instrText>
      </w:r>
      <w:r>
        <w:fldChar w:fldCharType="separate"/>
      </w:r>
      <w:r>
        <w:t>28</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_Toc687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2.3 </w:t>
      </w:r>
      <w:r>
        <w:rPr>
          <w:rFonts w:hint="eastAsia"/>
        </w:rPr>
        <w:t>环境影响识别</w:t>
      </w:r>
      <w:r>
        <w:tab/>
      </w:r>
      <w:r>
        <w:fldChar w:fldCharType="begin"/>
      </w:r>
      <w:r>
        <w:instrText xml:space="preserve"> PAGEREF _Toc687 \h </w:instrText>
      </w:r>
      <w:r>
        <w:fldChar w:fldCharType="separate"/>
      </w:r>
      <w:r>
        <w:t>30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_Toc28212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2.4 </w:t>
      </w:r>
      <w:r>
        <w:rPr>
          <w:rFonts w:hint="eastAsia"/>
        </w:rPr>
        <w:t>环境功能区划及评价标准</w:t>
      </w:r>
      <w:r>
        <w:tab/>
      </w:r>
      <w:r>
        <w:fldChar w:fldCharType="begin"/>
      </w:r>
      <w:r>
        <w:instrText xml:space="preserve"> PAGEREF _Toc28212 \h </w:instrText>
      </w:r>
      <w:r>
        <w:fldChar w:fldCharType="separate"/>
      </w:r>
      <w:r>
        <w:t>31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_Toc10296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2.5 </w:t>
      </w:r>
      <w:r>
        <w:rPr>
          <w:rFonts w:hint="eastAsia"/>
        </w:rPr>
        <w:t>评价工作等级及评价范围</w:t>
      </w:r>
      <w:r>
        <w:tab/>
      </w:r>
      <w:r>
        <w:fldChar w:fldCharType="begin"/>
      </w:r>
      <w:r>
        <w:instrText xml:space="preserve"> PAGEREF _Toc10296 \h </w:instrText>
      </w:r>
      <w:r>
        <w:fldChar w:fldCharType="separate"/>
      </w:r>
      <w:r>
        <w:t>35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_Toc21603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2.6 </w:t>
      </w:r>
      <w:r>
        <w:rPr>
          <w:rFonts w:hint="eastAsia"/>
        </w:rPr>
        <w:t>主要环境保护目标</w:t>
      </w:r>
      <w:r>
        <w:tab/>
      </w:r>
      <w:r>
        <w:fldChar w:fldCharType="begin"/>
      </w:r>
      <w:r>
        <w:instrText xml:space="preserve"> PAGEREF _Toc21603 \h </w:instrText>
      </w:r>
      <w:r>
        <w:fldChar w:fldCharType="separate"/>
      </w:r>
      <w:r>
        <w:t>47</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_Toc4462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3. </w:t>
      </w:r>
      <w:r>
        <w:rPr>
          <w:rFonts w:hint="eastAsia"/>
        </w:rPr>
        <w:t>工程分析</w:t>
      </w:r>
      <w:r>
        <w:tab/>
      </w:r>
      <w:r>
        <w:fldChar w:fldCharType="begin"/>
      </w:r>
      <w:r>
        <w:instrText xml:space="preserve"> PAGEREF _Toc4462 \h </w:instrText>
      </w:r>
      <w:r>
        <w:fldChar w:fldCharType="separate"/>
      </w:r>
      <w:r>
        <w:t>50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_Toc25878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3.1 </w:t>
      </w:r>
      <w:r>
        <w:rPr>
          <w:rFonts w:hint="eastAsia"/>
        </w:rPr>
        <w:t>建设项目概况</w:t>
      </w:r>
      <w:r>
        <w:tab/>
      </w:r>
      <w:r>
        <w:fldChar w:fldCharType="begin"/>
      </w:r>
      <w:r>
        <w:instrText xml:space="preserve"> PAGEREF _Toc25878 \h </w:instrText>
      </w:r>
      <w:r>
        <w:fldChar w:fldCharType="separate"/>
      </w:r>
      <w:r>
        <w:t>50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_Toc7028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3.2 </w:t>
      </w:r>
      <w:r>
        <w:rPr>
          <w:rFonts w:hint="eastAsia"/>
        </w:rPr>
        <w:t>平衡分析</w:t>
      </w:r>
      <w:r>
        <w:tab/>
      </w:r>
      <w:r>
        <w:fldChar w:fldCharType="begin"/>
      </w:r>
      <w:r>
        <w:instrText xml:space="preserve"> PAGEREF _Toc7028 \h </w:instrText>
      </w:r>
      <w:r>
        <w:fldChar w:fldCharType="separate"/>
      </w:r>
      <w:r>
        <w:t>63</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_Toc12104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3.3 </w:t>
      </w:r>
      <w:r>
        <w:rPr>
          <w:rFonts w:hint="eastAsia"/>
        </w:rPr>
        <w:t>项目污染影响因素分析</w:t>
      </w:r>
      <w:r>
        <w:tab/>
      </w:r>
      <w:r>
        <w:fldChar w:fldCharType="begin"/>
      </w:r>
      <w:r>
        <w:instrText xml:space="preserve"> PAGEREF _Toc12104 \h </w:instrText>
      </w:r>
      <w:r>
        <w:fldChar w:fldCharType="separate"/>
      </w:r>
      <w:r>
        <w:t>67</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_Toc11825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3.4 </w:t>
      </w:r>
      <w:r>
        <w:rPr>
          <w:rFonts w:hint="eastAsia"/>
        </w:rPr>
        <w:t>项目污染源源强核算</w:t>
      </w:r>
      <w:r>
        <w:tab/>
      </w:r>
      <w:r>
        <w:fldChar w:fldCharType="begin"/>
      </w:r>
      <w:r>
        <w:instrText xml:space="preserve"> PAGEREF _Toc11825 \h </w:instrText>
      </w:r>
      <w:r>
        <w:fldChar w:fldCharType="separate"/>
      </w:r>
      <w:r>
        <w:t>79</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_Toc9397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3.5 </w:t>
      </w:r>
      <w:r>
        <w:rPr>
          <w:rFonts w:hint="eastAsia"/>
        </w:rPr>
        <w:t>污染物排放清单</w:t>
      </w:r>
      <w:r>
        <w:tab/>
      </w:r>
      <w:r>
        <w:fldChar w:fldCharType="begin"/>
      </w:r>
      <w:r>
        <w:instrText xml:space="preserve"> PAGEREF _Toc9397 \h </w:instrText>
      </w:r>
      <w:r>
        <w:fldChar w:fldCharType="separate"/>
      </w:r>
      <w:r>
        <w:t>86</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_Toc16415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4. </w:t>
      </w:r>
      <w:r>
        <w:rPr>
          <w:rFonts w:hint="eastAsia"/>
        </w:rPr>
        <w:t>环境现状调查与评价</w:t>
      </w:r>
      <w:r>
        <w:tab/>
      </w:r>
      <w:r>
        <w:fldChar w:fldCharType="begin"/>
      </w:r>
      <w:r>
        <w:instrText xml:space="preserve"> PAGEREF _Toc16415 \h </w:instrText>
      </w:r>
      <w:r>
        <w:fldChar w:fldCharType="separate"/>
      </w:r>
      <w:r>
        <w:t>90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_Toc9969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4.1 </w:t>
      </w:r>
      <w:r>
        <w:rPr>
          <w:rFonts w:hint="eastAsia"/>
        </w:rPr>
        <w:t>自然环境现状调查与评价</w:t>
      </w:r>
      <w:r>
        <w:tab/>
      </w:r>
      <w:r>
        <w:fldChar w:fldCharType="begin"/>
      </w:r>
      <w:r>
        <w:instrText xml:space="preserve"> PAGEREF _Toc9969 \h </w:instrText>
      </w:r>
      <w:r>
        <w:fldChar w:fldCharType="separate"/>
      </w:r>
      <w:r>
        <w:t>90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_Toc25974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4.2 </w:t>
      </w:r>
      <w:r>
        <w:t>项目所在区域环境质量监测与评价</w:t>
      </w:r>
      <w:r>
        <w:tab/>
      </w:r>
      <w:r>
        <w:fldChar w:fldCharType="begin"/>
      </w:r>
      <w:r>
        <w:instrText xml:space="preserve"> PAGEREF _Toc25974 \h </w:instrText>
      </w:r>
      <w:r>
        <w:fldChar w:fldCharType="separate"/>
      </w:r>
      <w:r>
        <w:t>96</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_Toc13928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5. </w:t>
      </w:r>
      <w:r>
        <w:rPr>
          <w:rFonts w:hint="eastAsia"/>
        </w:rPr>
        <w:t>环境影响预测与评价</w:t>
      </w:r>
      <w:r>
        <w:tab/>
      </w:r>
      <w:r>
        <w:fldChar w:fldCharType="begin"/>
      </w:r>
      <w:r>
        <w:instrText xml:space="preserve"> PAGEREF _Toc13928 \h </w:instrText>
      </w:r>
      <w:r>
        <w:fldChar w:fldCharType="separate"/>
      </w:r>
      <w:r>
        <w:t>120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_Toc11715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5.1 </w:t>
      </w:r>
      <w:r>
        <w:rPr>
          <w:rFonts w:hint="eastAsia"/>
        </w:rPr>
        <w:t>施工期环境影响预测与评价</w:t>
      </w:r>
      <w:r>
        <w:tab/>
      </w:r>
      <w:r>
        <w:fldChar w:fldCharType="begin"/>
      </w:r>
      <w:r>
        <w:instrText xml:space="preserve"> PAGEREF _Toc11715 \h </w:instrText>
      </w:r>
      <w:r>
        <w:fldChar w:fldCharType="separate"/>
      </w:r>
      <w:r>
        <w:t>120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_Toc6675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5.2 </w:t>
      </w:r>
      <w:r>
        <w:rPr>
          <w:rFonts w:hint="eastAsia"/>
        </w:rPr>
        <w:t>运营期环境影响预测与分析</w:t>
      </w:r>
      <w:r>
        <w:tab/>
      </w:r>
      <w:r>
        <w:fldChar w:fldCharType="begin"/>
      </w:r>
      <w:r>
        <w:instrText xml:space="preserve"> PAGEREF _Toc6675 \h </w:instrText>
      </w:r>
      <w:r>
        <w:fldChar w:fldCharType="separate"/>
      </w:r>
      <w:r>
        <w:t>127</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_Toc27438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 </w:t>
      </w:r>
      <w:r>
        <w:rPr>
          <w:rFonts w:hint="eastAsia"/>
        </w:rPr>
        <w:t>环境风险评价</w:t>
      </w:r>
      <w:r>
        <w:tab/>
      </w:r>
      <w:r>
        <w:fldChar w:fldCharType="begin"/>
      </w:r>
      <w:r>
        <w:instrText xml:space="preserve"> PAGEREF _Toc27438 \h </w:instrText>
      </w:r>
      <w:r>
        <w:fldChar w:fldCharType="separate"/>
      </w:r>
      <w:r>
        <w:t>151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_Toc20010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6.1 </w:t>
      </w:r>
      <w:r>
        <w:rPr>
          <w:rFonts w:hint="eastAsia"/>
        </w:rPr>
        <w:t>风险评价目的</w:t>
      </w:r>
      <w:r>
        <w:tab/>
      </w:r>
      <w:r>
        <w:fldChar w:fldCharType="begin"/>
      </w:r>
      <w:r>
        <w:instrText xml:space="preserve"> PAGEREF _Toc20010 \h </w:instrText>
      </w:r>
      <w:r>
        <w:fldChar w:fldCharType="separate"/>
      </w:r>
      <w:r>
        <w:t>151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_Toc6398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6.2 </w:t>
      </w:r>
      <w:r>
        <w:rPr>
          <w:rFonts w:hint="eastAsia"/>
        </w:rPr>
        <w:t>风险调查</w:t>
      </w:r>
      <w:r>
        <w:tab/>
      </w:r>
      <w:r>
        <w:fldChar w:fldCharType="begin"/>
      </w:r>
      <w:r>
        <w:instrText xml:space="preserve"> PAGEREF _Toc6398 \h </w:instrText>
      </w:r>
      <w:r>
        <w:fldChar w:fldCharType="separate"/>
      </w:r>
      <w:r>
        <w:t>151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_Toc14623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6.3 </w:t>
      </w:r>
      <w:r>
        <w:rPr>
          <w:rFonts w:hint="eastAsia"/>
        </w:rPr>
        <w:t>评价等级划分及评价范围</w:t>
      </w:r>
      <w:r>
        <w:tab/>
      </w:r>
      <w:r>
        <w:fldChar w:fldCharType="begin"/>
      </w:r>
      <w:r>
        <w:instrText xml:space="preserve"> PAGEREF _Toc14623 \h </w:instrText>
      </w:r>
      <w:r>
        <w:fldChar w:fldCharType="separate"/>
      </w:r>
      <w:r>
        <w:t>158</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_Toc788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6.4 </w:t>
      </w:r>
      <w:r>
        <w:rPr>
          <w:rFonts w:hint="eastAsia"/>
        </w:rPr>
        <w:t>环境风险分析</w:t>
      </w:r>
      <w:r>
        <w:tab/>
      </w:r>
      <w:r>
        <w:fldChar w:fldCharType="begin"/>
      </w:r>
      <w:r>
        <w:instrText xml:space="preserve"> PAGEREF _Toc788 \h </w:instrText>
      </w:r>
      <w:r>
        <w:fldChar w:fldCharType="separate"/>
      </w:r>
      <w:r>
        <w:t>159</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_Toc24989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6.5 </w:t>
      </w:r>
      <w:r>
        <w:rPr>
          <w:rFonts w:hint="eastAsia"/>
        </w:rPr>
        <w:t>风险事故情形分析</w:t>
      </w:r>
      <w:r>
        <w:tab/>
      </w:r>
      <w:r>
        <w:fldChar w:fldCharType="begin"/>
      </w:r>
      <w:r>
        <w:instrText xml:space="preserve"> PAGEREF _Toc24989 \h </w:instrText>
      </w:r>
      <w:r>
        <w:fldChar w:fldCharType="separate"/>
      </w:r>
      <w:r>
        <w:t>160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_Toc7802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6.6 </w:t>
      </w:r>
      <w:r>
        <w:rPr>
          <w:rFonts w:hint="eastAsia"/>
        </w:rPr>
        <w:t>环境风险管理</w:t>
      </w:r>
      <w:r>
        <w:tab/>
      </w:r>
      <w:r>
        <w:fldChar w:fldCharType="begin"/>
      </w:r>
      <w:r>
        <w:instrText xml:space="preserve"> PAGEREF _Toc7802 \h </w:instrText>
      </w:r>
      <w:r>
        <w:fldChar w:fldCharType="separate"/>
      </w:r>
      <w:r>
        <w:t>161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_Toc30057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6.7 </w:t>
      </w:r>
      <w:r>
        <w:rPr>
          <w:rFonts w:hint="eastAsia"/>
        </w:rPr>
        <w:t>结论</w:t>
      </w:r>
      <w:r>
        <w:tab/>
      </w:r>
      <w:r>
        <w:fldChar w:fldCharType="begin"/>
      </w:r>
      <w:r>
        <w:instrText xml:space="preserve"> PAGEREF _Toc30057 \h </w:instrText>
      </w:r>
      <w:r>
        <w:fldChar w:fldCharType="separate"/>
      </w:r>
      <w:r>
        <w:t>163</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_Toc17212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 </w:t>
      </w:r>
      <w:r>
        <w:rPr>
          <w:rFonts w:hint="eastAsia"/>
        </w:rPr>
        <w:t>环境保护措施及其可行性论证</w:t>
      </w:r>
      <w:r>
        <w:tab/>
      </w:r>
      <w:r>
        <w:fldChar w:fldCharType="begin"/>
      </w:r>
      <w:r>
        <w:instrText xml:space="preserve"> PAGEREF _Toc17212 \h </w:instrText>
      </w:r>
      <w:r>
        <w:fldChar w:fldCharType="separate"/>
      </w:r>
      <w:r>
        <w:t>164</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_Toc12367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7.1 </w:t>
      </w:r>
      <w:r>
        <w:t>施工期环境保护措施</w:t>
      </w:r>
      <w:r>
        <w:tab/>
      </w:r>
      <w:r>
        <w:fldChar w:fldCharType="begin"/>
      </w:r>
      <w:r>
        <w:instrText xml:space="preserve"> PAGEREF _Toc12367 \h </w:instrText>
      </w:r>
      <w:r>
        <w:fldChar w:fldCharType="separate"/>
      </w:r>
      <w:r>
        <w:t>164</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_Toc14878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7.2 </w:t>
      </w:r>
      <w:r>
        <w:rPr>
          <w:rFonts w:hint="eastAsia"/>
        </w:rPr>
        <w:t>运营期</w:t>
      </w:r>
      <w:r>
        <w:t>大气污染防治措施及可行性</w:t>
      </w:r>
      <w:r>
        <w:tab/>
      </w:r>
      <w:r>
        <w:fldChar w:fldCharType="begin"/>
      </w:r>
      <w:r>
        <w:instrText xml:space="preserve"> PAGEREF _Toc14878 \h </w:instrText>
      </w:r>
      <w:r>
        <w:fldChar w:fldCharType="separate"/>
      </w:r>
      <w:r>
        <w:t>168</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_Toc27529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7.3 </w:t>
      </w:r>
      <w:r>
        <w:rPr>
          <w:rFonts w:hint="eastAsia"/>
        </w:rPr>
        <w:t>运营期水污染防治措施及可行性</w:t>
      </w:r>
      <w:r>
        <w:tab/>
      </w:r>
      <w:r>
        <w:fldChar w:fldCharType="begin"/>
      </w:r>
      <w:r>
        <w:instrText xml:space="preserve"> PAGEREF _Toc27529 \h </w:instrText>
      </w:r>
      <w:r>
        <w:fldChar w:fldCharType="separate"/>
      </w:r>
      <w:r>
        <w:t>175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_Toc25839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7.4 </w:t>
      </w:r>
      <w:r>
        <w:rPr>
          <w:rFonts w:hint="eastAsia"/>
        </w:rPr>
        <w:t>运营期地下水防治</w:t>
      </w:r>
      <w:r>
        <w:t>措施可行性</w:t>
      </w:r>
      <w:r>
        <w:tab/>
      </w:r>
      <w:r>
        <w:fldChar w:fldCharType="begin"/>
      </w:r>
      <w:r>
        <w:instrText xml:space="preserve"> PAGEREF _Toc25839 \h </w:instrText>
      </w:r>
      <w:r>
        <w:fldChar w:fldCharType="separate"/>
      </w:r>
      <w:r>
        <w:t>176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_Toc8508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7.5 </w:t>
      </w:r>
      <w:r>
        <w:rPr>
          <w:rFonts w:hint="eastAsia"/>
        </w:rPr>
        <w:t>运营期土壤环境防治措施</w:t>
      </w:r>
      <w:r>
        <w:tab/>
      </w:r>
      <w:r>
        <w:fldChar w:fldCharType="begin"/>
      </w:r>
      <w:r>
        <w:instrText xml:space="preserve"> PAGEREF _Toc8508 \h </w:instrText>
      </w:r>
      <w:r>
        <w:fldChar w:fldCharType="separate"/>
      </w:r>
      <w:r>
        <w:t>185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_Toc16006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7.6 </w:t>
      </w:r>
      <w:r>
        <w:rPr>
          <w:rFonts w:hint="eastAsia"/>
        </w:rPr>
        <w:t>运营期</w:t>
      </w:r>
      <w:r>
        <w:t>声环境防治措施</w:t>
      </w:r>
      <w:r>
        <w:tab/>
      </w:r>
      <w:r>
        <w:fldChar w:fldCharType="begin"/>
      </w:r>
      <w:r>
        <w:instrText xml:space="preserve"> PAGEREF _Toc16006 \h </w:instrText>
      </w:r>
      <w:r>
        <w:fldChar w:fldCharType="separate"/>
      </w:r>
      <w:r>
        <w:t>186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_Toc19713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7.7 </w:t>
      </w:r>
      <w:r>
        <w:rPr>
          <w:rFonts w:hint="eastAsia"/>
        </w:rPr>
        <w:t>运营期</w:t>
      </w:r>
      <w:r>
        <w:t>固体废物污染防治措施</w:t>
      </w:r>
      <w:r>
        <w:tab/>
      </w:r>
      <w:r>
        <w:fldChar w:fldCharType="begin"/>
      </w:r>
      <w:r>
        <w:instrText xml:space="preserve"> PAGEREF _Toc19713 \h </w:instrText>
      </w:r>
      <w:r>
        <w:fldChar w:fldCharType="separate"/>
      </w:r>
      <w:r>
        <w:t>186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_Toc6070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7.8 </w:t>
      </w:r>
      <w:r>
        <w:rPr>
          <w:rFonts w:hint="eastAsia"/>
        </w:rPr>
        <w:t>运营期生态环境保护措施</w:t>
      </w:r>
      <w:r>
        <w:tab/>
      </w:r>
      <w:r>
        <w:fldChar w:fldCharType="begin"/>
      </w:r>
      <w:r>
        <w:instrText xml:space="preserve"> PAGEREF _Toc6070 \h </w:instrText>
      </w:r>
      <w:r>
        <w:fldChar w:fldCharType="separate"/>
      </w:r>
      <w:r>
        <w:t>191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_Toc6549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7.9 </w:t>
      </w:r>
      <w:r>
        <w:rPr>
          <w:rFonts w:hint="eastAsia"/>
        </w:rPr>
        <w:t>运营期人群健康保护措施</w:t>
      </w:r>
      <w:r>
        <w:tab/>
      </w:r>
      <w:r>
        <w:fldChar w:fldCharType="begin"/>
      </w:r>
      <w:r>
        <w:instrText xml:space="preserve"> PAGEREF _Toc6549 \h </w:instrText>
      </w:r>
      <w:r>
        <w:fldChar w:fldCharType="separate"/>
      </w:r>
      <w:r>
        <w:t>192</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_Toc24753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7.10 </w:t>
      </w:r>
      <w:r>
        <w:rPr>
          <w:rFonts w:hint="eastAsia"/>
        </w:rPr>
        <w:t>运营期污染防治对策和措施及环保投资汇总</w:t>
      </w:r>
      <w:r>
        <w:tab/>
      </w:r>
      <w:r>
        <w:fldChar w:fldCharType="begin"/>
      </w:r>
      <w:r>
        <w:instrText xml:space="preserve"> PAGEREF _Toc24753 \h </w:instrText>
      </w:r>
      <w:r>
        <w:fldChar w:fldCharType="separate"/>
      </w:r>
      <w:r>
        <w:t>193</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_Toc2741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8. </w:t>
      </w:r>
      <w:r>
        <w:t>环境影响经济损益分析</w:t>
      </w:r>
      <w:r>
        <w:tab/>
      </w:r>
      <w:r>
        <w:fldChar w:fldCharType="begin"/>
      </w:r>
      <w:r>
        <w:instrText xml:space="preserve"> PAGEREF _Toc2741 \h </w:instrText>
      </w:r>
      <w:r>
        <w:fldChar w:fldCharType="separate"/>
      </w:r>
      <w:r>
        <w:t>197</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_Toc12480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8.1 </w:t>
      </w:r>
      <w:r>
        <w:t>经济效益分析</w:t>
      </w:r>
      <w:r>
        <w:tab/>
      </w:r>
      <w:r>
        <w:fldChar w:fldCharType="begin"/>
      </w:r>
      <w:r>
        <w:instrText xml:space="preserve"> PAGEREF _Toc12480 \h </w:instrText>
      </w:r>
      <w:r>
        <w:fldChar w:fldCharType="separate"/>
      </w:r>
      <w:r>
        <w:t>197</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_Toc11258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8.2 </w:t>
      </w:r>
      <w:r>
        <w:t>社会效益分析</w:t>
      </w:r>
      <w:r>
        <w:tab/>
      </w:r>
      <w:r>
        <w:fldChar w:fldCharType="begin"/>
      </w:r>
      <w:r>
        <w:instrText xml:space="preserve"> PAGEREF _Toc11258 \h </w:instrText>
      </w:r>
      <w:r>
        <w:fldChar w:fldCharType="separate"/>
      </w:r>
      <w:r>
        <w:t>197</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_Toc21800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8.3 </w:t>
      </w:r>
      <w:r>
        <w:t>环境</w:t>
      </w:r>
      <w:r>
        <w:rPr>
          <w:rFonts w:hint="eastAsia"/>
        </w:rPr>
        <w:t>效益</w:t>
      </w:r>
      <w:r>
        <w:t>分析</w:t>
      </w:r>
      <w:r>
        <w:tab/>
      </w:r>
      <w:r>
        <w:fldChar w:fldCharType="begin"/>
      </w:r>
      <w:r>
        <w:instrText xml:space="preserve"> PAGEREF _Toc21800 \h </w:instrText>
      </w:r>
      <w:r>
        <w:fldChar w:fldCharType="separate"/>
      </w:r>
      <w:r>
        <w:t>197</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_Toc8250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8.4 </w:t>
      </w:r>
      <w:r>
        <w:t>小结</w:t>
      </w:r>
      <w:r>
        <w:tab/>
      </w:r>
      <w:r>
        <w:fldChar w:fldCharType="begin"/>
      </w:r>
      <w:r>
        <w:instrText xml:space="preserve"> PAGEREF _Toc8250 \h </w:instrText>
      </w:r>
      <w:r>
        <w:fldChar w:fldCharType="separate"/>
      </w:r>
      <w:r>
        <w:t>199</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_Toc26016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9. </w:t>
      </w:r>
      <w:r>
        <w:t>环境管理与监测计划</w:t>
      </w:r>
      <w:r>
        <w:tab/>
      </w:r>
      <w:r>
        <w:fldChar w:fldCharType="begin"/>
      </w:r>
      <w:r>
        <w:instrText xml:space="preserve"> PAGEREF _Toc26016 \h </w:instrText>
      </w:r>
      <w:r>
        <w:fldChar w:fldCharType="separate"/>
      </w:r>
      <w:r>
        <w:t>200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_Toc29258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9.1 </w:t>
      </w:r>
      <w:r>
        <w:rPr>
          <w:rFonts w:hint="eastAsia"/>
        </w:rPr>
        <w:t>污染物总量控制分析</w:t>
      </w:r>
      <w:r>
        <w:tab/>
      </w:r>
      <w:r>
        <w:fldChar w:fldCharType="begin"/>
      </w:r>
      <w:r>
        <w:instrText xml:space="preserve"> PAGEREF _Toc29258 \h </w:instrText>
      </w:r>
      <w:r>
        <w:fldChar w:fldCharType="separate"/>
      </w:r>
      <w:r>
        <w:t>200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_Toc940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9.2 </w:t>
      </w:r>
      <w:r>
        <w:t>环境管理</w:t>
      </w:r>
      <w:r>
        <w:tab/>
      </w:r>
      <w:r>
        <w:fldChar w:fldCharType="begin"/>
      </w:r>
      <w:r>
        <w:instrText xml:space="preserve"> PAGEREF _Toc940 \h </w:instrText>
      </w:r>
      <w:r>
        <w:fldChar w:fldCharType="separate"/>
      </w:r>
      <w:r>
        <w:t>200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_Toc32662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9.3 </w:t>
      </w:r>
      <w:r>
        <w:rPr>
          <w:rFonts w:hint="eastAsia"/>
        </w:rPr>
        <w:t>监测计划</w:t>
      </w:r>
      <w:r>
        <w:tab/>
      </w:r>
      <w:r>
        <w:fldChar w:fldCharType="begin"/>
      </w:r>
      <w:r>
        <w:instrText xml:space="preserve"> PAGEREF _Toc32662 \h </w:instrText>
      </w:r>
      <w:r>
        <w:fldChar w:fldCharType="separate"/>
      </w:r>
      <w:r>
        <w:t>205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_Toc14614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9.4 </w:t>
      </w:r>
      <w:r>
        <w:rPr>
          <w:rFonts w:hint="eastAsia"/>
        </w:rPr>
        <w:t>环保设施“三同时”竣工验收</w:t>
      </w:r>
      <w:r>
        <w:tab/>
      </w:r>
      <w:r>
        <w:fldChar w:fldCharType="begin"/>
      </w:r>
      <w:r>
        <w:instrText xml:space="preserve"> PAGEREF _Toc14614 \h </w:instrText>
      </w:r>
      <w:r>
        <w:fldChar w:fldCharType="separate"/>
      </w:r>
      <w:r>
        <w:t>207</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_Toc3211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 </w:t>
      </w:r>
      <w:r>
        <w:t>结论及建议</w:t>
      </w:r>
      <w:r>
        <w:tab/>
      </w:r>
      <w:r>
        <w:fldChar w:fldCharType="begin"/>
      </w:r>
      <w:r>
        <w:instrText xml:space="preserve"> PAGEREF _Toc3211 \h </w:instrText>
      </w:r>
      <w:r>
        <w:fldChar w:fldCharType="separate"/>
      </w:r>
      <w:r>
        <w:t>212</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_Toc15164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10.1 </w:t>
      </w:r>
      <w:r>
        <w:t>建设项目概况</w:t>
      </w:r>
      <w:r>
        <w:tab/>
      </w:r>
      <w:r>
        <w:fldChar w:fldCharType="begin"/>
      </w:r>
      <w:r>
        <w:instrText xml:space="preserve"> PAGEREF _Toc15164 \h </w:instrText>
      </w:r>
      <w:r>
        <w:fldChar w:fldCharType="separate"/>
      </w:r>
      <w:r>
        <w:t>212</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_Toc31020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10.2 </w:t>
      </w:r>
      <w:r>
        <w:t>1</w:t>
      </w:r>
      <w:r>
        <w:rPr>
          <w:rFonts w:hint="eastAsia"/>
        </w:rPr>
        <w:t>0</w:t>
      </w:r>
      <w:r>
        <w:t>.2</w:t>
      </w:r>
      <w:r>
        <w:rPr>
          <w:rFonts w:hint="eastAsia"/>
        </w:rPr>
        <w:t>环境可行性结论</w:t>
      </w:r>
      <w:r>
        <w:tab/>
      </w:r>
      <w:r>
        <w:fldChar w:fldCharType="begin"/>
      </w:r>
      <w:r>
        <w:instrText xml:space="preserve"> PAGEREF _Toc31020 \h </w:instrText>
      </w:r>
      <w:r>
        <w:fldChar w:fldCharType="separate"/>
      </w:r>
      <w:r>
        <w:t>212</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_Toc20936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10.3 </w:t>
      </w:r>
      <w:r>
        <w:t>环境质量现状</w:t>
      </w:r>
      <w:r>
        <w:tab/>
      </w:r>
      <w:r>
        <w:fldChar w:fldCharType="begin"/>
      </w:r>
      <w:r>
        <w:instrText xml:space="preserve"> PAGEREF _Toc20936 \h </w:instrText>
      </w:r>
      <w:r>
        <w:fldChar w:fldCharType="separate"/>
      </w:r>
      <w:r>
        <w:t>213</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_Toc32608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10.4 </w:t>
      </w:r>
      <w:r>
        <w:rPr>
          <w:rFonts w:hint="eastAsia"/>
        </w:rPr>
        <w:t>环境影响分析结论</w:t>
      </w:r>
      <w:r>
        <w:tab/>
      </w:r>
      <w:r>
        <w:fldChar w:fldCharType="begin"/>
      </w:r>
      <w:r>
        <w:instrText xml:space="preserve"> PAGEREF _Toc32608 \h </w:instrText>
      </w:r>
      <w:r>
        <w:fldChar w:fldCharType="separate"/>
      </w:r>
      <w:r>
        <w:t>213</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_Toc17475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10.5 </w:t>
      </w:r>
      <w:r>
        <w:t>污染防治措施</w:t>
      </w:r>
      <w:r>
        <w:tab/>
      </w:r>
      <w:r>
        <w:fldChar w:fldCharType="begin"/>
      </w:r>
      <w:r>
        <w:instrText xml:space="preserve"> PAGEREF _Toc17475 \h </w:instrText>
      </w:r>
      <w:r>
        <w:fldChar w:fldCharType="separate"/>
      </w:r>
      <w:r>
        <w:t>215</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_Toc28871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10.6 </w:t>
      </w:r>
      <w:r>
        <w:rPr>
          <w:rFonts w:hint="eastAsia"/>
        </w:rPr>
        <w:t>总量控制指标</w:t>
      </w:r>
      <w:r>
        <w:tab/>
      </w:r>
      <w:r>
        <w:fldChar w:fldCharType="begin"/>
      </w:r>
      <w:r>
        <w:instrText xml:space="preserve"> PAGEREF _Toc28871 \h </w:instrText>
      </w:r>
      <w:r>
        <w:fldChar w:fldCharType="separate"/>
      </w:r>
      <w:r>
        <w:t>216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_Toc22547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10.7 </w:t>
      </w:r>
      <w:r>
        <w:rPr>
          <w:rFonts w:hint="eastAsia"/>
        </w:rPr>
        <w:t>环境影响经济损益分析</w:t>
      </w:r>
      <w:r>
        <w:tab/>
      </w:r>
      <w:r>
        <w:fldChar w:fldCharType="begin"/>
      </w:r>
      <w:r>
        <w:instrText xml:space="preserve"> PAGEREF _Toc22547 \h </w:instrText>
      </w:r>
      <w:r>
        <w:fldChar w:fldCharType="separate"/>
      </w:r>
      <w:r>
        <w:t>216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_Toc17967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10.8 </w:t>
      </w:r>
      <w:r>
        <w:rPr>
          <w:rFonts w:hint="eastAsia"/>
        </w:rPr>
        <w:t>环境管理和监测计划</w:t>
      </w:r>
      <w:r>
        <w:tab/>
      </w:r>
      <w:r>
        <w:fldChar w:fldCharType="begin"/>
      </w:r>
      <w:r>
        <w:instrText xml:space="preserve"> PAGEREF _Toc17967 \h </w:instrText>
      </w:r>
      <w:r>
        <w:fldChar w:fldCharType="separate"/>
      </w:r>
      <w:r>
        <w:t>216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_Toc16945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10.9 </w:t>
      </w:r>
      <w:r>
        <w:rPr>
          <w:rFonts w:hint="eastAsia"/>
        </w:rPr>
        <w:t>公众参与情况</w:t>
      </w:r>
      <w:r>
        <w:tab/>
      </w:r>
      <w:r>
        <w:fldChar w:fldCharType="begin"/>
      </w:r>
      <w:r>
        <w:instrText xml:space="preserve"> PAGEREF _Toc16945 \h </w:instrText>
      </w:r>
      <w:r>
        <w:fldChar w:fldCharType="separate"/>
      </w:r>
      <w:r>
        <w:t>216</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_Toc8601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10.10 </w:t>
      </w:r>
      <w:r>
        <w:rPr>
          <w:rFonts w:hint="eastAsia"/>
        </w:rPr>
        <w:t>总</w:t>
      </w:r>
      <w:r>
        <w:t>结论</w:t>
      </w:r>
      <w:r>
        <w:tab/>
      </w:r>
      <w:r>
        <w:fldChar w:fldCharType="begin"/>
      </w:r>
      <w:r>
        <w:instrText xml:space="preserve"> PAGEREF _Toc8601 \h </w:instrText>
      </w:r>
      <w:r>
        <w:fldChar w:fldCharType="separate"/>
      </w:r>
      <w:r>
        <w:t>217</w:t>
      </w:r>
      <w:r>
        <w:fldChar w:fldCharType="end"/>
      </w:r>
      <w:r>
        <w:rPr>
          <w:rFonts w:asciiTheme="minorHAnsi" w:hAnsiTheme="minorHAnsi"/>
          <w:iCs/>
          <w:caps/>
          <w:szCs w:val="20"/>
          <w:lang w:val="zh-CN"/>
        </w:rPr>
        <w:fldChar w:fldCharType="end"/>
      </w:r>
    </w:p>
    <w:p>
      <w:pPr>
        <w:pStyle w:val="26"/>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_Toc21967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 </w:t>
      </w:r>
      <w:r>
        <w:rPr>
          <w:rFonts w:hint="eastAsia"/>
        </w:rPr>
        <w:t>附件</w:t>
      </w:r>
      <w:r>
        <w:tab/>
      </w:r>
      <w:r>
        <w:fldChar w:fldCharType="begin"/>
      </w:r>
      <w:r>
        <w:instrText xml:space="preserve"> PAGEREF _Toc21967 \h </w:instrText>
      </w:r>
      <w:r>
        <w:fldChar w:fldCharType="separate"/>
      </w:r>
      <w:r>
        <w:t>219</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_Toc7123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11.1 </w:t>
      </w:r>
      <w:r>
        <w:rPr>
          <w:rFonts w:hint="eastAsia"/>
        </w:rPr>
        <w:t>附件一  委托书</w:t>
      </w:r>
      <w:r>
        <w:tab/>
      </w:r>
      <w:r>
        <w:fldChar w:fldCharType="begin"/>
      </w:r>
      <w:r>
        <w:instrText xml:space="preserve"> PAGEREF _Toc7123 \h </w:instrText>
      </w:r>
      <w:r>
        <w:fldChar w:fldCharType="separate"/>
      </w:r>
      <w:r>
        <w:t>219</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_Toc21505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11.2 </w:t>
      </w:r>
      <w:r>
        <w:rPr>
          <w:rFonts w:hint="eastAsia"/>
        </w:rPr>
        <w:t xml:space="preserve">附件二  </w:t>
      </w:r>
      <w:r>
        <w:rPr>
          <w:rFonts w:hint="eastAsia"/>
          <w:lang w:val="en-US" w:eastAsia="zh-CN"/>
        </w:rPr>
        <w:t>项目备案告知书</w:t>
      </w:r>
      <w:r>
        <w:tab/>
      </w:r>
      <w:r>
        <w:fldChar w:fldCharType="begin"/>
      </w:r>
      <w:r>
        <w:instrText xml:space="preserve"> PAGEREF _Toc21505 \h </w:instrText>
      </w:r>
      <w:r>
        <w:fldChar w:fldCharType="separate"/>
      </w:r>
      <w:r>
        <w:t>220</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_Toc13878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11.3 </w:t>
      </w:r>
      <w:r>
        <w:rPr>
          <w:rFonts w:hint="eastAsia"/>
        </w:rPr>
        <w:t>附件三</w:t>
      </w:r>
      <w:r>
        <w:rPr>
          <w:rFonts w:hint="eastAsia"/>
          <w:lang w:val="en-US" w:eastAsia="zh-CN"/>
        </w:rPr>
        <w:t xml:space="preserve"> 农用地备案申请表</w:t>
      </w:r>
      <w:r>
        <w:tab/>
      </w:r>
      <w:r>
        <w:fldChar w:fldCharType="begin"/>
      </w:r>
      <w:r>
        <w:instrText xml:space="preserve"> PAGEREF _Toc13878 \h </w:instrText>
      </w:r>
      <w:r>
        <w:fldChar w:fldCharType="separate"/>
      </w:r>
      <w:r>
        <w:t>221</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_Toc13071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11.4 </w:t>
      </w:r>
      <w:r>
        <w:rPr>
          <w:rFonts w:hint="eastAsia"/>
        </w:rPr>
        <w:t>附件四</w:t>
      </w:r>
      <w:r>
        <w:rPr>
          <w:rFonts w:hint="eastAsia"/>
          <w:lang w:val="en-US" w:eastAsia="zh-CN"/>
        </w:rPr>
        <w:t xml:space="preserve"> 不在生态保护红线范围说明</w:t>
      </w:r>
      <w:r>
        <w:tab/>
      </w:r>
      <w:r>
        <w:fldChar w:fldCharType="begin"/>
      </w:r>
      <w:r>
        <w:instrText xml:space="preserve"> PAGEREF _Toc13071 \h </w:instrText>
      </w:r>
      <w:r>
        <w:fldChar w:fldCharType="separate"/>
      </w:r>
      <w:r>
        <w:t>222</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_Toc18186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11.5 </w:t>
      </w:r>
      <w:r>
        <w:rPr>
          <w:rFonts w:hint="eastAsia"/>
        </w:rPr>
        <w:t xml:space="preserve">附件五 </w:t>
      </w:r>
      <w:r>
        <w:rPr>
          <w:rFonts w:hint="eastAsia"/>
          <w:lang w:val="en-US" w:eastAsia="zh-CN"/>
        </w:rPr>
        <w:t>粉煤灰建筑地基评估报备申请回复</w:t>
      </w:r>
      <w:r>
        <w:tab/>
      </w:r>
      <w:r>
        <w:fldChar w:fldCharType="begin"/>
      </w:r>
      <w:r>
        <w:instrText xml:space="preserve"> PAGEREF _Toc18186 \h </w:instrText>
      </w:r>
      <w:r>
        <w:fldChar w:fldCharType="separate"/>
      </w:r>
      <w:r>
        <w:t>223</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_Toc19636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11.6 </w:t>
      </w:r>
      <w:r>
        <w:rPr>
          <w:rFonts w:hint="eastAsia"/>
          <w:highlight w:val="green"/>
        </w:rPr>
        <w:t>附件</w:t>
      </w:r>
      <w:r>
        <w:rPr>
          <w:rFonts w:hint="eastAsia"/>
          <w:highlight w:val="green"/>
          <w:lang w:val="en-US" w:eastAsia="zh-CN"/>
        </w:rPr>
        <w:t>六</w:t>
      </w:r>
      <w:r>
        <w:rPr>
          <w:rFonts w:hint="eastAsia"/>
          <w:highlight w:val="green"/>
        </w:rPr>
        <w:t xml:space="preserve"> </w:t>
      </w:r>
      <w:r>
        <w:rPr>
          <w:rFonts w:hint="eastAsia"/>
          <w:highlight w:val="green"/>
          <w:lang w:val="en-US" w:eastAsia="zh-CN"/>
        </w:rPr>
        <w:t>生活污水处理协议</w:t>
      </w:r>
      <w:r>
        <w:tab/>
      </w:r>
      <w:r>
        <w:fldChar w:fldCharType="begin"/>
      </w:r>
      <w:r>
        <w:instrText xml:space="preserve"> PAGEREF _Toc19636 \h </w:instrText>
      </w:r>
      <w:r>
        <w:fldChar w:fldCharType="separate"/>
      </w:r>
      <w:r>
        <w:t>224</w:t>
      </w:r>
      <w:r>
        <w:fldChar w:fldCharType="end"/>
      </w:r>
      <w:r>
        <w:rPr>
          <w:rFonts w:asciiTheme="minorHAnsi" w:hAnsiTheme="minorHAnsi"/>
          <w:iCs/>
          <w:caps/>
          <w:szCs w:val="20"/>
          <w:lang w:val="zh-CN"/>
        </w:rPr>
        <w:fldChar w:fldCharType="end"/>
      </w:r>
    </w:p>
    <w:p>
      <w:pPr>
        <w:pStyle w:val="32"/>
        <w:tabs>
          <w:tab w:val="right" w:leader="dot" w:pos="8312"/>
        </w:tabs>
      </w:pPr>
      <w:r>
        <w:rPr>
          <w:rFonts w:asciiTheme="minorHAnsi" w:hAnsiTheme="minorHAnsi"/>
          <w:iCs/>
          <w:caps/>
          <w:szCs w:val="20"/>
          <w:lang w:val="zh-CN"/>
        </w:rPr>
        <w:fldChar w:fldCharType="begin"/>
      </w:r>
      <w:r>
        <w:rPr>
          <w:rFonts w:asciiTheme="minorHAnsi" w:hAnsiTheme="minorHAnsi"/>
          <w:iCs/>
          <w:caps/>
          <w:szCs w:val="20"/>
          <w:lang w:val="zh-CN"/>
        </w:rPr>
        <w:instrText xml:space="preserve"> HYPERLINK \l _Toc4946 </w:instrText>
      </w:r>
      <w:r>
        <w:rPr>
          <w:rFonts w:asciiTheme="minorHAnsi" w:hAnsiTheme="minorHAnsi"/>
          <w:iCs/>
          <w:caps/>
          <w:szCs w:val="20"/>
          <w:lang w:val="zh-CN"/>
        </w:rPr>
        <w:fldChar w:fldCharType="separate"/>
      </w:r>
      <w:r>
        <w:rPr>
          <w:rFonts w:hint="eastAsia" w:ascii="黑体" w:hAnsi="Times New Roman" w:eastAsia="黑体" w:cs="Times New Roman"/>
          <w:bCs w:val="0"/>
          <w:i w:val="0"/>
          <w:iCs w:val="0"/>
          <w:caps w:val="0"/>
          <w:smallCaps w:val="0"/>
          <w:strike w:val="0"/>
          <w:dstrike w:val="0"/>
          <w:snapToGrid w:val="0"/>
          <w:vanish w:val="0"/>
          <w:spacing w:val="0"/>
          <w:w w:val="0"/>
          <w:kern w:val="0"/>
          <w:position w:val="0"/>
          <w:szCs w:val="0"/>
          <w:vertAlign w:val="baseline"/>
        </w:rPr>
        <w:t xml:space="preserve">11.7 </w:t>
      </w:r>
      <w:r>
        <w:rPr>
          <w:rFonts w:hint="eastAsia"/>
          <w:highlight w:val="green"/>
        </w:rPr>
        <w:t>附件</w:t>
      </w:r>
      <w:r>
        <w:rPr>
          <w:rFonts w:hint="eastAsia"/>
          <w:highlight w:val="green"/>
          <w:lang w:val="en-US" w:eastAsia="zh-CN"/>
        </w:rPr>
        <w:t>七</w:t>
      </w:r>
      <w:r>
        <w:rPr>
          <w:rFonts w:hint="eastAsia"/>
          <w:highlight w:val="green"/>
        </w:rPr>
        <w:t xml:space="preserve"> </w:t>
      </w:r>
      <w:r>
        <w:rPr>
          <w:rFonts w:hint="eastAsia"/>
          <w:highlight w:val="green"/>
          <w:lang w:val="en-US" w:eastAsia="zh-CN"/>
        </w:rPr>
        <w:t>医疗废物处理协议</w:t>
      </w:r>
      <w:r>
        <w:tab/>
      </w:r>
      <w:r>
        <w:fldChar w:fldCharType="begin"/>
      </w:r>
      <w:r>
        <w:instrText xml:space="preserve"> PAGEREF _Toc4946 \h </w:instrText>
      </w:r>
      <w:r>
        <w:fldChar w:fldCharType="separate"/>
      </w:r>
      <w:r>
        <w:t>226</w:t>
      </w:r>
      <w:r>
        <w:fldChar w:fldCharType="end"/>
      </w:r>
      <w:r>
        <w:rPr>
          <w:rFonts w:asciiTheme="minorHAnsi" w:hAnsiTheme="minorHAnsi"/>
          <w:iCs/>
          <w:caps/>
          <w:szCs w:val="20"/>
          <w:lang w:val="zh-CN"/>
        </w:rPr>
        <w:fldChar w:fldCharType="end"/>
      </w:r>
    </w:p>
    <w:p>
      <w:pPr>
        <w:ind w:firstLine="480"/>
        <w:rPr>
          <w:lang w:val="zh-CN"/>
        </w:rPr>
        <w:sectPr>
          <w:footerReference r:id="rId11" w:type="default"/>
          <w:pgSz w:w="11906" w:h="16838"/>
          <w:pgMar w:top="1440" w:right="1797" w:bottom="1440" w:left="1797" w:header="851" w:footer="992" w:gutter="0"/>
          <w:pgNumType w:fmt="decimal" w:start="1"/>
          <w:cols w:space="425" w:num="1"/>
          <w:docGrid w:linePitch="326" w:charSpace="0"/>
        </w:sectPr>
      </w:pPr>
      <w:r>
        <w:rPr>
          <w:rFonts w:asciiTheme="minorHAnsi" w:hAnsiTheme="minorHAnsi"/>
          <w:iCs/>
          <w:caps/>
          <w:szCs w:val="20"/>
          <w:lang w:val="zh-CN"/>
        </w:rPr>
        <w:fldChar w:fldCharType="end"/>
      </w:r>
    </w:p>
    <w:p>
      <w:pPr>
        <w:pStyle w:val="2"/>
        <w:spacing w:before="120" w:after="120"/>
        <w:rPr>
          <w:color w:val="auto"/>
        </w:rPr>
      </w:pPr>
      <w:bookmarkStart w:id="0" w:name="_Toc24447594"/>
      <w:bookmarkStart w:id="1" w:name="_Toc24844"/>
      <w:bookmarkStart w:id="2" w:name="_Toc24447042"/>
      <w:bookmarkStart w:id="3" w:name="_Toc24340199"/>
      <w:r>
        <w:rPr>
          <w:rFonts w:hint="eastAsia"/>
          <w:color w:val="auto"/>
        </w:rPr>
        <w:t>概述</w:t>
      </w:r>
      <w:bookmarkEnd w:id="0"/>
      <w:bookmarkEnd w:id="1"/>
      <w:bookmarkEnd w:id="2"/>
      <w:bookmarkEnd w:id="3"/>
    </w:p>
    <w:p>
      <w:pPr>
        <w:pStyle w:val="3"/>
        <w:spacing w:before="120" w:after="120"/>
        <w:rPr>
          <w:color w:val="auto"/>
        </w:rPr>
      </w:pPr>
      <w:bookmarkStart w:id="4" w:name="_Toc24340200"/>
      <w:bookmarkStart w:id="5" w:name="_Toc24447043"/>
      <w:bookmarkStart w:id="6" w:name="_Toc5214"/>
      <w:bookmarkStart w:id="7" w:name="_Toc24447595"/>
      <w:r>
        <w:rPr>
          <w:rFonts w:hint="eastAsia"/>
          <w:color w:val="auto"/>
        </w:rPr>
        <w:t>建设项目由来</w:t>
      </w:r>
      <w:bookmarkEnd w:id="4"/>
      <w:bookmarkEnd w:id="5"/>
      <w:bookmarkEnd w:id="6"/>
      <w:bookmarkEnd w:id="7"/>
    </w:p>
    <w:p>
      <w:pPr>
        <w:ind w:firstLine="480"/>
      </w:pPr>
      <w:bookmarkStart w:id="8" w:name="_Toc24447596"/>
      <w:bookmarkStart w:id="9" w:name="_Toc24340201"/>
      <w:bookmarkStart w:id="10" w:name="_Toc24447044"/>
      <w:r>
        <w:rPr>
          <w:rFonts w:hint="eastAsia"/>
        </w:rPr>
        <w:t>《内蒙古自治区国民经济和社会发展第十四个五年规划和2035年远景目标纲要》中提出：“坚持“农牧结合、为养而种”“种养结合、以种促养”，实施国家绿色肉奶安全保障基地建设工程，大力推动奶牛、肉牛、肉羊和绒山羊向优势产区集聚，推动牛羊肉和牛奶生产大县建设，力争奶产量达到1000万吨”；《巴彦淖尔市国民经济和社会发展第十四个五年规划和2035年远景目标纲要》中提出“以“稳羊增牛强特色”为主导，推动畜牧业绿色高质量发展。巩固肉羊产业优势地位，加强肉羊良种繁育体系建设，提高肉羊饲养管理水平，科学构建产业经营体系，打造“中国羊都”和全国肉羊“巴彦淖尔价格指数”，推进肉羊产业集群建设”、并提出建设巴彦淖尔市现代种畜基地建设工程：包括建设国家级肉羊种羊核心育种场、种羊湖羊规模化繁育示范基地、纯种奶羊和奶绵羊繁育场、肉种鸡商品肉鸡繁育生产基地、河套大耳猪种畜基地等；还提出建设巴彦淖尔市特色养殖产业园项目：建设戈壁红驼产业园、绒山羊产业园、湖羊养殖园区、生态蒙驴扶贫产业园等。</w:t>
      </w:r>
    </w:p>
    <w:p>
      <w:pPr>
        <w:ind w:firstLine="480"/>
      </w:pPr>
      <w:r>
        <w:t>内蒙古春园满循环农业科技有限公司成立于2021年4月，经营范围包括复混肥料、有机肥料及微生物肥料生产销售，农牧业技术服务，农作物种植及加工销售，畜禽养殖、繁育、加工、销售，预包装食品兼散装食品（含冷藏冷冻食品）销售，农副畜产品购销，土地治理服务，农田灌溉安装工程施工，滴灌设备加工销售，废旧滴灌带、地膜回收及加工利用等。公司经研究决定于</w:t>
      </w:r>
      <w:r>
        <w:rPr>
          <w:rFonts w:hint="eastAsia"/>
        </w:rPr>
        <w:t>巴彦淖尔市五原县塔尔湖镇胜丰八社投资</w:t>
      </w:r>
      <w:r>
        <w:t>建设</w:t>
      </w:r>
      <w:r>
        <w:rPr>
          <w:rFonts w:hint="eastAsia"/>
        </w:rPr>
        <w:t>“内蒙古春园满循环农业科技有限公司肉羊养殖园区项目”</w:t>
      </w:r>
      <w:r>
        <w:t>，</w:t>
      </w:r>
      <w:r>
        <w:rPr>
          <w:rFonts w:hint="eastAsia"/>
        </w:rPr>
        <w:t>并于2023年2月15日取得五原县发展和改革委员会</w:t>
      </w:r>
      <w:r>
        <w:t>关于</w:t>
      </w:r>
      <w:r>
        <w:rPr>
          <w:rFonts w:hint="eastAsia"/>
        </w:rPr>
        <w:t>“内蒙古春园满循环农业科技有限公司肉羊养殖园区项目</w:t>
      </w:r>
      <w:r>
        <w:t>的备案通知书</w:t>
      </w:r>
      <w:r>
        <w:rPr>
          <w:rFonts w:hint="eastAsia"/>
        </w:rPr>
        <w:t>”</w:t>
      </w:r>
      <w:r>
        <w:t>，备案号为</w:t>
      </w:r>
      <w:r>
        <w:rPr>
          <w:rFonts w:hint="eastAsia"/>
        </w:rPr>
        <w:t>2302</w:t>
      </w:r>
      <w:r>
        <w:t>-150821-0</w:t>
      </w:r>
      <w:r>
        <w:rPr>
          <w:rFonts w:hint="eastAsia"/>
        </w:rPr>
        <w:t>4</w:t>
      </w:r>
      <w:r>
        <w:t>-01-</w:t>
      </w:r>
      <w:r>
        <w:rPr>
          <w:rFonts w:hint="eastAsia"/>
        </w:rPr>
        <w:t>991520，见附件二</w:t>
      </w:r>
      <w:r>
        <w:t>。</w:t>
      </w:r>
      <w:r>
        <w:rPr>
          <w:rFonts w:hint="eastAsia"/>
        </w:rPr>
        <w:t>项目</w:t>
      </w:r>
      <w:r>
        <w:t>主要建设内容包括羊舍、</w:t>
      </w:r>
      <w:r>
        <w:rPr>
          <w:rFonts w:hint="eastAsia"/>
        </w:rPr>
        <w:t>青贮窖（</w:t>
      </w:r>
      <w:r>
        <w:t>池</w:t>
      </w:r>
      <w:r>
        <w:rPr>
          <w:rFonts w:hint="eastAsia"/>
        </w:rPr>
        <w:t>）</w:t>
      </w:r>
      <w:r>
        <w:t>、库房、有机</w:t>
      </w:r>
      <w:r>
        <w:rPr>
          <w:rFonts w:hint="eastAsia"/>
        </w:rPr>
        <w:t>肥处理车间</w:t>
      </w:r>
      <w:r>
        <w:t>、</w:t>
      </w:r>
      <w:r>
        <w:rPr>
          <w:rFonts w:hint="eastAsia"/>
        </w:rPr>
        <w:t>动物尸体无害化处理及</w:t>
      </w:r>
      <w:r>
        <w:t>综合办公室等附属设施设施，总投资</w:t>
      </w:r>
      <w:r>
        <w:rPr>
          <w:rFonts w:hint="eastAsia"/>
        </w:rPr>
        <w:t>88000</w:t>
      </w:r>
      <w:r>
        <w:t>万元。</w:t>
      </w:r>
    </w:p>
    <w:p>
      <w:pPr>
        <w:ind w:firstLine="480"/>
      </w:pPr>
    </w:p>
    <w:p>
      <w:pPr>
        <w:pStyle w:val="3"/>
        <w:spacing w:before="120" w:after="120"/>
        <w:rPr>
          <w:color w:val="auto"/>
        </w:rPr>
      </w:pPr>
      <w:bookmarkStart w:id="11" w:name="_Toc18516"/>
      <w:r>
        <w:rPr>
          <w:rFonts w:hint="eastAsia"/>
          <w:color w:val="auto"/>
        </w:rPr>
        <w:t>环境影响评价工作过程</w:t>
      </w:r>
      <w:bookmarkEnd w:id="8"/>
      <w:bookmarkEnd w:id="9"/>
      <w:bookmarkEnd w:id="10"/>
      <w:bookmarkEnd w:id="11"/>
    </w:p>
    <w:p>
      <w:pPr>
        <w:ind w:firstLine="480"/>
      </w:pPr>
      <w:r>
        <w:rPr>
          <w:rFonts w:hint="eastAsia"/>
        </w:rPr>
        <w:t>根据《中华人民共和国环境影响评价法》、《建设项目环境保护管理条例》和和《建设项目环境影响评价分类管理目录》等规定，内蒙古春园满循环农业科技有限公司委托内蒙古百霖环保科技有限公司（以下简称“环评单位”）承担了本项目的环境影响评价工作（委托书见附件一）。我单位接受委托后，随即认真研究该项目的有关资料，并进行了现场调研、勘查，调查、收集有关环境状况进行深入分析，对本项目进行了初步工程分析、现状调查后，依照《环境影响评价技术导则》，结合本项目的特点，现场踏勘、收集资料、监测分析，并征求环保管理部门的意见，对本项目环境污染影响进行分析和预测，编制完成了《内蒙古春园满循环农业科技有限公司肉羊养殖园区项目环境影响报告书》，经审批后可作为环保部门管理的依据。</w:t>
      </w:r>
    </w:p>
    <w:p>
      <w:pPr>
        <w:ind w:firstLine="480"/>
      </w:pPr>
    </w:p>
    <w:p>
      <w:pPr>
        <w:pStyle w:val="52"/>
      </w:pPr>
      <w:r>
        <w:drawing>
          <wp:inline distT="0" distB="0" distL="0" distR="0">
            <wp:extent cx="4957445" cy="7487920"/>
            <wp:effectExtent l="0" t="0" r="14605" b="17780"/>
            <wp:docPr id="400"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96"/>
                    <pic:cNvPicPr>
                      <a:picLocks noChangeAspect="1" noChangeArrowheads="1"/>
                    </pic:cNvPicPr>
                  </pic:nvPicPr>
                  <pic:blipFill>
                    <a:blip r:embed="rId25" cstate="print">
                      <a:extLst>
                        <a:ext uri="{28A0092B-C50C-407E-A947-70E740481C1C}">
                          <a14:useLocalDpi xmlns:a14="http://schemas.microsoft.com/office/drawing/2010/main" val="0"/>
                        </a:ext>
                      </a:extLst>
                    </a:blip>
                    <a:srcRect t="4801" r="11647" b="1287"/>
                    <a:stretch>
                      <a:fillRect/>
                    </a:stretch>
                  </pic:blipFill>
                  <pic:spPr>
                    <a:xfrm>
                      <a:off x="0" y="0"/>
                      <a:ext cx="4957445" cy="7487920"/>
                    </a:xfrm>
                    <a:prstGeom prst="rect">
                      <a:avLst/>
                    </a:prstGeom>
                    <a:noFill/>
                    <a:ln>
                      <a:noFill/>
                    </a:ln>
                    <a:effectLst/>
                  </pic:spPr>
                </pic:pic>
              </a:graphicData>
            </a:graphic>
          </wp:inline>
        </w:drawing>
      </w:r>
    </w:p>
    <w:p>
      <w:pPr>
        <w:pStyle w:val="52"/>
      </w:pPr>
      <w:r>
        <w:rPr>
          <w:rFonts w:hint="eastAsia"/>
        </w:rPr>
        <w:t>图</w:t>
      </w:r>
      <w:r>
        <w:t xml:space="preserve">1.2-1  </w:t>
      </w:r>
      <w:r>
        <w:rPr>
          <w:rFonts w:hint="eastAsia"/>
        </w:rPr>
        <w:t>评价工作程序</w:t>
      </w:r>
    </w:p>
    <w:p>
      <w:pPr>
        <w:pStyle w:val="3"/>
        <w:spacing w:before="120" w:after="120"/>
        <w:rPr>
          <w:color w:val="auto"/>
        </w:rPr>
        <w:sectPr>
          <w:headerReference r:id="rId12" w:type="default"/>
          <w:footerReference r:id="rId13" w:type="default"/>
          <w:pgSz w:w="11906" w:h="16838"/>
          <w:pgMar w:top="1440" w:right="1797" w:bottom="1440" w:left="1797" w:header="851" w:footer="992" w:gutter="0"/>
          <w:pgNumType w:fmt="decimal" w:start="1"/>
          <w:cols w:space="425" w:num="1"/>
          <w:docGrid w:linePitch="312" w:charSpace="0"/>
        </w:sectPr>
      </w:pPr>
      <w:bookmarkStart w:id="12" w:name="_Toc24447597"/>
      <w:bookmarkStart w:id="13" w:name="_Toc24340202"/>
      <w:bookmarkStart w:id="14" w:name="_Toc24447045"/>
    </w:p>
    <w:p>
      <w:pPr>
        <w:pStyle w:val="3"/>
        <w:spacing w:before="120" w:after="120"/>
        <w:rPr>
          <w:color w:val="auto"/>
        </w:rPr>
      </w:pPr>
      <w:bookmarkStart w:id="15" w:name="_Toc7519"/>
      <w:r>
        <w:rPr>
          <w:rFonts w:hint="eastAsia"/>
          <w:color w:val="auto"/>
        </w:rPr>
        <w:t>相关情况的分析判定</w:t>
      </w:r>
      <w:bookmarkEnd w:id="12"/>
      <w:bookmarkEnd w:id="13"/>
      <w:bookmarkEnd w:id="14"/>
      <w:bookmarkEnd w:id="15"/>
    </w:p>
    <w:p>
      <w:pPr>
        <w:pStyle w:val="4"/>
      </w:pPr>
      <w:bookmarkStart w:id="16" w:name="_Toc24447046"/>
      <w:r>
        <w:rPr>
          <w:rFonts w:hint="eastAsia"/>
        </w:rPr>
        <w:t>环评文件类别的判定</w:t>
      </w:r>
      <w:bookmarkEnd w:id="16"/>
    </w:p>
    <w:p>
      <w:pPr>
        <w:ind w:firstLine="480"/>
      </w:pPr>
      <w:r>
        <w:rPr>
          <w:rFonts w:hint="eastAsia"/>
        </w:rPr>
        <w:t>本项目年存栏量50万只，年出栏量100万只，根据《畜禽养殖业污染物排放标准》（GB18596-2001）</w:t>
      </w:r>
      <w:r>
        <w:rPr>
          <w:rFonts w:hint="eastAsia"/>
          <w:lang w:val="en-US" w:eastAsia="zh-CN"/>
        </w:rPr>
        <w:t>和《排污许可证申请与核发技术规范 畜禽养殖行业》（HJ 1029—2019）：</w:t>
      </w:r>
      <w:r>
        <w:rPr>
          <w:rFonts w:hint="eastAsia"/>
        </w:rPr>
        <w:t>3只羊折算1头猪，本项目折合存栏量16.7万头猪，年出栏</w:t>
      </w:r>
      <w:r>
        <w:rPr>
          <w:rFonts w:hint="eastAsia"/>
          <w:lang w:val="en-US" w:eastAsia="zh-CN"/>
        </w:rPr>
        <w:t>量</w:t>
      </w:r>
      <w:r>
        <w:rPr>
          <w:rFonts w:hint="eastAsia"/>
        </w:rPr>
        <w:t>33.3万头猪。</w:t>
      </w:r>
    </w:p>
    <w:p>
      <w:pPr>
        <w:ind w:firstLine="480"/>
      </w:pPr>
      <w:r>
        <w:rPr>
          <w:rFonts w:hint="eastAsia"/>
        </w:rPr>
        <w:t>根据《建设项目环境影响评价分类管理目录》（</w:t>
      </w:r>
      <w:r>
        <w:t>2018</w:t>
      </w:r>
      <w:r>
        <w:rPr>
          <w:rFonts w:hint="eastAsia"/>
        </w:rPr>
        <w:t>版），本项目属于“二、畜牧业-3牲畜养殖-年出栏生猪5000头（其他畜禽养殖折合猪的养殖量）及以上的规模化畜禽养殖；存栏生猪2500头（其他畜禽种类折合猪的养殖规模）及以上无出栏量的规模化畜禽养殖；涉及环境敏感区的规模化畜禽养殖”，本项目环境影响评价文件类别为环境影响报告书。</w:t>
      </w:r>
    </w:p>
    <w:p>
      <w:pPr>
        <w:pStyle w:val="4"/>
        <w:rPr>
          <w:color w:val="FF0000"/>
        </w:rPr>
      </w:pPr>
      <w:bookmarkStart w:id="17" w:name="_Toc24447047"/>
      <w:r>
        <w:rPr>
          <w:rFonts w:hint="eastAsia"/>
          <w:color w:val="FF0000"/>
        </w:rPr>
        <w:t>产业政策符合性分析</w:t>
      </w:r>
      <w:bookmarkEnd w:id="17"/>
    </w:p>
    <w:p>
      <w:pPr>
        <w:bidi w:val="0"/>
      </w:pPr>
      <w:r>
        <w:rPr>
          <w:rFonts w:hint="eastAsia"/>
        </w:rPr>
        <w:t>项目为肉羊养殖园区建设项目，根据《产业结构调整指导目录（2019年本）》（国家发改委令2019年第29号），项目属于“鼓励类”第一项“农林业”中第4条“畜禽标准化规模养殖技术开发与应用”。</w:t>
      </w: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相关法律、法规的符合性</w:t>
      </w:r>
    </w:p>
    <w:p>
      <w:pPr>
        <w:ind w:firstLine="480"/>
      </w:pPr>
      <w:r>
        <w:rPr>
          <w:rFonts w:hint="eastAsia"/>
        </w:rPr>
        <w:t>本项目与目前我国有关畜禽养殖污染物防治的法律法规符合性分析见表1.3.3-1。</w:t>
      </w:r>
    </w:p>
    <w:p>
      <w:pPr>
        <w:pStyle w:val="4"/>
      </w:pPr>
      <w:r>
        <w:rPr>
          <w:rFonts w:hint="eastAsia"/>
        </w:rPr>
        <w:t>相关规范符合性分析</w:t>
      </w:r>
    </w:p>
    <w:p>
      <w:pPr>
        <w:ind w:firstLine="480"/>
      </w:pPr>
      <w:r>
        <w:rPr>
          <w:rFonts w:hint="eastAsia"/>
        </w:rPr>
        <w:t>本项目与目前我国有关畜禽养殖污染物防治的</w:t>
      </w:r>
      <w:r>
        <w:rPr>
          <w:rFonts w:hint="eastAsia"/>
          <w:color w:val="000000" w:themeColor="text1"/>
          <w14:textFill>
            <w14:solidFill>
              <w14:schemeClr w14:val="tx1"/>
            </w14:solidFill>
          </w14:textFill>
        </w:rPr>
        <w:t>相关规范符</w:t>
      </w:r>
      <w:r>
        <w:rPr>
          <w:rFonts w:hint="eastAsia"/>
        </w:rPr>
        <w:t>合性分析见表1.3.4-1。</w:t>
      </w:r>
    </w:p>
    <w:p>
      <w:pPr>
        <w:ind w:firstLine="480"/>
        <w:sectPr>
          <w:footerReference r:id="rId14" w:type="default"/>
          <w:pgSz w:w="11906" w:h="16838"/>
          <w:pgMar w:top="1440" w:right="1797" w:bottom="1440" w:left="1797" w:header="851" w:footer="992" w:gutter="0"/>
          <w:pgNumType w:fmt="decimal"/>
          <w:cols w:space="425" w:num="1"/>
          <w:docGrid w:linePitch="312" w:charSpace="0"/>
        </w:sectPr>
      </w:pP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表1.3.3-1   本项目建设与畜禽养殖污染防治的相关法律法规符合性分析</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3"/>
        <w:gridCol w:w="7389"/>
        <w:gridCol w:w="4466"/>
        <w:gridCol w:w="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政策法规</w:t>
            </w: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相关条款及规定</w:t>
            </w:r>
          </w:p>
        </w:tc>
        <w:tc>
          <w:tcPr>
            <w:tcW w:w="157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符合性分析</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《中华人民共和国水污染防治法》（2017）</w:t>
            </w: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国家支持畜禽养殖场、养殖小区建设畜禽粪便、废水的综合利用或者无害化处理设施。</w:t>
            </w:r>
          </w:p>
          <w:p>
            <w:pPr>
              <w:pStyle w:val="232"/>
              <w:rPr>
                <w:color w:val="000000" w:themeColor="text1"/>
                <w14:textFill>
                  <w14:solidFill>
                    <w14:schemeClr w14:val="tx1"/>
                  </w14:solidFill>
                </w14:textFill>
              </w:rPr>
            </w:pPr>
            <w:r>
              <w:rPr>
                <w:color w:val="000000" w:themeColor="text1"/>
                <w14:textFill>
                  <w14:solidFill>
                    <w14:schemeClr w14:val="tx1"/>
                  </w14:solidFill>
                </w14:textFill>
              </w:rPr>
              <w:t>畜禽养殖场、养殖小区应当保证其畜禽粪便、废水的综合利用或者无害化处理设施正常运转，保证污水达标排放，防止污染水环境。</w:t>
            </w:r>
          </w:p>
        </w:tc>
        <w:tc>
          <w:tcPr>
            <w:tcW w:w="1575"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项目采用干清粪工艺</w:t>
            </w:r>
            <w:r>
              <w:rPr>
                <w:rFonts w:hint="eastAsia"/>
                <w:color w:val="000000" w:themeColor="text1"/>
                <w14:textFill>
                  <w14:solidFill>
                    <w14:schemeClr w14:val="tx1"/>
                  </w14:solidFill>
                </w14:textFill>
              </w:rPr>
              <w:t>，粪污</w:t>
            </w:r>
            <w:r>
              <w:rPr>
                <w:color w:val="000000" w:themeColor="text1"/>
                <w14:textFill>
                  <w14:solidFill>
                    <w14:schemeClr w14:val="tx1"/>
                  </w14:solidFill>
                </w14:textFill>
              </w:rPr>
              <w:t>收集后</w:t>
            </w:r>
            <w:r>
              <w:rPr>
                <w:rFonts w:hint="eastAsia"/>
                <w:color w:val="000000" w:themeColor="text1"/>
                <w14:textFill>
                  <w14:solidFill>
                    <w14:schemeClr w14:val="tx1"/>
                  </w14:solidFill>
                </w14:textFill>
              </w:rPr>
              <w:t>送</w:t>
            </w:r>
            <w:r>
              <w:rPr>
                <w:rFonts w:hint="eastAsia"/>
                <w:color w:val="92D050"/>
                <w:lang w:eastAsia="zh-CN"/>
              </w:rPr>
              <w:t>有机肥堆场</w:t>
            </w:r>
            <w:r>
              <w:rPr>
                <w:rFonts w:hint="eastAsia"/>
                <w:color w:val="000000" w:themeColor="text1"/>
                <w14:textFill>
                  <w14:solidFill>
                    <w14:schemeClr w14:val="tx1"/>
                  </w14:solidFill>
                </w14:textFill>
              </w:rPr>
              <w:t>用于堆肥</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中华人民共和国固体废物污染环境防治法</w:t>
            </w:r>
            <w:r>
              <w:rPr>
                <w:color w:val="000000" w:themeColor="text1"/>
                <w14:textFill>
                  <w14:solidFill>
                    <w14:schemeClr w14:val="tx1"/>
                  </w14:solidFill>
                </w14:textFill>
              </w:rPr>
              <w:t>》（2020）</w:t>
            </w: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从事畜禽规模养殖应按照国家有关规定收集、贮存、利用或者处理养殖过程中产生的粪便，防止污染环境。</w:t>
            </w:r>
          </w:p>
        </w:tc>
        <w:tc>
          <w:tcPr>
            <w:tcW w:w="1575" w:type="pct"/>
            <w:vMerge w:val="continue"/>
            <w:vAlign w:val="center"/>
          </w:tcPr>
          <w:p>
            <w:pPr>
              <w:pStyle w:val="232"/>
              <w:rPr>
                <w:color w:val="000000" w:themeColor="text1"/>
                <w14:textFill>
                  <w14:solidFill>
                    <w14:schemeClr w14:val="tx1"/>
                  </w14:solidFill>
                </w14:textFill>
              </w:rPr>
            </w:pP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中华人民共和国</w:t>
            </w:r>
            <w:r>
              <w:rPr>
                <w:color w:val="000000" w:themeColor="text1"/>
                <w14:textFill>
                  <w14:solidFill>
                    <w14:schemeClr w14:val="tx1"/>
                  </w14:solidFill>
                </w14:textFill>
              </w:rPr>
              <w:t>畜牧法》（20</w:t>
            </w:r>
            <w:r>
              <w:rPr>
                <w:rFonts w:hint="eastAsia"/>
                <w:color w:val="000000" w:themeColor="text1"/>
                <w:lang w:val="en-US" w:eastAsia="zh-CN"/>
                <w14:textFill>
                  <w14:solidFill>
                    <w14:schemeClr w14:val="tx1"/>
                  </w14:solidFill>
                </w14:textFill>
              </w:rPr>
              <w:t>23年</w:t>
            </w:r>
            <w:r>
              <w:rPr>
                <w:color w:val="000000" w:themeColor="text1"/>
                <w14:textFill>
                  <w14:solidFill>
                    <w14:schemeClr w14:val="tx1"/>
                  </w14:solidFill>
                </w14:textFill>
              </w:rPr>
              <w:t>）</w:t>
            </w: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畜禽养殖场、养殖小区应当保证畜禽粪便、废水及其他固体废弃物综合利用或者无害化处理设施的正常运转，保证污染物达标排放，防止污染环境。</w:t>
            </w:r>
          </w:p>
          <w:p>
            <w:pPr>
              <w:pStyle w:val="232"/>
              <w:rPr>
                <w:color w:val="000000" w:themeColor="text1"/>
                <w14:textFill>
                  <w14:solidFill>
                    <w14:schemeClr w14:val="tx1"/>
                  </w14:solidFill>
                </w14:textFill>
              </w:rPr>
            </w:pPr>
            <w:r>
              <w:rPr>
                <w:color w:val="000000" w:themeColor="text1"/>
                <w14:textFill>
                  <w14:solidFill>
                    <w14:schemeClr w14:val="tx1"/>
                  </w14:solidFill>
                </w14:textFill>
              </w:rPr>
              <w:t>禁止在生活饮用水的水源保护区，风景名胜区，以及自然保护区的核心区和缓冲区；城镇居民区、文化教育科学研究区等人口集中区域；法律法规规定的其他禁养区域内建设畜禽养殖场、养殖小区。</w:t>
            </w:r>
          </w:p>
          <w:p>
            <w:pPr>
              <w:pStyle w:val="232"/>
              <w:rPr>
                <w:color w:val="000000" w:themeColor="text1"/>
                <w14:textFill>
                  <w14:solidFill>
                    <w14:schemeClr w14:val="tx1"/>
                  </w14:solidFill>
                </w14:textFill>
              </w:rPr>
            </w:pPr>
            <w:r>
              <w:rPr>
                <w:color w:val="000000" w:themeColor="text1"/>
                <w14:textFill>
                  <w14:solidFill>
                    <w14:schemeClr w14:val="tx1"/>
                  </w14:solidFill>
                </w14:textFill>
              </w:rPr>
              <w:t>省级人民政府根据本行政区域畜牧业发展状况制定畜禽养殖场、养殖小区的规模标准和备案程序。</w:t>
            </w:r>
          </w:p>
        </w:tc>
        <w:tc>
          <w:tcPr>
            <w:tcW w:w="1575" w:type="pct"/>
            <w:vAlign w:val="center"/>
          </w:tcPr>
          <w:p>
            <w:pPr>
              <w:pStyle w:val="232"/>
              <w:rPr>
                <w:rFonts w:hint="eastAsia"/>
                <w:color w:val="000000" w:themeColor="text1"/>
                <w14:textFill>
                  <w14:solidFill>
                    <w14:schemeClr w14:val="tx1"/>
                  </w14:solidFill>
                </w14:textFill>
              </w:rPr>
            </w:pPr>
            <w:r>
              <w:rPr>
                <w:color w:val="000000" w:themeColor="text1"/>
                <w14:textFill>
                  <w14:solidFill>
                    <w14:schemeClr w14:val="tx1"/>
                  </w14:solidFill>
                </w14:textFill>
              </w:rPr>
              <w:t>项目采用干清粪工艺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粪</w:t>
            </w:r>
            <w:r>
              <w:rPr>
                <w:rFonts w:hint="eastAsia"/>
                <w:color w:val="000000" w:themeColor="text1"/>
                <w14:textFill>
                  <w14:solidFill>
                    <w14:schemeClr w14:val="tx1"/>
                  </w14:solidFill>
                </w14:textFill>
              </w:rPr>
              <w:t>尿</w:t>
            </w:r>
            <w:r>
              <w:rPr>
                <w:color w:val="000000" w:themeColor="text1"/>
                <w14:textFill>
                  <w14:solidFill>
                    <w14:schemeClr w14:val="tx1"/>
                  </w14:solidFill>
                </w14:textFill>
              </w:rPr>
              <w:t>收集后</w:t>
            </w:r>
            <w:r>
              <w:rPr>
                <w:rFonts w:hint="eastAsia"/>
                <w:color w:val="000000" w:themeColor="text1"/>
                <w14:textFill>
                  <w14:solidFill>
                    <w14:schemeClr w14:val="tx1"/>
                  </w14:solidFill>
                </w14:textFill>
              </w:rPr>
              <w:t>粪污收集后送</w:t>
            </w:r>
            <w:r>
              <w:rPr>
                <w:rFonts w:hint="eastAsia"/>
                <w:color w:val="92D050"/>
                <w:lang w:eastAsia="zh-CN"/>
              </w:rPr>
              <w:t>有机肥堆场</w:t>
            </w:r>
            <w:r>
              <w:rPr>
                <w:rFonts w:hint="eastAsia"/>
                <w:color w:val="000000" w:themeColor="text1"/>
                <w14:textFill>
                  <w14:solidFill>
                    <w14:schemeClr w14:val="tx1"/>
                  </w14:solidFill>
                </w14:textFill>
              </w:rPr>
              <w:t>堆肥</w:t>
            </w:r>
          </w:p>
          <w:p>
            <w:pPr>
              <w:pStyle w:val="232"/>
              <w:rPr>
                <w:color w:val="000000" w:themeColor="text1"/>
                <w14:textFill>
                  <w14:solidFill>
                    <w14:schemeClr w14:val="tx1"/>
                  </w14:solidFill>
                </w14:textFill>
              </w:rPr>
            </w:pPr>
            <w:r>
              <w:rPr>
                <w:color w:val="000000" w:themeColor="text1"/>
                <w14:textFill>
                  <w14:solidFill>
                    <w14:schemeClr w14:val="tx1"/>
                  </w14:solidFill>
                </w14:textFill>
              </w:rPr>
              <w:t>项目选址不在生活饮用水的水源保护区，风景名胜区</w:t>
            </w:r>
            <w:r>
              <w:rPr>
                <w:rFonts w:hint="eastAsia"/>
                <w:color w:val="000000" w:themeColor="text1"/>
                <w:lang w:val="en-US" w:eastAsia="zh-CN"/>
                <w14:textFill>
                  <w14:solidFill>
                    <w14:schemeClr w14:val="tx1"/>
                  </w14:solidFill>
                </w14:textFill>
              </w:rPr>
              <w:t>和</w:t>
            </w:r>
            <w:r>
              <w:rPr>
                <w:color w:val="000000" w:themeColor="text1"/>
                <w14:textFill>
                  <w14:solidFill>
                    <w14:schemeClr w14:val="tx1"/>
                  </w14:solidFill>
                </w14:textFill>
              </w:rPr>
              <w:t>城镇居民区、文化教育科学研究区等人口集中区域</w:t>
            </w:r>
            <w:r>
              <w:rPr>
                <w:rFonts w:hint="eastAsia"/>
                <w:color w:val="000000" w:themeColor="text1"/>
                <w:lang w:val="en-US" w:eastAsia="zh-CN"/>
                <w14:textFill>
                  <w14:solidFill>
                    <w14:schemeClr w14:val="tx1"/>
                  </w14:solidFill>
                </w14:textFill>
              </w:rPr>
              <w:t>以及其他</w:t>
            </w:r>
            <w:r>
              <w:rPr>
                <w:color w:val="000000" w:themeColor="text1"/>
                <w14:textFill>
                  <w14:solidFill>
                    <w14:schemeClr w14:val="tx1"/>
                  </w14:solidFill>
                </w14:textFill>
              </w:rPr>
              <w:t>法律法规规定的其他禁养区域内建设畜禽养殖场、养殖小区</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中华人民共和国</w:t>
            </w:r>
            <w:r>
              <w:rPr>
                <w:color w:val="000000" w:themeColor="text1"/>
                <w14:textFill>
                  <w14:solidFill>
                    <w14:schemeClr w14:val="tx1"/>
                  </w14:solidFill>
                </w14:textFill>
              </w:rPr>
              <w:t>农业法》（201</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修正）</w:t>
            </w: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从事畜禽规模养殖的单位和个人应对粪便、废水及废弃物进行无害化处理或者综合利用。</w:t>
            </w:r>
          </w:p>
        </w:tc>
        <w:tc>
          <w:tcPr>
            <w:tcW w:w="157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项目采用干清粪工艺</w:t>
            </w:r>
            <w:r>
              <w:rPr>
                <w:rFonts w:hint="eastAsia"/>
                <w:color w:val="000000" w:themeColor="text1"/>
                <w14:textFill>
                  <w14:solidFill>
                    <w14:schemeClr w14:val="tx1"/>
                  </w14:solidFill>
                </w14:textFill>
              </w:rPr>
              <w:t>，粪污收集后送</w:t>
            </w:r>
            <w:r>
              <w:rPr>
                <w:rFonts w:hint="eastAsia"/>
                <w:color w:val="92D050"/>
                <w:lang w:eastAsia="zh-CN"/>
              </w:rPr>
              <w:t>有机肥堆场</w:t>
            </w:r>
            <w:r>
              <w:rPr>
                <w:rFonts w:hint="eastAsia"/>
                <w:color w:val="000000" w:themeColor="text1"/>
                <w14:textFill>
                  <w14:solidFill>
                    <w14:schemeClr w14:val="tx1"/>
                  </w14:solidFill>
                </w14:textFill>
              </w:rPr>
              <w:t>制作有机肥</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《畜禽规模养殖污染防治条例》（国务院令第643号）</w:t>
            </w: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157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项目建设</w:t>
            </w:r>
            <w:r>
              <w:rPr>
                <w:color w:val="000000" w:themeColor="text1"/>
                <w14:textFill>
                  <w14:solidFill>
                    <w14:schemeClr w14:val="tx1"/>
                  </w14:solidFill>
                </w14:textFill>
              </w:rPr>
              <w:t>区域无风景名胜区、世界文化和自然遗产地，也不在饮用水水源保护区范围内。项目</w:t>
            </w:r>
            <w:r>
              <w:rPr>
                <w:rFonts w:hint="eastAsia"/>
                <w:color w:val="000000" w:themeColor="text1"/>
                <w14:textFill>
                  <w14:solidFill>
                    <w14:schemeClr w14:val="tx1"/>
                  </w14:solidFill>
                </w14:textFill>
              </w:rPr>
              <w:t>位于农村地区，不在</w:t>
            </w:r>
            <w:r>
              <w:rPr>
                <w:color w:val="000000" w:themeColor="text1"/>
                <w14:textFill>
                  <w14:solidFill>
                    <w14:schemeClr w14:val="tx1"/>
                  </w14:solidFill>
                </w14:textFill>
              </w:rPr>
              <w:t>城镇居民区、文化教育科学研究区等人口集中区域，不在禁养区范围内。</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Merge w:val="continue"/>
            <w:vAlign w:val="center"/>
          </w:tcPr>
          <w:p>
            <w:pPr>
              <w:pStyle w:val="232"/>
              <w:rPr>
                <w:color w:val="000000" w:themeColor="text1"/>
                <w14:textFill>
                  <w14:solidFill>
                    <w14:schemeClr w14:val="tx1"/>
                  </w14:solidFill>
                </w14:textFill>
              </w:rPr>
            </w:pP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1575"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项目全场采取雨污分流，粪污</w:t>
            </w:r>
            <w:r>
              <w:rPr>
                <w:color w:val="000000" w:themeColor="text1"/>
                <w14:textFill>
                  <w14:solidFill>
                    <w14:schemeClr w14:val="tx1"/>
                  </w14:solidFill>
                </w14:textFill>
              </w:rPr>
              <w:t>收集后</w:t>
            </w:r>
            <w:r>
              <w:rPr>
                <w:rFonts w:hint="eastAsia"/>
                <w:color w:val="000000" w:themeColor="text1"/>
                <w14:textFill>
                  <w14:solidFill>
                    <w14:schemeClr w14:val="tx1"/>
                  </w14:solidFill>
                </w14:textFill>
              </w:rPr>
              <w:t>送</w:t>
            </w:r>
            <w:r>
              <w:rPr>
                <w:rFonts w:hint="eastAsia"/>
                <w:color w:val="92D050"/>
                <w:lang w:eastAsia="zh-CN"/>
              </w:rPr>
              <w:t>有机肥堆场</w:t>
            </w:r>
            <w:r>
              <w:rPr>
                <w:rFonts w:hint="eastAsia"/>
                <w:color w:val="000000" w:themeColor="text1"/>
                <w14:textFill>
                  <w14:solidFill>
                    <w14:schemeClr w14:val="tx1"/>
                  </w14:solidFill>
                </w14:textFill>
              </w:rPr>
              <w:t>制作有机肥；畜禽尸体无害化处理后残渣用于有机肥生产</w:t>
            </w:r>
            <w:r>
              <w:rPr>
                <w:rFonts w:hint="eastAsia"/>
                <w:color w:val="000000" w:themeColor="text1"/>
                <w:lang w:eastAsia="zh-CN"/>
                <w14:textFill>
                  <w14:solidFill>
                    <w14:schemeClr w14:val="tx1"/>
                  </w14:solidFill>
                </w14:textFill>
              </w:rPr>
              <w:t>；</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Merge w:val="continue"/>
            <w:vAlign w:val="center"/>
          </w:tcPr>
          <w:p>
            <w:pPr>
              <w:pStyle w:val="232"/>
              <w:rPr>
                <w:color w:val="000000" w:themeColor="text1"/>
                <w14:textFill>
                  <w14:solidFill>
                    <w14:schemeClr w14:val="tx1"/>
                  </w14:solidFill>
                </w14:textFill>
              </w:rPr>
            </w:pPr>
          </w:p>
        </w:tc>
        <w:tc>
          <w:tcPr>
            <w:tcW w:w="26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第十五条国家鼓励和支持采取粪肥还田、制取沼气、制造有机肥等方法，对畜禽养殖废弃物进行综合利用。</w:t>
            </w:r>
          </w:p>
        </w:tc>
        <w:tc>
          <w:tcPr>
            <w:tcW w:w="157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产生的粪污收集后送</w:t>
            </w:r>
            <w:r>
              <w:rPr>
                <w:rFonts w:hint="eastAsia"/>
                <w:color w:val="92D050"/>
                <w:highlight w:val="none"/>
                <w:lang w:eastAsia="zh-CN"/>
              </w:rPr>
              <w:t>有机肥堆场</w:t>
            </w:r>
            <w:r>
              <w:rPr>
                <w:rFonts w:hint="eastAsia"/>
                <w:color w:val="000000" w:themeColor="text1"/>
                <w14:textFill>
                  <w14:solidFill>
                    <w14:schemeClr w14:val="tx1"/>
                  </w14:solidFill>
                </w14:textFill>
              </w:rPr>
              <w:t>制作有机肥</w:t>
            </w:r>
            <w:r>
              <w:rPr>
                <w:color w:val="000000" w:themeColor="text1"/>
                <w14:textFill>
                  <w14:solidFill>
                    <w14:schemeClr w14:val="tx1"/>
                  </w14:solidFill>
                </w14:textFill>
              </w:rPr>
              <w:t>，对</w:t>
            </w:r>
            <w:r>
              <w:rPr>
                <w:rFonts w:hint="eastAsia"/>
                <w:color w:val="000000" w:themeColor="text1"/>
                <w:lang w:val="en-US" w:eastAsia="zh-CN"/>
                <w14:textFill>
                  <w14:solidFill>
                    <w14:schemeClr w14:val="tx1"/>
                  </w14:solidFill>
                </w14:textFill>
              </w:rPr>
              <w:t>养殖产生的固废</w:t>
            </w:r>
            <w:r>
              <w:rPr>
                <w:color w:val="000000" w:themeColor="text1"/>
                <w14:textFill>
                  <w14:solidFill>
                    <w14:schemeClr w14:val="tx1"/>
                  </w14:solidFill>
                </w14:textFill>
              </w:rPr>
              <w:t>均进行综合利用。</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Merge w:val="continue"/>
            <w:vAlign w:val="center"/>
          </w:tcPr>
          <w:p>
            <w:pPr>
              <w:pStyle w:val="232"/>
              <w:rPr>
                <w:color w:val="000000" w:themeColor="text1"/>
                <w14:textFill>
                  <w14:solidFill>
                    <w14:schemeClr w14:val="tx1"/>
                  </w14:solidFill>
                </w14:textFill>
              </w:rPr>
            </w:pPr>
          </w:p>
        </w:tc>
        <w:tc>
          <w:tcPr>
            <w:tcW w:w="2606"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第十六条国家鼓励和支持采取种植和养殖相结合的方式消纳利用畜禽养殖废弃物，促进畜禽粪便、污水等废弃物就地就近利用。</w:t>
            </w:r>
          </w:p>
        </w:tc>
        <w:tc>
          <w:tcPr>
            <w:tcW w:w="157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粪污收集后送</w:t>
            </w:r>
            <w:r>
              <w:rPr>
                <w:rFonts w:hint="eastAsia"/>
                <w:color w:val="92D050"/>
                <w:highlight w:val="none"/>
                <w:lang w:eastAsia="zh-CN"/>
              </w:rPr>
              <w:t>有机肥堆场</w:t>
            </w:r>
            <w:r>
              <w:rPr>
                <w:rFonts w:hint="eastAsia"/>
                <w:color w:val="000000" w:themeColor="text1"/>
                <w14:textFill>
                  <w14:solidFill>
                    <w14:schemeClr w14:val="tx1"/>
                  </w14:solidFill>
                </w14:textFill>
              </w:rPr>
              <w:t>制作有机肥</w:t>
            </w:r>
            <w:r>
              <w:rPr>
                <w:rFonts w:hint="eastAsia"/>
                <w:color w:val="000000" w:themeColor="text1"/>
                <w:lang w:val="en-US" w:eastAsia="zh-CN"/>
                <w14:textFill>
                  <w14:solidFill>
                    <w14:schemeClr w14:val="tx1"/>
                  </w14:solidFill>
                </w14:textFill>
              </w:rPr>
              <w:t>后送</w:t>
            </w:r>
            <w:r>
              <w:rPr>
                <w:rFonts w:hint="eastAsia"/>
                <w:color w:val="FF0000"/>
                <w:lang w:val="en-US" w:eastAsia="zh-CN"/>
              </w:rPr>
              <w:t>就近农田消纳使用</w:t>
            </w:r>
            <w:r>
              <w:rPr>
                <w:rFonts w:hint="eastAsia"/>
                <w:color w:val="000000" w:themeColor="text1"/>
                <w14:textFill>
                  <w14:solidFill>
                    <w14:schemeClr w14:val="tx1"/>
                  </w14:solidFill>
                </w14:textFill>
              </w:rPr>
              <w:t>。</w:t>
            </w:r>
          </w:p>
        </w:tc>
        <w:tc>
          <w:tcPr>
            <w:tcW w:w="2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bl>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根据上表的分析可知，本项目的建设可满足养殖类相关法律、法规及相关政策的要求。</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表1.3.4-1本项目建设与畜禽养殖污染防治的相关规范符合性分析</w:t>
      </w:r>
    </w:p>
    <w:tbl>
      <w:tblPr>
        <w:tblStyle w:val="3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098"/>
        <w:gridCol w:w="7066"/>
        <w:gridCol w:w="4472"/>
        <w:gridCol w:w="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相关规定</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本项目情况</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《畜禽养殖业污染治理工程技术规范》（HJ497-2009）</w:t>
            </w:r>
          </w:p>
        </w:tc>
        <w:tc>
          <w:tcPr>
            <w:tcW w:w="387"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场区布局与清粪工艺</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4.1新建、改建、扩建的畜禽养殖场应实现生产区、生活管理区的隔离，粪便污水处理设施和禽畜尸体焚烧炉应设在养殖场的生产区、生活管理区的常年主导风向的下风向或侧风向处。</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项目生活管理区与生产区分开设置，生活管理区、</w:t>
            </w:r>
            <w:r>
              <w:rPr>
                <w:rFonts w:hint="eastAsia"/>
                <w:color w:val="92D050"/>
                <w:highlight w:val="none"/>
                <w:lang w:eastAsia="zh-CN"/>
              </w:rPr>
              <w:t>有机肥堆场</w:t>
            </w:r>
            <w:r>
              <w:rPr>
                <w:rFonts w:hint="eastAsia"/>
                <w:color w:val="000000" w:themeColor="text1"/>
                <w14:textFill>
                  <w14:solidFill>
                    <w14:schemeClr w14:val="tx1"/>
                  </w14:solidFill>
                </w14:textFill>
              </w:rPr>
              <w:t>均位于养殖区的2</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年主导风向的侧风向</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Merge w:val="continue"/>
            <w:vAlign w:val="center"/>
          </w:tcPr>
          <w:p>
            <w:pPr>
              <w:pStyle w:val="232"/>
              <w:rPr>
                <w:color w:val="000000" w:themeColor="text1"/>
                <w14:textFill>
                  <w14:solidFill>
                    <w14:schemeClr w14:val="tx1"/>
                  </w14:solidFill>
                </w14:textFill>
              </w:rPr>
            </w:pP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4.2养殖场的排水系统应实行雨水和污水收集输送系统分离，在场区内外设置的污水收集输送系统，不得采取明沟布设。</w:t>
            </w:r>
          </w:p>
        </w:tc>
        <w:tc>
          <w:tcPr>
            <w:tcW w:w="157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项目场区的排水系统实施雨污分流</w:t>
            </w:r>
            <w:r>
              <w:rPr>
                <w:rFonts w:hint="eastAsia"/>
                <w:color w:val="000000" w:themeColor="text1"/>
                <w14:textFill>
                  <w14:solidFill>
                    <w14:schemeClr w14:val="tx1"/>
                  </w14:solidFill>
                </w14:textFill>
              </w:rPr>
              <w:t>，粪污收集后送</w:t>
            </w:r>
            <w:r>
              <w:rPr>
                <w:rFonts w:hint="eastAsia"/>
                <w:color w:val="92D050"/>
                <w:highlight w:val="none"/>
                <w:lang w:eastAsia="zh-CN"/>
              </w:rPr>
              <w:t>有机肥堆场</w:t>
            </w:r>
            <w:r>
              <w:rPr>
                <w:rFonts w:hint="eastAsia"/>
                <w:color w:val="000000" w:themeColor="text1"/>
                <w14:textFill>
                  <w14:solidFill>
                    <w14:schemeClr w14:val="tx1"/>
                  </w14:solidFill>
                </w14:textFill>
              </w:rPr>
              <w:t>制作有机肥。</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Merge w:val="continue"/>
            <w:vAlign w:val="center"/>
          </w:tcPr>
          <w:p>
            <w:pPr>
              <w:pStyle w:val="232"/>
              <w:rPr>
                <w:color w:val="000000" w:themeColor="text1"/>
                <w14:textFill>
                  <w14:solidFill>
                    <w14:schemeClr w14:val="tx1"/>
                  </w14:solidFill>
                </w14:textFill>
              </w:rPr>
            </w:pPr>
          </w:p>
        </w:tc>
        <w:tc>
          <w:tcPr>
            <w:tcW w:w="249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4.3新建、改建、扩建的畜禽养殖场应采取干法清粪工艺，采取有效指施将粪及时、单独清出，不可与尿、污水混合排出，并将产生的渣及时运至贮存或处理场所，实现</w:t>
            </w:r>
            <w:r>
              <w:rPr>
                <w:rFonts w:hint="eastAsia"/>
                <w:color w:val="000000" w:themeColor="text1"/>
                <w:lang w:eastAsia="zh-CN"/>
                <w14:textFill>
                  <w14:solidFill>
                    <w14:schemeClr w14:val="tx1"/>
                  </w14:solidFill>
                </w14:textFill>
              </w:rPr>
              <w:t>及时清理</w:t>
            </w:r>
            <w:r>
              <w:rPr>
                <w:color w:val="000000" w:themeColor="text1"/>
                <w14:textFill>
                  <w14:solidFill>
                    <w14:schemeClr w14:val="tx1"/>
                  </w14:solidFill>
                </w14:textFill>
              </w:rPr>
              <w:t>。采用水冲、水泡粪湿法清粪工艺的养殖场，要逐步改为干法清粪工艺。</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项目采用干清粪工艺，</w:t>
            </w:r>
            <w:r>
              <w:rPr>
                <w:rFonts w:hint="eastAsia"/>
                <w:color w:val="000000" w:themeColor="text1"/>
                <w:lang w:val="en-US" w:eastAsia="zh-CN"/>
                <w14:textFill>
                  <w14:solidFill>
                    <w14:schemeClr w14:val="tx1"/>
                  </w14:solidFill>
                </w14:textFill>
              </w:rPr>
              <w:t>一周清理一次</w:t>
            </w:r>
            <w:r>
              <w:rPr>
                <w:rFonts w:hint="eastAsia"/>
                <w:color w:val="000000" w:themeColor="text1"/>
                <w14:textFill>
                  <w14:solidFill>
                    <w14:schemeClr w14:val="tx1"/>
                  </w14:solidFill>
                </w14:textFill>
              </w:rPr>
              <w:t>，粪污收集后送</w:t>
            </w:r>
            <w:r>
              <w:rPr>
                <w:rFonts w:hint="eastAsia"/>
                <w:color w:val="92D050"/>
                <w:highlight w:val="none"/>
                <w:lang w:eastAsia="zh-CN"/>
              </w:rPr>
              <w:t>有机肥堆场</w:t>
            </w:r>
            <w:r>
              <w:rPr>
                <w:rFonts w:hint="eastAsia"/>
                <w:color w:val="000000" w:themeColor="text1"/>
                <w14:textFill>
                  <w14:solidFill>
                    <w14:schemeClr w14:val="tx1"/>
                  </w14:solidFill>
                </w14:textFill>
              </w:rPr>
              <w:t>制作有机肥，可就近利用。</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畜禽粪便的贮存</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①畜禽养殖场产生的畜禽粪便应设置专门的贮存设施，其恶臭及污染物排放应符合《畜禽养殖业污染物排放标准》。②贮存设施的位置必须远离各类功能地表水体</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距离不得小于</w:t>
            </w:r>
            <w:r>
              <w:rPr>
                <w:color w:val="000000" w:themeColor="text1"/>
                <w14:textFill>
                  <w14:solidFill>
                    <w14:schemeClr w14:val="tx1"/>
                  </w14:solidFill>
                </w14:textFill>
              </w:rPr>
              <w:t>400m</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并应设在养殖场生产及生活管理区的常年主导风向的下风向或侧风向处。③对于种养结合的养殖场，畜禽粪便，贮存设施的总容积不得低于当地农林作物生产用肥的最大间隔时间内本养殖场所产生粪便的总量。④贮存设施应采取设置顶盖等防止降雨</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水</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进入的措施。</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项目养殖区不设畜禽粪便应设置专门的贮存设施，</w:t>
            </w:r>
            <w:r>
              <w:rPr>
                <w:rFonts w:hint="eastAsia"/>
                <w:color w:val="92D050"/>
                <w:highlight w:val="none"/>
                <w:lang w:eastAsia="zh-CN"/>
              </w:rPr>
              <w:t>有机肥堆场</w:t>
            </w:r>
            <w:r>
              <w:rPr>
                <w:rFonts w:hint="eastAsia"/>
                <w:color w:val="000000" w:themeColor="text1"/>
                <w14:textFill>
                  <w14:solidFill>
                    <w14:schemeClr w14:val="tx1"/>
                  </w14:solidFill>
                </w14:textFill>
              </w:rPr>
              <w:t>内设粪便贮存设施，恶臭污染物排放满足《畜禽养殖业污染物排放标准》要求；</w:t>
            </w:r>
            <w:r>
              <w:rPr>
                <w:rFonts w:hint="eastAsia"/>
                <w:color w:val="92D050"/>
                <w:highlight w:val="none"/>
                <w:lang w:eastAsia="zh-CN"/>
              </w:rPr>
              <w:t>有机肥堆场</w:t>
            </w:r>
            <w:r>
              <w:rPr>
                <w:rFonts w:hint="eastAsia"/>
                <w:color w:val="000000" w:themeColor="text1"/>
                <w14:textFill>
                  <w14:solidFill>
                    <w14:schemeClr w14:val="tx1"/>
                  </w14:solidFill>
                </w14:textFill>
              </w:rPr>
              <w:t>内贮存设施</w:t>
            </w:r>
            <w:r>
              <w:rPr>
                <w:rFonts w:hint="eastAsia"/>
                <w:color w:val="FF0000"/>
                <w:lang w:val="en-US" w:eastAsia="zh-CN"/>
              </w:rPr>
              <w:t>400</w:t>
            </w:r>
            <w:r>
              <w:rPr>
                <w:rFonts w:hint="eastAsia"/>
                <w:color w:val="FF0000"/>
              </w:rPr>
              <w:t>m</w:t>
            </w:r>
            <w:r>
              <w:rPr>
                <w:rFonts w:hint="eastAsia"/>
                <w:color w:val="FF0000"/>
                <w:lang w:val="en-US" w:eastAsia="zh-CN"/>
              </w:rPr>
              <w:t>范围内无地表水体</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且</w:t>
            </w:r>
            <w:r>
              <w:rPr>
                <w:rFonts w:hint="eastAsia"/>
                <w:color w:val="000000" w:themeColor="text1"/>
                <w14:textFill>
                  <w14:solidFill>
                    <w14:schemeClr w14:val="tx1"/>
                  </w14:solidFill>
                </w14:textFill>
              </w:rPr>
              <w:t>位于养殖区及生活区常年主导风向的侧风向；</w:t>
            </w:r>
            <w:r>
              <w:rPr>
                <w:rFonts w:hint="eastAsia"/>
                <w:color w:val="92D050"/>
                <w:lang w:eastAsia="zh-CN"/>
              </w:rPr>
              <w:t>有机肥堆场</w:t>
            </w:r>
            <w:r>
              <w:rPr>
                <w:rFonts w:hint="eastAsia"/>
                <w:color w:val="000000" w:themeColor="text1"/>
                <w14:textFill>
                  <w14:solidFill>
                    <w14:schemeClr w14:val="tx1"/>
                  </w14:solidFill>
                </w14:textFill>
              </w:rPr>
              <w:t>为彩钢结构，设有顶棚。</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污水的处理</w:t>
            </w:r>
          </w:p>
        </w:tc>
        <w:tc>
          <w:tcPr>
            <w:tcW w:w="249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畜禽养殖过程中产生的污水应坚持种养结合的原则，经无害化处理后尽量充分还田，实现污水资源化利用。</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项目采用干清粪工艺，粪污收集后送</w:t>
            </w:r>
            <w:r>
              <w:rPr>
                <w:rFonts w:hint="eastAsia"/>
                <w:color w:val="92D050"/>
                <w:lang w:eastAsia="zh-CN"/>
              </w:rPr>
              <w:t>有机肥堆场</w:t>
            </w:r>
            <w:r>
              <w:rPr>
                <w:rFonts w:hint="eastAsia"/>
                <w:color w:val="000000" w:themeColor="text1"/>
                <w14:textFill>
                  <w14:solidFill>
                    <w14:schemeClr w14:val="tx1"/>
                  </w14:solidFill>
                </w14:textFill>
              </w:rPr>
              <w:t>制作有机肥</w:t>
            </w:r>
            <w:r>
              <w:rPr>
                <w:rFonts w:hint="eastAsia"/>
                <w:color w:val="000000" w:themeColor="text1"/>
                <w:lang w:val="en-US" w:eastAsia="zh-CN"/>
                <w14:textFill>
                  <w14:solidFill>
                    <w14:schemeClr w14:val="tx1"/>
                  </w14:solidFill>
                </w14:textFill>
              </w:rPr>
              <w:t>后送就近农田消纳使用</w:t>
            </w:r>
            <w:r>
              <w:rPr>
                <w:rFonts w:hint="eastAsia"/>
                <w:color w:val="000000" w:themeColor="text1"/>
                <w14:textFill>
                  <w14:solidFill>
                    <w14:schemeClr w14:val="tx1"/>
                  </w14:solidFill>
                </w14:textFill>
              </w:rPr>
              <w:t>。</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固体粪肥的处理利用</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①畜禽粪便必须经过无害化处理，并且须符合《粪便无害化卫生标准》后，才能进行土地利用，禁止未经处理的畜禽粪便直接施入农田。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③对高降雨区、坡地及沙质容易产生径流和渗透性较强的土壤，不适宜施用粪肥或粪肥使用量过高易使粪肥流失引起地表水或地下水污染时，应禁止或暂停使用粪肥。</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项目采用干清粪工艺，粪污收集后送</w:t>
            </w:r>
            <w:r>
              <w:rPr>
                <w:rFonts w:hint="eastAsia"/>
                <w:color w:val="92D050"/>
                <w:lang w:eastAsia="zh-CN"/>
              </w:rPr>
              <w:t>有机肥堆场</w:t>
            </w:r>
            <w:r>
              <w:rPr>
                <w:rFonts w:hint="eastAsia"/>
                <w:color w:val="000000" w:themeColor="text1"/>
                <w14:textFill>
                  <w14:solidFill>
                    <w14:schemeClr w14:val="tx1"/>
                  </w14:solidFill>
                </w14:textFill>
              </w:rPr>
              <w:t>制作有机肥，有机肥满足《有机肥料》（</w:t>
            </w:r>
            <w:r>
              <w:rPr>
                <w:color w:val="000000" w:themeColor="text1"/>
                <w14:textFill>
                  <w14:solidFill>
                    <w14:schemeClr w14:val="tx1"/>
                  </w14:solidFill>
                </w14:textFill>
              </w:rPr>
              <w:t>NY/T525-2021</w:t>
            </w:r>
            <w:r>
              <w:rPr>
                <w:rFonts w:hint="eastAsia"/>
                <w:color w:val="000000" w:themeColor="text1"/>
                <w14:textFill>
                  <w14:solidFill>
                    <w14:schemeClr w14:val="tx1"/>
                  </w14:solidFill>
                </w14:textFill>
              </w:rPr>
              <w:t>）的技术指标、有机肥料中重金属的限量指标。</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饲料和饲养管理</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①畜禽养殖饲料应采用合理配方，如理想蛋白质体系配等，提高蛋白质及其它营养的吸收效率，减少氮的排放量和粪的生产量。②提倡使用微生物制剂、酶制剂和植物提取液等活性物质，减少污染物排放和恶臭气体的产生。③养殖场场区、畜禽舍、器械等消毒应采用环境友好的消毒剂和消毒措施</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包括紫外线、臭氧、双氧水等方法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，防止产生氯代有机物及其它的二次污染物。</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①项目采取科学的饲养方式，饲料中添加EM制剂，减少氮的排放量和粪的生产量，减少污染物排放和恶臭气体的产生。②本项目进入牧场进行消毒，消毒剂主要有医用酒精、聚维酮碘溶液等，不会产生氯代有机物及其它的二次污染物。</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病死畜禽尸体的处理和处置</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①病死畜禽尸体要及时处理，严禁随意丢弃，严禁出售或作为饲料再利用。②病死禽畜尸体处理应采用焚烧炉焚烧的方法，在养殖场比较集中的地区，应集中设置焚烧设施；同时焚烧产生的烟气应采取有效的净化措施，防止烟尘、一氧化碳、恶臭等对周围大气环境的污染。③不具备焚烧条件的养殖场应设置两个以上安全填埋井，填埋井应为混凝土结构，深度大于</w:t>
            </w:r>
            <w:r>
              <w:rPr>
                <w:color w:val="000000" w:themeColor="text1"/>
                <w14:textFill>
                  <w14:solidFill>
                    <w14:schemeClr w14:val="tx1"/>
                  </w14:solidFill>
                </w14:textFill>
              </w:rPr>
              <w:t>2m</w:t>
            </w:r>
            <w:r>
              <w:rPr>
                <w:rFonts w:hint="eastAsia"/>
                <w:color w:val="000000" w:themeColor="text1"/>
                <w14:textFill>
                  <w14:solidFill>
                    <w14:schemeClr w14:val="tx1"/>
                  </w14:solidFill>
                </w14:textFill>
              </w:rPr>
              <w:t>，直径</w:t>
            </w:r>
            <w:r>
              <w:rPr>
                <w:color w:val="000000" w:themeColor="text1"/>
                <w14:textFill>
                  <w14:solidFill>
                    <w14:schemeClr w14:val="tx1"/>
                  </w14:solidFill>
                </w14:textFill>
              </w:rPr>
              <w:t>1m</w:t>
            </w:r>
            <w:r>
              <w:rPr>
                <w:rFonts w:hint="eastAsia"/>
                <w:color w:val="000000" w:themeColor="text1"/>
                <w14:textFill>
                  <w14:solidFill>
                    <w14:schemeClr w14:val="tx1"/>
                  </w14:solidFill>
                </w14:textFill>
              </w:rPr>
              <w:t>，井口加盖密封。进行填埋时，在每次投入畜禽尸体后，应覆盖一层厚度大于</w:t>
            </w:r>
            <w:r>
              <w:rPr>
                <w:color w:val="000000" w:themeColor="text1"/>
                <w14:textFill>
                  <w14:solidFill>
                    <w14:schemeClr w14:val="tx1"/>
                  </w14:solidFill>
                </w14:textFill>
              </w:rPr>
              <w:t>10cm</w:t>
            </w:r>
            <w:r>
              <w:rPr>
                <w:rFonts w:hint="eastAsia"/>
                <w:color w:val="000000" w:themeColor="text1"/>
                <w14:textFill>
                  <w14:solidFill>
                    <w14:schemeClr w14:val="tx1"/>
                  </w14:solidFill>
                </w14:textFill>
              </w:rPr>
              <w:t>的熟石灰，井填满后，须用粘土填埋压实并封口。</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r>
              <w:rPr>
                <w:rFonts w:hint="eastAsia"/>
                <w:color w:val="000000" w:themeColor="text1"/>
                <w:highlight w:val="yellow"/>
                <w14:textFill>
                  <w14:solidFill>
                    <w14:schemeClr w14:val="tx1"/>
                  </w14:solidFill>
                </w14:textFill>
              </w:rPr>
              <w:t>病死</w:t>
            </w:r>
            <w:r>
              <w:rPr>
                <w:rFonts w:hint="eastAsia"/>
                <w:color w:val="000000" w:themeColor="text1"/>
                <w:highlight w:val="yellow"/>
                <w:lang w:val="en-US" w:eastAsia="zh-CN"/>
                <w14:textFill>
                  <w14:solidFill>
                    <w14:schemeClr w14:val="tx1"/>
                  </w14:solidFill>
                </w14:textFill>
              </w:rPr>
              <w:t>羊及分娩物</w:t>
            </w:r>
            <w:r>
              <w:rPr>
                <w:rFonts w:hint="eastAsia"/>
                <w:color w:val="000000" w:themeColor="text1"/>
                <w:lang w:val="en-US" w:eastAsia="zh-CN"/>
                <w14:textFill>
                  <w14:solidFill>
                    <w14:schemeClr w14:val="tx1"/>
                  </w14:solidFill>
                </w14:textFill>
              </w:rPr>
              <w:t>经</w:t>
            </w:r>
            <w:r>
              <w:rPr>
                <w:rFonts w:hint="eastAsia"/>
                <w:color w:val="000000" w:themeColor="text1"/>
                <w14:textFill>
                  <w14:solidFill>
                    <w14:schemeClr w14:val="tx1"/>
                  </w14:solidFill>
                </w14:textFill>
              </w:rPr>
              <w:t>无害化处理后</w:t>
            </w:r>
            <w:r>
              <w:rPr>
                <w:rFonts w:hint="eastAsia"/>
                <w:color w:val="000000" w:themeColor="text1"/>
                <w:lang w:val="en-US" w:eastAsia="zh-CN"/>
                <w14:textFill>
                  <w14:solidFill>
                    <w14:schemeClr w14:val="tx1"/>
                  </w14:solidFill>
                </w14:textFill>
              </w:rPr>
              <w:t>产生的</w:t>
            </w:r>
            <w:r>
              <w:rPr>
                <w:rFonts w:hint="eastAsia"/>
                <w:color w:val="000000" w:themeColor="text1"/>
                <w14:textFill>
                  <w14:solidFill>
                    <w14:schemeClr w14:val="tx1"/>
                  </w14:solidFill>
                </w14:textFill>
              </w:rPr>
              <w:t>残渣用于有机肥生产。</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Merge w:val="continue"/>
            <w:vAlign w:val="center"/>
          </w:tcPr>
          <w:p>
            <w:pPr>
              <w:pStyle w:val="232"/>
              <w:rPr>
                <w:color w:val="000000" w:themeColor="text1"/>
                <w14:textFill>
                  <w14:solidFill>
                    <w14:schemeClr w14:val="tx1"/>
                  </w14:solidFill>
                </w14:textFill>
              </w:rPr>
            </w:pPr>
          </w:p>
        </w:tc>
        <w:tc>
          <w:tcPr>
            <w:tcW w:w="38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养殖场防疫、化验等产生的危险废水和固体废弃物应按国家的有关规定进行处理。</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项目场址内设</w:t>
            </w: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，产生的医疗废物暂存后</w:t>
            </w:r>
            <w:r>
              <w:rPr>
                <w:rFonts w:hint="eastAsia"/>
                <w:color w:val="000000" w:themeColor="text1"/>
                <w:lang w:val="en-US" w:eastAsia="zh-CN"/>
                <w14:textFill>
                  <w14:solidFill>
                    <w14:schemeClr w14:val="tx1"/>
                  </w14:solidFill>
                </w14:textFill>
              </w:rPr>
              <w:t>委托</w:t>
            </w:r>
            <w:r>
              <w:rPr>
                <w:rFonts w:hint="eastAsia"/>
                <w:color w:val="000000" w:themeColor="text1"/>
                <w:highlight w:val="yellow"/>
                <w:lang w:val="en-US" w:eastAsia="zh-CN"/>
                <w14:textFill>
                  <w14:solidFill>
                    <w14:schemeClr w14:val="tx1"/>
                  </w14:solidFill>
                </w14:textFill>
              </w:rPr>
              <w:t>巴彦淖尔市维康环保有限公司</w:t>
            </w:r>
            <w:r>
              <w:rPr>
                <w:rFonts w:hint="eastAsia"/>
                <w:color w:val="000000" w:themeColor="text1"/>
                <w:highlight w:val="none"/>
                <w:lang w:val="en-US" w:eastAsia="zh-CN"/>
                <w14:textFill>
                  <w14:solidFill>
                    <w14:schemeClr w14:val="tx1"/>
                  </w14:solidFill>
                </w14:textFill>
              </w:rPr>
              <w:t>处置</w:t>
            </w:r>
            <w:r>
              <w:rPr>
                <w:rFonts w:hint="eastAsia"/>
                <w:color w:val="000000" w:themeColor="text1"/>
                <w14:textFill>
                  <w14:solidFill>
                    <w14:schemeClr w14:val="tx1"/>
                  </w14:solidFill>
                </w14:textFill>
              </w:rPr>
              <w:t>，不单独处理该类固体废物。</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《畜禽规模化养殖场资源化利用设施建设规范</w:t>
            </w:r>
            <w:r>
              <w:rPr>
                <w:rFonts w:hint="eastAsia"/>
                <w:color w:val="000000" w:themeColor="text1"/>
                <w14:textFill>
                  <w14:solidFill>
                    <w14:schemeClr w14:val="tx1"/>
                  </w14:solidFill>
                </w14:textFill>
              </w:rPr>
              <w:t>（试行）</w:t>
            </w:r>
            <w:r>
              <w:rPr>
                <w:color w:val="000000" w:themeColor="text1"/>
                <w14:textFill>
                  <w14:solidFill>
                    <w14:schemeClr w14:val="tx1"/>
                  </w14:solidFill>
                </w14:textFill>
              </w:rPr>
              <w:t>》（农办牧〔2018〕2号）</w:t>
            </w: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畜禽规模养殖场粪污资源化利用应坚持农牧结合、种养平衡，按照资源化、减量化、无害化的原则，对源头减量、过程控制和末端利用各环节进行全程管理，提高粪污综合利用率和设施装备配套率。</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项目采用干清粪工艺，</w:t>
            </w:r>
            <w:r>
              <w:rPr>
                <w:rFonts w:hint="eastAsia"/>
                <w:color w:val="000000" w:themeColor="text1"/>
                <w:lang w:val="en-US" w:eastAsia="zh-CN"/>
                <w14:textFill>
                  <w14:solidFill>
                    <w14:schemeClr w14:val="tx1"/>
                  </w14:solidFill>
                </w14:textFill>
              </w:rPr>
              <w:t>及时清运</w:t>
            </w:r>
            <w:r>
              <w:rPr>
                <w:rFonts w:hint="eastAsia"/>
                <w:color w:val="000000" w:themeColor="text1"/>
                <w14:textFill>
                  <w14:solidFill>
                    <w14:schemeClr w14:val="tx1"/>
                  </w14:solidFill>
                </w14:textFill>
              </w:rPr>
              <w:t>，粪污收集后送</w:t>
            </w:r>
            <w:r>
              <w:rPr>
                <w:rFonts w:hint="eastAsia"/>
                <w:color w:val="92D050"/>
                <w:highlight w:val="none"/>
                <w:lang w:eastAsia="zh-CN"/>
              </w:rPr>
              <w:t>有机肥堆场</w:t>
            </w:r>
            <w:r>
              <w:rPr>
                <w:rFonts w:hint="eastAsia"/>
                <w:color w:val="000000" w:themeColor="text1"/>
                <w14:textFill>
                  <w14:solidFill>
                    <w14:schemeClr w14:val="tx1"/>
                  </w14:solidFill>
                </w14:textFill>
              </w:rPr>
              <w:t>制作有机肥，项目粪污综合利用率100%。</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Merge w:val="continue"/>
            <w:vAlign w:val="center"/>
          </w:tcPr>
          <w:p>
            <w:pPr>
              <w:pStyle w:val="232"/>
              <w:rPr>
                <w:color w:val="000000" w:themeColor="text1"/>
                <w14:textFill>
                  <w14:solidFill>
                    <w14:schemeClr w14:val="tx1"/>
                  </w14:solidFill>
                </w14:textFill>
              </w:rPr>
            </w:pP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畜禽规模养殖场应根据养殖污染防治要求，建设与养殖规模相配套的粪污资源化利用设施设备，并确保正常运行。</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本项目建设机肥车间制作有机肥，采用干清粪工艺，</w:t>
            </w:r>
            <w:r>
              <w:rPr>
                <w:rFonts w:hint="eastAsia"/>
                <w:color w:val="000000" w:themeColor="text1"/>
                <w:lang w:val="en-US" w:eastAsia="zh-CN"/>
                <w14:textFill>
                  <w14:solidFill>
                    <w14:schemeClr w14:val="tx1"/>
                  </w14:solidFill>
                </w14:textFill>
              </w:rPr>
              <w:t>及时清运</w:t>
            </w:r>
            <w:r>
              <w:rPr>
                <w:rFonts w:hint="eastAsia"/>
                <w:color w:val="000000" w:themeColor="text1"/>
                <w14:textFill>
                  <w14:solidFill>
                    <w14:schemeClr w14:val="tx1"/>
                  </w14:solidFill>
                </w14:textFill>
              </w:rPr>
              <w:t>，粪污收集后送</w:t>
            </w:r>
            <w:r>
              <w:rPr>
                <w:rFonts w:hint="eastAsia"/>
                <w:color w:val="92D050"/>
                <w:lang w:eastAsia="zh-CN"/>
              </w:rPr>
              <w:t>有机肥堆场</w:t>
            </w:r>
            <w:r>
              <w:rPr>
                <w:rFonts w:hint="eastAsia"/>
                <w:color w:val="000000" w:themeColor="text1"/>
                <w14:textFill>
                  <w14:solidFill>
                    <w14:schemeClr w14:val="tx1"/>
                  </w14:solidFill>
                </w14:textFill>
              </w:rPr>
              <w:t>制作有机肥</w:t>
            </w:r>
            <w:r>
              <w:rPr>
                <w:color w:val="000000" w:themeColor="text1"/>
                <w14:textFill>
                  <w14:solidFill>
                    <w14:schemeClr w14:val="tx1"/>
                  </w14:solidFill>
                </w14:textFill>
              </w:rPr>
              <w:t>。</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Merge w:val="continue"/>
            <w:vAlign w:val="center"/>
          </w:tcPr>
          <w:p>
            <w:pPr>
              <w:pStyle w:val="232"/>
              <w:rPr>
                <w:color w:val="000000" w:themeColor="text1"/>
                <w14:textFill>
                  <w14:solidFill>
                    <w14:schemeClr w14:val="tx1"/>
                  </w14:solidFill>
                </w14:textFill>
              </w:rPr>
            </w:pP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畜禽规模养殖场应建设雨污分离设施，污水宜采用暗沟或管道输送。</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本项目按规范要求实行雨污分流，粪污输送采用地下粪污通道。</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Merge w:val="continue"/>
            <w:vAlign w:val="center"/>
          </w:tcPr>
          <w:p>
            <w:pPr>
              <w:pStyle w:val="232"/>
              <w:rPr>
                <w:color w:val="000000" w:themeColor="text1"/>
                <w14:textFill>
                  <w14:solidFill>
                    <w14:schemeClr w14:val="tx1"/>
                  </w14:solidFill>
                </w14:textFill>
              </w:rPr>
            </w:pP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畜禽规模养殖场宜采用干清粪工艺。采用水泡粪工艺的，要控制用水量，减少粪污产生总量。鼓励水冲粪工艺改造为干清粪或水泡粪。不同畜种不同清粪工艺最高允许排水量按照</w:t>
            </w:r>
            <w:r>
              <w:rPr>
                <w:color w:val="000000" w:themeColor="text1"/>
                <w14:textFill>
                  <w14:solidFill>
                    <w14:schemeClr w14:val="tx1"/>
                  </w14:solidFill>
                </w14:textFill>
              </w:rPr>
              <w:t>GB18596</w:t>
            </w:r>
            <w:r>
              <w:rPr>
                <w:rFonts w:hint="eastAsia"/>
                <w:color w:val="000000" w:themeColor="text1"/>
                <w14:textFill>
                  <w14:solidFill>
                    <w14:schemeClr w14:val="tx1"/>
                  </w14:solidFill>
                </w14:textFill>
              </w:rPr>
              <w:t>执行。</w:t>
            </w:r>
          </w:p>
        </w:tc>
        <w:tc>
          <w:tcPr>
            <w:tcW w:w="157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项目采用干清粪工艺</w:t>
            </w:r>
            <w:r>
              <w:rPr>
                <w:rFonts w:hint="eastAsia"/>
                <w:color w:val="000000" w:themeColor="text1"/>
                <w14:textFill>
                  <w14:solidFill>
                    <w14:schemeClr w14:val="tx1"/>
                  </w14:solidFill>
                </w14:textFill>
              </w:rPr>
              <w:t>，项目采用干清粪工艺，</w:t>
            </w:r>
            <w:r>
              <w:rPr>
                <w:rFonts w:hint="eastAsia"/>
                <w:color w:val="000000" w:themeColor="text1"/>
                <w:lang w:eastAsia="zh-CN"/>
                <w14:textFill>
                  <w14:solidFill>
                    <w14:schemeClr w14:val="tx1"/>
                  </w14:solidFill>
                </w14:textFill>
              </w:rPr>
              <w:t>及时清理</w:t>
            </w:r>
            <w:r>
              <w:rPr>
                <w:rFonts w:hint="eastAsia"/>
                <w:color w:val="000000" w:themeColor="text1"/>
                <w14:textFill>
                  <w14:solidFill>
                    <w14:schemeClr w14:val="tx1"/>
                  </w14:solidFill>
                </w14:textFill>
              </w:rPr>
              <w:t>，粪污收集后送</w:t>
            </w:r>
            <w:r>
              <w:rPr>
                <w:rFonts w:hint="eastAsia"/>
                <w:color w:val="92D050"/>
                <w:lang w:eastAsia="zh-CN"/>
              </w:rPr>
              <w:t>有机肥堆场</w:t>
            </w:r>
            <w:r>
              <w:rPr>
                <w:rFonts w:hint="eastAsia"/>
                <w:color w:val="000000" w:themeColor="text1"/>
                <w14:textFill>
                  <w14:solidFill>
                    <w14:schemeClr w14:val="tx1"/>
                  </w14:solidFill>
                </w14:textFill>
              </w:rPr>
              <w:t>制作有机肥</w:t>
            </w:r>
            <w:r>
              <w:rPr>
                <w:color w:val="000000" w:themeColor="text1"/>
                <w14:textFill>
                  <w14:solidFill>
                    <w14:schemeClr w14:val="tx1"/>
                  </w14:solidFill>
                </w14:textFill>
              </w:rPr>
              <w:t>。</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Merge w:val="continue"/>
            <w:vAlign w:val="center"/>
          </w:tcPr>
          <w:p>
            <w:pPr>
              <w:pStyle w:val="232"/>
              <w:rPr>
                <w:color w:val="000000" w:themeColor="text1"/>
                <w14:textFill>
                  <w14:solidFill>
                    <w14:schemeClr w14:val="tx1"/>
                  </w14:solidFill>
                </w14:textFill>
              </w:rPr>
            </w:pPr>
          </w:p>
        </w:tc>
        <w:tc>
          <w:tcPr>
            <w:tcW w:w="249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畜禽规模养殖场应及时对粪污进行收集、贮存，粪污暂存池（场）应满足防渗、防雨、防溢流等要求。固体粪便暂存池（场）的设计按照</w:t>
            </w:r>
            <w:r>
              <w:rPr>
                <w:color w:val="000000" w:themeColor="text1"/>
                <w14:textFill>
                  <w14:solidFill>
                    <w14:schemeClr w14:val="tx1"/>
                  </w14:solidFill>
                </w14:textFill>
              </w:rPr>
              <w:t>GB/T27622</w:t>
            </w:r>
            <w:r>
              <w:rPr>
                <w:rFonts w:hint="eastAsia"/>
                <w:color w:val="000000" w:themeColor="text1"/>
                <w14:textFill>
                  <w14:solidFill>
                    <w14:schemeClr w14:val="tx1"/>
                  </w14:solidFill>
                </w14:textFill>
              </w:rPr>
              <w:t>执行。污水暂存池的设计按照</w:t>
            </w:r>
            <w:r>
              <w:rPr>
                <w:color w:val="000000" w:themeColor="text1"/>
                <w14:textFill>
                  <w14:solidFill>
                    <w14:schemeClr w14:val="tx1"/>
                  </w14:solidFill>
                </w14:textFill>
              </w:rPr>
              <w:t>GB/T26624</w:t>
            </w:r>
            <w:r>
              <w:rPr>
                <w:rFonts w:hint="eastAsia"/>
                <w:color w:val="000000" w:themeColor="text1"/>
                <w14:textFill>
                  <w14:solidFill>
                    <w14:schemeClr w14:val="tx1"/>
                  </w14:solidFill>
                </w14:textFill>
              </w:rPr>
              <w:t>执行。</w:t>
            </w:r>
          </w:p>
        </w:tc>
        <w:tc>
          <w:tcPr>
            <w:tcW w:w="15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项目养殖区不设畜禽粪便应设置专门的贮存设施，</w:t>
            </w:r>
            <w:r>
              <w:rPr>
                <w:rFonts w:hint="eastAsia"/>
                <w:color w:val="92D050"/>
                <w:lang w:eastAsia="zh-CN"/>
              </w:rPr>
              <w:t>有机肥堆场</w:t>
            </w:r>
            <w:r>
              <w:rPr>
                <w:rFonts w:hint="eastAsia"/>
                <w:color w:val="000000" w:themeColor="text1"/>
                <w14:textFill>
                  <w14:solidFill>
                    <w14:schemeClr w14:val="tx1"/>
                  </w14:solidFill>
                </w14:textFill>
              </w:rPr>
              <w:t>内粪便贮存设施采用了防雨、防渗、防溢流措施，设计均符合</w:t>
            </w:r>
            <w:r>
              <w:rPr>
                <w:color w:val="000000" w:themeColor="text1"/>
                <w14:textFill>
                  <w14:solidFill>
                    <w14:schemeClr w14:val="tx1"/>
                  </w14:solidFill>
                </w14:textFill>
              </w:rPr>
              <w:t>GB/T27622</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GB/T26624</w:t>
            </w:r>
            <w:r>
              <w:rPr>
                <w:rFonts w:hint="eastAsia"/>
                <w:color w:val="000000" w:themeColor="text1"/>
                <w14:textFill>
                  <w14:solidFill>
                    <w14:schemeClr w14:val="tx1"/>
                  </w14:solidFill>
                </w14:textFill>
              </w:rPr>
              <w:t>相关要求。</w:t>
            </w:r>
          </w:p>
        </w:tc>
        <w:tc>
          <w:tcPr>
            <w:tcW w:w="22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sz w:val="21"/>
                <w:szCs w:val="21"/>
                <w14:textFill>
                  <w14:solidFill>
                    <w14:schemeClr w14:val="tx1"/>
                  </w14:solidFill>
                </w14:textFill>
              </w:rPr>
            </w:pPr>
            <w:r>
              <w:rPr>
                <w:sz w:val="21"/>
                <w:szCs w:val="21"/>
              </w:rPr>
              <w:t>《畜禽规模养殖污染防治条例》（2014年1月1日起施行）</w:t>
            </w:r>
          </w:p>
        </w:tc>
        <w:tc>
          <w:tcPr>
            <w:tcW w:w="2494"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一、总则</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从事畜禽养殖以及畜禽养殖废弃物综合利用和无害化处理活动，应当符合国家有关畜禽养殖污染防治的要求，并依法接受有关主管部门的监督检查</w:t>
            </w:r>
            <w:r>
              <w:rPr>
                <w:rFonts w:hint="eastAsia"/>
                <w:sz w:val="21"/>
                <w:szCs w:val="21"/>
              </w:rPr>
              <w:t>。</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新建、改建、扩建畜禽养殖场、养殖小区，应当符合畜牧业发展规划、畜禽养殖污染防治规划，满足动物防疫条件，并进行环境影响评价</w:t>
            </w:r>
            <w:r>
              <w:rPr>
                <w:rFonts w:hint="eastAsia"/>
                <w:sz w:val="21"/>
                <w:szCs w:val="21"/>
              </w:rPr>
              <w:t>。</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二、预防</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畜禽养殖场、养殖小区应当根据养殖规模和污染防治需要，建设相应的畜禽粪便、污水与雨水分流设施，畜禽粪便、污水的贮存设施，粪污厌氧消化和堆沤、有机肥加工、制取沼气、沼渣沼液分离和输送、污水处理、畜禽</w:t>
            </w:r>
            <w:r>
              <w:rPr>
                <w:rFonts w:hint="eastAsia"/>
                <w:sz w:val="21"/>
                <w:szCs w:val="21"/>
              </w:rPr>
              <w:t>尸体处理等综合利用和无害化处理设施。</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从事畜禽养殖活动，应当采取科学的饲养方式和废弃物处理工艺等有效措施，减少畜禽养殖废弃物的产生量和向环境的排放量。</w:t>
            </w:r>
          </w:p>
          <w:p>
            <w:pPr>
              <w:keepNext w:val="0"/>
              <w:keepLines w:val="0"/>
              <w:pageBreakBefore w:val="0"/>
              <w:numPr>
                <w:ilvl w:val="0"/>
                <w:numId w:val="3"/>
              </w:numPr>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综合利用与治理</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从事畜禽养殖活动和畜禽养殖废弃物处理活动，应当及时对畜禽粪便、畜禽尸体、污水等进行收集、贮存、清运，防止恶臭和畜禽养殖废弃物渗出、泄漏。</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向环境排放经过处理的畜禽养殖废弃物，应当符合国家和地方规定的污染物排放标准和总量控制指标。畜禽养殖废弃物未经处理，不得直接向环境排放。</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color w:val="000000" w:themeColor="text1"/>
                <w:sz w:val="21"/>
                <w:szCs w:val="21"/>
                <w14:textFill>
                  <w14:solidFill>
                    <w14:schemeClr w14:val="tx1"/>
                  </w14:solidFill>
                </w14:textFill>
              </w:rPr>
            </w:pPr>
            <w:r>
              <w:rPr>
                <w:rFonts w:hint="eastAsia"/>
                <w:sz w:val="21"/>
                <w:szCs w:val="21"/>
              </w:rPr>
              <w:t>染疫畜禽以及染疫畜禽排泄物、染疫畜禽产品、病死或者死因不明的畜禽尸体等病害畜禽养殖废弃物，应当按照有关法律、法规和国务院农牧主管部门的规定，进行深埋、化制、焚烧等无害化处理，不得随意处置。</w:t>
            </w:r>
          </w:p>
        </w:tc>
        <w:tc>
          <w:tcPr>
            <w:tcW w:w="1578"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一、总则</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项目建设符</w:t>
            </w:r>
            <w:r>
              <w:rPr>
                <w:sz w:val="21"/>
                <w:szCs w:val="21"/>
              </w:rPr>
              <w:t>合国家有关畜禽养殖污染防治的要求，并依法接受有关主管部门的监督检查</w:t>
            </w:r>
            <w:r>
              <w:rPr>
                <w:rFonts w:hint="eastAsia"/>
                <w:sz w:val="21"/>
                <w:szCs w:val="21"/>
              </w:rPr>
              <w:t>。</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项目项目所在地暂无畜牧业发展规划、畜禽养殖污染防治规划，项目满足动物防疫要求并严格执行防疫部门要求。</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二、预防</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结合项目需要，厂区设置雨污分流设施、有机</w:t>
            </w:r>
            <w:r>
              <w:rPr>
                <w:rFonts w:hint="eastAsia"/>
                <w:sz w:val="21"/>
                <w:szCs w:val="21"/>
                <w:lang w:eastAsia="zh-CN"/>
              </w:rPr>
              <w:t>有机肥堆场</w:t>
            </w:r>
            <w:r>
              <w:rPr>
                <w:rFonts w:hint="eastAsia"/>
                <w:sz w:val="21"/>
                <w:szCs w:val="21"/>
              </w:rPr>
              <w:t>、设置</w:t>
            </w:r>
            <w:r>
              <w:rPr>
                <w:sz w:val="21"/>
                <w:szCs w:val="21"/>
              </w:rPr>
              <w:t>畜禽</w:t>
            </w:r>
            <w:r>
              <w:rPr>
                <w:rFonts w:hint="eastAsia"/>
                <w:sz w:val="21"/>
                <w:szCs w:val="21"/>
              </w:rPr>
              <w:t>尸体无害化处理。</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项目产生的粪便</w:t>
            </w:r>
            <w:r>
              <w:rPr>
                <w:sz w:val="21"/>
                <w:szCs w:val="21"/>
              </w:rPr>
              <w:t>清至</w:t>
            </w:r>
            <w:r>
              <w:rPr>
                <w:rFonts w:hint="eastAsia"/>
                <w:sz w:val="21"/>
                <w:szCs w:val="21"/>
                <w:lang w:eastAsia="zh-CN"/>
              </w:rPr>
              <w:t>有机肥堆场</w:t>
            </w:r>
            <w:r>
              <w:rPr>
                <w:sz w:val="21"/>
                <w:szCs w:val="21"/>
              </w:rPr>
              <w:t>堆肥</w:t>
            </w:r>
            <w:r>
              <w:rPr>
                <w:rFonts w:hint="eastAsia"/>
                <w:sz w:val="21"/>
                <w:szCs w:val="21"/>
              </w:rPr>
              <w:t>，病死羊及分娩物体通过无害化处理系统进行处置，防疫废物按照</w:t>
            </w:r>
            <w:r>
              <w:rPr>
                <w:sz w:val="21"/>
                <w:szCs w:val="21"/>
              </w:rPr>
              <w:t>HJ421-2008</w:t>
            </w:r>
            <w:r>
              <w:rPr>
                <w:rFonts w:hint="eastAsia"/>
                <w:sz w:val="21"/>
                <w:szCs w:val="21"/>
              </w:rPr>
              <w:t>及</w:t>
            </w:r>
            <w:r>
              <w:rPr>
                <w:sz w:val="21"/>
                <w:szCs w:val="21"/>
              </w:rPr>
              <w:t>环发[2003]206号贮存定期由有资质单位处理</w:t>
            </w:r>
            <w:r>
              <w:rPr>
                <w:rFonts w:hint="eastAsia"/>
                <w:sz w:val="21"/>
                <w:szCs w:val="21"/>
              </w:rPr>
              <w:t>，废弃物均妥善处理。</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三、综合利用和之类</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项目粪便、病死畜禽等及时清理，清运及贮存设施均设有防渗措施防止泄漏。</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项目废弃物均妥善处理不外排。</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r>
              <w:rPr>
                <w:rFonts w:hint="eastAsia"/>
                <w:sz w:val="21"/>
                <w:szCs w:val="21"/>
              </w:rPr>
              <w:t>染疫羊以及其排泄物、病死或者死因不明的羊尸体等废弃物均进行无害化处理后产生的废渣用于有机肥堆肥原料。</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rPr>
            </w:pPr>
          </w:p>
          <w:p>
            <w:pPr>
              <w:pStyle w:val="11"/>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color w:val="000000" w:themeColor="text1"/>
                <w:sz w:val="21"/>
                <w:szCs w:val="21"/>
                <w14:textFill>
                  <w14:solidFill>
                    <w14:schemeClr w14:val="tx1"/>
                  </w14:solidFill>
                </w14:textFill>
              </w:rPr>
            </w:pPr>
          </w:p>
        </w:tc>
        <w:tc>
          <w:tcPr>
            <w:tcW w:w="225"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sz w:val="21"/>
                <w:szCs w:val="21"/>
                <w14:textFill>
                  <w14:solidFill>
                    <w14:schemeClr w14:val="tx1"/>
                  </w14:solidFill>
                </w14:textFill>
              </w:rPr>
            </w:pPr>
            <w:r>
              <w:rPr>
                <w:rFonts w:hint="eastAsia"/>
                <w:sz w:val="21"/>
                <w:szCs w:val="21"/>
              </w:rPr>
              <w:t>符合</w:t>
            </w:r>
          </w:p>
        </w:tc>
      </w:tr>
    </w:tbl>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根据上表的分析可知，本项目的建设可满足养殖类相关规范的要求。</w:t>
      </w:r>
    </w:p>
    <w:p>
      <w:pPr>
        <w:ind w:firstLine="0" w:firstLineChars="0"/>
        <w:sectPr>
          <w:pgSz w:w="16838" w:h="11906" w:orient="landscape"/>
          <w:pgMar w:top="1797" w:right="1440" w:bottom="1797" w:left="1440" w:header="851" w:footer="992" w:gutter="0"/>
          <w:pgNumType w:fmt="decimal"/>
          <w:cols w:space="425" w:num="1"/>
          <w:docGrid w:linePitch="312" w:charSpace="0"/>
        </w:sectPr>
      </w:pP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相关政策符合性分析</w:t>
      </w:r>
    </w:p>
    <w:p>
      <w:pPr>
        <w:bidi w:val="0"/>
      </w:pPr>
      <w:r>
        <w:rPr>
          <w:rFonts w:hint="eastAsia"/>
        </w:rPr>
        <w:t>本项目与目前我国有关畜禽养殖污染物防治的相关政策符合性分析见表1.3.5-1。</w:t>
      </w:r>
    </w:p>
    <w:p>
      <w:pPr>
        <w:bidi w:val="0"/>
      </w:pPr>
      <w:r>
        <w:rPr>
          <w:rFonts w:hint="eastAsia"/>
        </w:rPr>
        <w:t>根据2016年习近平总书记主持召开中央财经领导小组第十四次会议，首次提出“农村能源革命”，加快推进北方地区畜禽养殖废弃物处理与资源化问题，是关系广大人民群众生活与环境的重大民生工程、民心工程，也是关系农村能源革命，是一项利国利民长远的大好事。要坚持政府支持、企业主体、市场化运作的方针，以沼气和生物天然气为主要处理方向，以就地就近用于农村能源和农用有机肥为主要使用方向，力争在“十三五”时期，基本解决大规模畜禽养殖场粪污处理和资源化问题。</w:t>
      </w:r>
    </w:p>
    <w:p>
      <w:pPr>
        <w:bidi w:val="0"/>
      </w:pPr>
      <w:r>
        <w:rPr>
          <w:rFonts w:hint="eastAsia"/>
        </w:rPr>
        <w:t>2017年6月12日，国务院办公厅下发《关于加快推进畜禽养殖废弃物资源化利用的意见》，这是畜牧业史上第一个专门针对粪污处理的指导性文件。《意见》特别强调“保供给和保生态并重”、“生产发展和环境保护协同推进”。2017年9月30日，中共中央办公厅、国务院办公厅印发了《关于创新体制机制推进农业绿色发展的意见》，再次将农业绿色发展摆在生态文明建设全局的突出位置，明确了“秸秆、畜禽粪污、农膜等农业废弃物全利用”。</w:t>
      </w:r>
    </w:p>
    <w:p>
      <w:pPr>
        <w:bidi w:val="0"/>
      </w:pPr>
      <w:r>
        <w:rPr>
          <w:rFonts w:hint="eastAsia"/>
        </w:rPr>
        <w:t>综上，本项目属于规模化标准化养殖项目，项目采用干清粪工艺，</w:t>
      </w:r>
      <w:r>
        <w:rPr>
          <w:rFonts w:hint="eastAsia"/>
          <w:lang w:eastAsia="zh-CN"/>
        </w:rPr>
        <w:t>及时清理</w:t>
      </w:r>
      <w:r>
        <w:rPr>
          <w:rFonts w:hint="eastAsia"/>
        </w:rPr>
        <w:t>，粪污收集后送</w:t>
      </w:r>
      <w:r>
        <w:rPr>
          <w:rFonts w:hint="eastAsia"/>
          <w:lang w:eastAsia="zh-CN"/>
        </w:rPr>
        <w:t>有机肥堆场</w:t>
      </w:r>
      <w:r>
        <w:rPr>
          <w:rFonts w:hint="eastAsia"/>
        </w:rPr>
        <w:t>制作有机肥，畜禽粪便综合利用率达100%；本项目的建设符合相关要求及政策的导向要求。</w:t>
      </w:r>
    </w:p>
    <w:p>
      <w:pPr>
        <w:spacing w:line="500" w:lineRule="exact"/>
        <w:ind w:firstLine="480"/>
        <w:rPr>
          <w:color w:val="000000" w:themeColor="text1"/>
          <w14:textFill>
            <w14:solidFill>
              <w14:schemeClr w14:val="tx1"/>
            </w14:solidFill>
          </w14:textFill>
        </w:rPr>
        <w:sectPr>
          <w:pgSz w:w="11906" w:h="16838"/>
          <w:pgMar w:top="1440" w:right="1797" w:bottom="1440" w:left="1797" w:header="851" w:footer="992" w:gutter="0"/>
          <w:pgNumType w:fmt="decimal"/>
          <w:cols w:space="425" w:num="1"/>
          <w:docGrid w:linePitch="312" w:charSpace="0"/>
        </w:sectPr>
      </w:pPr>
    </w:p>
    <w:p>
      <w:pPr>
        <w:pStyle w:val="6"/>
      </w:pPr>
      <w:r>
        <w:rPr>
          <w:rFonts w:hint="eastAsia"/>
        </w:rPr>
        <w:t>表1.3.5-1   本项目与相关政策的符合性分析</w:t>
      </w:r>
    </w:p>
    <w:tbl>
      <w:tblPr>
        <w:tblStyle w:val="3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6039"/>
        <w:gridCol w:w="5206"/>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39"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相关政策</w:t>
            </w:r>
          </w:p>
        </w:tc>
        <w:tc>
          <w:tcPr>
            <w:tcW w:w="2130"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相关条款及规定</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符合性分析</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Merge w:val="restar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《关于做好畜禽规模养殖项目环境影响评价管理工作的通知》（环办环评[2018]31号）</w:t>
            </w:r>
          </w:p>
        </w:tc>
        <w:tc>
          <w:tcPr>
            <w:tcW w:w="2130" w:type="pct"/>
            <w:vAlign w:val="center"/>
          </w:tcPr>
          <w:p>
            <w:pPr>
              <w:pStyle w:val="232"/>
              <w:keepNext w:val="0"/>
              <w:keepLines w:val="0"/>
              <w:pageBreakBefore w:val="0"/>
              <w:kinsoku/>
              <w:wordWrap/>
              <w:overflowPunct/>
              <w:autoSpaceDN/>
              <w:bidi w:val="0"/>
              <w:adjustRightInd/>
              <w:snapToGrid/>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项目环评应结合环境保护要求优化养殖场区内部布置。畜禽养殖区及畜禽粪污贮存、处理和畜禽尸体无害化处理等产生恶臭影响的设施，应位于养殖场区主导风向的下风向位置，并尽量远离周边环境保护目标。</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项目设置专门的畜禽粪便贮存设施，</w:t>
            </w:r>
            <w:r>
              <w:rPr>
                <w:rFonts w:hint="eastAsia"/>
                <w:color w:val="92D050"/>
                <w:kern w:val="0"/>
                <w:sz w:val="21"/>
                <w:szCs w:val="21"/>
                <w:lang w:eastAsia="zh-CN"/>
              </w:rPr>
              <w:t>有机肥堆场</w:t>
            </w:r>
            <w:r>
              <w:rPr>
                <w:color w:val="000000" w:themeColor="text1"/>
                <w:kern w:val="0"/>
                <w:sz w:val="21"/>
                <w:szCs w:val="21"/>
                <w14:textFill>
                  <w14:solidFill>
                    <w14:schemeClr w14:val="tx1"/>
                  </w14:solidFill>
                </w14:textFill>
              </w:rPr>
              <w:t>位于养殖场主导风向</w:t>
            </w:r>
            <w:r>
              <w:rPr>
                <w:rFonts w:hint="eastAsia"/>
                <w:color w:val="FF0000"/>
                <w:kern w:val="0"/>
                <w:sz w:val="21"/>
                <w:szCs w:val="21"/>
                <w:lang w:val="en-US" w:eastAsia="zh-CN"/>
              </w:rPr>
              <w:t>下</w:t>
            </w:r>
            <w:r>
              <w:rPr>
                <w:color w:val="FF0000"/>
                <w:kern w:val="0"/>
                <w:sz w:val="21"/>
                <w:szCs w:val="21"/>
              </w:rPr>
              <w:t>风向位置</w:t>
            </w:r>
            <w:r>
              <w:rPr>
                <w:color w:val="000000" w:themeColor="text1"/>
                <w:kern w:val="0"/>
                <w:sz w:val="21"/>
                <w:szCs w:val="21"/>
                <w14:textFill>
                  <w14:solidFill>
                    <w14:schemeClr w14:val="tx1"/>
                  </w14:solidFill>
                </w14:textFill>
              </w:rPr>
              <w:t>，</w:t>
            </w:r>
            <w:r>
              <w:rPr>
                <w:rFonts w:hint="eastAsia"/>
                <w:color w:val="000000" w:themeColor="text1"/>
                <w:kern w:val="0"/>
                <w:sz w:val="21"/>
                <w:szCs w:val="21"/>
                <w14:textFill>
                  <w14:solidFill>
                    <w14:schemeClr w14:val="tx1"/>
                  </w14:solidFill>
                </w14:textFill>
              </w:rPr>
              <w:t>通过优化布置并远</w:t>
            </w:r>
            <w:r>
              <w:rPr>
                <w:color w:val="000000" w:themeColor="text1"/>
                <w:kern w:val="0"/>
                <w:sz w:val="21"/>
                <w:szCs w:val="21"/>
                <w14:textFill>
                  <w14:solidFill>
                    <w14:schemeClr w14:val="tx1"/>
                  </w14:solidFill>
                </w14:textFill>
              </w:rPr>
              <w:t>离最近敏感</w:t>
            </w:r>
            <w:r>
              <w:rPr>
                <w:rFonts w:hint="eastAsia"/>
                <w:color w:val="000000" w:themeColor="text1"/>
                <w:kern w:val="0"/>
                <w:sz w:val="21"/>
                <w:szCs w:val="21"/>
                <w14:textFill>
                  <w14:solidFill>
                    <w14:schemeClr w14:val="tx1"/>
                  </w14:solidFill>
                </w14:textFill>
              </w:rPr>
              <w:t>目标</w:t>
            </w:r>
            <w:r>
              <w:rPr>
                <w:rFonts w:hint="eastAsia"/>
                <w:color w:val="FF0000"/>
                <w:kern w:val="0"/>
                <w:sz w:val="21"/>
                <w:szCs w:val="21"/>
              </w:rPr>
              <w:t>色林庆0.87</w:t>
            </w:r>
            <w:r>
              <w:rPr>
                <w:rFonts w:hint="eastAsia"/>
                <w:color w:val="FF0000"/>
                <w:kern w:val="0"/>
                <w:sz w:val="21"/>
                <w:szCs w:val="21"/>
                <w:lang w:val="en-US" w:eastAsia="zh-CN"/>
              </w:rPr>
              <w:t>km</w:t>
            </w:r>
            <w:r>
              <w:rPr>
                <w:color w:val="000000" w:themeColor="text1"/>
                <w:kern w:val="0"/>
                <w:sz w:val="21"/>
                <w:szCs w:val="21"/>
                <w14:textFill>
                  <w14:solidFill>
                    <w14:schemeClr w14:val="tx1"/>
                  </w14:solidFill>
                </w14:textFill>
              </w:rPr>
              <w:t>。</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Merge w:val="continue"/>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p>
        </w:tc>
        <w:tc>
          <w:tcPr>
            <w:tcW w:w="2130" w:type="pct"/>
            <w:vAlign w:val="center"/>
          </w:tcPr>
          <w:p>
            <w:pPr>
              <w:pStyle w:val="232"/>
              <w:keepNext w:val="0"/>
              <w:keepLines w:val="0"/>
              <w:pageBreakBefore w:val="0"/>
              <w:kinsoku/>
              <w:wordWrap/>
              <w:overflowPunct/>
              <w:autoSpaceDN/>
              <w:bidi w:val="0"/>
              <w:adjustRightInd/>
              <w:snapToGrid/>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鼓励采取干清粪方式，采取水泡粪工艺的应最大限度降低用水量。场区应采取雨污分离措施，防止雨水进入粪污收集系统。</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项目采用干清粪工艺，养殖场实行雨污分流。</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Merge w:val="continue"/>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p>
        </w:tc>
        <w:tc>
          <w:tcPr>
            <w:tcW w:w="2130" w:type="pct"/>
            <w:vAlign w:val="center"/>
          </w:tcPr>
          <w:p>
            <w:pPr>
              <w:pStyle w:val="232"/>
              <w:keepNext w:val="0"/>
              <w:keepLines w:val="0"/>
              <w:pageBreakBefore w:val="0"/>
              <w:kinsoku/>
              <w:wordWrap/>
              <w:overflowPunct/>
              <w:autoSpaceDN/>
              <w:bidi w:val="0"/>
              <w:adjustRightInd/>
              <w:snapToGrid/>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采取粪污全量收集还田利用、污水肥料化利用、粪便垫料回用、异位发酵床、粪污专业化能源利用等模式处理利用畜禽粪污，促进畜禽规模养殖项目“种养结合”绿色发展。</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lang w:bidi="en-US"/>
                <w14:textFill>
                  <w14:solidFill>
                    <w14:schemeClr w14:val="tx1"/>
                  </w14:solidFill>
                </w14:textFill>
              </w:rPr>
              <w:t>项目采用干清粪工艺，</w:t>
            </w:r>
            <w:r>
              <w:rPr>
                <w:rFonts w:hint="eastAsia"/>
                <w:color w:val="000000" w:themeColor="text1"/>
                <w:sz w:val="21"/>
                <w:szCs w:val="21"/>
                <w:lang w:eastAsia="zh-CN" w:bidi="en-US"/>
                <w14:textFill>
                  <w14:solidFill>
                    <w14:schemeClr w14:val="tx1"/>
                  </w14:solidFill>
                </w14:textFill>
              </w:rPr>
              <w:t>及时清理</w:t>
            </w:r>
            <w:r>
              <w:rPr>
                <w:rFonts w:hint="eastAsia"/>
                <w:color w:val="000000" w:themeColor="text1"/>
                <w:sz w:val="21"/>
                <w:szCs w:val="21"/>
                <w:lang w:bidi="en-US"/>
                <w14:textFill>
                  <w14:solidFill>
                    <w14:schemeClr w14:val="tx1"/>
                  </w14:solidFill>
                </w14:textFill>
              </w:rPr>
              <w:t>，粪污收集后送</w:t>
            </w:r>
            <w:r>
              <w:rPr>
                <w:rFonts w:hint="eastAsia"/>
                <w:color w:val="92D050"/>
                <w:sz w:val="21"/>
                <w:szCs w:val="21"/>
                <w:lang w:eastAsia="zh-CN" w:bidi="en-US"/>
              </w:rPr>
              <w:t>有机肥堆场</w:t>
            </w:r>
            <w:r>
              <w:rPr>
                <w:rFonts w:hint="eastAsia"/>
                <w:color w:val="000000" w:themeColor="text1"/>
                <w:sz w:val="21"/>
                <w:szCs w:val="21"/>
                <w:lang w:bidi="en-US"/>
                <w14:textFill>
                  <w14:solidFill>
                    <w14:schemeClr w14:val="tx1"/>
                  </w14:solidFill>
                </w14:textFill>
              </w:rPr>
              <w:t>制作有机肥，符合</w:t>
            </w:r>
            <w:r>
              <w:rPr>
                <w:rFonts w:hint="eastAsia"/>
                <w:color w:val="000000" w:themeColor="text1"/>
                <w:sz w:val="21"/>
                <w:szCs w:val="21"/>
                <w14:textFill>
                  <w14:solidFill>
                    <w14:schemeClr w14:val="tx1"/>
                  </w14:solidFill>
                </w14:textFill>
              </w:rPr>
              <w:t>“种养结合”绿色发展</w:t>
            </w:r>
            <w:r>
              <w:rPr>
                <w:rFonts w:hint="eastAsia"/>
                <w:color w:val="000000" w:themeColor="text1"/>
                <w:sz w:val="21"/>
                <w:szCs w:val="21"/>
                <w:lang w:bidi="en-US"/>
                <w14:textFill>
                  <w14:solidFill>
                    <w14:schemeClr w14:val="tx1"/>
                  </w14:solidFill>
                </w14:textFill>
              </w:rPr>
              <w:t>。</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Merge w:val="continue"/>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p>
        </w:tc>
        <w:tc>
          <w:tcPr>
            <w:tcW w:w="2130" w:type="pct"/>
            <w:vAlign w:val="center"/>
          </w:tcPr>
          <w:p>
            <w:pPr>
              <w:pStyle w:val="232"/>
              <w:keepNext w:val="0"/>
              <w:keepLines w:val="0"/>
              <w:pageBreakBefore w:val="0"/>
              <w:kinsoku/>
              <w:wordWrap/>
              <w:overflowPunct/>
              <w:autoSpaceDN/>
              <w:bidi w:val="0"/>
              <w:adjustRightInd/>
              <w:snapToGrid/>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畜禽规模养殖项目配套建设沼气工程的，应充分考虑沼气制备及贮存过程中的环境风险，制定环境风险防范措施及应急预案。</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项目不建设沼气工程。</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Merge w:val="continue"/>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p>
        </w:tc>
        <w:tc>
          <w:tcPr>
            <w:tcW w:w="2130" w:type="pct"/>
            <w:vAlign w:val="center"/>
          </w:tcPr>
          <w:p>
            <w:pPr>
              <w:pStyle w:val="232"/>
              <w:keepNext w:val="0"/>
              <w:keepLines w:val="0"/>
              <w:pageBreakBefore w:val="0"/>
              <w:kinsoku/>
              <w:wordWrap/>
              <w:overflowPunct/>
              <w:autoSpaceDN/>
              <w:bidi w:val="0"/>
              <w:adjustRightInd/>
              <w:snapToGrid/>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ascii="宋体" w:cs="宋体"/>
                <w:color w:val="000000" w:themeColor="text1"/>
                <w:kern w:val="0"/>
                <w:sz w:val="21"/>
                <w:szCs w:val="21"/>
                <w14:textFill>
                  <w14:solidFill>
                    <w14:schemeClr w14:val="tx1"/>
                  </w14:solidFill>
                </w14:textFill>
              </w:rPr>
              <w:t>本项目</w:t>
            </w:r>
            <w:r>
              <w:rPr>
                <w:rFonts w:hint="eastAsia" w:ascii="宋体" w:cs="宋体"/>
                <w:color w:val="000000" w:themeColor="text1"/>
                <w:kern w:val="0"/>
                <w:sz w:val="21"/>
                <w:szCs w:val="21"/>
                <w14:textFill>
                  <w14:solidFill>
                    <w14:schemeClr w14:val="tx1"/>
                  </w14:solidFill>
                </w14:textFill>
              </w:rPr>
              <w:t>产生的</w:t>
            </w:r>
            <w:r>
              <w:rPr>
                <w:rFonts w:ascii="宋体" w:cs="宋体"/>
                <w:color w:val="000000" w:themeColor="text1"/>
                <w:kern w:val="0"/>
                <w:sz w:val="21"/>
                <w:szCs w:val="21"/>
                <w14:textFill>
                  <w14:solidFill>
                    <w14:schemeClr w14:val="tx1"/>
                  </w14:solidFill>
                </w14:textFill>
              </w:rPr>
              <w:t>病死</w:t>
            </w:r>
            <w:r>
              <w:rPr>
                <w:rFonts w:hint="eastAsia" w:ascii="宋体" w:cs="宋体"/>
                <w:color w:val="000000" w:themeColor="text1"/>
                <w:kern w:val="0"/>
                <w:sz w:val="21"/>
                <w:szCs w:val="21"/>
                <w14:textFill>
                  <w14:solidFill>
                    <w14:schemeClr w14:val="tx1"/>
                  </w14:solidFill>
                </w14:textFill>
              </w:rPr>
              <w:t>动物</w:t>
            </w:r>
            <w:r>
              <w:rPr>
                <w:rFonts w:ascii="宋体" w:cs="宋体"/>
                <w:color w:val="000000" w:themeColor="text1"/>
                <w:kern w:val="0"/>
                <w:sz w:val="21"/>
                <w:szCs w:val="21"/>
                <w14:textFill>
                  <w14:solidFill>
                    <w14:schemeClr w14:val="tx1"/>
                  </w14:solidFill>
                </w14:textFill>
              </w:rPr>
              <w:t>尸体</w:t>
            </w:r>
            <w:r>
              <w:rPr>
                <w:rFonts w:hint="eastAsia" w:ascii="宋体" w:cs="宋体"/>
                <w:color w:val="000000" w:themeColor="text1"/>
                <w:kern w:val="0"/>
                <w:sz w:val="21"/>
                <w:szCs w:val="21"/>
                <w14:textFill>
                  <w14:solidFill>
                    <w14:schemeClr w14:val="tx1"/>
                  </w14:solidFill>
                </w14:textFill>
              </w:rPr>
              <w:t>进行无害化处理后残渣用于有机肥生产；养殖场拟采取</w:t>
            </w:r>
            <w:r>
              <w:rPr>
                <w:rFonts w:hint="eastAsia"/>
                <w:color w:val="000000" w:themeColor="text1"/>
                <w:sz w:val="21"/>
                <w:szCs w:val="21"/>
                <w14:textFill>
                  <w14:solidFill>
                    <w14:schemeClr w14:val="tx1"/>
                  </w14:solidFill>
                </w14:textFill>
              </w:rPr>
              <w:t>控制饲养密度、改善舍内通风、及时清粪、定期喷洒除臭剂、集中收集处理等措施，确保项目恶臭污染物达标排放。</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《内蒙古自治区畜禽养殖主要污染物减排工程项目建设技术指南（试行）》</w:t>
            </w:r>
            <w:r>
              <w:rPr>
                <w:color w:val="000000" w:themeColor="text1"/>
                <w:sz w:val="21"/>
                <w:szCs w:val="21"/>
                <w14:textFill>
                  <w14:solidFill>
                    <w14:schemeClr w14:val="tx1"/>
                  </w14:solidFill>
                </w14:textFill>
              </w:rPr>
              <w:t>(2014)</w:t>
            </w:r>
          </w:p>
        </w:tc>
        <w:tc>
          <w:tcPr>
            <w:tcW w:w="2130"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种养结合原则，养殖产生的污染物全部得到综合利用和土地利用；牧场需要采区雨污分流制度；粪便和污水/尿液土地利用可采用农田利用、林地利用或土地改造利用；粪便采取干清粪工艺，粪便进行堆肥发酵后土地消纳，粪污处理区需采取防雨防渗措施”。</w:t>
            </w:r>
          </w:p>
        </w:tc>
        <w:tc>
          <w:tcPr>
            <w:tcW w:w="1836"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项目采用干清粪工艺，</w:t>
            </w:r>
            <w:r>
              <w:rPr>
                <w:rFonts w:hint="eastAsia"/>
                <w:color w:val="000000" w:themeColor="text1"/>
                <w:sz w:val="21"/>
                <w:szCs w:val="21"/>
                <w:lang w:eastAsia="zh-CN"/>
                <w14:textFill>
                  <w14:solidFill>
                    <w14:schemeClr w14:val="tx1"/>
                  </w14:solidFill>
                </w14:textFill>
              </w:rPr>
              <w:t>及时清理</w:t>
            </w:r>
            <w:r>
              <w:rPr>
                <w:rFonts w:hint="eastAsia"/>
                <w:color w:val="000000" w:themeColor="text1"/>
                <w:sz w:val="21"/>
                <w:szCs w:val="21"/>
                <w14:textFill>
                  <w14:solidFill>
                    <w14:schemeClr w14:val="tx1"/>
                  </w14:solidFill>
                </w14:textFill>
              </w:rPr>
              <w:t>，粪污收集后送</w:t>
            </w:r>
            <w:r>
              <w:rPr>
                <w:rFonts w:hint="eastAsia"/>
                <w:color w:val="92D050"/>
                <w:sz w:val="21"/>
                <w:szCs w:val="21"/>
                <w:lang w:eastAsia="zh-CN"/>
              </w:rPr>
              <w:t>有机肥堆场</w:t>
            </w:r>
            <w:r>
              <w:rPr>
                <w:rFonts w:hint="eastAsia"/>
                <w:color w:val="000000" w:themeColor="text1"/>
                <w:sz w:val="21"/>
                <w:szCs w:val="21"/>
                <w14:textFill>
                  <w14:solidFill>
                    <w14:schemeClr w14:val="tx1"/>
                  </w14:solidFill>
                </w14:textFill>
              </w:rPr>
              <w:t>制作有机肥，并实施雨污分流制度，产生的生活污水作为有机肥补水。养殖产生的污染物全部得到综合利用。</w:t>
            </w:r>
          </w:p>
        </w:tc>
        <w:tc>
          <w:tcPr>
            <w:tcW w:w="393" w:type="pct"/>
            <w:vAlign w:val="center"/>
          </w:tcPr>
          <w:p>
            <w:pPr>
              <w:pStyle w:val="232"/>
              <w:keepNext w:val="0"/>
              <w:keepLines w:val="0"/>
              <w:pageBreakBefore w:val="0"/>
              <w:kinsoku/>
              <w:wordWrap/>
              <w:overflowPunct/>
              <w:autoSpaceDN/>
              <w:bidi w:val="0"/>
              <w:adjustRightInd/>
              <w:snapToGrid/>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Align w:val="center"/>
          </w:tcPr>
          <w:p>
            <w:pPr>
              <w:keepNext w:val="0"/>
              <w:keepLines w:val="0"/>
              <w:pageBreakBefore w:val="0"/>
              <w:kinsoku/>
              <w:wordWrap/>
              <w:overflowPunct/>
              <w:autoSpaceDN/>
              <w:bidi w:val="0"/>
              <w:adjustRightInd/>
              <w:snapToGrid/>
              <w:spacing w:line="240" w:lineRule="auto"/>
              <w:ind w:firstLine="0" w:firstLineChars="0"/>
              <w:jc w:val="center"/>
              <w:rPr>
                <w:color w:val="000000" w:themeColor="text1"/>
                <w:sz w:val="21"/>
                <w:szCs w:val="21"/>
                <w14:textFill>
                  <w14:solidFill>
                    <w14:schemeClr w14:val="tx1"/>
                  </w14:solidFill>
                </w14:textFill>
              </w:rPr>
            </w:pPr>
            <w:r>
              <w:rPr>
                <w:sz w:val="21"/>
                <w:szCs w:val="21"/>
              </w:rPr>
              <w:t>《畜禽养殖业污染防治技术政策》环发[2010]151号</w:t>
            </w:r>
          </w:p>
        </w:tc>
        <w:tc>
          <w:tcPr>
            <w:tcW w:w="2130" w:type="pct"/>
            <w:vAlign w:val="center"/>
          </w:tcPr>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一、总则</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畜禽养殖污染防治应遵循以下技术原则：</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1）全面规划、合理布局，贯彻执行当地人民政府颁布的畜禽养殖区划，严格遵守“禁养区”和“限养区”的规定，已有的畜禽养殖场（小区）应限期搬迁；结合当地城乡总体规划、环境保护规划和畜牧业发展规划，做好畜禽养殖污染防治规划，优化规模化畜禽养殖场（小区）及其污染防治设施的布局，避开饮用水水源地等环境敏感区域。</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（2）发展清洁养殖，重视圈舍结构、粪污清理、饲料配比等环节的环境保护要求；注重在养殖过程中降低资源耗损和污染负荷，实现源头减排；提高末端治理效率，实现稳定达标排放和“近零排放”。</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二、清洁养殖与废弃物收集</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畜禽养殖应严格执行有关国家标准，切实控制饲料组分中重金属、抗生素、生长激素等物质的添加量，保障畜禽养殖废弃物资源化综合利用的环境安全。</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规模化畜禽养殖场排放的粪污应实行固液分离，粪便应与废水分开处理和处置；应逐步推行干清粪方式，最大限度地减少废水的产生和排放，降低废水的污染负荷。</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畜禽粪便、垫料等畜禽养殖废弃物应定期清运，外运畜禽养殖废弃物的贮存、运输器具应采取可靠的密闭、防泄漏等卫生、环保措施；临时储存畜禽养殖废弃物，应设置专用堆场，周边应设置围挡，具有可靠的防渗、防漏、防冲刷、防流失等功能。</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三、废弃物无害化处理与综合利用</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畜禽尸体应按照有关卫生防疫规定单独进行妥善处置。染疫畜禽及其排泄物、染疫畜禽产品，病死或者死因不明的畜禽尸体等污染物，应就地进行无害化处理。</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四、畜禽养殖空气污染防治</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规模化畜禽养殖场（小区）应加强恶臭气体净化处理并覆盖所有恶臭发生源，排放的气体应符合国家或地方恶臭污染物排放标准。</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大型规模化畜禽养殖场应针对畜禽养殖废弃物处理与利用过程的关键环节，采取场所密闭、喷洒除臭剂等措施，减少恶臭气体扩散，降低恶臭气体对场区空气质量和周边居民生活的影响。</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五、畜禽养殖二次污染防治</w:t>
            </w:r>
          </w:p>
          <w:p>
            <w:pPr>
              <w:keepNext w:val="0"/>
              <w:keepLines w:val="0"/>
              <w:pageBreakBefore w:val="0"/>
              <w:kinsoku/>
              <w:wordWrap/>
              <w:overflowPunct/>
              <w:autoSpaceDN/>
              <w:bidi w:val="0"/>
              <w:adjustRightInd/>
              <w:snapToGrid/>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养殖场垫料应妥善处置。</w:t>
            </w:r>
          </w:p>
        </w:tc>
        <w:tc>
          <w:tcPr>
            <w:tcW w:w="1836" w:type="pct"/>
            <w:vAlign w:val="center"/>
          </w:tcPr>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一、总则</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（1）项目厂区布局合理，</w:t>
            </w:r>
            <w:r>
              <w:rPr>
                <w:rFonts w:hint="eastAsia"/>
                <w:color w:val="FF0000"/>
                <w:sz w:val="21"/>
                <w:szCs w:val="21"/>
              </w:rPr>
              <w:t>项目建设不在当地的“禁养区”和“限养区”的范围内</w:t>
            </w:r>
            <w:r>
              <w:rPr>
                <w:rFonts w:hint="eastAsia"/>
                <w:sz w:val="21"/>
                <w:szCs w:val="21"/>
              </w:rPr>
              <w:t>，周围无饮用水水源保护区，风景名胜区、自然保护区、城镇居民区、文化教育科学研究区等人口集中区域。</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（2）项目污粪定期清理，合理配置饲料减少恶臭排放；产生的污粪堆肥后还田</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二、清洁养殖与废弃物收集</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项目饲料组分</w:t>
            </w:r>
            <w:r>
              <w:rPr>
                <w:rFonts w:hint="eastAsia"/>
                <w:sz w:val="21"/>
                <w:szCs w:val="21"/>
                <w:lang w:val="en-US" w:eastAsia="zh-CN"/>
              </w:rPr>
              <w:t>不添加</w:t>
            </w:r>
            <w:r>
              <w:rPr>
                <w:rFonts w:hint="eastAsia"/>
                <w:sz w:val="21"/>
                <w:szCs w:val="21"/>
              </w:rPr>
              <w:t>重金属、抗生素、生长激素等物质的添加量，</w:t>
            </w:r>
            <w:r>
              <w:rPr>
                <w:rFonts w:hint="eastAsia"/>
                <w:sz w:val="21"/>
                <w:szCs w:val="21"/>
                <w:lang w:val="en-US" w:eastAsia="zh-CN"/>
              </w:rPr>
              <w:t>能够</w:t>
            </w:r>
            <w:r>
              <w:rPr>
                <w:rFonts w:hint="eastAsia"/>
                <w:sz w:val="21"/>
                <w:szCs w:val="21"/>
              </w:rPr>
              <w:t>保障畜禽养殖废弃物资源化综合利用的环境安全。</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项目采用干清粪方式无养殖废水排放。</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羊舍粪便、垫料等废弃物定期清运有机</w:t>
            </w:r>
            <w:r>
              <w:rPr>
                <w:rFonts w:hint="eastAsia"/>
                <w:sz w:val="21"/>
                <w:szCs w:val="21"/>
                <w:lang w:eastAsia="zh-CN"/>
              </w:rPr>
              <w:t>有机肥堆场</w:t>
            </w:r>
            <w:r>
              <w:rPr>
                <w:rFonts w:hint="eastAsia"/>
                <w:sz w:val="21"/>
                <w:szCs w:val="21"/>
              </w:rPr>
              <w:t>进行堆肥处理，有机</w:t>
            </w:r>
            <w:r>
              <w:rPr>
                <w:rFonts w:hint="eastAsia"/>
                <w:sz w:val="21"/>
                <w:szCs w:val="21"/>
                <w:lang w:eastAsia="zh-CN"/>
              </w:rPr>
              <w:t>有机肥堆场</w:t>
            </w:r>
            <w:r>
              <w:rPr>
                <w:rFonts w:hint="eastAsia"/>
                <w:sz w:val="21"/>
                <w:szCs w:val="21"/>
              </w:rPr>
              <w:t>做地面防渗。</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三、废弃物无害化处理与综合利用</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项目产生的羊尸体、染疫羊及其排泄物，病死或者死因不明的畜禽尸按照防疫部门要求在当地要求下运至制定地点统一处置。项目产生的医疗废物存储于符合</w:t>
            </w:r>
            <w:r>
              <w:rPr>
                <w:rFonts w:hint="eastAsia"/>
                <w:color w:val="FF0000"/>
                <w:sz w:val="21"/>
                <w:szCs w:val="21"/>
              </w:rPr>
              <w:t>GB18597-20</w:t>
            </w:r>
            <w:r>
              <w:rPr>
                <w:rFonts w:hint="eastAsia"/>
                <w:color w:val="FF0000"/>
                <w:sz w:val="21"/>
                <w:szCs w:val="21"/>
                <w:lang w:val="en-US" w:eastAsia="zh-CN"/>
              </w:rPr>
              <w:t>23</w:t>
            </w:r>
            <w:r>
              <w:rPr>
                <w:rFonts w:hint="eastAsia"/>
                <w:sz w:val="21"/>
                <w:szCs w:val="21"/>
              </w:rPr>
              <w:t>的</w:t>
            </w:r>
            <w:r>
              <w:rPr>
                <w:rFonts w:hint="eastAsia"/>
                <w:color w:val="FF0000"/>
                <w:sz w:val="21"/>
                <w:szCs w:val="21"/>
                <w:lang w:val="en-US" w:eastAsia="zh-CN"/>
              </w:rPr>
              <w:t>医疗</w:t>
            </w:r>
            <w:r>
              <w:rPr>
                <w:rFonts w:hint="eastAsia"/>
                <w:color w:val="FF0000"/>
                <w:sz w:val="21"/>
                <w:szCs w:val="21"/>
              </w:rPr>
              <w:t>废物暂存间</w:t>
            </w:r>
            <w:r>
              <w:rPr>
                <w:rFonts w:hint="eastAsia"/>
                <w:sz w:val="21"/>
                <w:szCs w:val="21"/>
              </w:rPr>
              <w:t>定期由建设单位委托有资质单位处理。</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四、畜禽养殖空气污染防治</w:t>
            </w:r>
          </w:p>
          <w:p>
            <w:pPr>
              <w:keepNext w:val="0"/>
              <w:keepLines w:val="0"/>
              <w:pageBreakBefore w:val="0"/>
              <w:kinsoku/>
              <w:wordWrap/>
              <w:overflowPunct/>
              <w:autoSpaceDN/>
              <w:bidi w:val="0"/>
              <w:adjustRightInd/>
              <w:snapToGrid/>
              <w:spacing w:line="240" w:lineRule="auto"/>
              <w:ind w:firstLine="0" w:firstLineChars="0"/>
              <w:jc w:val="center"/>
              <w:rPr>
                <w:sz w:val="21"/>
                <w:szCs w:val="21"/>
              </w:rPr>
            </w:pPr>
            <w:r>
              <w:rPr>
                <w:rFonts w:hint="eastAsia"/>
                <w:sz w:val="21"/>
                <w:szCs w:val="21"/>
              </w:rPr>
              <w:t>项目</w:t>
            </w:r>
            <w:r>
              <w:rPr>
                <w:sz w:val="21"/>
                <w:szCs w:val="21"/>
              </w:rPr>
              <w:t>选用益生菌配方饲料、向舍内投（铺）放吸附剂减少臭气的散发、羊舍采用干清粪、及时清理、加强羊舍通风</w:t>
            </w:r>
            <w:r>
              <w:rPr>
                <w:rFonts w:hint="eastAsia"/>
                <w:sz w:val="21"/>
                <w:szCs w:val="21"/>
              </w:rPr>
              <w:t>减少臭气排放，臭气排放可符合</w:t>
            </w:r>
            <w:r>
              <w:rPr>
                <w:sz w:val="21"/>
                <w:szCs w:val="21"/>
              </w:rPr>
              <w:t>GB14554-93</w:t>
            </w:r>
            <w:r>
              <w:rPr>
                <w:rFonts w:hint="eastAsia"/>
                <w:sz w:val="21"/>
                <w:szCs w:val="21"/>
              </w:rPr>
              <w:t>。</w:t>
            </w:r>
          </w:p>
          <w:p>
            <w:pPr>
              <w:keepNext w:val="0"/>
              <w:keepLines w:val="0"/>
              <w:pageBreakBefore w:val="0"/>
              <w:kinsoku/>
              <w:wordWrap/>
              <w:overflowPunct/>
              <w:autoSpaceDN/>
              <w:bidi w:val="0"/>
              <w:adjustRightInd/>
              <w:snapToGrid/>
              <w:spacing w:line="240" w:lineRule="auto"/>
              <w:ind w:firstLine="0" w:firstLineChars="0"/>
              <w:jc w:val="center"/>
              <w:rPr>
                <w:color w:val="000000" w:themeColor="text1"/>
                <w:sz w:val="21"/>
                <w:szCs w:val="21"/>
                <w14:textFill>
                  <w14:solidFill>
                    <w14:schemeClr w14:val="tx1"/>
                  </w14:solidFill>
                </w14:textFill>
              </w:rPr>
            </w:pPr>
          </w:p>
        </w:tc>
        <w:tc>
          <w:tcPr>
            <w:tcW w:w="393" w:type="pct"/>
            <w:vAlign w:val="center"/>
          </w:tcPr>
          <w:p>
            <w:pPr>
              <w:keepNext w:val="0"/>
              <w:keepLines w:val="0"/>
              <w:pageBreakBefore w:val="0"/>
              <w:kinsoku/>
              <w:wordWrap/>
              <w:overflowPunct/>
              <w:autoSpaceDN/>
              <w:bidi w:val="0"/>
              <w:adjustRightInd/>
              <w:snapToGrid/>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sz w:val="21"/>
                <w:szCs w:val="21"/>
              </w:rPr>
              <w:t>《关于进一步加强病死畜禽无害化处理工作的通知》农牧发</w:t>
            </w:r>
            <w:r>
              <w:rPr>
                <w:rFonts w:hint="eastAsia"/>
                <w:sz w:val="21"/>
                <w:szCs w:val="21"/>
              </w:rPr>
              <w:t>[</w:t>
            </w:r>
            <w:r>
              <w:rPr>
                <w:sz w:val="21"/>
                <w:szCs w:val="21"/>
              </w:rPr>
              <w:t>2020</w:t>
            </w:r>
            <w:r>
              <w:rPr>
                <w:rFonts w:hint="eastAsia"/>
                <w:sz w:val="21"/>
                <w:szCs w:val="21"/>
              </w:rPr>
              <w:t>]</w:t>
            </w:r>
            <w:r>
              <w:rPr>
                <w:sz w:val="21"/>
                <w:szCs w:val="21"/>
              </w:rPr>
              <w:t>6号</w:t>
            </w:r>
          </w:p>
        </w:tc>
        <w:tc>
          <w:tcPr>
            <w:tcW w:w="2130"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rFonts w:hint="eastAsia"/>
                <w:sz w:val="21"/>
                <w:szCs w:val="21"/>
              </w:rPr>
              <w:t>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1836"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rFonts w:hint="eastAsia"/>
                <w:sz w:val="21"/>
                <w:szCs w:val="21"/>
              </w:rPr>
            </w:pPr>
            <w:r>
              <w:rPr>
                <w:rFonts w:ascii="宋体" w:cs="宋体"/>
                <w:color w:val="000000" w:themeColor="text1"/>
                <w:kern w:val="0"/>
                <w:sz w:val="21"/>
                <w:szCs w:val="21"/>
                <w14:textFill>
                  <w14:solidFill>
                    <w14:schemeClr w14:val="tx1"/>
                  </w14:solidFill>
                </w14:textFill>
              </w:rPr>
              <w:t>本项目</w:t>
            </w:r>
            <w:r>
              <w:rPr>
                <w:rFonts w:hint="eastAsia" w:ascii="宋体" w:cs="宋体"/>
                <w:color w:val="000000" w:themeColor="text1"/>
                <w:kern w:val="0"/>
                <w:sz w:val="21"/>
                <w:szCs w:val="21"/>
                <w14:textFill>
                  <w14:solidFill>
                    <w14:schemeClr w14:val="tx1"/>
                  </w14:solidFill>
                </w14:textFill>
              </w:rPr>
              <w:t>产生的</w:t>
            </w:r>
            <w:r>
              <w:rPr>
                <w:rFonts w:ascii="宋体" w:cs="宋体"/>
                <w:color w:val="000000" w:themeColor="text1"/>
                <w:kern w:val="0"/>
                <w:sz w:val="21"/>
                <w:szCs w:val="21"/>
                <w14:textFill>
                  <w14:solidFill>
                    <w14:schemeClr w14:val="tx1"/>
                  </w14:solidFill>
                </w14:textFill>
              </w:rPr>
              <w:t>病死</w:t>
            </w:r>
            <w:r>
              <w:rPr>
                <w:rFonts w:hint="eastAsia" w:ascii="宋体" w:cs="宋体"/>
                <w:color w:val="000000" w:themeColor="text1"/>
                <w:kern w:val="0"/>
                <w:sz w:val="21"/>
                <w:szCs w:val="21"/>
                <w14:textFill>
                  <w14:solidFill>
                    <w14:schemeClr w14:val="tx1"/>
                  </w14:solidFill>
                </w14:textFill>
              </w:rPr>
              <w:t>动物</w:t>
            </w:r>
            <w:r>
              <w:rPr>
                <w:rFonts w:ascii="宋体" w:cs="宋体"/>
                <w:color w:val="000000" w:themeColor="text1"/>
                <w:kern w:val="0"/>
                <w:sz w:val="21"/>
                <w:szCs w:val="21"/>
                <w14:textFill>
                  <w14:solidFill>
                    <w14:schemeClr w14:val="tx1"/>
                  </w14:solidFill>
                </w14:textFill>
              </w:rPr>
              <w:t>尸体</w:t>
            </w:r>
            <w:r>
              <w:rPr>
                <w:rFonts w:hint="eastAsia" w:ascii="宋体" w:cs="宋体"/>
                <w:color w:val="000000" w:themeColor="text1"/>
                <w:kern w:val="0"/>
                <w:sz w:val="21"/>
                <w:szCs w:val="21"/>
                <w14:textFill>
                  <w14:solidFill>
                    <w14:schemeClr w14:val="tx1"/>
                  </w14:solidFill>
                </w14:textFill>
              </w:rPr>
              <w:t>进行无害化处理后残渣用于有机肥生产</w:t>
            </w:r>
          </w:p>
          <w:p>
            <w:pPr>
              <w:keepNext w:val="0"/>
              <w:keepLines w:val="0"/>
              <w:pageBreakBefore w:val="0"/>
              <w:widowControl/>
              <w:kinsoku/>
              <w:wordWrap/>
              <w:overflowPunct/>
              <w:autoSpaceDN/>
              <w:bidi w:val="0"/>
              <w:adjustRightInd/>
              <w:snapToGrid/>
              <w:spacing w:line="240" w:lineRule="auto"/>
              <w:ind w:firstLine="0" w:firstLineChars="0"/>
              <w:jc w:val="center"/>
              <w:rPr>
                <w:color w:val="000000" w:themeColor="text1"/>
                <w:sz w:val="21"/>
                <w:szCs w:val="21"/>
                <w14:textFill>
                  <w14:solidFill>
                    <w14:schemeClr w14:val="tx1"/>
                  </w14:solidFill>
                </w14:textFill>
              </w:rPr>
            </w:pPr>
          </w:p>
        </w:tc>
        <w:tc>
          <w:tcPr>
            <w:tcW w:w="393"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rFonts w:hint="eastAsia"/>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sz w:val="21"/>
                <w:szCs w:val="21"/>
              </w:rPr>
              <w:t>《关于进一步明确畜禽粪污还田利用要求强化养殖污染监管的通知》（农办牧</w:t>
            </w:r>
            <w:r>
              <w:rPr>
                <w:rFonts w:hint="eastAsia"/>
                <w:sz w:val="21"/>
                <w:szCs w:val="21"/>
              </w:rPr>
              <w:t>[</w:t>
            </w:r>
            <w:r>
              <w:rPr>
                <w:sz w:val="21"/>
                <w:szCs w:val="21"/>
              </w:rPr>
              <w:t>2020</w:t>
            </w:r>
            <w:r>
              <w:rPr>
                <w:rFonts w:hint="eastAsia"/>
                <w:sz w:val="21"/>
                <w:szCs w:val="21"/>
              </w:rPr>
              <w:t>]</w:t>
            </w:r>
            <w:r>
              <w:rPr>
                <w:sz w:val="21"/>
                <w:szCs w:val="21"/>
              </w:rPr>
              <w:t>23号）</w:t>
            </w:r>
          </w:p>
        </w:tc>
        <w:tc>
          <w:tcPr>
            <w:tcW w:w="2130"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rFonts w:hint="eastAsia"/>
                <w:sz w:val="21"/>
                <w:szCs w:val="21"/>
              </w:rPr>
              <w:t>养殖场户应当切实履行粪污利用和污染防治主体责任，采取措施，对畜禽粪污进行科学处理和资源化利用，防止污染环境。从事畜禽规模养殖要严格落实《中华人民共和国固体废物污染环境防治法》《中华人民共和国水污染防治法》《畜禽规模养殖污染防治条例》要求，建设粪污无害化处理和资源化利用设施并确保其正常运行，或委托第三方代为实现粪污无害化处理和资源化利用。</w:t>
            </w:r>
          </w:p>
        </w:tc>
        <w:tc>
          <w:tcPr>
            <w:tcW w:w="1836"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rFonts w:hint="eastAsia"/>
                <w:sz w:val="21"/>
                <w:szCs w:val="21"/>
              </w:rPr>
              <w:t>项目配套</w:t>
            </w:r>
            <w:r>
              <w:rPr>
                <w:rFonts w:hint="eastAsia"/>
                <w:sz w:val="21"/>
                <w:szCs w:val="21"/>
                <w:highlight w:val="yellow"/>
              </w:rPr>
              <w:t>有机</w:t>
            </w:r>
            <w:r>
              <w:rPr>
                <w:rFonts w:hint="eastAsia"/>
                <w:sz w:val="21"/>
                <w:szCs w:val="21"/>
                <w:highlight w:val="yellow"/>
                <w:lang w:eastAsia="zh-CN"/>
              </w:rPr>
              <w:t>有机肥堆场</w:t>
            </w:r>
            <w:r>
              <w:rPr>
                <w:rFonts w:hint="eastAsia"/>
                <w:sz w:val="21"/>
                <w:szCs w:val="21"/>
              </w:rPr>
              <w:t>，污粪经过有机堆肥处理</w:t>
            </w:r>
            <w:r>
              <w:rPr>
                <w:rFonts w:hint="eastAsia"/>
                <w:sz w:val="21"/>
                <w:szCs w:val="21"/>
                <w:lang w:val="en-US" w:eastAsia="zh-CN"/>
              </w:rPr>
              <w:t>后还田</w:t>
            </w:r>
            <w:r>
              <w:rPr>
                <w:rFonts w:hint="eastAsia"/>
                <w:sz w:val="21"/>
                <w:szCs w:val="21"/>
              </w:rPr>
              <w:t>。</w:t>
            </w:r>
          </w:p>
        </w:tc>
        <w:tc>
          <w:tcPr>
            <w:tcW w:w="393" w:type="pct"/>
            <w:vAlign w:val="center"/>
          </w:tcPr>
          <w:p>
            <w:pPr>
              <w:keepNext w:val="0"/>
              <w:keepLines w:val="0"/>
              <w:pageBreakBefore w:val="0"/>
              <w:widowControl/>
              <w:kinsoku/>
              <w:wordWrap/>
              <w:overflowPunct/>
              <w:autoSpaceDN/>
              <w:bidi w:val="0"/>
              <w:adjustRightInd/>
              <w:snapToGrid/>
              <w:spacing w:line="240" w:lineRule="auto"/>
              <w:ind w:firstLine="0" w:firstLineChars="0"/>
              <w:jc w:val="center"/>
              <w:rPr>
                <w:sz w:val="21"/>
                <w:szCs w:val="21"/>
              </w:rPr>
            </w:pPr>
            <w:r>
              <w:rPr>
                <w:rFonts w:hint="eastAsia"/>
                <w:sz w:val="21"/>
                <w:szCs w:val="21"/>
              </w:rPr>
              <w:t>符合</w:t>
            </w:r>
          </w:p>
        </w:tc>
      </w:tr>
    </w:tbl>
    <w:p>
      <w:pPr>
        <w:spacing w:line="500" w:lineRule="exact"/>
        <w:ind w:firstLine="480"/>
        <w:rPr>
          <w:color w:val="000000" w:themeColor="text1"/>
          <w14:textFill>
            <w14:solidFill>
              <w14:schemeClr w14:val="tx1"/>
            </w14:solidFill>
          </w14:textFill>
        </w:rPr>
        <w:sectPr>
          <w:pgSz w:w="16838" w:h="11906" w:orient="landscape"/>
          <w:pgMar w:top="1797" w:right="1440" w:bottom="1797" w:left="1440" w:header="851" w:footer="992" w:gutter="0"/>
          <w:pgNumType w:fmt="decimal"/>
          <w:cols w:space="425" w:num="1"/>
          <w:docGrid w:linePitch="312" w:charSpace="0"/>
        </w:sectPr>
      </w:pPr>
    </w:p>
    <w:p>
      <w:pPr>
        <w:pStyle w:val="4"/>
      </w:pPr>
      <w:bookmarkStart w:id="18" w:name="_Toc24447049"/>
      <w:r>
        <w:rPr>
          <w:rFonts w:hint="eastAsia"/>
        </w:rPr>
        <w:t>选址合理性分析</w:t>
      </w:r>
      <w:bookmarkEnd w:id="18"/>
    </w:p>
    <w:p>
      <w:pPr>
        <w:pStyle w:val="5"/>
      </w:pPr>
      <w:r>
        <w:rPr>
          <w:rFonts w:hint="eastAsia"/>
        </w:rPr>
        <w:t>用地符合性分析</w:t>
      </w:r>
    </w:p>
    <w:p>
      <w:pPr>
        <w:bidi w:val="0"/>
      </w:pPr>
      <w:r>
        <w:rPr>
          <w:rFonts w:hint="eastAsia"/>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pPr>
        <w:bidi w:val="0"/>
      </w:pPr>
      <w:r>
        <w:rPr>
          <w:rFonts w:hint="eastAsia"/>
        </w:rPr>
        <w:t>根据自然资源部、农业农村部《关于设施农业用地管理有关问题的通知》（自然资规〔2019〕4号）“设施农业用地包括农业生产中直接用于作物种植和畜禽水产养殖的设施用地。畜禽水产养殖设施用地包括养殖生产及直接关联的粪污处置、检验检疫等设施用地，不包括屠宰和肉类加工场所用地等。”。</w:t>
      </w:r>
    </w:p>
    <w:p>
      <w:pPr>
        <w:bidi w:val="0"/>
        <w:rPr>
          <w:rFonts w:hint="eastAsia"/>
          <w:lang w:eastAsia="zh-CN"/>
        </w:rPr>
      </w:pPr>
      <w:r>
        <w:rPr>
          <w:rFonts w:hint="eastAsia"/>
        </w:rPr>
        <w:t>本项目选址于巴彦淖尔市五原县塔尔湖镇胜丰八社，</w:t>
      </w:r>
      <w:bookmarkStart w:id="19" w:name="_Hlk88412858"/>
      <w:r>
        <w:rPr>
          <w:rFonts w:hint="eastAsia"/>
        </w:rPr>
        <w:t>项目</w:t>
      </w:r>
      <w:bookmarkEnd w:id="19"/>
      <w:r>
        <w:rPr>
          <w:rFonts w:hint="eastAsia"/>
        </w:rPr>
        <w:t>已完成设施农用地的备案工作，见附件三、四，土地性质为设施农业用地，根据《五原县自然资源局关于内蒙古春园满循环农业科技有限公司养殖用地项目选址初审意见》（2023年5月6日，见附件三）</w:t>
      </w:r>
      <w:r>
        <w:rPr>
          <w:rFonts w:hint="eastAsia"/>
          <w:lang w:eastAsia="zh-CN"/>
        </w:rPr>
        <w:t>。</w:t>
      </w:r>
    </w:p>
    <w:p>
      <w:pPr>
        <w:bidi w:val="0"/>
        <w:rPr>
          <w:rFonts w:hint="eastAsia"/>
          <w:color w:val="FF0000"/>
          <w:lang w:val="en-US" w:eastAsia="zh-CN"/>
        </w:rPr>
      </w:pPr>
      <w:r>
        <w:rPr>
          <w:rFonts w:hint="eastAsia"/>
          <w:color w:val="FF0000"/>
          <w:lang w:val="en-US" w:eastAsia="zh-CN"/>
        </w:rPr>
        <w:t>根据《</w:t>
      </w:r>
      <w:r>
        <w:rPr>
          <w:rFonts w:hint="eastAsia"/>
          <w:color w:val="FF0000"/>
        </w:rPr>
        <w:t>内蒙古春园满循环农业科技有限公司养殖用地项目土地勘测定界技术说明</w:t>
      </w:r>
      <w:r>
        <w:rPr>
          <w:rFonts w:hint="eastAsia"/>
          <w:color w:val="FF0000"/>
          <w:lang w:val="en-US" w:eastAsia="zh-CN"/>
        </w:rPr>
        <w:t>》中依据第三次全国国土调查数据可知，</w:t>
      </w:r>
      <w:r>
        <w:rPr>
          <w:rFonts w:hint="eastAsia"/>
          <w:color w:val="FF0000"/>
        </w:rPr>
        <w:t>该项目土地利用现状为农村道路、沟渠、盐碱地、其他草地及林地，项目不占用基本农田，符合用地要求。</w:t>
      </w:r>
      <w:r>
        <w:rPr>
          <w:rFonts w:hint="eastAsia"/>
          <w:color w:val="FF0000"/>
          <w:lang w:val="en-US" w:eastAsia="zh-CN"/>
        </w:rPr>
        <w:t>具体见表1.3.6-1和图1.3.6-2~图1.3.6-3。</w:t>
      </w:r>
    </w:p>
    <w:p>
      <w:pPr>
        <w:pStyle w:val="6"/>
        <w:bidi w:val="0"/>
        <w:rPr>
          <w:rFonts w:hint="eastAsia"/>
          <w:color w:val="FF0000"/>
          <w:lang w:val="en-US" w:eastAsia="zh-CN"/>
        </w:rPr>
      </w:pPr>
      <w:r>
        <w:rPr>
          <w:rFonts w:hint="eastAsia"/>
          <w:color w:val="FF0000"/>
          <w:lang w:val="en-US" w:eastAsia="zh-CN"/>
        </w:rPr>
        <w:t>表1.3.6-1  项目地类分析表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1545"/>
        <w:gridCol w:w="2152"/>
        <w:gridCol w:w="1716"/>
        <w:gridCol w:w="1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项目</w:t>
            </w:r>
          </w:p>
        </w:tc>
        <w:tc>
          <w:tcPr>
            <w:tcW w:w="712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地类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一级</w:t>
            </w:r>
          </w:p>
        </w:tc>
        <w:tc>
          <w:tcPr>
            <w:tcW w:w="369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FF0000"/>
                <w:sz w:val="21"/>
                <w:szCs w:val="21"/>
                <w:lang w:val="en-US" w:eastAsia="zh-CN"/>
              </w:rPr>
            </w:pPr>
            <w:r>
              <w:rPr>
                <w:rFonts w:hint="eastAsia" w:ascii="宋体" w:hAnsi="宋体"/>
                <w:color w:val="FF0000"/>
                <w:sz w:val="21"/>
                <w:szCs w:val="21"/>
                <w:lang w:val="en-US" w:eastAsia="zh-CN"/>
              </w:rPr>
              <w:t>农用地</w:t>
            </w:r>
          </w:p>
        </w:tc>
        <w:tc>
          <w:tcPr>
            <w:tcW w:w="343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宋体"/>
                <w:color w:val="FF0000"/>
                <w:sz w:val="21"/>
                <w:szCs w:val="21"/>
              </w:rPr>
            </w:pPr>
            <w:r>
              <w:rPr>
                <w:rFonts w:hint="eastAsia"/>
                <w:color w:val="FF0000"/>
                <w:sz w:val="21"/>
                <w:szCs w:val="21"/>
                <w:vertAlign w:val="baseline"/>
                <w:lang w:val="en-US" w:eastAsia="zh-CN"/>
              </w:rPr>
              <w:t>未利用地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二级</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s="宋体"/>
                <w:color w:val="FF0000"/>
                <w:sz w:val="21"/>
                <w:szCs w:val="21"/>
              </w:rPr>
              <w:t>交通运输用地</w:t>
            </w:r>
          </w:p>
        </w:tc>
        <w:tc>
          <w:tcPr>
            <w:tcW w:w="215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ascii="宋体" w:hAnsi="宋体"/>
                <w:color w:val="FF0000"/>
                <w:sz w:val="21"/>
                <w:szCs w:val="21"/>
              </w:rPr>
              <w:t>水域及水利设施用地</w:t>
            </w:r>
          </w:p>
        </w:tc>
        <w:tc>
          <w:tcPr>
            <w:tcW w:w="171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s="宋体"/>
                <w:color w:val="FF0000"/>
                <w:sz w:val="21"/>
                <w:szCs w:val="21"/>
              </w:rPr>
              <w:t>其他土地</w:t>
            </w:r>
          </w:p>
        </w:tc>
        <w:tc>
          <w:tcPr>
            <w:tcW w:w="171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s="宋体"/>
                <w:color w:val="FF0000"/>
                <w:sz w:val="21"/>
                <w:szCs w:val="21"/>
              </w:rPr>
              <w:t>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三级</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FF0000"/>
                <w:sz w:val="21"/>
                <w:szCs w:val="21"/>
                <w:vertAlign w:val="baseline"/>
                <w:lang w:val="en-US" w:eastAsia="zh-CN"/>
              </w:rPr>
            </w:pPr>
            <w:r>
              <w:rPr>
                <w:rFonts w:hint="eastAsia"/>
                <w:color w:val="FF0000"/>
                <w:sz w:val="21"/>
                <w:szCs w:val="21"/>
                <w:vertAlign w:val="baseline"/>
                <w:lang w:val="en-US" w:eastAsia="zh-CN"/>
              </w:rPr>
              <w:t>农村道路</w:t>
            </w:r>
          </w:p>
        </w:tc>
        <w:tc>
          <w:tcPr>
            <w:tcW w:w="215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沟渠</w:t>
            </w:r>
          </w:p>
        </w:tc>
        <w:tc>
          <w:tcPr>
            <w:tcW w:w="171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s="宋体"/>
                <w:color w:val="FF0000"/>
                <w:sz w:val="21"/>
                <w:szCs w:val="21"/>
              </w:rPr>
              <w:t>盐碱地</w:t>
            </w:r>
          </w:p>
        </w:tc>
        <w:tc>
          <w:tcPr>
            <w:tcW w:w="171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s="宋体"/>
                <w:color w:val="FF0000"/>
                <w:sz w:val="21"/>
                <w:szCs w:val="21"/>
              </w:rPr>
              <w:t>其他草地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面积</w:t>
            </w:r>
          </w:p>
        </w:tc>
        <w:tc>
          <w:tcPr>
            <w:tcW w:w="154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24606.93</w:t>
            </w:r>
          </w:p>
        </w:tc>
        <w:tc>
          <w:tcPr>
            <w:tcW w:w="215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25308.41</w:t>
            </w:r>
          </w:p>
        </w:tc>
        <w:tc>
          <w:tcPr>
            <w:tcW w:w="171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820053.28</w:t>
            </w:r>
          </w:p>
        </w:tc>
        <w:tc>
          <w:tcPr>
            <w:tcW w:w="171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299168.44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小计</w:t>
            </w:r>
          </w:p>
        </w:tc>
        <w:tc>
          <w:tcPr>
            <w:tcW w:w="369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49915.34</w:t>
            </w:r>
          </w:p>
        </w:tc>
        <w:tc>
          <w:tcPr>
            <w:tcW w:w="343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1119221.72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合计</w:t>
            </w:r>
          </w:p>
        </w:tc>
        <w:tc>
          <w:tcPr>
            <w:tcW w:w="712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rPr>
              <w:t>1169137.06</w:t>
            </w:r>
          </w:p>
        </w:tc>
      </w:tr>
    </w:tbl>
    <w:p>
      <w:pPr>
        <w:rPr>
          <w:rFonts w:hint="default"/>
          <w:lang w:val="en-US" w:eastAsia="zh-CN"/>
        </w:rPr>
        <w:sectPr>
          <w:pgSz w:w="11906" w:h="16838"/>
          <w:pgMar w:top="1440" w:right="1797" w:bottom="1440" w:left="1797" w:header="851" w:footer="992" w:gutter="0"/>
          <w:pgNumType w:fmt="decimal"/>
          <w:cols w:space="425" w:num="1"/>
          <w:docGrid w:linePitch="312" w:charSpace="0"/>
        </w:sectPr>
      </w:pPr>
    </w:p>
    <w:p>
      <w:pPr>
        <w:rPr>
          <w:rFonts w:hint="default"/>
          <w:lang w:val="en-US" w:eastAsia="zh-CN"/>
        </w:rPr>
        <w:sectPr>
          <w:pgSz w:w="16838" w:h="11906" w:orient="landscape"/>
          <w:pgMar w:top="1797" w:right="1440" w:bottom="1797" w:left="1440" w:header="851" w:footer="992" w:gutter="0"/>
          <w:pgNumType w:fmt="decimal"/>
          <w:cols w:space="0" w:num="1"/>
          <w:rtlGutter w:val="0"/>
          <w:docGrid w:linePitch="312" w:charSpace="0"/>
        </w:sectPr>
      </w:pPr>
      <w:r>
        <w:rPr>
          <w:rFonts w:hint="eastAsia" w:eastAsia="宋体"/>
          <w:lang w:eastAsia="zh-CN"/>
        </w:rPr>
        <w:drawing>
          <wp:inline distT="0" distB="0" distL="114300" distR="114300">
            <wp:extent cx="7703820" cy="5278755"/>
            <wp:effectExtent l="0" t="0" r="11430" b="17145"/>
            <wp:docPr id="21" name="图片 21" descr="2021年变更调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021年变更调查"/>
                    <pic:cNvPicPr>
                      <a:picLocks noChangeAspect="1"/>
                    </pic:cNvPicPr>
                  </pic:nvPicPr>
                  <pic:blipFill>
                    <a:blip r:embed="rId26"/>
                    <a:srcRect t="3096"/>
                    <a:stretch>
                      <a:fillRect/>
                    </a:stretch>
                  </pic:blipFill>
                  <pic:spPr>
                    <a:xfrm>
                      <a:off x="0" y="0"/>
                      <a:ext cx="7703820" cy="5278755"/>
                    </a:xfrm>
                    <a:prstGeom prst="rect">
                      <a:avLst/>
                    </a:prstGeom>
                  </pic:spPr>
                </pic:pic>
              </a:graphicData>
            </a:graphic>
          </wp:inline>
        </w:drawing>
      </w:r>
      <w:r>
        <w:rPr>
          <w:sz w:val="21"/>
        </w:rPr>
        <mc:AlternateContent>
          <mc:Choice Requires="wps">
            <w:drawing>
              <wp:anchor distT="0" distB="0" distL="114300" distR="114300" simplePos="0" relativeHeight="251697152" behindDoc="0" locked="0" layoutInCell="1" allowOverlap="1">
                <wp:simplePos x="0" y="0"/>
                <wp:positionH relativeFrom="column">
                  <wp:posOffset>2221230</wp:posOffset>
                </wp:positionH>
                <wp:positionV relativeFrom="paragraph">
                  <wp:posOffset>4274185</wp:posOffset>
                </wp:positionV>
                <wp:extent cx="3905250" cy="333375"/>
                <wp:effectExtent l="0" t="0" r="0" b="9525"/>
                <wp:wrapNone/>
                <wp:docPr id="91" name="文本框 91"/>
                <wp:cNvGraphicFramePr/>
                <a:graphic xmlns:a="http://schemas.openxmlformats.org/drawingml/2006/main">
                  <a:graphicData uri="http://schemas.microsoft.com/office/word/2010/wordprocessingShape">
                    <wps:wsp>
                      <wps:cNvSpPr txBox="1"/>
                      <wps:spPr>
                        <a:xfrm>
                          <a:off x="0" y="0"/>
                          <a:ext cx="3905250" cy="333375"/>
                        </a:xfrm>
                        <a:prstGeom prst="rect">
                          <a:avLst/>
                        </a:prstGeom>
                        <a:solidFill>
                          <a:srgbClr val="F9FBF8"/>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6"/>
                              <w:bidi w:val="0"/>
                            </w:pPr>
                            <w:r>
                              <w:rPr>
                                <w:rFonts w:hint="eastAsia"/>
                              </w:rPr>
                              <w:t>图</w:t>
                            </w:r>
                            <w:r>
                              <w:rPr>
                                <w:rFonts w:hint="eastAsia"/>
                                <w:lang w:val="en-US" w:eastAsia="zh-CN"/>
                              </w:rPr>
                              <w:t>1.3.6-1</w:t>
                            </w:r>
                            <w:r>
                              <w:rPr>
                                <w:rFonts w:hint="eastAsia"/>
                              </w:rPr>
                              <w:t xml:space="preserve">  本项目</w:t>
                            </w:r>
                            <w:r>
                              <w:rPr>
                                <w:rFonts w:hint="eastAsia"/>
                                <w:lang w:val="en-US" w:eastAsia="zh-CN"/>
                              </w:rPr>
                              <w:t>周边土地类型</w:t>
                            </w:r>
                            <w:r>
                              <w:rPr>
                                <w:rFonts w:hint="eastAsia"/>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4.9pt;margin-top:336.55pt;height:26.25pt;width:307.5pt;z-index:251697152;mso-width-relative:page;mso-height-relative:page;" fillcolor="#F9FBF8" filled="t" stroked="f" coordsize="21600,21600" o:gfxdata="UEsDBAoAAAAAAIdO4kAAAAAAAAAAAAAAAAAEAAAAZHJzL1BLAwQUAAAACACHTuJAdnnQytoAAAAL&#10;AQAADwAAAGRycy9kb3ducmV2LnhtbE2PzU7DMBCE70i8g7VI3Kjtpk1JiFOJSnCG0Kri5sYmjojX&#10;Uez+vT3LCY47O5r5plpf/MBOdop9QAVyJoBZbIPpsVOw/Xh5eAQWk0ajh4BWwdVGWNe3N5UuTTjj&#10;uz01qWMUgrHUClxKY8l5bJ31Os7CaJF+X2HyOtE5ddxM+kzhfuBzIXLudY/U4PRoN862383RK1ju&#10;ttNOirfnTfbatHtZoPu87pW6v5PiCViyl/Rnhl98QoeamA7hiCayQUG2KAg9KchXmQRGjiJfkHJQ&#10;sJovc+B1xf9vqH8AUEsDBBQAAAAIAIdO4kDn0m+iUgIAAJEEAAAOAAAAZHJzL2Uyb0RvYy54bWyt&#10;VM1uEzEQviPxDpbvdJO0aZsomyptFYRU0UoFcXa83qwl/2E72S0PAG/AiQt3nivPwefdTRsKhx7I&#10;wRnPjL+Z+WZmZxeNVmQrfJDW5HR4NKBEGG4LadY5/fhh+eackhCZKZiyRuT0QQR6MX/9ala7qRjZ&#10;yqpCeAIQE6a1y2kVo5tmWeCV0CwcWScMjKX1mkVc/TorPKuBrlU2GgxOs9r6wnnLRQjQXndG2iP6&#10;lwDaspRcXFu+0cLEDtULxSJKCpV0gc7bbMtS8HhblkFEonKKSmN7IgjkVTqz+YxN1565SvI+BfaS&#10;FJ7VpJk0CPoIdc0iIxsv/4LSknsbbBmPuNVZV0jLCKoYDp5xc18xJ9paQHVwj6SH/wfL32/vPJFF&#10;TidDSgzT6Pju+7fdj1+7n18JdCCodmEKv3sHz9hc2gZjs9cHKFPdTel1+kdFBHbQ+/BIr2gi4VAe&#10;Twbj0RgmDtsxfmfjBJM9vXY+xLfCapKEnHq0r2WVbW9C7Fz3LilYsEoWS6lUe/Hr1ZXyZMvQ6uVk&#10;ebk879H/cFOG1Dk9PUYe6ZWx6X0HrQySScV2RSUpNqumZ2BliwcQ4G03Q8HxpUSWNyzEO+YxNCgM&#10;axVvcZTKIojtJUoq67/8S5/80UtYKakxhDkNnzfMC0rUO4MuT4YnJ4CN7eVkfDbCxR9aVocWs9FX&#10;FsWjkciuFZN/VHux9FZ/wvYtUlSYmOGIndO4F69itxrYXi4Wi9YJc+pYvDH3jifojrTFJtpSti1J&#10;NHXc9OxhUtum9luVVuHw3no9fUnm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2edDK2gAAAAsB&#10;AAAPAAAAAAAAAAEAIAAAACIAAABkcnMvZG93bnJldi54bWxQSwECFAAUAAAACACHTuJA59JvolIC&#10;AACRBAAADgAAAAAAAAABACAAAAApAQAAZHJzL2Uyb0RvYy54bWxQSwUGAAAAAAYABgBZAQAA7QUA&#10;AAAA&#10;">
                <v:fill on="t" focussize="0,0"/>
                <v:stroke on="f" weight="0.5pt"/>
                <v:imagedata o:title=""/>
                <o:lock v:ext="edit" aspectratio="f"/>
                <v:textbox>
                  <w:txbxContent>
                    <w:p>
                      <w:pPr>
                        <w:pStyle w:val="6"/>
                        <w:bidi w:val="0"/>
                      </w:pPr>
                      <w:r>
                        <w:rPr>
                          <w:rFonts w:hint="eastAsia"/>
                        </w:rPr>
                        <w:t>图</w:t>
                      </w:r>
                      <w:r>
                        <w:rPr>
                          <w:rFonts w:hint="eastAsia"/>
                          <w:lang w:val="en-US" w:eastAsia="zh-CN"/>
                        </w:rPr>
                        <w:t>1.3.6-1</w:t>
                      </w:r>
                      <w:r>
                        <w:rPr>
                          <w:rFonts w:hint="eastAsia"/>
                        </w:rPr>
                        <w:t xml:space="preserve">  本项目</w:t>
                      </w:r>
                      <w:r>
                        <w:rPr>
                          <w:rFonts w:hint="eastAsia"/>
                          <w:lang w:val="en-US" w:eastAsia="zh-CN"/>
                        </w:rPr>
                        <w:t>周边土地类型</w:t>
                      </w:r>
                      <w:r>
                        <w:rPr>
                          <w:rFonts w:hint="eastAsia"/>
                        </w:rPr>
                        <w:t>图</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396105" cy="2929255"/>
            <wp:effectExtent l="9525" t="9525" r="13970" b="13970"/>
            <wp:docPr id="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
                    <pic:cNvPicPr>
                      <a:picLocks noChangeAspect="1"/>
                    </pic:cNvPicPr>
                  </pic:nvPicPr>
                  <pic:blipFill>
                    <a:blip r:embed="rId27"/>
                    <a:stretch>
                      <a:fillRect/>
                    </a:stretch>
                  </pic:blipFill>
                  <pic:spPr>
                    <a:xfrm>
                      <a:off x="0" y="0"/>
                      <a:ext cx="4396105" cy="2929255"/>
                    </a:xfrm>
                    <a:prstGeom prst="rect">
                      <a:avLst/>
                    </a:prstGeom>
                    <a:noFill/>
                    <a:ln>
                      <a:solidFill>
                        <a:schemeClr val="tx1"/>
                      </a:solidFill>
                    </a:ln>
                  </pic:spPr>
                </pic:pic>
              </a:graphicData>
            </a:graphic>
          </wp:inline>
        </w:drawing>
      </w:r>
    </w:p>
    <w:p>
      <w:pPr>
        <w:pStyle w:val="6"/>
        <w:bidi w:val="0"/>
        <w:rPr>
          <w:rFonts w:hint="default"/>
          <w:color w:val="FF0000"/>
          <w:lang w:val="en-US" w:eastAsia="zh-CN"/>
        </w:rPr>
      </w:pPr>
      <w:r>
        <w:rPr>
          <w:rFonts w:hint="eastAsia"/>
          <w:color w:val="FF0000"/>
          <w:lang w:val="en-US" w:eastAsia="zh-CN"/>
        </w:rPr>
        <w:t>图1.3.6-1  本项目与“三区三线”位置关系</w:t>
      </w:r>
    </w:p>
    <w:p>
      <w:pPr>
        <w:pStyle w:val="5"/>
      </w:pPr>
      <w:r>
        <w:rPr>
          <w:rFonts w:hint="eastAsia"/>
        </w:rPr>
        <w:t>场址合理性分析</w:t>
      </w:r>
    </w:p>
    <w:p>
      <w:pPr>
        <w:bidi w:val="0"/>
      </w:pPr>
      <w:r>
        <w:rPr>
          <w:rFonts w:hint="eastAsia"/>
        </w:rPr>
        <w:t>项目不属于五原县禁养区范围内，且区域环境质量良好，有利于畜禽的生长，并可以保持良好的健康状态。</w:t>
      </w:r>
    </w:p>
    <w:p>
      <w:pPr>
        <w:bidi w:val="0"/>
        <w:sectPr>
          <w:pgSz w:w="11906" w:h="16838"/>
          <w:pgMar w:top="1440" w:right="1797" w:bottom="1440" w:left="1797" w:header="851" w:footer="992" w:gutter="0"/>
          <w:pgNumType w:fmt="decimal"/>
          <w:cols w:space="425" w:num="1"/>
          <w:docGrid w:linePitch="312" w:charSpace="0"/>
        </w:sectPr>
      </w:pPr>
      <w:r>
        <w:rPr>
          <w:rFonts w:hint="eastAsia"/>
        </w:rPr>
        <w:t>根据调查项目周边主要为耕地，周边5</w:t>
      </w:r>
      <w:r>
        <w:t>0</w:t>
      </w:r>
      <w:r>
        <w:rPr>
          <w:rFonts w:hint="eastAsia"/>
        </w:rPr>
        <w:t>0m范围内无城镇居民区、文化教育科学研究区等人口集中区域，项目选址符合《关于做好畜禽规模养殖项目环境影响评价管理工作的通知》（环办环评〔2018〕31号）、《畜禽规模养殖污染防治条例》国务院令第643号、《畜禽养殖业污染防治技术规范》（HJ-T81-2001）、《畜禽场场区设计技术规范》（NY-T682-2003）等法律法规和行业规范的选址要求，详细分析见下表。</w:t>
      </w:r>
    </w:p>
    <w:p>
      <w:pPr>
        <w:pStyle w:val="6"/>
      </w:pPr>
      <w:r>
        <w:rPr>
          <w:rFonts w:hint="eastAsia"/>
        </w:rPr>
        <w:t>表1.3.6-</w:t>
      </w:r>
      <w:r>
        <w:rPr>
          <w:rFonts w:hint="eastAsia"/>
          <w:lang w:val="en-US" w:eastAsia="zh-CN"/>
        </w:rPr>
        <w:t>2</w:t>
      </w:r>
      <w:r>
        <w:rPr>
          <w:rFonts w:hint="eastAsia"/>
        </w:rPr>
        <w:t xml:space="preserve">  选址合理性分析</w:t>
      </w:r>
    </w:p>
    <w:tbl>
      <w:tblPr>
        <w:tblStyle w:val="38"/>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5"/>
        <w:gridCol w:w="1686"/>
        <w:gridCol w:w="6641"/>
        <w:gridCol w:w="4696"/>
        <w:gridCol w:w="7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139" w:type="pct"/>
            <w:vAlign w:val="center"/>
          </w:tcPr>
          <w:p>
            <w:pPr>
              <w:spacing w:line="240" w:lineRule="auto"/>
              <w:ind w:firstLine="0" w:firstLineChars="0"/>
              <w:jc w:val="center"/>
              <w:rPr>
                <w:sz w:val="21"/>
                <w:szCs w:val="21"/>
              </w:rPr>
            </w:pPr>
            <w:r>
              <w:rPr>
                <w:sz w:val="21"/>
                <w:szCs w:val="21"/>
              </w:rPr>
              <w:t>序号</w:t>
            </w:r>
          </w:p>
        </w:tc>
        <w:tc>
          <w:tcPr>
            <w:tcW w:w="595" w:type="pct"/>
            <w:vAlign w:val="center"/>
          </w:tcPr>
          <w:p>
            <w:pPr>
              <w:spacing w:line="240" w:lineRule="auto"/>
              <w:ind w:firstLine="0" w:firstLineChars="0"/>
              <w:jc w:val="center"/>
              <w:rPr>
                <w:sz w:val="21"/>
                <w:szCs w:val="21"/>
              </w:rPr>
            </w:pPr>
            <w:r>
              <w:rPr>
                <w:sz w:val="21"/>
                <w:szCs w:val="21"/>
              </w:rPr>
              <w:t>规范及政策</w:t>
            </w:r>
          </w:p>
        </w:tc>
        <w:tc>
          <w:tcPr>
            <w:tcW w:w="2344" w:type="pct"/>
            <w:vAlign w:val="center"/>
          </w:tcPr>
          <w:p>
            <w:pPr>
              <w:spacing w:line="240" w:lineRule="auto"/>
              <w:ind w:firstLine="0" w:firstLineChars="0"/>
              <w:jc w:val="center"/>
              <w:rPr>
                <w:sz w:val="21"/>
                <w:szCs w:val="21"/>
              </w:rPr>
            </w:pPr>
            <w:r>
              <w:rPr>
                <w:sz w:val="21"/>
                <w:szCs w:val="21"/>
              </w:rPr>
              <w:t>选址规定</w:t>
            </w:r>
          </w:p>
        </w:tc>
        <w:tc>
          <w:tcPr>
            <w:tcW w:w="1658" w:type="pct"/>
            <w:vAlign w:val="center"/>
          </w:tcPr>
          <w:p>
            <w:pPr>
              <w:spacing w:line="240" w:lineRule="auto"/>
              <w:ind w:firstLine="0" w:firstLineChars="0"/>
              <w:jc w:val="center"/>
              <w:rPr>
                <w:sz w:val="21"/>
                <w:szCs w:val="21"/>
              </w:rPr>
            </w:pPr>
            <w:r>
              <w:rPr>
                <w:sz w:val="21"/>
                <w:szCs w:val="21"/>
              </w:rPr>
              <w:t>本项目选址</w:t>
            </w:r>
          </w:p>
        </w:tc>
        <w:tc>
          <w:tcPr>
            <w:tcW w:w="263" w:type="pct"/>
            <w:vAlign w:val="center"/>
          </w:tcPr>
          <w:p>
            <w:pPr>
              <w:spacing w:line="240" w:lineRule="auto"/>
              <w:ind w:firstLine="0" w:firstLineChars="0"/>
              <w:jc w:val="center"/>
              <w:rPr>
                <w:sz w:val="21"/>
                <w:szCs w:val="21"/>
              </w:rPr>
            </w:pPr>
            <w:r>
              <w:rPr>
                <w:sz w:val="21"/>
                <w:szCs w:val="21"/>
              </w:rPr>
              <w:t>是否</w:t>
            </w:r>
          </w:p>
          <w:p>
            <w:pPr>
              <w:spacing w:line="240" w:lineRule="auto"/>
              <w:ind w:firstLine="0" w:firstLineChars="0"/>
              <w:jc w:val="center"/>
              <w:rPr>
                <w:sz w:val="21"/>
                <w:szCs w:val="21"/>
              </w:rPr>
            </w:pPr>
            <w:r>
              <w:rPr>
                <w:sz w:val="21"/>
                <w:szCs w:val="21"/>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Align w:val="center"/>
          </w:tcPr>
          <w:p>
            <w:pPr>
              <w:spacing w:line="240" w:lineRule="auto"/>
              <w:ind w:firstLine="0" w:firstLineChars="0"/>
              <w:jc w:val="center"/>
              <w:rPr>
                <w:sz w:val="21"/>
                <w:szCs w:val="21"/>
              </w:rPr>
            </w:pPr>
            <w:r>
              <w:rPr>
                <w:sz w:val="21"/>
                <w:szCs w:val="21"/>
              </w:rPr>
              <w:t>1</w:t>
            </w:r>
          </w:p>
        </w:tc>
        <w:tc>
          <w:tcPr>
            <w:tcW w:w="595" w:type="pct"/>
            <w:vAlign w:val="center"/>
          </w:tcPr>
          <w:p>
            <w:pPr>
              <w:spacing w:line="240" w:lineRule="auto"/>
              <w:ind w:firstLine="0" w:firstLineChars="0"/>
              <w:jc w:val="center"/>
              <w:rPr>
                <w:sz w:val="21"/>
                <w:szCs w:val="21"/>
              </w:rPr>
            </w:pPr>
            <w:r>
              <w:rPr>
                <w:sz w:val="21"/>
                <w:szCs w:val="21"/>
              </w:rPr>
              <w:t>《畜禽规模养殖污染防治条例》（2014年1月1日起施行）</w:t>
            </w:r>
          </w:p>
        </w:tc>
        <w:tc>
          <w:tcPr>
            <w:tcW w:w="2344" w:type="pct"/>
            <w:vAlign w:val="center"/>
          </w:tcPr>
          <w:p>
            <w:pPr>
              <w:spacing w:line="240" w:lineRule="auto"/>
              <w:ind w:firstLine="0" w:firstLineChars="0"/>
              <w:jc w:val="center"/>
              <w:rPr>
                <w:sz w:val="21"/>
                <w:szCs w:val="21"/>
              </w:rPr>
            </w:pPr>
            <w:r>
              <w:rPr>
                <w:sz w:val="21"/>
                <w:szCs w:val="21"/>
              </w:rPr>
              <w:t>禁止在下列区域内建设畜禽养殖场、养殖小区</w:t>
            </w:r>
            <w:r>
              <w:rPr>
                <w:rFonts w:hint="eastAsia"/>
                <w:sz w:val="21"/>
                <w:szCs w:val="21"/>
              </w:rPr>
              <w:t>：</w:t>
            </w:r>
            <w:r>
              <w:rPr>
                <w:sz w:val="21"/>
                <w:szCs w:val="21"/>
              </w:rPr>
              <w:t>饮用水水源保护区，风景名胜区自然保护区的核心区和缓冲区</w:t>
            </w:r>
            <w:r>
              <w:rPr>
                <w:rFonts w:hint="eastAsia"/>
                <w:sz w:val="21"/>
                <w:szCs w:val="21"/>
              </w:rPr>
              <w:t>；</w:t>
            </w:r>
            <w:r>
              <w:rPr>
                <w:sz w:val="21"/>
                <w:szCs w:val="21"/>
              </w:rPr>
              <w:t>城镇居民区、文化教育科学研究区等人口集中区域</w:t>
            </w:r>
            <w:r>
              <w:rPr>
                <w:rFonts w:hint="eastAsia"/>
                <w:sz w:val="21"/>
                <w:szCs w:val="21"/>
              </w:rPr>
              <w:t>；</w:t>
            </w:r>
            <w:r>
              <w:rPr>
                <w:sz w:val="21"/>
                <w:szCs w:val="21"/>
              </w:rPr>
              <w:t>法律、法规规定的其他禁止养殖区域。</w:t>
            </w:r>
          </w:p>
        </w:tc>
        <w:tc>
          <w:tcPr>
            <w:tcW w:w="1658" w:type="pct"/>
            <w:vAlign w:val="center"/>
          </w:tcPr>
          <w:p>
            <w:pPr>
              <w:spacing w:line="240" w:lineRule="auto"/>
              <w:ind w:firstLine="0" w:firstLineChars="0"/>
              <w:jc w:val="center"/>
              <w:rPr>
                <w:sz w:val="21"/>
                <w:szCs w:val="21"/>
              </w:rPr>
            </w:pPr>
            <w:r>
              <w:rPr>
                <w:sz w:val="21"/>
                <w:szCs w:val="21"/>
              </w:rPr>
              <w:t>项目</w:t>
            </w:r>
            <w:r>
              <w:rPr>
                <w:rFonts w:hint="eastAsia"/>
                <w:sz w:val="21"/>
                <w:szCs w:val="21"/>
              </w:rPr>
              <w:t>占地不涉及</w:t>
            </w:r>
            <w:r>
              <w:rPr>
                <w:sz w:val="21"/>
                <w:szCs w:val="21"/>
              </w:rPr>
              <w:t>禁止</w:t>
            </w:r>
            <w:r>
              <w:rPr>
                <w:rFonts w:hint="eastAsia"/>
                <w:sz w:val="21"/>
                <w:szCs w:val="21"/>
              </w:rPr>
              <w:t>建设用地</w:t>
            </w:r>
          </w:p>
        </w:tc>
        <w:tc>
          <w:tcPr>
            <w:tcW w:w="263" w:type="pct"/>
            <w:vAlign w:val="center"/>
          </w:tcPr>
          <w:p>
            <w:pPr>
              <w:spacing w:line="240" w:lineRule="auto"/>
              <w:ind w:firstLine="0" w:firstLineChars="0"/>
              <w:jc w:val="center"/>
              <w:rPr>
                <w:sz w:val="21"/>
                <w:szCs w:val="21"/>
              </w:rPr>
            </w:pPr>
            <w:r>
              <w:rPr>
                <w:sz w:val="21"/>
                <w:szCs w:val="21"/>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Merge w:val="restart"/>
            <w:vAlign w:val="center"/>
          </w:tcPr>
          <w:p>
            <w:pPr>
              <w:spacing w:line="240" w:lineRule="auto"/>
              <w:ind w:firstLine="0" w:firstLineChars="0"/>
              <w:jc w:val="center"/>
              <w:rPr>
                <w:sz w:val="21"/>
                <w:szCs w:val="21"/>
              </w:rPr>
            </w:pPr>
            <w:r>
              <w:rPr>
                <w:sz w:val="21"/>
                <w:szCs w:val="21"/>
              </w:rPr>
              <w:t>2</w:t>
            </w:r>
          </w:p>
        </w:tc>
        <w:tc>
          <w:tcPr>
            <w:tcW w:w="595" w:type="pct"/>
            <w:vMerge w:val="restart"/>
            <w:vAlign w:val="center"/>
          </w:tcPr>
          <w:p>
            <w:pPr>
              <w:spacing w:line="240" w:lineRule="auto"/>
              <w:ind w:firstLine="0" w:firstLineChars="0"/>
              <w:jc w:val="center"/>
              <w:rPr>
                <w:sz w:val="21"/>
                <w:szCs w:val="21"/>
              </w:rPr>
            </w:pPr>
            <w:r>
              <w:rPr>
                <w:sz w:val="21"/>
                <w:szCs w:val="21"/>
              </w:rPr>
              <w:t>《畜禽养殖业污染防治技术规范》（HJ/T 81-2001）</w:t>
            </w:r>
          </w:p>
        </w:tc>
        <w:tc>
          <w:tcPr>
            <w:tcW w:w="2344" w:type="pct"/>
            <w:vAlign w:val="center"/>
          </w:tcPr>
          <w:p>
            <w:pPr>
              <w:spacing w:line="240" w:lineRule="auto"/>
              <w:ind w:firstLine="0" w:firstLineChars="0"/>
              <w:jc w:val="center"/>
              <w:rPr>
                <w:sz w:val="21"/>
                <w:szCs w:val="21"/>
              </w:rPr>
            </w:pPr>
            <w:r>
              <w:rPr>
                <w:sz w:val="21"/>
                <w:szCs w:val="21"/>
              </w:rPr>
              <w:t>禁止在下列区域内建设畜禽养殖场：a生活饮用水的水源保护区</w:t>
            </w:r>
            <w:r>
              <w:rPr>
                <w:rFonts w:hint="eastAsia"/>
                <w:sz w:val="21"/>
                <w:szCs w:val="21"/>
              </w:rPr>
              <w:t>，</w:t>
            </w:r>
            <w:r>
              <w:rPr>
                <w:sz w:val="21"/>
                <w:szCs w:val="21"/>
              </w:rPr>
              <w:t>风景名胜区，以及自然保护区的核心区和缓冲区；b城市和城镇居民区，包括文教科研区、医疗区、商业区、工业区、游览区等人口集中地区；c县级人民政府依法划定的禁养区域；d国家或地方法律、法规规定的禁养区域；e厂界与上述禁建区域边界的最小距离不得小于500m</w:t>
            </w:r>
          </w:p>
        </w:tc>
        <w:tc>
          <w:tcPr>
            <w:tcW w:w="1658" w:type="pct"/>
            <w:vAlign w:val="center"/>
          </w:tcPr>
          <w:p>
            <w:pPr>
              <w:spacing w:line="240" w:lineRule="auto"/>
              <w:ind w:firstLine="0" w:firstLineChars="0"/>
              <w:jc w:val="center"/>
              <w:rPr>
                <w:sz w:val="21"/>
                <w:szCs w:val="21"/>
              </w:rPr>
            </w:pPr>
            <w:r>
              <w:rPr>
                <w:sz w:val="21"/>
                <w:szCs w:val="21"/>
              </w:rPr>
              <w:t>项目</w:t>
            </w:r>
            <w:r>
              <w:rPr>
                <w:rFonts w:hint="eastAsia"/>
                <w:sz w:val="21"/>
                <w:szCs w:val="21"/>
              </w:rPr>
              <w:t>周边</w:t>
            </w:r>
            <w:r>
              <w:rPr>
                <w:sz w:val="21"/>
                <w:szCs w:val="21"/>
              </w:rPr>
              <w:t>500m范围内无上述禁止</w:t>
            </w:r>
            <w:r>
              <w:rPr>
                <w:rFonts w:hint="eastAsia"/>
                <w:sz w:val="21"/>
                <w:szCs w:val="21"/>
              </w:rPr>
              <w:t>区域</w:t>
            </w:r>
          </w:p>
        </w:tc>
        <w:tc>
          <w:tcPr>
            <w:tcW w:w="263" w:type="pct"/>
            <w:vAlign w:val="center"/>
          </w:tcPr>
          <w:p>
            <w:pPr>
              <w:spacing w:line="240" w:lineRule="auto"/>
              <w:ind w:firstLine="0" w:firstLineChars="0"/>
              <w:jc w:val="center"/>
              <w:rPr>
                <w:sz w:val="21"/>
                <w:szCs w:val="21"/>
              </w:rPr>
            </w:pPr>
            <w:r>
              <w:rPr>
                <w:sz w:val="21"/>
                <w:szCs w:val="21"/>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Merge w:val="continue"/>
            <w:vAlign w:val="center"/>
          </w:tcPr>
          <w:p>
            <w:pPr>
              <w:spacing w:line="240" w:lineRule="auto"/>
              <w:ind w:firstLine="0" w:firstLineChars="0"/>
              <w:jc w:val="center"/>
              <w:rPr>
                <w:sz w:val="21"/>
                <w:szCs w:val="21"/>
              </w:rPr>
            </w:pPr>
          </w:p>
        </w:tc>
        <w:tc>
          <w:tcPr>
            <w:tcW w:w="595" w:type="pct"/>
            <w:vMerge w:val="continue"/>
            <w:vAlign w:val="center"/>
          </w:tcPr>
          <w:p>
            <w:pPr>
              <w:spacing w:line="240" w:lineRule="auto"/>
              <w:ind w:firstLine="0" w:firstLineChars="0"/>
              <w:jc w:val="center"/>
              <w:rPr>
                <w:sz w:val="21"/>
                <w:szCs w:val="21"/>
              </w:rPr>
            </w:pPr>
          </w:p>
        </w:tc>
        <w:tc>
          <w:tcPr>
            <w:tcW w:w="2344" w:type="pct"/>
            <w:vAlign w:val="center"/>
          </w:tcPr>
          <w:p>
            <w:pPr>
              <w:spacing w:line="240" w:lineRule="auto"/>
              <w:ind w:firstLine="0" w:firstLineChars="0"/>
              <w:jc w:val="center"/>
              <w:rPr>
                <w:sz w:val="21"/>
                <w:szCs w:val="21"/>
              </w:rPr>
            </w:pPr>
            <w:r>
              <w:rPr>
                <w:sz w:val="21"/>
                <w:szCs w:val="21"/>
              </w:rPr>
              <w:t>贮存设施的位置必须远离各类功能地表水体（距离不得小于400m），并应设在养殖场的常年主导风向的下风向或侧风向处。</w:t>
            </w:r>
          </w:p>
        </w:tc>
        <w:tc>
          <w:tcPr>
            <w:tcW w:w="1658" w:type="pct"/>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厂址</w:t>
            </w:r>
            <w:r>
              <w:rPr>
                <w:rFonts w:hint="eastAsia"/>
                <w:color w:val="FF0000"/>
                <w:sz w:val="21"/>
                <w:szCs w:val="21"/>
                <w:lang w:val="en-US" w:eastAsia="zh-CN"/>
              </w:rPr>
              <w:t>4</w:t>
            </w:r>
            <w:r>
              <w:rPr>
                <w:rFonts w:hint="eastAsia"/>
                <w:sz w:val="21"/>
                <w:szCs w:val="21"/>
                <w:lang w:val="en-US" w:eastAsia="zh-CN"/>
              </w:rPr>
              <w:t>00m范围内无地表水体，</w:t>
            </w:r>
            <w:r>
              <w:rPr>
                <w:rFonts w:hint="eastAsia"/>
                <w:sz w:val="21"/>
                <w:szCs w:val="21"/>
              </w:rPr>
              <w:t>项目有机</w:t>
            </w:r>
            <w:r>
              <w:rPr>
                <w:rFonts w:hint="eastAsia"/>
                <w:sz w:val="21"/>
                <w:szCs w:val="21"/>
                <w:lang w:eastAsia="zh-CN"/>
              </w:rPr>
              <w:t>有机肥堆场</w:t>
            </w:r>
            <w:r>
              <w:rPr>
                <w:rFonts w:hint="eastAsia"/>
                <w:sz w:val="21"/>
                <w:szCs w:val="21"/>
              </w:rPr>
              <w:t>设在厂区西南角、</w:t>
            </w:r>
            <w:r>
              <w:rPr>
                <w:rFonts w:hint="eastAsia"/>
                <w:color w:val="FF0000"/>
                <w:sz w:val="21"/>
                <w:szCs w:val="21"/>
                <w:lang w:val="en-US" w:eastAsia="zh-CN"/>
              </w:rPr>
              <w:t>医疗废物</w:t>
            </w:r>
            <w:r>
              <w:rPr>
                <w:rFonts w:hint="eastAsia"/>
                <w:color w:val="FF0000"/>
                <w:sz w:val="21"/>
                <w:szCs w:val="21"/>
              </w:rPr>
              <w:t>暂存间</w:t>
            </w:r>
            <w:r>
              <w:rPr>
                <w:rFonts w:hint="eastAsia"/>
                <w:sz w:val="21"/>
                <w:szCs w:val="21"/>
              </w:rPr>
              <w:t>设置在厂区东南侧，且位于养殖场的常年主导风向的下风向</w:t>
            </w:r>
            <w:r>
              <w:rPr>
                <w:rFonts w:hint="eastAsia"/>
                <w:sz w:val="21"/>
                <w:szCs w:val="21"/>
                <w:lang w:val="en-US" w:eastAsia="zh-CN"/>
              </w:rPr>
              <w:t>和侧风向</w:t>
            </w:r>
          </w:p>
        </w:tc>
        <w:tc>
          <w:tcPr>
            <w:tcW w:w="263" w:type="pct"/>
            <w:vAlign w:val="center"/>
          </w:tcPr>
          <w:p>
            <w:pPr>
              <w:spacing w:line="240" w:lineRule="auto"/>
              <w:ind w:firstLine="0" w:firstLineChars="0"/>
              <w:jc w:val="center"/>
              <w:rPr>
                <w:sz w:val="21"/>
                <w:szCs w:val="21"/>
              </w:rPr>
            </w:pPr>
            <w:r>
              <w:rPr>
                <w:sz w:val="21"/>
                <w:szCs w:val="21"/>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Align w:val="center"/>
          </w:tcPr>
          <w:p>
            <w:pPr>
              <w:spacing w:line="240" w:lineRule="auto"/>
              <w:ind w:firstLine="0" w:firstLineChars="0"/>
              <w:jc w:val="center"/>
              <w:rPr>
                <w:sz w:val="21"/>
                <w:szCs w:val="21"/>
              </w:rPr>
            </w:pPr>
            <w:r>
              <w:rPr>
                <w:sz w:val="21"/>
                <w:szCs w:val="21"/>
              </w:rPr>
              <w:t>3</w:t>
            </w:r>
          </w:p>
        </w:tc>
        <w:tc>
          <w:tcPr>
            <w:tcW w:w="595" w:type="pct"/>
            <w:vAlign w:val="center"/>
          </w:tcPr>
          <w:p>
            <w:pPr>
              <w:spacing w:line="240" w:lineRule="auto"/>
              <w:ind w:firstLine="0" w:firstLineChars="0"/>
              <w:jc w:val="center"/>
              <w:rPr>
                <w:sz w:val="21"/>
                <w:szCs w:val="21"/>
              </w:rPr>
            </w:pPr>
            <w:r>
              <w:rPr>
                <w:sz w:val="21"/>
                <w:szCs w:val="21"/>
              </w:rPr>
              <w:t>《畜禽场场区设计技术规范》</w:t>
            </w:r>
            <w:r>
              <w:rPr>
                <w:rFonts w:hint="eastAsia"/>
                <w:sz w:val="21"/>
                <w:szCs w:val="21"/>
              </w:rPr>
              <w:t>（</w:t>
            </w:r>
            <w:r>
              <w:rPr>
                <w:sz w:val="21"/>
                <w:szCs w:val="21"/>
              </w:rPr>
              <w:t>NY-T 682-2003）</w:t>
            </w:r>
          </w:p>
        </w:tc>
        <w:tc>
          <w:tcPr>
            <w:tcW w:w="2344" w:type="pct"/>
            <w:vAlign w:val="center"/>
          </w:tcPr>
          <w:p>
            <w:pPr>
              <w:spacing w:line="240" w:lineRule="auto"/>
              <w:ind w:firstLine="0" w:firstLineChars="0"/>
              <w:jc w:val="center"/>
              <w:rPr>
                <w:sz w:val="21"/>
                <w:szCs w:val="21"/>
              </w:rPr>
            </w:pPr>
            <w:r>
              <w:rPr>
                <w:sz w:val="21"/>
                <w:szCs w:val="21"/>
              </w:rPr>
              <w:t>选择场址应符合本地区农牧业生产发展总体规划、土地利用发展规划、城乡建设发展规划和环境保护规划的要求；新建场址周围应具备就地无害化处理粪尿、污水的足够场地和排污条件，并通过畜禽场建设环境影响评价；选择场址应遵守十分珍惜和合理利用土地的原则，不应占用基本农田，尽量利用荒地建场。分期建设时，选址应按总体规划需要一次完成，土地随用随征，预留远期工程建设用地；新建场址应满足卫生防疫要求，场区距铁路、高速公路、交通干线不小于1000m</w:t>
            </w:r>
            <w:r>
              <w:rPr>
                <w:rFonts w:hint="eastAsia"/>
                <w:sz w:val="21"/>
                <w:szCs w:val="21"/>
              </w:rPr>
              <w:t>；</w:t>
            </w:r>
            <w:r>
              <w:rPr>
                <w:sz w:val="21"/>
                <w:szCs w:val="21"/>
              </w:rPr>
              <w:t>距一般道路不小于500m</w:t>
            </w:r>
            <w:r>
              <w:rPr>
                <w:rFonts w:hint="eastAsia"/>
                <w:sz w:val="21"/>
                <w:szCs w:val="21"/>
              </w:rPr>
              <w:t>；</w:t>
            </w:r>
            <w:r>
              <w:rPr>
                <w:sz w:val="21"/>
                <w:szCs w:val="21"/>
              </w:rPr>
              <w:t>距其他畜牧场、兽医机构、畜禽屠宰厂不小于2000m</w:t>
            </w:r>
            <w:r>
              <w:rPr>
                <w:rFonts w:hint="eastAsia"/>
                <w:sz w:val="21"/>
                <w:szCs w:val="21"/>
              </w:rPr>
              <w:t>；</w:t>
            </w:r>
            <w:r>
              <w:rPr>
                <w:sz w:val="21"/>
                <w:szCs w:val="21"/>
              </w:rPr>
              <w:t>距居民区不小于3000m，并且应位于居民区及公共建筑群常年主导风向的下风向处</w:t>
            </w:r>
            <w:r>
              <w:rPr>
                <w:rFonts w:hint="eastAsia"/>
                <w:sz w:val="21"/>
                <w:szCs w:val="21"/>
              </w:rPr>
              <w:t>；</w:t>
            </w:r>
            <w:r>
              <w:rPr>
                <w:sz w:val="21"/>
                <w:szCs w:val="21"/>
              </w:rPr>
              <w:t>场址应水源充足，水质应符合NY5027要求，排水畅通，供电可靠，交通便利，地质条件能满足工程建设要求；规定的自然保护区、水源保护区、风景旅游区，受洪水或山洪威胁及泥石流、滑坡等自然灾害多发地带，自然环境污染严重的地区不应建场。</w:t>
            </w:r>
          </w:p>
        </w:tc>
        <w:tc>
          <w:tcPr>
            <w:tcW w:w="1658" w:type="pct"/>
            <w:vAlign w:val="center"/>
          </w:tcPr>
          <w:p>
            <w:pPr>
              <w:spacing w:line="240" w:lineRule="auto"/>
              <w:ind w:firstLine="0" w:firstLineChars="0"/>
              <w:jc w:val="center"/>
              <w:rPr>
                <w:sz w:val="21"/>
                <w:szCs w:val="21"/>
              </w:rPr>
            </w:pPr>
            <w:r>
              <w:rPr>
                <w:rFonts w:hint="eastAsia"/>
                <w:sz w:val="21"/>
                <w:szCs w:val="21"/>
              </w:rPr>
              <w:t>项目</w:t>
            </w:r>
            <w:r>
              <w:rPr>
                <w:sz w:val="21"/>
                <w:szCs w:val="21"/>
              </w:rPr>
              <w:t>取得五原县发展和改革委员会出具的备案、</w:t>
            </w:r>
            <w:r>
              <w:rPr>
                <w:rFonts w:hint="eastAsia"/>
                <w:sz w:val="21"/>
                <w:szCs w:val="21"/>
              </w:rPr>
              <w:t>五原县塔尔湖镇</w:t>
            </w:r>
            <w:r>
              <w:rPr>
                <w:sz w:val="21"/>
                <w:szCs w:val="21"/>
              </w:rPr>
              <w:t>出具用地备案；项目</w:t>
            </w:r>
            <w:r>
              <w:rPr>
                <w:rFonts w:hint="eastAsia"/>
                <w:sz w:val="21"/>
                <w:szCs w:val="21"/>
              </w:rPr>
              <w:t>采用</w:t>
            </w:r>
            <w:r>
              <w:rPr>
                <w:sz w:val="21"/>
                <w:szCs w:val="21"/>
              </w:rPr>
              <w:t>有机堆肥的模式处理粪污，处理后</w:t>
            </w:r>
            <w:r>
              <w:rPr>
                <w:rFonts w:hint="eastAsia"/>
                <w:sz w:val="21"/>
                <w:szCs w:val="21"/>
              </w:rPr>
              <w:t>还田利用</w:t>
            </w:r>
            <w:r>
              <w:rPr>
                <w:sz w:val="21"/>
                <w:szCs w:val="21"/>
              </w:rPr>
              <w:t>；</w:t>
            </w:r>
            <w:r>
              <w:rPr>
                <w:color w:val="FF0000"/>
                <w:sz w:val="21"/>
                <w:szCs w:val="21"/>
              </w:rPr>
              <w:t>项目占地主要为</w:t>
            </w:r>
            <w:r>
              <w:rPr>
                <w:rFonts w:hint="eastAsia"/>
                <w:color w:val="FF0000"/>
                <w:sz w:val="21"/>
                <w:szCs w:val="21"/>
                <w:lang w:val="en-US" w:eastAsia="zh-CN"/>
              </w:rPr>
              <w:t>农用地和未利用地</w:t>
            </w:r>
            <w:r>
              <w:rPr>
                <w:color w:val="FF0000"/>
                <w:sz w:val="21"/>
                <w:szCs w:val="21"/>
              </w:rPr>
              <w:t>，</w:t>
            </w:r>
            <w:r>
              <w:rPr>
                <w:rFonts w:hint="eastAsia"/>
                <w:color w:val="FF0000"/>
                <w:sz w:val="21"/>
                <w:szCs w:val="21"/>
                <w:lang w:val="en-US" w:eastAsia="zh-CN"/>
              </w:rPr>
              <w:t>不涉及</w:t>
            </w:r>
            <w:r>
              <w:rPr>
                <w:color w:val="FF0000"/>
                <w:sz w:val="21"/>
                <w:szCs w:val="21"/>
              </w:rPr>
              <w:t>基本农田</w:t>
            </w:r>
            <w:r>
              <w:rPr>
                <w:sz w:val="21"/>
                <w:szCs w:val="21"/>
              </w:rPr>
              <w:t>；场区距铁路、高速公路、交通干线大于1000m，距一般道路大于500m，距其他畜牧场、兽医机构、畜禽屠宰厂大于2000m，项目场址距离最近的城镇居民区及公共建筑群在厂区常年主导风向上风向3500m处；项目厂区水井水质符合GB/Y14848-2017优NY5027-2008要求</w:t>
            </w:r>
            <w:r>
              <w:rPr>
                <w:rFonts w:hint="eastAsia"/>
                <w:sz w:val="21"/>
                <w:szCs w:val="21"/>
              </w:rPr>
              <w:t>。</w:t>
            </w:r>
          </w:p>
        </w:tc>
        <w:tc>
          <w:tcPr>
            <w:tcW w:w="263" w:type="pct"/>
            <w:vAlign w:val="center"/>
          </w:tcPr>
          <w:p>
            <w:pPr>
              <w:spacing w:line="240" w:lineRule="auto"/>
              <w:ind w:firstLine="0" w:firstLineChars="0"/>
              <w:jc w:val="center"/>
              <w:rPr>
                <w:sz w:val="21"/>
                <w:szCs w:val="21"/>
              </w:rPr>
            </w:pPr>
            <w:r>
              <w:rPr>
                <w:sz w:val="21"/>
                <w:szCs w:val="21"/>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Align w:val="center"/>
          </w:tcPr>
          <w:p>
            <w:pPr>
              <w:spacing w:line="240" w:lineRule="auto"/>
              <w:ind w:firstLine="0" w:firstLineChars="0"/>
              <w:jc w:val="center"/>
              <w:rPr>
                <w:sz w:val="21"/>
                <w:szCs w:val="21"/>
              </w:rPr>
            </w:pPr>
            <w:r>
              <w:rPr>
                <w:rFonts w:hint="eastAsia"/>
                <w:sz w:val="21"/>
                <w:szCs w:val="21"/>
              </w:rPr>
              <w:t>4</w:t>
            </w:r>
          </w:p>
        </w:tc>
        <w:tc>
          <w:tcPr>
            <w:tcW w:w="595" w:type="pct"/>
            <w:vAlign w:val="center"/>
          </w:tcPr>
          <w:p>
            <w:pPr>
              <w:spacing w:line="240" w:lineRule="auto"/>
              <w:ind w:firstLine="0" w:firstLineChars="0"/>
              <w:jc w:val="center"/>
              <w:rPr>
                <w:sz w:val="21"/>
                <w:szCs w:val="21"/>
              </w:rPr>
            </w:pPr>
            <w:r>
              <w:rPr>
                <w:sz w:val="21"/>
                <w:szCs w:val="21"/>
              </w:rPr>
              <w:t>《畜禽养殖业污染物治理工程技术规范》（HJ497-2009）</w:t>
            </w:r>
          </w:p>
        </w:tc>
        <w:tc>
          <w:tcPr>
            <w:tcW w:w="2344" w:type="pct"/>
            <w:vAlign w:val="center"/>
          </w:tcPr>
          <w:p>
            <w:pPr>
              <w:spacing w:line="240" w:lineRule="auto"/>
              <w:ind w:firstLine="0" w:firstLineChars="0"/>
              <w:jc w:val="center"/>
              <w:rPr>
                <w:sz w:val="21"/>
                <w:szCs w:val="21"/>
              </w:rPr>
            </w:pPr>
            <w:r>
              <w:rPr>
                <w:sz w:val="21"/>
                <w:szCs w:val="21"/>
              </w:rPr>
              <w:t>畜禽养殖业污染治理工程应与养殖场生产区、居民区等建筑保持一定的卫生防护距离，设置在畜禽养殖场的生产区、生活区主导风向的下风向或侧风向处</w:t>
            </w:r>
            <w:r>
              <w:rPr>
                <w:rFonts w:hint="eastAsia"/>
                <w:sz w:val="21"/>
                <w:szCs w:val="21"/>
              </w:rPr>
              <w:t>；</w:t>
            </w:r>
          </w:p>
          <w:p>
            <w:pPr>
              <w:spacing w:line="240" w:lineRule="auto"/>
              <w:ind w:firstLine="0" w:firstLineChars="0"/>
              <w:jc w:val="center"/>
              <w:rPr>
                <w:sz w:val="21"/>
                <w:szCs w:val="21"/>
              </w:rPr>
            </w:pPr>
            <w:r>
              <w:rPr>
                <w:sz w:val="21"/>
                <w:szCs w:val="21"/>
              </w:rPr>
              <w:t>畜禽养殖业污染治理工程的位置应有利于排放、资源化利用和运输，并留有扩建的余地，方便施工、运行和维护</w:t>
            </w:r>
            <w:r>
              <w:rPr>
                <w:rFonts w:hint="eastAsia"/>
                <w:sz w:val="21"/>
                <w:szCs w:val="21"/>
              </w:rPr>
              <w:t>；</w:t>
            </w:r>
          </w:p>
          <w:p>
            <w:pPr>
              <w:spacing w:line="240" w:lineRule="auto"/>
              <w:ind w:firstLine="0" w:firstLineChars="0"/>
              <w:jc w:val="center"/>
              <w:rPr>
                <w:sz w:val="21"/>
                <w:szCs w:val="21"/>
              </w:rPr>
            </w:pPr>
            <w:r>
              <w:rPr>
                <w:sz w:val="21"/>
                <w:szCs w:val="21"/>
              </w:rPr>
              <w:t>畜禽养殖业污染治理工程选址的其他要求参照CJJ64—1995第2章、GB 50014—2006 第5章的有关规定执行。</w:t>
            </w:r>
          </w:p>
        </w:tc>
        <w:tc>
          <w:tcPr>
            <w:tcW w:w="1658" w:type="pct"/>
            <w:vAlign w:val="center"/>
          </w:tcPr>
          <w:p>
            <w:pPr>
              <w:spacing w:line="240" w:lineRule="auto"/>
              <w:ind w:firstLine="0" w:firstLineChars="0"/>
              <w:jc w:val="center"/>
              <w:rPr>
                <w:sz w:val="21"/>
                <w:szCs w:val="21"/>
              </w:rPr>
            </w:pPr>
            <w:r>
              <w:rPr>
                <w:rFonts w:hint="eastAsia"/>
                <w:sz w:val="21"/>
                <w:szCs w:val="21"/>
              </w:rPr>
              <w:t>项目在</w:t>
            </w:r>
            <w:r>
              <w:rPr>
                <w:rFonts w:hint="eastAsia"/>
                <w:sz w:val="21"/>
                <w:szCs w:val="21"/>
                <w:highlight w:val="yellow"/>
                <w:lang w:eastAsia="zh-CN"/>
              </w:rPr>
              <w:t>有机肥堆</w:t>
            </w:r>
            <w:r>
              <w:rPr>
                <w:rFonts w:hint="eastAsia"/>
                <w:sz w:val="21"/>
                <w:szCs w:val="21"/>
                <w:lang w:eastAsia="zh-CN"/>
              </w:rPr>
              <w:t>场</w:t>
            </w:r>
            <w:r>
              <w:rPr>
                <w:sz w:val="21"/>
                <w:szCs w:val="21"/>
              </w:rPr>
              <w:t>与</w:t>
            </w:r>
            <w:r>
              <w:rPr>
                <w:rFonts w:hint="eastAsia"/>
                <w:sz w:val="21"/>
                <w:szCs w:val="21"/>
              </w:rPr>
              <w:t>羊舍</w:t>
            </w:r>
            <w:r>
              <w:rPr>
                <w:sz w:val="21"/>
                <w:szCs w:val="21"/>
              </w:rPr>
              <w:t>、</w:t>
            </w:r>
            <w:r>
              <w:rPr>
                <w:rFonts w:hint="eastAsia"/>
                <w:sz w:val="21"/>
                <w:szCs w:val="21"/>
              </w:rPr>
              <w:t>项目边界均有一定距离，并设置在</w:t>
            </w:r>
            <w:r>
              <w:rPr>
                <w:sz w:val="21"/>
                <w:szCs w:val="21"/>
              </w:rPr>
              <w:t>生产区</w:t>
            </w:r>
            <w:r>
              <w:rPr>
                <w:rFonts w:hint="eastAsia"/>
                <w:sz w:val="21"/>
                <w:szCs w:val="21"/>
              </w:rPr>
              <w:t>及</w:t>
            </w:r>
            <w:r>
              <w:rPr>
                <w:sz w:val="21"/>
                <w:szCs w:val="21"/>
              </w:rPr>
              <w:t>生活区主导风向的侧风向处</w:t>
            </w:r>
            <w:r>
              <w:rPr>
                <w:rFonts w:hint="eastAsia"/>
                <w:sz w:val="21"/>
                <w:szCs w:val="21"/>
              </w:rPr>
              <w:t>；</w:t>
            </w:r>
          </w:p>
          <w:p>
            <w:pPr>
              <w:spacing w:line="240" w:lineRule="auto"/>
              <w:ind w:firstLine="0" w:firstLineChars="0"/>
              <w:jc w:val="center"/>
              <w:rPr>
                <w:sz w:val="21"/>
                <w:szCs w:val="21"/>
              </w:rPr>
            </w:pPr>
            <w:r>
              <w:rPr>
                <w:rFonts w:hint="eastAsia"/>
                <w:sz w:val="21"/>
                <w:szCs w:val="21"/>
              </w:rPr>
              <w:t>有机</w:t>
            </w:r>
            <w:r>
              <w:rPr>
                <w:rFonts w:hint="eastAsia"/>
                <w:sz w:val="21"/>
                <w:szCs w:val="21"/>
                <w:lang w:eastAsia="zh-CN"/>
              </w:rPr>
              <w:t>有机肥堆场</w:t>
            </w:r>
            <w:r>
              <w:rPr>
                <w:rFonts w:hint="eastAsia"/>
                <w:sz w:val="21"/>
                <w:szCs w:val="21"/>
              </w:rPr>
              <w:t>周围留有方便施工、维护及运输的道路；</w:t>
            </w:r>
          </w:p>
          <w:p>
            <w:pPr>
              <w:spacing w:line="240" w:lineRule="auto"/>
              <w:ind w:firstLine="0" w:firstLineChars="0"/>
              <w:jc w:val="center"/>
              <w:rPr>
                <w:sz w:val="21"/>
                <w:szCs w:val="21"/>
              </w:rPr>
            </w:pPr>
            <w:r>
              <w:rPr>
                <w:rFonts w:hint="eastAsia"/>
                <w:sz w:val="21"/>
                <w:szCs w:val="21"/>
              </w:rPr>
              <w:t>项目有机</w:t>
            </w:r>
            <w:r>
              <w:rPr>
                <w:rFonts w:hint="eastAsia"/>
                <w:sz w:val="21"/>
                <w:szCs w:val="21"/>
                <w:lang w:eastAsia="zh-CN"/>
              </w:rPr>
              <w:t>有机肥堆场</w:t>
            </w:r>
            <w:r>
              <w:rPr>
                <w:rFonts w:hint="eastAsia"/>
                <w:sz w:val="21"/>
                <w:szCs w:val="21"/>
              </w:rPr>
              <w:t>选址符合</w:t>
            </w:r>
            <w:r>
              <w:rPr>
                <w:sz w:val="21"/>
                <w:szCs w:val="21"/>
              </w:rPr>
              <w:t>CJJ64—1995第2章</w:t>
            </w:r>
            <w:r>
              <w:rPr>
                <w:rFonts w:hint="eastAsia"/>
                <w:sz w:val="21"/>
                <w:szCs w:val="21"/>
              </w:rPr>
              <w:t>要求，不涉及</w:t>
            </w:r>
            <w:r>
              <w:rPr>
                <w:sz w:val="21"/>
                <w:szCs w:val="21"/>
              </w:rPr>
              <w:t>GB 50014—2006第5章的</w:t>
            </w:r>
            <w:r>
              <w:rPr>
                <w:rFonts w:hint="eastAsia"/>
                <w:sz w:val="21"/>
                <w:szCs w:val="21"/>
              </w:rPr>
              <w:t>要求</w:t>
            </w:r>
          </w:p>
        </w:tc>
        <w:tc>
          <w:tcPr>
            <w:tcW w:w="263" w:type="pct"/>
            <w:vAlign w:val="center"/>
          </w:tcPr>
          <w:p>
            <w:pPr>
              <w:spacing w:line="240" w:lineRule="auto"/>
              <w:ind w:firstLine="0" w:firstLineChars="0"/>
              <w:jc w:val="center"/>
              <w:rPr>
                <w:sz w:val="21"/>
                <w:szCs w:val="21"/>
              </w:rPr>
            </w:pPr>
            <w:r>
              <w:rPr>
                <w:rFonts w:hint="eastAsia"/>
                <w:sz w:val="21"/>
                <w:szCs w:val="21"/>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Align w:val="center"/>
          </w:tcPr>
          <w:p>
            <w:pPr>
              <w:spacing w:line="240" w:lineRule="auto"/>
              <w:ind w:firstLine="0" w:firstLineChars="0"/>
              <w:jc w:val="center"/>
              <w:rPr>
                <w:sz w:val="21"/>
                <w:szCs w:val="21"/>
              </w:rPr>
            </w:pPr>
            <w:r>
              <w:rPr>
                <w:rFonts w:hint="eastAsia"/>
                <w:sz w:val="21"/>
                <w:szCs w:val="21"/>
              </w:rPr>
              <w:t>5</w:t>
            </w:r>
          </w:p>
        </w:tc>
        <w:tc>
          <w:tcPr>
            <w:tcW w:w="59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《畜禽粪便无害化处理技术规范》</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（GB/T36195-2018）</w:t>
            </w:r>
          </w:p>
        </w:tc>
        <w:tc>
          <w:tcPr>
            <w:tcW w:w="234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5处理场地的要求</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5.1新建、扩建和改建畜禽养殖场或养殖小区必须配置畜禽粪便处理设施或畜禽粪便处理场。已建的畜禽场没有设施或处理场的，应及时补上。畜禽养殖场的选址禁止在下列区域内建设畜禽粪便处理场：</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5.1.1生活饮用水水源保护区、风景名胜区、自然保护区的核心区及缓冲区。</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5.1.2城市和城镇居民区，包括文教科研区、医疗区、商业区、工业区游览区等人口集中地区。</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5.1.3县级人民政府依法划定的禁养区域。</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5.1.4国家或地方法律、法规规定需特殊保护的其他区域。</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5.2在禁建区域附近建设畜禽粪便处理设施和单独建设的畜禽粪便处理处，应设在5.1规定的禁建区域常年主导风向的下风向或侧风向处，场界与禁建区域边界的最小距离不得小于500m</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8.2畜禽养殖场、养殖小区或畜禽粪便处理场应分别设置液体和固体废弃物贮存设施，畜禽粪便贮存设施位置必须距离地表水体400m以上。</w:t>
            </w:r>
          </w:p>
        </w:tc>
        <w:tc>
          <w:tcPr>
            <w:tcW w:w="16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①项目采用干清粪工艺，并配套建设</w:t>
            </w:r>
            <w:r>
              <w:rPr>
                <w:rFonts w:hint="eastAsia"/>
                <w:color w:val="92D050"/>
                <w:lang w:eastAsia="zh-CN"/>
              </w:rPr>
              <w:t>有机肥堆场</w:t>
            </w:r>
            <w:r>
              <w:rPr>
                <w:rFonts w:hint="eastAsia"/>
                <w:color w:val="000000" w:themeColor="text1"/>
                <w14:textFill>
                  <w14:solidFill>
                    <w14:schemeClr w14:val="tx1"/>
                  </w14:solidFill>
                </w14:textFill>
              </w:rPr>
              <w:t>；</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②项目不在生活饮用水水源保护区、风景名胜区；</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③项目位于农村地区，不在城市和城镇居民区，包括文教科研区、医疗区、商业区、工业区等人口集中地区；</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④项目不在县级人民政府划定的禁养区域；</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⑤项目所在区域无国家或地方法律、法规规定需特殊保护的其它区域；</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⑥项目养殖区不设畜禽粪便专门的贮存设施，</w:t>
            </w:r>
            <w:r>
              <w:rPr>
                <w:rFonts w:hint="eastAsia"/>
                <w:color w:val="000000" w:themeColor="text1"/>
                <w:lang w:val="en-US" w:eastAsia="zh-CN"/>
                <w14:textFill>
                  <w14:solidFill>
                    <w14:schemeClr w14:val="tx1"/>
                  </w14:solidFill>
                </w14:textFill>
              </w:rPr>
              <w:t>直接送至</w:t>
            </w:r>
            <w:r>
              <w:rPr>
                <w:rFonts w:hint="eastAsia"/>
                <w:color w:val="92D050"/>
                <w:lang w:eastAsia="zh-CN"/>
              </w:rPr>
              <w:t>有机肥堆场</w:t>
            </w:r>
            <w:r>
              <w:rPr>
                <w:rFonts w:hint="eastAsia"/>
                <w:color w:val="000000" w:themeColor="text1"/>
                <w14:textFill>
                  <w14:solidFill>
                    <w14:schemeClr w14:val="tx1"/>
                  </w14:solidFill>
                </w14:textFill>
              </w:rPr>
              <w:t>内</w:t>
            </w:r>
            <w:r>
              <w:rPr>
                <w:rFonts w:hint="eastAsia"/>
                <w:color w:val="000000" w:themeColor="text1"/>
                <w:lang w:val="en-US" w:eastAsia="zh-CN"/>
                <w14:textFill>
                  <w14:solidFill>
                    <w14:schemeClr w14:val="tx1"/>
                  </w14:solidFill>
                </w14:textFill>
              </w:rPr>
              <w:t>进行堆肥</w:t>
            </w:r>
            <w:r>
              <w:rPr>
                <w:rFonts w:hint="eastAsia"/>
                <w:color w:val="000000" w:themeColor="text1"/>
                <w14:textFill>
                  <w14:solidFill>
                    <w14:schemeClr w14:val="tx1"/>
                  </w14:solidFill>
                </w14:textFill>
              </w:rPr>
              <w:t>，项目畜禽粪便处（</w:t>
            </w:r>
            <w:r>
              <w:rPr>
                <w:rFonts w:hint="eastAsia"/>
                <w:color w:val="92D050"/>
                <w:lang w:eastAsia="zh-CN"/>
              </w:rPr>
              <w:t>有机肥堆场</w:t>
            </w:r>
            <w:r>
              <w:rPr>
                <w:rFonts w:hint="eastAsia"/>
                <w:color w:val="000000" w:themeColor="text1"/>
                <w14:textFill>
                  <w14:solidFill>
                    <w14:schemeClr w14:val="tx1"/>
                  </w14:solidFill>
                </w14:textFill>
              </w:rPr>
              <w:t>）与禁建区</w:t>
            </w:r>
            <w:r>
              <w:rPr>
                <w:rFonts w:hint="eastAsia" w:ascii="宋体" w:hAnsi="宋体"/>
                <w:color w:val="000000" w:themeColor="text1"/>
                <w14:textFill>
                  <w14:solidFill>
                    <w14:schemeClr w14:val="tx1"/>
                  </w14:solidFill>
                </w14:textFill>
              </w:rPr>
              <w:t>(城市及城镇居民区)</w:t>
            </w:r>
            <w:r>
              <w:rPr>
                <w:rFonts w:hint="eastAsia"/>
                <w:color w:val="000000" w:themeColor="text1"/>
                <w14:textFill>
                  <w14:solidFill>
                    <w14:schemeClr w14:val="tx1"/>
                  </w14:solidFill>
                </w14:textFill>
              </w:rPr>
              <w:t>的距离均大于500m，符合粪便处理设施与禁建区边界的最小距离不得小于500m的要求；</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⑦</w:t>
            </w:r>
            <w:r>
              <w:rPr>
                <w:rFonts w:hint="eastAsia"/>
                <w:color w:val="92D050"/>
                <w:lang w:eastAsia="zh-CN"/>
              </w:rPr>
              <w:t>有机肥堆场</w:t>
            </w:r>
            <w:r>
              <w:rPr>
                <w:rFonts w:hint="eastAsia"/>
                <w:color w:val="000000" w:themeColor="text1"/>
                <w14:textFill>
                  <w14:solidFill>
                    <w14:schemeClr w14:val="tx1"/>
                  </w14:solidFill>
                </w14:textFill>
              </w:rPr>
              <w:t>距离</w:t>
            </w:r>
            <w:r>
              <w:rPr>
                <w:rFonts w:hint="eastAsia"/>
              </w:rPr>
              <w:t>联丰海子1240m</w:t>
            </w:r>
            <w:r>
              <w:rPr>
                <w:rFonts w:hint="eastAsia"/>
                <w:color w:val="000000" w:themeColor="text1"/>
                <w14:textFill>
                  <w14:solidFill>
                    <w14:schemeClr w14:val="tx1"/>
                  </w14:solidFill>
                </w14:textFill>
              </w:rPr>
              <w:t>，满足规范要求。</w:t>
            </w:r>
          </w:p>
        </w:tc>
        <w:tc>
          <w:tcPr>
            <w:tcW w:w="26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Merge w:val="restart"/>
            <w:vAlign w:val="center"/>
          </w:tcPr>
          <w:p>
            <w:pPr>
              <w:spacing w:line="240" w:lineRule="auto"/>
              <w:ind w:firstLine="0" w:firstLineChars="0"/>
              <w:jc w:val="center"/>
              <w:rPr>
                <w:sz w:val="21"/>
                <w:szCs w:val="21"/>
              </w:rPr>
            </w:pPr>
            <w:r>
              <w:rPr>
                <w:rFonts w:hint="eastAsia"/>
                <w:sz w:val="21"/>
                <w:szCs w:val="21"/>
              </w:rPr>
              <w:t>6</w:t>
            </w:r>
          </w:p>
        </w:tc>
        <w:tc>
          <w:tcPr>
            <w:tcW w:w="595" w:type="pct"/>
            <w:vMerge w:val="restart"/>
            <w:vAlign w:val="center"/>
          </w:tcPr>
          <w:p>
            <w:pPr>
              <w:pStyle w:val="232"/>
              <w:rPr>
                <w:color w:val="000000" w:themeColor="text1"/>
                <w14:textFill>
                  <w14:solidFill>
                    <w14:schemeClr w14:val="tx1"/>
                  </w14:solidFill>
                </w14:textFill>
              </w:rPr>
            </w:pPr>
            <w:bookmarkStart w:id="20" w:name="_Hlk48159452"/>
            <w:r>
              <w:rPr>
                <w:rFonts w:hint="eastAsia"/>
                <w:color w:val="000000" w:themeColor="text1"/>
                <w14:textFill>
                  <w14:solidFill>
                    <w14:schemeClr w14:val="tx1"/>
                  </w14:solidFill>
                </w14:textFill>
              </w:rPr>
              <w:t>《关于做好畜禽规模养殖项目环境影响评价管理工作的通知》（环办环评[2018]31号）</w:t>
            </w:r>
            <w:bookmarkEnd w:id="20"/>
          </w:p>
        </w:tc>
        <w:tc>
          <w:tcPr>
            <w:tcW w:w="234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环评应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1658" w:type="pct"/>
            <w:vAlign w:val="center"/>
          </w:tcPr>
          <w:p>
            <w:pPr>
              <w:pStyle w:val="232"/>
              <w:rPr>
                <w:color w:val="000000" w:themeColor="text1"/>
                <w14:textFill>
                  <w14:solidFill>
                    <w14:schemeClr w14:val="tx1"/>
                  </w14:solidFill>
                </w14:textFill>
              </w:rPr>
            </w:pPr>
            <w:r>
              <w:rPr>
                <w:rFonts w:hint="eastAsia" w:ascii="宋体" w:cs="宋体"/>
                <w:color w:val="000000" w:themeColor="text1"/>
                <w:kern w:val="0"/>
                <w14:textFill>
                  <w14:solidFill>
                    <w14:schemeClr w14:val="tx1"/>
                  </w14:solidFill>
                </w14:textFill>
              </w:rPr>
              <w:t>项目建设</w:t>
            </w:r>
            <w:r>
              <w:rPr>
                <w:rFonts w:ascii="宋体" w:cs="宋体"/>
                <w:color w:val="000000" w:themeColor="text1"/>
                <w:kern w:val="0"/>
                <w14:textFill>
                  <w14:solidFill>
                    <w14:schemeClr w14:val="tx1"/>
                  </w14:solidFill>
                </w14:textFill>
              </w:rPr>
              <w:t>区域无风景名胜区、世界文化和自然遗产地，也不在饮用水水源保护区范围内。本项目</w:t>
            </w:r>
            <w:r>
              <w:rPr>
                <w:rFonts w:hint="eastAsia" w:ascii="宋体" w:cs="宋体"/>
                <w:color w:val="000000" w:themeColor="text1"/>
                <w:kern w:val="0"/>
                <w14:textFill>
                  <w14:solidFill>
                    <w14:schemeClr w14:val="tx1"/>
                  </w14:solidFill>
                </w14:textFill>
              </w:rPr>
              <w:t>位于农村地区，也不在</w:t>
            </w:r>
            <w:r>
              <w:rPr>
                <w:rFonts w:ascii="宋体" w:cs="宋体"/>
                <w:color w:val="000000" w:themeColor="text1"/>
                <w:kern w:val="0"/>
                <w14:textFill>
                  <w14:solidFill>
                    <w14:schemeClr w14:val="tx1"/>
                  </w14:solidFill>
                </w14:textFill>
              </w:rPr>
              <w:t>城镇居民区、文化教育科学研究区等人口集中区域，不在五原县禁养区范围内。</w:t>
            </w:r>
          </w:p>
        </w:tc>
        <w:tc>
          <w:tcPr>
            <w:tcW w:w="26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 w:type="pct"/>
            <w:vMerge w:val="continue"/>
            <w:vAlign w:val="center"/>
          </w:tcPr>
          <w:p>
            <w:pPr>
              <w:spacing w:line="240" w:lineRule="auto"/>
              <w:ind w:firstLine="0" w:firstLineChars="0"/>
              <w:jc w:val="center"/>
              <w:rPr>
                <w:sz w:val="21"/>
                <w:szCs w:val="21"/>
              </w:rPr>
            </w:pPr>
          </w:p>
        </w:tc>
        <w:tc>
          <w:tcPr>
            <w:tcW w:w="595" w:type="pct"/>
            <w:vMerge w:val="continue"/>
            <w:vAlign w:val="center"/>
          </w:tcPr>
          <w:p>
            <w:pPr>
              <w:pStyle w:val="232"/>
              <w:rPr>
                <w:color w:val="000000" w:themeColor="text1"/>
                <w14:textFill>
                  <w14:solidFill>
                    <w14:schemeClr w14:val="tx1"/>
                  </w14:solidFill>
                </w14:textFill>
              </w:rPr>
            </w:pPr>
          </w:p>
        </w:tc>
        <w:tc>
          <w:tcPr>
            <w:tcW w:w="234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项目环评应结合环境保护要求优化养殖场区内部布置。畜禽养殖区及畜禽粪污贮存、处理和畜禽尸体无害化处理等产生恶臭影响的设施，应位于养殖场区主导风向的下风向位置，并尽量远离周边环境保护目标。</w:t>
            </w:r>
          </w:p>
        </w:tc>
        <w:tc>
          <w:tcPr>
            <w:tcW w:w="1658" w:type="pct"/>
            <w:vAlign w:val="center"/>
          </w:tcPr>
          <w:p>
            <w:pPr>
              <w:pStyle w:val="232"/>
              <w:rPr>
                <w:color w:val="000000" w:themeColor="text1"/>
                <w14:textFill>
                  <w14:solidFill>
                    <w14:schemeClr w14:val="tx1"/>
                  </w14:solidFill>
                </w14:textFill>
              </w:rPr>
            </w:pPr>
            <w:r>
              <w:rPr>
                <w:rFonts w:hint="eastAsia"/>
                <w:color w:val="92D050"/>
                <w:kern w:val="0"/>
                <w:lang w:eastAsia="zh-CN"/>
              </w:rPr>
              <w:t>有机肥堆场</w:t>
            </w:r>
            <w:r>
              <w:rPr>
                <w:rFonts w:hint="eastAsia"/>
                <w:color w:val="000000" w:themeColor="text1"/>
                <w:kern w:val="0"/>
                <w14:textFill>
                  <w14:solidFill>
                    <w14:schemeClr w14:val="tx1"/>
                  </w14:solidFill>
                </w14:textFill>
              </w:rPr>
              <w:t>内设粪便贮存设施，</w:t>
            </w:r>
            <w:r>
              <w:rPr>
                <w:color w:val="000000" w:themeColor="text1"/>
                <w:kern w:val="0"/>
                <w14:textFill>
                  <w14:solidFill>
                    <w14:schemeClr w14:val="tx1"/>
                  </w14:solidFill>
                </w14:textFill>
              </w:rPr>
              <w:t>项目</w:t>
            </w:r>
            <w:r>
              <w:rPr>
                <w:rFonts w:hint="eastAsia"/>
                <w:color w:val="92D050"/>
                <w:kern w:val="0"/>
                <w:lang w:eastAsia="zh-CN"/>
              </w:rPr>
              <w:t>有机肥堆场</w:t>
            </w:r>
            <w:r>
              <w:rPr>
                <w:color w:val="000000" w:themeColor="text1"/>
                <w:kern w:val="0"/>
                <w14:textFill>
                  <w14:solidFill>
                    <w14:schemeClr w14:val="tx1"/>
                  </w14:solidFill>
                </w14:textFill>
              </w:rPr>
              <w:t>均位于养殖场</w:t>
            </w:r>
            <w:r>
              <w:rPr>
                <w:rFonts w:hint="eastAsia"/>
                <w:color w:val="000000" w:themeColor="text1"/>
                <w:kern w:val="0"/>
                <w14:textFill>
                  <w14:solidFill>
                    <w14:schemeClr w14:val="tx1"/>
                  </w14:solidFill>
                </w14:textFill>
              </w:rPr>
              <w:t>20年</w:t>
            </w:r>
            <w:r>
              <w:rPr>
                <w:color w:val="000000" w:themeColor="text1"/>
                <w:kern w:val="0"/>
                <w14:textFill>
                  <w14:solidFill>
                    <w14:schemeClr w14:val="tx1"/>
                  </w14:solidFill>
                </w14:textFill>
              </w:rPr>
              <w:t>主导风向下风向位置，</w:t>
            </w:r>
            <w:r>
              <w:rPr>
                <w:rFonts w:hint="eastAsia"/>
                <w:color w:val="000000" w:themeColor="text1"/>
                <w:kern w:val="0"/>
                <w14:textFill>
                  <w14:solidFill>
                    <w14:schemeClr w14:val="tx1"/>
                  </w14:solidFill>
                </w14:textFill>
              </w:rPr>
              <w:t>通过优化布置并远离最近敏感目标超过500m</w:t>
            </w:r>
            <w:r>
              <w:rPr>
                <w:color w:val="000000" w:themeColor="text1"/>
                <w:kern w:val="0"/>
                <w14:textFill>
                  <w14:solidFill>
                    <w14:schemeClr w14:val="tx1"/>
                  </w14:solidFill>
                </w14:textFill>
              </w:rPr>
              <w:t>。</w:t>
            </w:r>
          </w:p>
        </w:tc>
        <w:tc>
          <w:tcPr>
            <w:tcW w:w="26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bl>
    <w:p>
      <w:pPr>
        <w:ind w:firstLine="480"/>
        <w:rPr>
          <w:color w:val="000000" w:themeColor="text1"/>
          <w14:textFill>
            <w14:solidFill>
              <w14:schemeClr w14:val="tx1"/>
            </w14:solidFill>
          </w14:textFill>
        </w:rPr>
        <w:sectPr>
          <w:pgSz w:w="16838" w:h="11906" w:orient="landscape"/>
          <w:pgMar w:top="1797" w:right="1440" w:bottom="1797" w:left="1440" w:header="851" w:footer="992" w:gutter="0"/>
          <w:pgNumType w:fmt="decimal"/>
          <w:cols w:space="425" w:num="1"/>
          <w:docGrid w:linePitch="312" w:charSpace="0"/>
        </w:sectPr>
      </w:pPr>
    </w:p>
    <w:p>
      <w:pPr>
        <w:ind w:firstLine="480"/>
      </w:pPr>
      <w:r>
        <w:rPr>
          <w:rFonts w:hint="eastAsia"/>
        </w:rPr>
        <w:t>综合上述分析，本项目的选址总体可行。</w:t>
      </w:r>
    </w:p>
    <w:p>
      <w:pPr>
        <w:pStyle w:val="4"/>
      </w:pPr>
      <w:bookmarkStart w:id="21" w:name="_Toc24447050"/>
      <w:r>
        <w:rPr>
          <w:rFonts w:hint="eastAsia"/>
        </w:rPr>
        <w:t>“三线一单”控制要求的符合性分析</w:t>
      </w:r>
      <w:bookmarkEnd w:id="21"/>
    </w:p>
    <w:p>
      <w:pPr>
        <w:bidi w:val="0"/>
        <w:rPr>
          <w:rFonts w:hint="eastAsia"/>
          <w:lang w:eastAsia="zh-CN"/>
        </w:rPr>
      </w:pPr>
      <w:r>
        <w:rPr>
          <w:rFonts w:hint="eastAsia"/>
        </w:rPr>
        <w:t>根据《巴彦淖尔市人民政府关于实施“三线一单”生态环境分区管控的意见》（巴政发〔2021〕</w:t>
      </w:r>
      <w:r>
        <w:t>9</w:t>
      </w:r>
      <w:r>
        <w:rPr>
          <w:rFonts w:hint="eastAsia"/>
        </w:rPr>
        <w:t>号）及巴彦淖尔市生态环境局2021年11月29日发布的《巴彦淖尔市生态环境准入清单》（巴环函[2021]61号），全市共划定环境管控单元249个，包括优先保护单元、重点管控单元、一般管控单元三类，实施分类管控。本项目位于巴彦淖尔市五原县塔尔湖镇胜丰八社，项目不在名胜古迹、风景名胜区、自然保护区、饮用水源保护区等优先保护单元内</w:t>
      </w:r>
      <w:r>
        <w:rPr>
          <w:rFonts w:hint="eastAsia"/>
          <w:lang w:eastAsia="zh-CN"/>
        </w:rPr>
        <w:t>。</w:t>
      </w:r>
    </w:p>
    <w:p>
      <w:pPr>
        <w:bidi w:val="0"/>
        <w:rPr>
          <w:rFonts w:hint="eastAsia"/>
          <w:color w:val="FF0000"/>
        </w:rPr>
      </w:pPr>
      <w:r>
        <w:rPr>
          <w:rFonts w:hint="eastAsia"/>
          <w:color w:val="auto"/>
          <w:lang w:val="en-US" w:eastAsia="zh-CN"/>
        </w:rPr>
        <w:t>同时，</w:t>
      </w:r>
      <w:r>
        <w:rPr>
          <w:rFonts w:hint="eastAsia"/>
          <w:color w:val="auto"/>
        </w:rPr>
        <w:t>根据项目获得的《五原县自然资源局关于内蒙古春园满循环农业科技有限公司养殖用地项目不在生态保护红线范围内的说明》（2023年5月6日，见附件四），该项目用地符合“三区三线”等国土空间规划管控规则，不占用上报审批的生态保护红线。</w:t>
      </w:r>
    </w:p>
    <w:p>
      <w:pPr>
        <w:keepNext w:val="0"/>
        <w:keepLines w:val="0"/>
        <w:pageBreakBefore w:val="0"/>
        <w:widowControl w:val="0"/>
        <w:kinsoku/>
        <w:wordWrap/>
        <w:overflowPunct/>
        <w:topLinePunct w:val="0"/>
        <w:autoSpaceDE/>
        <w:autoSpaceDN/>
        <w:bidi w:val="0"/>
        <w:adjustRightInd/>
        <w:snapToGrid/>
        <w:ind w:firstLine="0" w:firstLineChars="0"/>
        <w:textAlignment w:val="auto"/>
        <w:rPr>
          <w:color w:val="FF0000"/>
        </w:rPr>
      </w:pPr>
      <w:r>
        <w:drawing>
          <wp:inline distT="0" distB="0" distL="114300" distR="114300">
            <wp:extent cx="5272405" cy="2487930"/>
            <wp:effectExtent l="0" t="0" r="4445" b="762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28"/>
                    <a:stretch>
                      <a:fillRect/>
                    </a:stretch>
                  </pic:blipFill>
                  <pic:spPr>
                    <a:xfrm>
                      <a:off x="0" y="0"/>
                      <a:ext cx="5272405" cy="2487930"/>
                    </a:xfrm>
                    <a:prstGeom prst="rect">
                      <a:avLst/>
                    </a:prstGeom>
                    <a:noFill/>
                    <a:ln>
                      <a:noFill/>
                    </a:ln>
                  </pic:spPr>
                </pic:pic>
              </a:graphicData>
            </a:graphic>
          </wp:inline>
        </w:drawing>
      </w:r>
    </w:p>
    <w:p>
      <w:pPr>
        <w:pStyle w:val="6"/>
        <w:bidi w:val="0"/>
        <w:rPr>
          <w:rFonts w:hint="default"/>
          <w:color w:val="FF0000"/>
          <w:highlight w:val="green"/>
          <w:lang w:val="en-US" w:eastAsia="zh-CN"/>
        </w:rPr>
        <w:sectPr>
          <w:pgSz w:w="11906" w:h="16838"/>
          <w:pgMar w:top="1440" w:right="1797" w:bottom="1440" w:left="1797" w:header="851" w:footer="992" w:gutter="0"/>
          <w:pgNumType w:fmt="decimal"/>
          <w:cols w:space="425" w:num="1"/>
          <w:docGrid w:linePitch="312" w:charSpace="0"/>
        </w:sectPr>
      </w:pPr>
      <w:r>
        <w:rPr>
          <w:rFonts w:hint="eastAsia"/>
          <w:color w:val="FF0000"/>
          <w:highlight w:val="green"/>
          <w:lang w:val="en-US" w:eastAsia="zh-CN"/>
        </w:rPr>
        <w:t>图1.3.7-1  项目三线一单管控单位查询结果图</w:t>
      </w:r>
    </w:p>
    <w:p>
      <w:pPr>
        <w:pStyle w:val="6"/>
      </w:pPr>
      <w:r>
        <w:rPr>
          <w:rFonts w:hint="eastAsia"/>
        </w:rPr>
        <w:t>表1.3.7-1   “三线一单”符合性分析</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836"/>
        <w:gridCol w:w="4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内容</w:t>
            </w: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管控要求</w:t>
            </w:r>
          </w:p>
        </w:tc>
        <w:tc>
          <w:tcPr>
            <w:tcW w:w="4912"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restart"/>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环境质量底线</w:t>
            </w: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大气环境质量目标：</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明确2025年、2035年大气环境质量底线目标。空气优良天数和细颗粒物（PM</w:t>
            </w:r>
            <w:r>
              <w:rPr>
                <w:rFonts w:hint="eastAsia"/>
                <w:color w:val="000000" w:themeColor="text1"/>
                <w:sz w:val="21"/>
                <w:szCs w:val="21"/>
                <w:vertAlign w:val="subscript"/>
                <w14:textFill>
                  <w14:solidFill>
                    <w14:schemeClr w14:val="tx1"/>
                  </w14:solidFill>
                </w14:textFill>
              </w:rPr>
              <w:t>2.5</w:t>
            </w:r>
            <w:r>
              <w:rPr>
                <w:rFonts w:hint="eastAsia"/>
                <w:color w:val="000000" w:themeColor="text1"/>
                <w:sz w:val="21"/>
                <w:szCs w:val="21"/>
                <w14:textFill>
                  <w14:solidFill>
                    <w14:schemeClr w14:val="tx1"/>
                  </w14:solidFill>
                </w14:textFill>
              </w:rPr>
              <w:t>）下降比例达到自治区考核要求。2035年，空气质量持续改善。2025年、2035年PM</w:t>
            </w:r>
            <w:r>
              <w:rPr>
                <w:rFonts w:hint="eastAsia"/>
                <w:color w:val="000000" w:themeColor="text1"/>
                <w:sz w:val="21"/>
                <w:szCs w:val="21"/>
                <w:vertAlign w:val="subscript"/>
                <w14:textFill>
                  <w14:solidFill>
                    <w14:schemeClr w14:val="tx1"/>
                  </w14:solidFill>
                </w14:textFill>
              </w:rPr>
              <w:t>2.5</w:t>
            </w:r>
            <w:r>
              <w:rPr>
                <w:rFonts w:hint="eastAsia"/>
                <w:color w:val="000000" w:themeColor="text1"/>
                <w:sz w:val="21"/>
                <w:szCs w:val="21"/>
                <w14:textFill>
                  <w14:solidFill>
                    <w14:schemeClr w14:val="tx1"/>
                  </w14:solidFill>
                </w14:textFill>
              </w:rPr>
              <w:t>达到35μg/m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并保持持续改善。</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大气环境一般管控区管控要求：</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严格执行国家、自治区、巴彦淖尔市下达的相关大气污染防治要求，满足产业准入、总量控制、排放标准等管理制度要求</w:t>
            </w:r>
          </w:p>
        </w:tc>
        <w:tc>
          <w:tcPr>
            <w:tcW w:w="4912"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项</w:t>
            </w:r>
            <w:r>
              <w:rPr>
                <w:sz w:val="21"/>
                <w:szCs w:val="21"/>
              </w:rPr>
              <w:t>目生产</w:t>
            </w:r>
            <w:r>
              <w:rPr>
                <w:rFonts w:hint="eastAsia"/>
                <w:sz w:val="21"/>
                <w:szCs w:val="21"/>
                <w:lang w:val="en-US" w:eastAsia="zh-CN"/>
              </w:rPr>
              <w:t>过程中废气污染物对环境的影响较小</w:t>
            </w:r>
            <w:r>
              <w:rPr>
                <w:rFonts w:hint="eastAsia"/>
                <w:sz w:val="21"/>
                <w:szCs w:val="21"/>
              </w:rPr>
              <w:t>，</w:t>
            </w:r>
            <w:r>
              <w:rPr>
                <w:color w:val="000000" w:themeColor="text1"/>
                <w:sz w:val="21"/>
                <w:szCs w:val="21"/>
                <w14:textFill>
                  <w14:solidFill>
                    <w14:schemeClr w14:val="tx1"/>
                  </w14:solidFill>
                </w14:textFill>
              </w:rPr>
              <w:t>并严格执行</w:t>
            </w:r>
            <w:r>
              <w:rPr>
                <w:rFonts w:hint="eastAsia"/>
                <w:color w:val="000000" w:themeColor="text1"/>
                <w:sz w:val="21"/>
                <w:szCs w:val="21"/>
                <w14:textFill>
                  <w14:solidFill>
                    <w14:schemeClr w14:val="tx1"/>
                  </w14:solidFill>
                </w14:textFill>
              </w:rPr>
              <w:t>国家、自治区、巴彦淖尔市下达的相关大气污染防治要求，满足产业准入、总量控制、排放标准等管理制度要求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836" w:type="dxa"/>
            <w:vAlign w:val="center"/>
          </w:tcPr>
          <w:p>
            <w:pPr>
              <w:overflowPunct w:val="0"/>
              <w:spacing w:line="240" w:lineRule="auto"/>
              <w:ind w:firstLine="0" w:firstLineChars="0"/>
              <w:jc w:val="center"/>
              <w:textAlignment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水环境质量底线：</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2025年，全市水环境质量阶段性改善。全区地表水质量国家考核断面水质达到水生态环境保护“十四五”规划目标要求；城市集中式饮用水水源水质达到或优于Ⅲ类比例持续改善。</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到2035年，水环境质量持续改善，水生态系统持续恢复，水资源、水生态、水环境统筹推进格局基本形成。</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畜禽养殖场、养殖小区应当配套建设粪便污水贮存、处理、利用设施，实施雨污分流和粪便污水资源化利用。养殖专业户应当建设防雨、防渗漏、防外溢的粪便污水收集贮存设施，采用堆肥处理等措施实现粪便污水综合利用。</w:t>
            </w:r>
          </w:p>
        </w:tc>
        <w:tc>
          <w:tcPr>
            <w:tcW w:w="4912" w:type="dxa"/>
            <w:vAlign w:val="center"/>
          </w:tcPr>
          <w:p>
            <w:pPr>
              <w:overflowPunct w:val="0"/>
              <w:spacing w:line="240" w:lineRule="auto"/>
              <w:ind w:firstLine="0" w:firstLineChars="0"/>
              <w:jc w:val="center"/>
              <w:textAlignment w:val="center"/>
              <w:rPr>
                <w:sz w:val="21"/>
                <w:szCs w:val="21"/>
              </w:rPr>
            </w:pPr>
            <w:r>
              <w:rPr>
                <w:rFonts w:hint="eastAsia"/>
                <w:sz w:val="21"/>
                <w:szCs w:val="21"/>
              </w:rPr>
              <w:t>本项目生活废水全部回用不外排，不会突破当地水环境质量底线；</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sz w:val="21"/>
                <w:szCs w:val="21"/>
              </w:rPr>
              <w:t>本项目配套建设有机肥处理车间，并实施雨污分流，粪便污水进行有机肥加工资源化利用。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到2030年，全市土壤污染防治体系建立健全，土壤环境质量稳中向好，农用地和建设用地土壤环境安全得到有效保障，土壤环境风险得到全面管控。到2025年，受污染耕地安全利用率达到95%以上，污染地块安全利用率达到95%以上。到2035年，受污染耕地安全利用率达到95%以上，污染地块安全利用率达到95%以上。</w:t>
            </w:r>
          </w:p>
        </w:tc>
        <w:tc>
          <w:tcPr>
            <w:tcW w:w="4912"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本项目所在地为一般管控区，不在农用地优先保护区及土壤环境风险重点防控区，项目建设不占用耕地。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0" w:type="auto"/>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资源利用上线</w:t>
            </w: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用水总量红线：</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2025年和2035年全市用水总量控制在5</w:t>
            </w:r>
            <w:r>
              <w:rPr>
                <w:rFonts w:hint="eastAsia"/>
                <w:color w:val="000000" w:themeColor="text1"/>
                <w:sz w:val="21"/>
                <w:szCs w:val="21"/>
                <w:lang w:eastAsia="zh-CN"/>
                <w14:textFill>
                  <w14:solidFill>
                    <w14:schemeClr w14:val="tx1"/>
                  </w14:solidFill>
                </w14:textFill>
              </w:rPr>
              <w:t>1.17</w:t>
            </w:r>
            <w:r>
              <w:rPr>
                <w:rFonts w:hint="eastAsia"/>
                <w:color w:val="000000" w:themeColor="text1"/>
                <w:sz w:val="21"/>
                <w:szCs w:val="21"/>
                <w14:textFill>
                  <w14:solidFill>
                    <w14:schemeClr w14:val="tx1"/>
                  </w14:solidFill>
                </w14:textFill>
              </w:rPr>
              <w:t>亿m</w:t>
            </w:r>
            <w:r>
              <w:rPr>
                <w:rFonts w:hint="eastAsia"/>
                <w:color w:val="000000" w:themeColor="text1"/>
                <w:sz w:val="21"/>
                <w:szCs w:val="21"/>
                <w:vertAlign w:val="superscript"/>
                <w14:textFill>
                  <w14:solidFill>
                    <w14:schemeClr w14:val="tx1"/>
                  </w14:solidFill>
                </w14:textFill>
              </w:rPr>
              <w:t>3</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生态用水补给区产业准入管控：</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a.新增用水项目生产工艺、单位产品和产值水耗、用水效率等应满足国家相关节水要求。根据自治区“水十条”要求，抓好工业节水，严格用水定额管理，2020年，电力、钢铁、纺织、造纸、石油化工、食品发酵等高耗水行业达到先进定额标准。节水设施应与主体工程同时设计、同时施工、同时投运。</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b.新增取用水项目单位产品水耗和复用水率应满足国家行业用水定额和《内蒙古自治区行业用水定额标准（DB15/T385-2020）》。</w:t>
            </w:r>
          </w:p>
        </w:tc>
        <w:tc>
          <w:tcPr>
            <w:tcW w:w="4912"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本项目位于水资源的生态用水补给区；土地资源利用的一般管控区，不在巴彦淖尔市高污染燃料禁燃区，不在岸线利用上线及分区管控</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a</w:t>
            </w:r>
            <w:r>
              <w:rPr>
                <w:rFonts w:hint="eastAsia"/>
                <w:color w:val="000000" w:themeColor="text1"/>
                <w:sz w:val="21"/>
                <w:szCs w:val="21"/>
                <w14:textFill>
                  <w14:solidFill>
                    <w14:schemeClr w14:val="tx1"/>
                  </w14:solidFill>
                </w14:textFill>
              </w:rPr>
              <w:t>、本项目肉羊饮用水采用自动喂养设备，满足国家节水要求，本项目不属于高耗水行业</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b、本项目用水定额满足《内蒙古自治区行业用水定额标准（DB15/T385-2020）》。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0" w:type="auto"/>
            <w:vMerge w:val="restart"/>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生态环境准入</w:t>
            </w:r>
            <w:r>
              <w:rPr>
                <w:color w:val="000000" w:themeColor="text1"/>
                <w:sz w:val="21"/>
                <w:szCs w:val="21"/>
                <w14:textFill>
                  <w14:solidFill>
                    <w14:schemeClr w14:val="tx1"/>
                  </w14:solidFill>
                </w14:textFill>
              </w:rPr>
              <w:t>清单</w:t>
            </w: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巴彦淖尔市总体准入要求：</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1、除现有化工园区外，不再布局新的化工园区。禁止新建、改扩建在黄河流域巴彦淖市市段及主要支流岸线1公里范围内扩大现有园区的面积项目；</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2、严格落实污染物排放总量控制制度，把主要污染物排放总量指标作为环评审批的前置条件；</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3、建立重污染天气预警体系，完善重度及以上污染天气的区域联合预警机制，预测到区域将出现大范围重污染天气时，各相关城市按级别启动应急响应措施，实施区域应急联动；</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4、禁止任何人进入自然保护区的核心区；禁止在自然保护区的缓冲区开展旅游和生产经营活动；</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5、禁止在森林公园毁林开垦和毁林采石、采砂、采土以及其他毁林行为；</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6、禁止在风景名胜区进行开山、采石、开矿、开荒、修坟立碑等破坏景观、植被和地形地貌的活动；</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在饮用水水源准保护区内，禁止新建、扩建化工、生物发酵、电镀、皮革、冶炼、放射性、炼油、炼焦以及其他严重污染水体的建设项目，改建增加排污量的项目；禁止进行可能严重影响饮用水水源水质和水量的矿产勘查、采选等活动；禁止倾倒、堆放工业废渣、垃圾、粪便以及其他废弃物；禁止破坏水源涵养林、护岸林以及水源保护相关植被的活动；禁止法律、法规规定的其他可能污染饮用水水源的行为。</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8、不得损害水产种质资源及其生存环境。禁止在水产种质资源保护区内从事围湖造田、围海造地或围填海工程。禁止在水产种质资源保护区内新建排污口。</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9、禁止在二十度以上陡坡地开垦种植农作物；严禁陡坡垦殖和过度放牧；严禁在草原上搂发菜。</w:t>
            </w:r>
          </w:p>
        </w:tc>
        <w:tc>
          <w:tcPr>
            <w:tcW w:w="4912" w:type="dxa"/>
            <w:vAlign w:val="center"/>
          </w:tcPr>
          <w:p>
            <w:pPr>
              <w:overflowPunct w:val="0"/>
              <w:spacing w:line="240" w:lineRule="auto"/>
              <w:ind w:firstLine="0" w:firstLineChars="0"/>
              <w:jc w:val="center"/>
              <w:textAlignment w:val="center"/>
              <w:rPr>
                <w:sz w:val="21"/>
                <w:szCs w:val="21"/>
              </w:rPr>
            </w:pPr>
            <w:r>
              <w:rPr>
                <w:rFonts w:hint="eastAsia"/>
                <w:sz w:val="21"/>
                <w:szCs w:val="21"/>
              </w:rPr>
              <w:t>本项目所在地，环境管控单元编码</w:t>
            </w:r>
            <w:r>
              <w:rPr>
                <w:sz w:val="21"/>
                <w:szCs w:val="21"/>
              </w:rPr>
              <w:t>ZH15082110016</w:t>
            </w:r>
            <w:r>
              <w:rPr>
                <w:rFonts w:hint="eastAsia"/>
                <w:sz w:val="21"/>
                <w:szCs w:val="21"/>
              </w:rPr>
              <w:t>：环境管控单元名称：五原县一般生态空间-水土保持，管控单元类别为：优先保护单元；</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sz w:val="21"/>
                <w:szCs w:val="21"/>
              </w:rPr>
              <w:t>项目为规模化肉羊养殖项目，养殖粪污进行资源化利用；项目用水规模在合理范围内；项目建设范围内无自然保护区、森林公园、风景名胜区、饮用水水源地、水产种质资源保护区、湿地、水土流失极敏感区、生态区位重要的沙化土地、水源涵养极重要区、水土保持极重要区、生物多样性极重要区、草原及农用地等，项目用地不占用永久基本农田，项目位于五原县一般生态空间-水土保持环境管控单元，项目土地性质为设施农业用地，不属于五原县划定的禁养区，符合巴彦淖尔市重点管控单元空间布局约束的准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0" w:type="auto"/>
            <w:vMerge w:val="continue"/>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巴彦淖尔市旗、县总体准入要求：</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关于空间布局约束的准入要求禁止农作物秸秆等生物质及其他废弃物违规露天焚烧。加大农业源氨的排放控制力度，减少化肥农药使用量，增加有机肥使用量，实现化肥农药使用量零增长。禁止煤炭经营单位销售不符合规定标准的散煤或者固硫型煤。学校、医院、居民居住区等人口集中区域和其他依法需要特殊保护的区域及其周边，禁止新建、改建、扩建排放恶臭污染物的建设项目，或者从事其他产生恶臭气体的生产经营活动；已建成的，应当逐步搬迁或者升级改造。未经市人民政府林业或者农牧业行政主管部门批准，任何单位和个人禁止在巴彦淖尔市乌梁素海自治区级湿地水禽自然保护区范围内从事放生活动。禁止任何单位和个人擅自在各级渠沟道上引水、阻水、拦截水或者以其他方式影响水利工程的正常运行。禁止在渠沟道旱台进行植树、种草以外的其他耕作行为。</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电力、钢铁、水泥、焦化、有色金属冶炼、铁合金制造、热力供应等重点行业企业生产过程中排放大气污染物的，应当采用清洁生产工艺，配套建设除尘、脱硫、脱硝等治污装置，或者采取技术改造等其他措施控制大气污染物排放。现有向大气排放恶臭污染物的化工、制药、制革、肥料加工、畜禽养殖、屠宰等行业的排污单位，应当按照大气环境质量改善要求采用先进的技术、工艺和设备，减少恶臭污染物排放，达到国家标准。</w:t>
            </w:r>
          </w:p>
        </w:tc>
        <w:tc>
          <w:tcPr>
            <w:tcW w:w="4912"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项目不露天焚烧农作物秸秆等生物质及其他废弃物，不使用化肥农药，项目建设不在学校、医院、居民居住区等人口集中区域和其他依法需要特殊保护的区域及其周边。本项目不从各级渠沟道上引水、阻水、拦截水或者以其他方式影响水利工程的正常运行，本项目不进行渠沟道旱台进行植树、种草以外的其他耕作行为。</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本项目为规模化肉羊养殖项目，不属于电力、钢铁、水泥、焦化、有色金属冶炼、铁合金制造、热力供应等重点行业企业；本项目向大气排放恶臭污染物按照大气环境质量改善要求采用先进的技术、工艺和设备，减少恶臭污染物排放，达到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0" w:type="auto"/>
            <w:vMerge w:val="continue"/>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第十五条关于水土保持极重要区空间布局约束的准入要求：</w:t>
            </w:r>
          </w:p>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禁止在二十度以上陡坡地开垦种植农作物；严禁陡坡垦殖和过度放牧；严禁在草原上搂发菜。区内现有不符合布局要求的，限期退出或关停。对已造成的污染或损害，应限期治理。</w:t>
            </w:r>
          </w:p>
        </w:tc>
        <w:tc>
          <w:tcPr>
            <w:tcW w:w="4912" w:type="dxa"/>
            <w:vAlign w:val="center"/>
          </w:tcPr>
          <w:p>
            <w:pPr>
              <w:overflowPunct w:val="0"/>
              <w:spacing w:line="240" w:lineRule="auto"/>
              <w:ind w:firstLine="0" w:firstLineChars="0"/>
              <w:jc w:val="center"/>
              <w:textAlignment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不</w:t>
            </w:r>
            <w:r>
              <w:rPr>
                <w:rFonts w:hint="eastAsia"/>
                <w:color w:val="000000" w:themeColor="text1"/>
                <w:sz w:val="21"/>
                <w:szCs w:val="21"/>
                <w:lang w:val="en-US" w:eastAsia="zh-CN"/>
                <w14:textFill>
                  <w14:solidFill>
                    <w14:schemeClr w14:val="tx1"/>
                  </w14:solidFill>
                </w14:textFill>
              </w:rPr>
              <w:t>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0" w:type="auto"/>
            <w:vMerge w:val="continue"/>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836"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般生态空间-水土保持区域，全面实施保护天然林、退耕还林还牧工程，严禁陡坡垦殖，禁止在十五度以上陡坡地开垦种植农作物，禁止开垦的范围由区人民政府划定并公告；已经开垦种植农作物的应当按照国家有关规定逐步退耕还林还草；耕地短缺或者已经签订农村土地承包合同、退耕确有困难的，应当根据实际采取相应的水土保持措施。禁止毁林开荒、烧山开荒，合理开发自然资源，保护和恢复自然生态系统，增强区域水土保持能力；禁止在崩塌、滑坡危险区和泥石流易发区从事取土、挖砂、采石等可能造成水土流失的活动。禁止在水土流失重点预防区和重点治理区铲草皮、挖树等</w:t>
            </w:r>
          </w:p>
        </w:tc>
        <w:tc>
          <w:tcPr>
            <w:tcW w:w="4912" w:type="dxa"/>
            <w:vAlign w:val="center"/>
          </w:tcPr>
          <w:p>
            <w:pPr>
              <w:overflowPunct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项目不占用天然林及耕地，拟建地地势较为平坦，不存在毁林开荒、烧山开荒等活动，且不存在取土、挖砂、采石等行为。项目建设期及运营期加强水土保持各项措施，通过严格执行各项环保措施，环境影响及环境风险可控，满足相关管控要求。</w:t>
            </w:r>
          </w:p>
        </w:tc>
      </w:tr>
    </w:tbl>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59264" behindDoc="1" locked="0" layoutInCell="1" allowOverlap="1">
            <wp:simplePos x="0" y="0"/>
            <wp:positionH relativeFrom="column">
              <wp:posOffset>454025</wp:posOffset>
            </wp:positionH>
            <wp:positionV relativeFrom="paragraph">
              <wp:posOffset>-355600</wp:posOffset>
            </wp:positionV>
            <wp:extent cx="7783830" cy="5328285"/>
            <wp:effectExtent l="0" t="0" r="45720" b="43815"/>
            <wp:wrapThrough wrapText="bothSides">
              <wp:wrapPolygon>
                <wp:start x="0" y="0"/>
                <wp:lineTo x="0" y="21546"/>
                <wp:lineTo x="21568" y="21546"/>
                <wp:lineTo x="21568" y="0"/>
                <wp:lineTo x="0" y="0"/>
              </wp:wrapPolygon>
            </wp:wrapThrough>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7783830" cy="5328285"/>
                    </a:xfrm>
                    <a:prstGeom prst="rect">
                      <a:avLst/>
                    </a:prstGeom>
                  </pic:spPr>
                </pic:pic>
              </a:graphicData>
            </a:graphic>
          </wp:anchor>
        </w:drawing>
      </w: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r>
        <mc:AlternateContent>
          <mc:Choice Requires="wps">
            <w:drawing>
              <wp:anchor distT="0" distB="0" distL="114300" distR="114300" simplePos="0" relativeHeight="251660288" behindDoc="0" locked="0" layoutInCell="1" allowOverlap="1">
                <wp:simplePos x="0" y="0"/>
                <wp:positionH relativeFrom="column">
                  <wp:posOffset>4569460</wp:posOffset>
                </wp:positionH>
                <wp:positionV relativeFrom="paragraph">
                  <wp:posOffset>106045</wp:posOffset>
                </wp:positionV>
                <wp:extent cx="1035685" cy="452755"/>
                <wp:effectExtent l="407035" t="0" r="0" b="81280"/>
                <wp:wrapNone/>
                <wp:docPr id="64" name="线形标注 1(无边框) 64"/>
                <wp:cNvGraphicFramePr/>
                <a:graphic xmlns:a="http://schemas.openxmlformats.org/drawingml/2006/main">
                  <a:graphicData uri="http://schemas.microsoft.com/office/word/2010/wordprocessingShape">
                    <wps:wsp>
                      <wps:cNvSpPr/>
                      <wps:spPr>
                        <a:xfrm>
                          <a:off x="5483860" y="4138295"/>
                          <a:ext cx="1035685" cy="452755"/>
                        </a:xfrm>
                        <a:prstGeom prst="callout1">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pPr>
                              <w:ind w:firstLine="0" w:firstLineChars="0"/>
                              <w:jc w:val="center"/>
                              <w:rPr>
                                <w:color w:val="FF0000"/>
                                <w:sz w:val="32"/>
                                <w:szCs w:val="32"/>
                                <w14:textOutline w14:w="9525" w14:cap="flat" w14:cmpd="sng" w14:algn="ctr">
                                  <w14:solidFill>
                                    <w14:srgbClr w14:val="FF0000"/>
                                  </w14:solidFill>
                                  <w14:prstDash w14:val="solid"/>
                                  <w14:round/>
                                </w14:textOutline>
                              </w:rPr>
                            </w:pPr>
                            <w:r>
                              <w:rPr>
                                <w:rFonts w:hint="eastAsia"/>
                                <w:color w:val="FF0000"/>
                                <w:sz w:val="32"/>
                                <w:szCs w:val="32"/>
                                <w14:textOutline w14:w="9525" w14:cap="flat" w14:cmpd="sng" w14:algn="ctr">
                                  <w14:solidFill>
                                    <w14:srgbClr w14:val="FF0000"/>
                                  </w14:solidFill>
                                  <w14:prstDash w14:val="solid"/>
                                  <w14:round/>
                                </w14:textOutline>
                              </w:rPr>
                              <w:t>本 项 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1" type="#_x0000_t41" style="position:absolute;left:0pt;margin-left:359.8pt;margin-top:8.35pt;height:35.65pt;width:81.55pt;z-index:251660288;v-text-anchor:middle;mso-width-relative:page;mso-height-relative:page;" filled="f" stroked="t" coordsize="21600,21600" o:gfxdata="UEsDBAoAAAAAAIdO4kAAAAAAAAAAAAAAAAAEAAAAZHJzL1BLAwQUAAAACACHTuJAN3JMWNcAAAAJ&#10;AQAADwAAAGRycy9kb3ducmV2LnhtbE2PwU7DMBBE75X4B2uRuLV2KkhCiFNBoVcgBaQe3dgkEfE6&#10;st20/Xu2J7jNap5mZ8rVyQ5sMj70DiUkCwHMYON0j62Ez4/NPAcWokKtBodGwtkEWFVXs1IV2h2x&#10;NtM2toxCMBRKQhfjWHAems5YFRZuNEjet/NWRTp9y7VXRwq3A18KkXKreqQPnRrNujPNz/ZgJajX&#10;8+69fnO3z08vd7t6PW0y//gl5c11Ih6ARXOKfzBc6lN1qKjT3h1QBzZIyJL7lFAy0gwYAXm+JLG/&#10;CAG8Kvn/BdUvUEsDBBQAAAAIAIdO4kAI1VLmlwIAAOQEAAAOAAAAZHJzL2Uyb0RvYy54bWytVM1u&#10;00AQviPxDqs9wYHaTu00jepUUaMgpIpWKojzZr0bW9o/djdxygPQR+BaOHHnBBLwNAQeg9m1+0Ph&#10;0AM5ODOez9/MfDuzB4cbKdCaWddoVeJsJ8WIKaqrRi1L/PLF/MkII+eJqojQipX4nDl8OHn44KA1&#10;YzbQtRYVswhIlBu3psS192acJI7WTBK3ow1TEOTaSuLBtcuksqQFdimSQZoOk1bbylhNmXPwdtYF&#10;cc9o70OoOW8om2m6kkz5jtUyQTy05OrGODyJ1XLOqD/h3DGPRImhUx+fkATsRXgmkwMyXlpi6ob2&#10;JZD7lHCnJ0kaBUmvqWbEE7SyzV9UsqFWO839DtUy6RqJikAXWXpHm7OaGBZ7AamduRbd/T9a+nx9&#10;alFTlXiYY6SIhBP/+eX7j68ftpcX208fUfZo++7y17fP2/dvHyPAgGCtcWP47syc2t5zYIbuN9zK&#10;8A99oU2Ji3y0OxqC1OclzrPd0WC/6ARnG48oALJ0txiOCoxoQBSDvSICkhsmY51/yrREwSgxJULo&#10;lc+i1mR97DxUAPArWEiu9LwRIh6sUKgt8aDIUyiCEphWDlMCpjTQsVNLjIhYwhpQbyOl06KpwueB&#10;yNnl4khYtCYwPPN5Cr9QPqT7AxZyz4irO1wM9TChAB3U6vQJlt8sNr1oC12dg/ZWd0PpDJ03QHVM&#10;nD8lFqYQaoY99Sfw4EJDI7q3MKq1ffOv9wEPwwFRjFqYamjy9YpYhpF4pmBs9rM8B1ofnbzYG4Bj&#10;b0cWtyNqJY809J7BjWBoNAPeiyuTWy1fwTpPQ1YIEUUhdydn7xz5btvgQqBsOo0wGH1D/LE6MzSQ&#10;d4c2XXnNm3ieQahOnV4/GP6oe7+oYbtu+xF1czlN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3&#10;ckxY1wAAAAkBAAAPAAAAAAAAAAEAIAAAACIAAABkcnMvZG93bnJldi54bWxQSwECFAAUAAAACACH&#10;TuJACNVS5pcCAADkBAAADgAAAAAAAAABACAAAAAmAQAAZHJzL2Uyb0RvYy54bWxQSwUGAAAAAAYA&#10;BgBZAQAALwYAAAAA&#10;" adj="-8280,24300,-1800,4050">
                <v:fill on="f" focussize="0,0"/>
                <v:stroke weight="2pt" color="#FF0000 [2404]" joinstyle="round"/>
                <v:imagedata o:title=""/>
                <o:lock v:ext="edit" aspectratio="f"/>
                <v:textbox>
                  <w:txbxContent>
                    <w:p>
                      <w:pPr>
                        <w:ind w:firstLine="0" w:firstLineChars="0"/>
                        <w:jc w:val="center"/>
                        <w:rPr>
                          <w:color w:val="FF0000"/>
                          <w:sz w:val="32"/>
                          <w:szCs w:val="32"/>
                          <w14:textOutline w14:w="9525" w14:cap="flat" w14:cmpd="sng" w14:algn="ctr">
                            <w14:solidFill>
                              <w14:srgbClr w14:val="FF0000"/>
                            </w14:solidFill>
                            <w14:prstDash w14:val="solid"/>
                            <w14:round/>
                          </w14:textOutline>
                        </w:rPr>
                      </w:pPr>
                      <w:r>
                        <w:rPr>
                          <w:rFonts w:hint="eastAsia"/>
                          <w:color w:val="FF0000"/>
                          <w:sz w:val="32"/>
                          <w:szCs w:val="32"/>
                          <w14:textOutline w14:w="9525" w14:cap="flat" w14:cmpd="sng" w14:algn="ctr">
                            <w14:solidFill>
                              <w14:srgbClr w14:val="FF0000"/>
                            </w14:solidFill>
                            <w14:prstDash w14:val="solid"/>
                            <w14:round/>
                          </w14:textOutline>
                        </w:rPr>
                        <w:t>本 项 目</w:t>
                      </w:r>
                    </w:p>
                  </w:txbxContent>
                </v:textbox>
              </v:shape>
            </w:pict>
          </mc:Fallback>
        </mc:AlternateContent>
      </w: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pStyle w:val="6"/>
        <w:sectPr>
          <w:pgSz w:w="16838" w:h="11906" w:orient="landscape"/>
          <w:pgMar w:top="1797" w:right="1440" w:bottom="1797" w:left="1440" w:header="851" w:footer="992" w:gutter="0"/>
          <w:pgNumType w:fmt="decimal"/>
          <w:cols w:space="0" w:num="1"/>
          <w:docGrid w:linePitch="312" w:charSpace="0"/>
        </w:sectPr>
      </w:pPr>
      <w:r>
        <w:rPr>
          <w:rFonts w:hint="eastAsia"/>
        </w:rPr>
        <w:t>图1.3.7-</w:t>
      </w:r>
      <w:r>
        <w:rPr>
          <w:rFonts w:hint="eastAsia"/>
          <w:lang w:val="en-US" w:eastAsia="zh-CN"/>
        </w:rPr>
        <w:t>2</w:t>
      </w:r>
      <w:r>
        <w:rPr>
          <w:rFonts w:hint="eastAsia"/>
        </w:rPr>
        <w:t xml:space="preserve">    本项目在巴彦淖尔市环境管控单元的位置</w:t>
      </w:r>
    </w:p>
    <w:p>
      <w:pPr>
        <w:ind w:firstLine="480"/>
      </w:pPr>
      <w:r>
        <w:rPr>
          <w:rFonts w:hint="eastAsia"/>
        </w:rPr>
        <w:t>综上可知，本项目所在地不在生态保护红线内，不会突破环境质量底线，满足资源利用上线要求，符合生态环境准入清单要求，项目建设符合《巴彦淖尔市人民政府关于实施“三线一单”生态环境分区管控的意见》中相关要求。</w:t>
      </w:r>
    </w:p>
    <w:p>
      <w:pPr>
        <w:pStyle w:val="3"/>
        <w:spacing w:before="120" w:after="120"/>
      </w:pPr>
      <w:bookmarkStart w:id="22" w:name="_Toc24340203"/>
      <w:bookmarkStart w:id="23" w:name="_Toc30380"/>
      <w:bookmarkStart w:id="24" w:name="_Toc24447598"/>
      <w:bookmarkStart w:id="25" w:name="_Toc24447051"/>
      <w:r>
        <w:rPr>
          <w:rFonts w:hint="eastAsia"/>
        </w:rPr>
        <w:t>关注的主要环境问题</w:t>
      </w:r>
      <w:bookmarkEnd w:id="22"/>
      <w:bookmarkEnd w:id="23"/>
      <w:bookmarkEnd w:id="24"/>
      <w:bookmarkEnd w:id="25"/>
    </w:p>
    <w:p>
      <w:pPr>
        <w:ind w:firstLine="480"/>
        <w:rPr>
          <w:color w:val="FF0000"/>
        </w:rPr>
      </w:pPr>
      <w:bookmarkStart w:id="26" w:name="_Toc24447599"/>
      <w:bookmarkStart w:id="27" w:name="_Toc24340204"/>
      <w:bookmarkStart w:id="28" w:name="_Toc24447052"/>
      <w:r>
        <w:rPr>
          <w:rFonts w:hint="eastAsia"/>
          <w:color w:val="FF0000"/>
        </w:rPr>
        <w:t>根据项目的产排污特点，本次评价重点关注的主要环境问题及环境影响：</w:t>
      </w:r>
    </w:p>
    <w:p>
      <w:pPr>
        <w:numPr>
          <w:ilvl w:val="0"/>
          <w:numId w:val="4"/>
        </w:numPr>
        <w:ind w:firstLine="480"/>
        <w:rPr>
          <w:rFonts w:hint="eastAsia"/>
          <w:color w:val="FF0000"/>
        </w:rPr>
      </w:pPr>
      <w:r>
        <w:rPr>
          <w:rFonts w:hint="eastAsia"/>
          <w:color w:val="FF0000"/>
        </w:rPr>
        <w:t>项目运营期间产生的大气污染物在采取相应的环保措施后是否能确保达标排放</w:t>
      </w:r>
      <w:r>
        <w:rPr>
          <w:rFonts w:hint="eastAsia"/>
          <w:color w:val="FF0000"/>
          <w:lang w:eastAsia="zh-CN"/>
        </w:rPr>
        <w:t>；</w:t>
      </w:r>
    </w:p>
    <w:p>
      <w:pPr>
        <w:numPr>
          <w:ilvl w:val="0"/>
          <w:numId w:val="4"/>
        </w:numPr>
        <w:ind w:firstLine="480"/>
        <w:rPr>
          <w:color w:val="FF0000"/>
        </w:rPr>
      </w:pPr>
      <w:r>
        <w:rPr>
          <w:rFonts w:hint="eastAsia"/>
          <w:color w:val="FF0000"/>
          <w:lang w:val="en-US" w:eastAsia="zh-CN"/>
        </w:rPr>
        <w:t>是否产生废水，若有废水产生，处理措施是否可行；</w:t>
      </w:r>
    </w:p>
    <w:p>
      <w:pPr>
        <w:numPr>
          <w:ilvl w:val="0"/>
          <w:numId w:val="4"/>
        </w:numPr>
        <w:ind w:firstLine="480"/>
        <w:rPr>
          <w:color w:val="FF0000"/>
        </w:rPr>
      </w:pPr>
      <w:r>
        <w:rPr>
          <w:rFonts w:hint="eastAsia"/>
          <w:color w:val="FF0000"/>
        </w:rPr>
        <w:t>固体废物处置措施是否满足当地防疫部门及环保要求</w:t>
      </w:r>
      <w:r>
        <w:rPr>
          <w:rFonts w:hint="eastAsia"/>
          <w:color w:val="FF0000"/>
          <w:lang w:eastAsia="zh-CN"/>
        </w:rPr>
        <w:t>；</w:t>
      </w:r>
    </w:p>
    <w:p>
      <w:pPr>
        <w:numPr>
          <w:ilvl w:val="0"/>
          <w:numId w:val="4"/>
        </w:numPr>
        <w:ind w:firstLine="480"/>
        <w:rPr>
          <w:color w:val="FF0000"/>
        </w:rPr>
      </w:pPr>
      <w:r>
        <w:rPr>
          <w:rFonts w:hint="eastAsia"/>
          <w:color w:val="FF0000"/>
        </w:rPr>
        <w:t>周围居民是否同意本项目建设。</w:t>
      </w:r>
    </w:p>
    <w:p>
      <w:pPr>
        <w:bidi w:val="0"/>
        <w:rPr>
          <w:color w:val="FF0000"/>
        </w:rPr>
      </w:pPr>
      <w:r>
        <w:rPr>
          <w:rFonts w:hint="eastAsia"/>
          <w:color w:val="FF0000"/>
        </w:rPr>
        <w:t>通过预测、类比分析等方法，分析项目对环境影响程度及影响范围，并提出针对性的环保措施。本项目以生态农业、节能减排、综合利用、循环经济为理念，建立的饲料加工一肉羊养殖一废物利用的循环经济产业链工程符合国家产业政策和当地发展规划</w:t>
      </w:r>
      <w:r>
        <w:rPr>
          <w:rFonts w:hint="eastAsia"/>
          <w:color w:val="FF0000"/>
          <w:lang w:eastAsia="zh-CN"/>
        </w:rPr>
        <w:t>，</w:t>
      </w:r>
      <w:r>
        <w:rPr>
          <w:rFonts w:hint="eastAsia"/>
          <w:color w:val="FF0000"/>
          <w:lang w:val="en-US" w:eastAsia="zh-CN"/>
        </w:rPr>
        <w:t>同时</w:t>
      </w:r>
      <w:r>
        <w:rPr>
          <w:rFonts w:hint="eastAsia"/>
          <w:color w:val="FF0000"/>
        </w:rPr>
        <w:t>工程建设所选工艺路线污染物产生量小，符合清洁生产的要求</w:t>
      </w:r>
      <w:r>
        <w:rPr>
          <w:rFonts w:hint="eastAsia"/>
          <w:color w:val="FF0000"/>
          <w:lang w:eastAsia="zh-CN"/>
        </w:rPr>
        <w:t>；</w:t>
      </w:r>
      <w:r>
        <w:rPr>
          <w:rFonts w:hint="eastAsia"/>
          <w:color w:val="FF0000"/>
        </w:rPr>
        <w:t>厂址符合环境可行性和区域规划要求</w:t>
      </w:r>
      <w:r>
        <w:rPr>
          <w:rFonts w:hint="eastAsia"/>
          <w:color w:val="FF0000"/>
          <w:lang w:eastAsia="zh-CN"/>
        </w:rPr>
        <w:t>；</w:t>
      </w:r>
      <w:r>
        <w:rPr>
          <w:rFonts w:hint="eastAsia"/>
          <w:color w:val="FF0000"/>
        </w:rPr>
        <w:t>项目在严格采取本评价提出的各项环保措施后，各污染物可以稳定达标排放，对区域环境影响较小。</w:t>
      </w:r>
    </w:p>
    <w:p>
      <w:pPr>
        <w:pStyle w:val="3"/>
        <w:spacing w:before="120" w:after="120"/>
        <w:rPr>
          <w:color w:val="auto"/>
        </w:rPr>
      </w:pPr>
      <w:bookmarkStart w:id="29" w:name="_Toc6871"/>
      <w:r>
        <w:rPr>
          <w:rFonts w:hint="eastAsia"/>
          <w:color w:val="auto"/>
        </w:rPr>
        <w:t>环境影响评价的主要结论</w:t>
      </w:r>
      <w:bookmarkEnd w:id="26"/>
      <w:bookmarkEnd w:id="27"/>
      <w:bookmarkEnd w:id="28"/>
      <w:bookmarkEnd w:id="29"/>
    </w:p>
    <w:p>
      <w:pPr>
        <w:ind w:firstLine="480"/>
      </w:pPr>
      <w:r>
        <w:rPr>
          <w:rFonts w:hint="eastAsia"/>
        </w:rPr>
        <w:t>项目为肉羊养殖园区建设项目，采用农业循环经济发展模式进行养殖，符合国家当前产业政策及内蒙古自治区发展要求，其选址不属于禁养区和限养区范围内，场址选址可行，具有良好的社会经济效益。</w:t>
      </w:r>
    </w:p>
    <w:p>
      <w:pPr>
        <w:ind w:firstLine="480"/>
      </w:pPr>
      <w:r>
        <w:rPr>
          <w:rFonts w:hint="eastAsia"/>
        </w:rPr>
        <w:t>项目建设符合自治区“三线一单”的管控原则，拟定的各项环保措施有效、可行，各类污染物可实现稳定达标排放及资源化利用，对周边环境影响较小；项目发生环境风险事故的概率较低，其潜在的风险水平可以接受；公众参与调查阶段，未收到对项目反对意见。因此，只要该项目在下一步的建设和运行中，认真落实本报告提出的各项环保措施，并严格执行环保“三同时”制度，本次评价认为：从环境保护角度分析，项目建设是可行的。</w:t>
      </w:r>
    </w:p>
    <w:p>
      <w:pPr>
        <w:pStyle w:val="2"/>
        <w:spacing w:before="120" w:after="120"/>
        <w:rPr>
          <w:color w:val="auto"/>
        </w:rPr>
      </w:pPr>
      <w:bookmarkStart w:id="30" w:name="_Toc24340205"/>
      <w:bookmarkStart w:id="31" w:name="_Toc24447053"/>
      <w:bookmarkStart w:id="32" w:name="_Toc24447600"/>
      <w:bookmarkStart w:id="33" w:name="_Toc6038"/>
      <w:r>
        <w:rPr>
          <w:rFonts w:hint="eastAsia"/>
          <w:color w:val="auto"/>
        </w:rPr>
        <w:t>总则</w:t>
      </w:r>
      <w:bookmarkEnd w:id="30"/>
      <w:bookmarkEnd w:id="31"/>
      <w:bookmarkEnd w:id="32"/>
      <w:bookmarkEnd w:id="33"/>
    </w:p>
    <w:p>
      <w:pPr>
        <w:pStyle w:val="3"/>
        <w:spacing w:before="120" w:after="120"/>
        <w:rPr>
          <w:color w:val="auto"/>
        </w:rPr>
      </w:pPr>
      <w:bookmarkStart w:id="34" w:name="_Toc24340206"/>
      <w:bookmarkStart w:id="35" w:name="_Toc24447054"/>
      <w:bookmarkStart w:id="36" w:name="_Toc14660"/>
      <w:bookmarkStart w:id="37" w:name="_Toc24447601"/>
      <w:r>
        <w:rPr>
          <w:rFonts w:hint="eastAsia"/>
          <w:color w:val="auto"/>
        </w:rPr>
        <w:t>编制依据</w:t>
      </w:r>
      <w:bookmarkEnd w:id="34"/>
      <w:bookmarkEnd w:id="35"/>
      <w:bookmarkEnd w:id="36"/>
      <w:bookmarkEnd w:id="37"/>
    </w:p>
    <w:p>
      <w:pPr>
        <w:pStyle w:val="4"/>
        <w:spacing w:before="120" w:after="120"/>
        <w:rPr>
          <w:color w:val="auto"/>
        </w:rPr>
      </w:pPr>
      <w:bookmarkStart w:id="38" w:name="_Toc24447055"/>
      <w:r>
        <w:rPr>
          <w:rFonts w:hint="eastAsia"/>
          <w:color w:val="auto"/>
        </w:rPr>
        <w:t>任务依据</w:t>
      </w:r>
      <w:bookmarkEnd w:id="38"/>
    </w:p>
    <w:p>
      <w:pPr>
        <w:ind w:firstLine="480"/>
      </w:pPr>
      <w:r>
        <w:rPr>
          <w:rFonts w:hint="eastAsia"/>
        </w:rPr>
        <w:t>（</w:t>
      </w:r>
      <w:r>
        <w:t>1</w:t>
      </w:r>
      <w:r>
        <w:rPr>
          <w:rFonts w:hint="eastAsia"/>
        </w:rPr>
        <w:t>）项目环境影响评价委托书，</w:t>
      </w:r>
      <w:r>
        <w:t>20</w:t>
      </w:r>
      <w:r>
        <w:rPr>
          <w:rFonts w:hint="eastAsia"/>
        </w:rPr>
        <w:t>23年8月5日，见附件一。</w:t>
      </w:r>
    </w:p>
    <w:p>
      <w:pPr>
        <w:ind w:firstLine="480"/>
      </w:pPr>
      <w:r>
        <w:rPr>
          <w:rFonts w:hint="eastAsia"/>
        </w:rPr>
        <w:t>（</w:t>
      </w:r>
      <w:r>
        <w:t>2</w:t>
      </w:r>
      <w:r>
        <w:rPr>
          <w:rFonts w:hint="eastAsia"/>
        </w:rPr>
        <w:t>）项目备案告知书（</w:t>
      </w:r>
      <w:r>
        <w:rPr>
          <w:szCs w:val="22"/>
        </w:rPr>
        <w:t>备案号为</w:t>
      </w:r>
      <w:r>
        <w:rPr>
          <w:rFonts w:hint="eastAsia"/>
          <w:szCs w:val="22"/>
        </w:rPr>
        <w:t>2302</w:t>
      </w:r>
      <w:r>
        <w:rPr>
          <w:szCs w:val="22"/>
        </w:rPr>
        <w:t>-150821-0</w:t>
      </w:r>
      <w:r>
        <w:rPr>
          <w:rFonts w:hint="eastAsia"/>
          <w:szCs w:val="22"/>
        </w:rPr>
        <w:t>4</w:t>
      </w:r>
      <w:r>
        <w:rPr>
          <w:szCs w:val="22"/>
        </w:rPr>
        <w:t>-01-</w:t>
      </w:r>
      <w:r>
        <w:rPr>
          <w:rFonts w:hint="eastAsia"/>
          <w:szCs w:val="22"/>
        </w:rPr>
        <w:t>991520</w:t>
      </w:r>
      <w:r>
        <w:rPr>
          <w:rFonts w:hint="eastAsia"/>
        </w:rPr>
        <w:t>），见附件二。</w:t>
      </w:r>
    </w:p>
    <w:p>
      <w:pPr>
        <w:ind w:firstLine="480"/>
      </w:pPr>
      <w:r>
        <w:rPr>
          <w:rFonts w:hint="eastAsia"/>
        </w:rPr>
        <w:t>（</w:t>
      </w:r>
      <w:r>
        <w:t>3</w:t>
      </w:r>
      <w:r>
        <w:rPr>
          <w:rFonts w:hint="eastAsia"/>
        </w:rPr>
        <w:t>）《内蒙古春园满循环农业科技有限公司粉煤灰建筑地基评估报告》（内蒙古和合生态环保技术咨询有限公司，2023年6月）及巴彦淖尔市生态环境局关于对《内蒙古春园满循环农业科技有限公司利用粉煤灰建筑地基评估报备的申请》的回复（巴环函[2023]20号，2023年7月11日）</w:t>
      </w:r>
      <w:r>
        <w:rPr>
          <w:rFonts w:hint="eastAsia"/>
          <w:lang w:eastAsia="zh-CN"/>
        </w:rPr>
        <w:t>，</w:t>
      </w:r>
      <w:r>
        <w:rPr>
          <w:rFonts w:hint="eastAsia"/>
          <w:lang w:val="en-US" w:eastAsia="zh-CN"/>
        </w:rPr>
        <w:t>回复文件见附件四</w:t>
      </w:r>
      <w:r>
        <w:rPr>
          <w:rFonts w:hint="eastAsia"/>
        </w:rPr>
        <w:t>。</w:t>
      </w:r>
    </w:p>
    <w:p>
      <w:pPr>
        <w:ind w:firstLine="480"/>
      </w:pPr>
      <w:r>
        <w:rPr>
          <w:rFonts w:hint="eastAsia"/>
        </w:rPr>
        <w:t>（4）建设单位提供的其他工程技术资料。</w:t>
      </w:r>
    </w:p>
    <w:p>
      <w:pPr>
        <w:pStyle w:val="4"/>
        <w:spacing w:before="120" w:after="120"/>
        <w:rPr>
          <w:color w:val="auto"/>
        </w:rPr>
      </w:pPr>
      <w:bookmarkStart w:id="39" w:name="_Toc24447056"/>
      <w:r>
        <w:rPr>
          <w:rFonts w:hint="eastAsia"/>
          <w:color w:val="auto"/>
        </w:rPr>
        <w:t>国家法律、法规及政策性依据</w:t>
      </w:r>
      <w:bookmarkEnd w:id="39"/>
    </w:p>
    <w:p>
      <w:pPr>
        <w:ind w:firstLine="480"/>
      </w:pPr>
      <w:r>
        <w:rPr>
          <w:rFonts w:hint="eastAsia"/>
        </w:rPr>
        <w:t>（1）《中华人民共和国环境保护法》，2015.1.1施行；</w:t>
      </w:r>
    </w:p>
    <w:p>
      <w:pPr>
        <w:ind w:firstLine="480"/>
      </w:pPr>
      <w:r>
        <w:rPr>
          <w:rFonts w:hint="eastAsia"/>
        </w:rPr>
        <w:t>（2）《中华人民共和国环境影响评价法》，2018.12.29修订并施行；</w:t>
      </w:r>
    </w:p>
    <w:p>
      <w:pPr>
        <w:ind w:firstLine="480"/>
      </w:pPr>
      <w:r>
        <w:rPr>
          <w:rFonts w:hint="eastAsia"/>
        </w:rPr>
        <w:t>（3）《中华人民共和国大气污染防治法》，2018.10.26修订并施行；</w:t>
      </w:r>
    </w:p>
    <w:p>
      <w:pPr>
        <w:ind w:firstLine="480"/>
      </w:pPr>
      <w:r>
        <w:rPr>
          <w:rFonts w:hint="eastAsia"/>
        </w:rPr>
        <w:t>（4）《中华人民共和国水污染防治法》，2018.1.1施行；</w:t>
      </w:r>
    </w:p>
    <w:p>
      <w:pPr>
        <w:ind w:firstLine="480"/>
      </w:pPr>
      <w:r>
        <w:rPr>
          <w:rFonts w:hint="eastAsia"/>
        </w:rPr>
        <w:t>（5）《中华人民共和国固体废物污染环境防治法》，2020.9.1施行；</w:t>
      </w:r>
    </w:p>
    <w:p>
      <w:pPr>
        <w:ind w:firstLine="480"/>
      </w:pPr>
      <w:r>
        <w:rPr>
          <w:rFonts w:hint="eastAsia"/>
        </w:rPr>
        <w:t>（6）《中华人民共和国噪声污染防治法》，2022.6.5施行；</w:t>
      </w:r>
    </w:p>
    <w:p>
      <w:pPr>
        <w:ind w:firstLine="480"/>
      </w:pPr>
      <w:r>
        <w:rPr>
          <w:rFonts w:hint="eastAsia"/>
        </w:rPr>
        <w:t>（7）《中华人民共和国土壤污染防治法》2019.1.1日施行；</w:t>
      </w:r>
    </w:p>
    <w:p>
      <w:pPr>
        <w:ind w:firstLine="480"/>
      </w:pPr>
      <w:r>
        <w:rPr>
          <w:rFonts w:hint="eastAsia"/>
        </w:rPr>
        <w:t>（8）《建设项目环境保护管理条例》（国务院令第682号），2017.10.1施行；</w:t>
      </w:r>
    </w:p>
    <w:p>
      <w:pPr>
        <w:ind w:firstLine="480"/>
      </w:pPr>
      <w:r>
        <w:rPr>
          <w:rFonts w:hint="eastAsia"/>
        </w:rPr>
        <w:t>（9）《中华人民共和国循环经济促进法》，2018.10.26修订并施行；</w:t>
      </w:r>
    </w:p>
    <w:p>
      <w:pPr>
        <w:ind w:firstLine="480"/>
      </w:pPr>
      <w:r>
        <w:rPr>
          <w:rFonts w:hint="eastAsia"/>
        </w:rPr>
        <w:t>（10）《中华人民共和国节约能源法》，2018.10.26修订并施行；</w:t>
      </w:r>
    </w:p>
    <w:p>
      <w:pPr>
        <w:ind w:firstLine="480"/>
      </w:pPr>
      <w:r>
        <w:rPr>
          <w:rFonts w:hint="eastAsia"/>
        </w:rPr>
        <w:t>（11）《中华人民共和国畜牧法》，2023年3月1日起施行；</w:t>
      </w:r>
    </w:p>
    <w:p>
      <w:pPr>
        <w:ind w:firstLine="480"/>
      </w:pPr>
      <w:r>
        <w:rPr>
          <w:rFonts w:hint="eastAsia"/>
        </w:rPr>
        <w:t>（12）《中华人民共和国农业法》，2013.1.1施行；</w:t>
      </w:r>
    </w:p>
    <w:p>
      <w:pPr>
        <w:ind w:firstLine="480"/>
      </w:pPr>
      <w:r>
        <w:rPr>
          <w:rFonts w:hint="eastAsia"/>
        </w:rPr>
        <w:t>（13）《地下水管理条例》（中华人民共和国国务院令 第748号），2021.12.1；</w:t>
      </w:r>
    </w:p>
    <w:p>
      <w:pPr>
        <w:ind w:firstLine="480"/>
      </w:pPr>
      <w:r>
        <w:rPr>
          <w:rFonts w:hint="eastAsia"/>
        </w:rPr>
        <w:t>（14）《建设项目环境影响评价分类管理名录》（生态环境部令第16号），2021.1.1实施；</w:t>
      </w:r>
    </w:p>
    <w:p>
      <w:pPr>
        <w:ind w:firstLine="480"/>
      </w:pPr>
      <w:r>
        <w:rPr>
          <w:rFonts w:hint="eastAsia"/>
        </w:rPr>
        <w:t>（15）《国家危险废物名录》（生态环境部、国家发展和改革委员会、公安部、交通运输部、国家卫生健康委员会，生态环境部令第15号），2021.1.1实施；</w:t>
      </w:r>
    </w:p>
    <w:p>
      <w:pPr>
        <w:ind w:firstLine="480"/>
        <w:rPr>
          <w:color w:val="auto"/>
        </w:rPr>
      </w:pPr>
      <w:r>
        <w:rPr>
          <w:rFonts w:hint="eastAsia"/>
          <w:color w:val="auto"/>
        </w:rPr>
        <w:t>（16）《危险废物污染防治技术政策》（环发[2001]199号），2001.12.17实施；</w:t>
      </w:r>
    </w:p>
    <w:p>
      <w:pPr>
        <w:ind w:firstLine="480"/>
      </w:pPr>
      <w:r>
        <w:rPr>
          <w:rFonts w:hint="eastAsia"/>
        </w:rPr>
        <w:t>（17）《关于做好环境影响评价制度与排污许可制衔接相关工作的通知》（环境保护部，环办环评[2017]84号），2017年11月15日实施；</w:t>
      </w:r>
    </w:p>
    <w:p>
      <w:pPr>
        <w:ind w:firstLine="480"/>
      </w:pPr>
      <w:r>
        <w:rPr>
          <w:rFonts w:hint="eastAsia"/>
        </w:rPr>
        <w:t>（18）《危险废物转移管理办法》（生态环境部令 第23号，生态环境部、公安部、交通运输部），2022年1月1日起施行；</w:t>
      </w:r>
    </w:p>
    <w:p>
      <w:pPr>
        <w:ind w:firstLine="480"/>
      </w:pPr>
      <w:r>
        <w:rPr>
          <w:rFonts w:hint="eastAsia"/>
        </w:rPr>
        <w:t>（19）《环境影响评价公众参与办法》（生态环境部令第4号）；</w:t>
      </w:r>
    </w:p>
    <w:p>
      <w:pPr>
        <w:ind w:firstLine="480"/>
      </w:pPr>
      <w:r>
        <w:rPr>
          <w:rFonts w:hint="eastAsia"/>
        </w:rPr>
        <w:t>（20）《国土资源部、国家发改委关于发布实施&lt;限制用地项目目录（2012年本）&gt;和&lt;禁止用地目录（2012年本）&gt;的通知》；</w:t>
      </w:r>
    </w:p>
    <w:p>
      <w:pPr>
        <w:ind w:firstLine="480"/>
      </w:pPr>
      <w:r>
        <w:rPr>
          <w:rFonts w:hint="eastAsia"/>
        </w:rPr>
        <w:t>（21）《畜禽规模养殖污染防治条例》（国务院令第643号）；</w:t>
      </w:r>
    </w:p>
    <w:p>
      <w:pPr>
        <w:ind w:firstLine="480"/>
      </w:pPr>
      <w:r>
        <w:rPr>
          <w:rFonts w:hint="eastAsia"/>
        </w:rPr>
        <w:t>（22）《国务院办公厅关于建立病死畜禽无害化处理机制的意见》（国办发[2014]47号）；</w:t>
      </w:r>
    </w:p>
    <w:p>
      <w:pPr>
        <w:ind w:firstLine="480"/>
      </w:pPr>
      <w:r>
        <w:rPr>
          <w:rFonts w:hint="eastAsia"/>
        </w:rPr>
        <w:t>（23）《国务院关于加快推进畜禽养殖废弃物资源化利用的意见》（国办发[2017]48号）；</w:t>
      </w:r>
    </w:p>
    <w:p>
      <w:pPr>
        <w:ind w:firstLine="480"/>
      </w:pPr>
      <w:r>
        <w:rPr>
          <w:rFonts w:hint="eastAsia"/>
        </w:rPr>
        <w:t>（24）《环境保护部农业部关于进一步加强畜禽养殖污染防治工作的通知》（环水体[2016]144号）；</w:t>
      </w:r>
    </w:p>
    <w:p>
      <w:pPr>
        <w:ind w:firstLine="480"/>
      </w:pPr>
      <w:r>
        <w:rPr>
          <w:rFonts w:hint="eastAsia"/>
        </w:rPr>
        <w:t>（25）《关于做好畜禽规模养殖项目环境影响评价管理工作的通知》（环办环评[2018]31号）；</w:t>
      </w:r>
    </w:p>
    <w:p>
      <w:pPr>
        <w:ind w:firstLine="480"/>
      </w:pPr>
      <w:r>
        <w:rPr>
          <w:rFonts w:hint="eastAsia"/>
        </w:rPr>
        <w:t>（26）《农业部办公厅关于印发&lt;畜禽规模养殖场粪污资源化利用设施建设规范（试行）&gt;的通知》（农办牧[2018]2号）；</w:t>
      </w:r>
    </w:p>
    <w:p>
      <w:pPr>
        <w:ind w:firstLine="480"/>
      </w:pPr>
      <w:r>
        <w:rPr>
          <w:rFonts w:hint="eastAsia"/>
        </w:rPr>
        <w:t>（27）《病死及病害动物无害化处理技术规范的通知》（农医发〔2017〕25号）；</w:t>
      </w:r>
    </w:p>
    <w:p>
      <w:pPr>
        <w:ind w:firstLine="480"/>
      </w:pPr>
      <w:r>
        <w:rPr>
          <w:rFonts w:hint="eastAsia"/>
        </w:rPr>
        <w:t>（28）《国务院办公厅关于加快推进畜禽养殖废弃物资源化利用的意见》（国办发〔2017〕48号）；</w:t>
      </w:r>
    </w:p>
    <w:p>
      <w:pPr>
        <w:ind w:firstLine="480"/>
      </w:pPr>
      <w:r>
        <w:rPr>
          <w:rFonts w:hint="eastAsia"/>
        </w:rPr>
        <w:t>（29）《关于促进规模化畜禽养殖有关用地政策的通知》（国土资发〔2007〕220号）；</w:t>
      </w:r>
    </w:p>
    <w:p>
      <w:pPr>
        <w:ind w:firstLine="480"/>
      </w:pPr>
      <w:r>
        <w:rPr>
          <w:rFonts w:hint="eastAsia"/>
        </w:rPr>
        <w:t>（30）《关于促进畜禽粪污还田利用依法加强养殖污染治理的指导意见》（农业农村部办公厅、生态环境部办公厅农办牧〔2019〕84号）；</w:t>
      </w:r>
    </w:p>
    <w:p>
      <w:pPr>
        <w:ind w:firstLine="480"/>
      </w:pPr>
      <w:r>
        <w:rPr>
          <w:rFonts w:hint="eastAsia"/>
        </w:rPr>
        <w:t>（31）《关于进一步明确畜禽粪污还田利用要求强化养殖污染监管的通知》（农业农村部、生态环境部，农办牧〔2020〕23号）。</w:t>
      </w:r>
    </w:p>
    <w:p>
      <w:pPr>
        <w:pStyle w:val="4"/>
        <w:spacing w:before="120" w:after="120"/>
        <w:rPr>
          <w:color w:val="auto"/>
        </w:rPr>
      </w:pPr>
      <w:r>
        <w:rPr>
          <w:rFonts w:hint="eastAsia"/>
          <w:color w:val="auto"/>
        </w:rPr>
        <w:t>相关政策</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（1）《产业结构调整指导目录（2019年本）》及其修改单（国家发改委令2019年第29号），2021.12.30日施行；</w:t>
      </w:r>
    </w:p>
    <w:p>
      <w:pPr>
        <w:pStyle w:val="4"/>
      </w:pPr>
      <w:r>
        <w:rPr>
          <w:rFonts w:hint="eastAsia"/>
        </w:rPr>
        <w:t>地方性法规及规范性文件</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（1）《内蒙古自治区限制开发区域限制类和禁止类产业指导目录（2016年本）》（内政办发〔2016〕127号），2016.9.14；</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（2）《内蒙古自治区环境保护条例》（2018年修正）；</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（3）《内蒙古自治区人民政府关于印发自治区国家重点生态功能区产业准入负面清单（试行）》（内政发〔2018〕11号），2018.3.12。</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（4）《关于进一步贯彻落实《畜禽规模养殖污染防治条例》促进养殖废弃物综合利用加强污染防治的通知》（内农牧畜发﹝2016﹞228号）；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（5）《关于病死畜禽无害化处理工作的实施意见》（内政办发〔2015〕54号）；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（6）《内蒙古自治区畜禽养殖主要污染物减排工程项目建设技术指南（试行）》（内环发〔2014〕83号）；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（7）《内蒙古自治区人民政府办公厅关于印发畜禽粪污资源化利用工作方案（2017—2020年）的通知》（内政办字〔2017〕179号）；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8</w:t>
      </w:r>
      <w:r>
        <w:rPr>
          <w:rFonts w:hint="eastAsia"/>
          <w:color w:val="000000" w:themeColor="text1"/>
          <w14:textFill>
            <w14:solidFill>
              <w14:schemeClr w14:val="tx1"/>
            </w14:solidFill>
          </w14:textFill>
        </w:rPr>
        <w:t>）《内蒙古自治区人民政府关于实施“三线一单”生态环境分区管控的意见》（内政发〔2020〕24号）；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）《关于确保完成“十四五”能耗双控目标若干保障措施》（内蒙古自治区发展改革委、工信厅、能源局，内发改环资字〔2021〕209号）；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）《巴彦淖尔市大气污染防治条例》，2019年10月1日；</w:t>
      </w:r>
    </w:p>
    <w:p>
      <w:pPr>
        <w:ind w:firstLine="480"/>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《巴彦淖尔市国民经济和社会发展第十四个五年规划和2035年远景目标纲要》。</w:t>
      </w:r>
    </w:p>
    <w:p>
      <w:pPr>
        <w:pStyle w:val="4"/>
        <w:spacing w:before="120" w:after="120"/>
        <w:rPr>
          <w:color w:val="auto"/>
        </w:rPr>
      </w:pPr>
      <w:bookmarkStart w:id="40" w:name="_Toc24447058"/>
      <w:r>
        <w:rPr>
          <w:rFonts w:hint="eastAsia"/>
          <w:color w:val="auto"/>
        </w:rPr>
        <w:t>编制技术依据</w:t>
      </w:r>
      <w:bookmarkEnd w:id="40"/>
    </w:p>
    <w:p>
      <w:pPr>
        <w:ind w:firstLine="480"/>
        <w:rPr>
          <w:color w:val="000000" w:themeColor="text1"/>
          <w14:textFill>
            <w14:solidFill>
              <w14:schemeClr w14:val="tx1"/>
            </w14:solidFill>
          </w14:textFill>
        </w:rPr>
      </w:pPr>
      <w:bookmarkStart w:id="41" w:name="_Toc24447059"/>
      <w:bookmarkStart w:id="42" w:name="_Toc24447602"/>
      <w:bookmarkStart w:id="43" w:name="_Toc24340207"/>
      <w:r>
        <w:rPr>
          <w:color w:val="000000" w:themeColor="text1"/>
          <w14:textFill>
            <w14:solidFill>
              <w14:schemeClr w14:val="tx1"/>
            </w14:solidFill>
          </w14:textFill>
        </w:rPr>
        <w:t>（1）《环境影响评价技术导则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总纲》（HJ2.1-2016）；</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（2）《环境影响评价技术导则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大气环境》（HJ2.2-2018）；</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声环境》（HJ2.4-</w:t>
      </w:r>
      <w:r>
        <w:rPr>
          <w:rFonts w:hint="eastAsia"/>
          <w:color w:val="000000" w:themeColor="text1"/>
          <w14:textFill>
            <w14:solidFill>
              <w14:schemeClr w14:val="tx1"/>
            </w14:solidFill>
          </w14:textFill>
        </w:rPr>
        <w:t>2021</w:t>
      </w:r>
      <w:r>
        <w:rPr>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地下水环境》（HJ610-2016）；</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（5）《环境影响评价技术导则 地表水环境》（HJ2.3-2018）</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《环境影响评价技术导则 土壤环境（试行）》（HJ964—2018）；</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生态影响》（HJ19-2022）；</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《建设项目环境风险评价技术导则》</w:t>
      </w:r>
      <w:bookmarkStart w:id="44" w:name="OLE_LINK8"/>
      <w:bookmarkStart w:id="45" w:name="OLE_LINK7"/>
      <w:r>
        <w:rPr>
          <w:color w:val="000000" w:themeColor="text1"/>
          <w14:textFill>
            <w14:solidFill>
              <w14:schemeClr w14:val="tx1"/>
            </w14:solidFill>
          </w14:textFill>
        </w:rPr>
        <w:t>（HJ169-20</w:t>
      </w:r>
      <w:bookmarkEnd w:id="44"/>
      <w:bookmarkEnd w:id="45"/>
      <w:r>
        <w:rPr>
          <w:color w:val="000000" w:themeColor="text1"/>
          <w14:textFill>
            <w14:solidFill>
              <w14:schemeClr w14:val="tx1"/>
            </w14:solidFill>
          </w14:textFill>
        </w:rPr>
        <w:t>18）</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（9）《排污许可证申请与核发技术规范 畜禽养殖行业》（HJ1029-2019)；</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（10）《污染源源强核算技术指南 准则》（HJ884-2018）；</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（11）《排污单位自行监测技术指南 总则》（HJ819-2017）；</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（12）《畜禽养殖业污染防治技术规范》（HJ/T81-2001）；</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（13）《畜禽养殖业污染治理工程技术规范》（HJ497-2009）；</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（14）《病害动物和病害动物产品生物安全处理规程》（GB16548-2006）；</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（15）《病死及病害动物无害化处理技术规范》（农医发[2017]25号）；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（16）《畜禽粪便无害化处理技术规范》（GB/T36195-2018）；</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（17）《粪便无害化卫生要求》（GB7959-2012）；</w:t>
      </w:r>
    </w:p>
    <w:p>
      <w:pPr>
        <w:ind w:firstLine="480"/>
        <w:rPr>
          <w:color w:val="000000" w:themeColor="text1"/>
          <w:highlight w:val="yellow"/>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14:textFill>
            <w14:solidFill>
              <w14:schemeClr w14:val="tx1"/>
            </w14:solidFill>
          </w14:textFill>
        </w:rPr>
        <w:t>18）《动物防疫条件审查办法》（农业农村部令2022年第8号）；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（19）《病害动物和病害动物产品生物安全处理规程》（GB16548-2006）；</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（20）</w:t>
      </w:r>
      <w:r>
        <w:rPr>
          <w:color w:val="000000" w:themeColor="text1"/>
          <w14:textFill>
            <w14:solidFill>
              <w14:schemeClr w14:val="tx1"/>
            </w14:solidFill>
          </w14:textFill>
        </w:rPr>
        <w:t>《畜禽规模化养殖场资源化利用设施建设规范</w:t>
      </w:r>
      <w:r>
        <w:rPr>
          <w:rFonts w:hint="eastAsia"/>
          <w:color w:val="000000" w:themeColor="text1"/>
          <w14:textFill>
            <w14:solidFill>
              <w14:schemeClr w14:val="tx1"/>
            </w14:solidFill>
          </w14:textFill>
        </w:rPr>
        <w:t>（试行）</w:t>
      </w:r>
      <w:r>
        <w:rPr>
          <w:color w:val="000000" w:themeColor="text1"/>
          <w14:textFill>
            <w14:solidFill>
              <w14:schemeClr w14:val="tx1"/>
            </w14:solidFill>
          </w14:textFill>
        </w:rPr>
        <w:t>》（农办牧〔2018〕2号）</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（21）《内蒙古自治区行业用水定额标准》（</w:t>
      </w:r>
      <w:r>
        <w:rPr>
          <w:color w:val="000000" w:themeColor="text1"/>
          <w14:textFill>
            <w14:solidFill>
              <w14:schemeClr w14:val="tx1"/>
            </w14:solidFill>
          </w14:textFill>
        </w:rPr>
        <w:t>DB15/T385-2020</w:t>
      </w:r>
      <w:r>
        <w:rPr>
          <w:rFonts w:hint="eastAsia"/>
          <w:color w:val="000000" w:themeColor="text1"/>
          <w14:textFill>
            <w14:solidFill>
              <w14:schemeClr w14:val="tx1"/>
            </w14:solidFill>
          </w14:textFill>
        </w:rPr>
        <w:t>）。</w:t>
      </w:r>
    </w:p>
    <w:p>
      <w:pPr>
        <w:pStyle w:val="3"/>
        <w:spacing w:before="120" w:after="120"/>
      </w:pPr>
      <w:bookmarkStart w:id="46" w:name="_Toc20838"/>
      <w:r>
        <w:rPr>
          <w:rFonts w:hint="eastAsia"/>
        </w:rPr>
        <w:t>评价目的及指导思想</w:t>
      </w:r>
      <w:bookmarkEnd w:id="46"/>
      <w:r>
        <w:rPr>
          <w:rFonts w:hint="eastAsia"/>
        </w:rPr>
        <w:t xml:space="preserve">                                                                                                                                                                                                                                                                                                                                                                                                                                                                                                                                                                                                                                                                                                        </w:t>
      </w:r>
      <w:bookmarkEnd w:id="41"/>
      <w:bookmarkEnd w:id="42"/>
      <w:bookmarkEnd w:id="43"/>
    </w:p>
    <w:p>
      <w:pPr>
        <w:pStyle w:val="4"/>
        <w:spacing w:before="120" w:after="120"/>
        <w:rPr>
          <w:color w:val="auto"/>
        </w:rPr>
      </w:pPr>
      <w:bookmarkStart w:id="47" w:name="_Toc24447060"/>
      <w:r>
        <w:rPr>
          <w:rFonts w:hint="eastAsia"/>
          <w:color w:val="auto"/>
        </w:rPr>
        <w:t>评价目的</w:t>
      </w:r>
      <w:bookmarkEnd w:id="47"/>
    </w:p>
    <w:p>
      <w:pPr>
        <w:ind w:firstLine="480"/>
      </w:pPr>
      <w:r>
        <w:rPr>
          <w:rFonts w:hint="eastAsia"/>
        </w:rPr>
        <w:t>（1）从本项目养殖工艺、养殖规模、环保设施、厂址选择及污染物排放控制等方面进行分析，并对照国家、自治区相关产业政策，以及当地环境质量底线、资源利用上线、生态保护红线及环境准入负面清单，明确回答本项目是否符合国家、自治区及当地相关产业政策要求。</w:t>
      </w:r>
    </w:p>
    <w:p>
      <w:pPr>
        <w:ind w:firstLine="480"/>
      </w:pPr>
      <w:r>
        <w:rPr>
          <w:rFonts w:hint="eastAsia"/>
        </w:rPr>
        <w:t>（2）通过实地调查，搞清项目所处地区环境特征、环境现状以及污染源分布状况和特征，结合工程排污特点、环境保护措施和污染物排放状况，回答工程建设污染物排放是否超出环境质量底线，分析对当地环境质量的影响程度。</w:t>
      </w:r>
    </w:p>
    <w:p>
      <w:pPr>
        <w:ind w:firstLine="480"/>
      </w:pPr>
      <w:r>
        <w:rPr>
          <w:rFonts w:hint="eastAsia"/>
        </w:rPr>
        <w:t>（3）本次评价将根据产业政策、评价区域环境质量底线要求、生态保护红线要求等情况进行综合分析，明确回答厂址选择可行性。</w:t>
      </w:r>
    </w:p>
    <w:p>
      <w:pPr>
        <w:ind w:firstLine="480"/>
      </w:pPr>
      <w:r>
        <w:rPr>
          <w:rFonts w:hint="eastAsia"/>
        </w:rPr>
        <w:t>（4）综合产业政策、当地社会经济发展、环境质量底线、生态保护红线、资源利用上线、环境准入负面清单等部分的分析结论，从环保角度明确回答本项目建设可行性，为项目建设审批、环境保护、工程设计、建设管理、生产运行等提供科学依据。</w:t>
      </w:r>
    </w:p>
    <w:p>
      <w:pPr>
        <w:pStyle w:val="4"/>
        <w:spacing w:before="120" w:after="120"/>
        <w:rPr>
          <w:color w:val="auto"/>
        </w:rPr>
      </w:pPr>
      <w:bookmarkStart w:id="48" w:name="_Toc24447061"/>
      <w:r>
        <w:rPr>
          <w:rFonts w:hint="eastAsia"/>
          <w:color w:val="auto"/>
        </w:rPr>
        <w:t>评价原则及指导思想</w:t>
      </w:r>
      <w:bookmarkEnd w:id="48"/>
    </w:p>
    <w:p>
      <w:pPr>
        <w:ind w:firstLine="480"/>
      </w:pPr>
      <w:r>
        <w:rPr>
          <w:rFonts w:hint="eastAsia"/>
        </w:rPr>
        <w:t>突出环境影响评价的源头预防作用，坚持保护和改善环境质量。</w:t>
      </w:r>
    </w:p>
    <w:p>
      <w:pPr>
        <w:ind w:firstLine="480"/>
      </w:pPr>
      <w:r>
        <w:rPr>
          <w:rFonts w:hint="eastAsia"/>
        </w:rPr>
        <w:t>（</w:t>
      </w:r>
      <w:r>
        <w:t>1</w:t>
      </w:r>
      <w:r>
        <w:rPr>
          <w:rFonts w:hint="eastAsia"/>
        </w:rPr>
        <w:t>）依法评价</w:t>
      </w:r>
    </w:p>
    <w:p>
      <w:pPr>
        <w:ind w:firstLine="480"/>
      </w:pPr>
      <w:r>
        <w:rPr>
          <w:rFonts w:hint="eastAsia"/>
        </w:rPr>
        <w:t>贯彻执行我国环境保护相关法律法规、标准、政策和规划等，优化项目建设，服务环境管理。</w:t>
      </w:r>
    </w:p>
    <w:p>
      <w:pPr>
        <w:ind w:firstLine="480"/>
      </w:pPr>
      <w:r>
        <w:rPr>
          <w:rFonts w:hint="eastAsia"/>
        </w:rPr>
        <w:t>（</w:t>
      </w:r>
      <w:r>
        <w:t>2</w:t>
      </w:r>
      <w:r>
        <w:rPr>
          <w:rFonts w:hint="eastAsia"/>
        </w:rPr>
        <w:t>）科学评价</w:t>
      </w:r>
    </w:p>
    <w:p>
      <w:pPr>
        <w:ind w:firstLine="480"/>
      </w:pPr>
      <w:r>
        <w:rPr>
          <w:rFonts w:hint="eastAsia"/>
        </w:rPr>
        <w:t>规范环境影响评价方法，科学分析项目建设对环境质量的影响。</w:t>
      </w:r>
    </w:p>
    <w:p>
      <w:pPr>
        <w:ind w:firstLine="480"/>
      </w:pPr>
      <w:r>
        <w:rPr>
          <w:rFonts w:hint="eastAsia"/>
        </w:rPr>
        <w:t>（</w:t>
      </w:r>
      <w:r>
        <w:t>3</w:t>
      </w:r>
      <w:r>
        <w:rPr>
          <w:rFonts w:hint="eastAsia"/>
        </w:rPr>
        <w:t>）突出重点</w:t>
      </w:r>
    </w:p>
    <w:p>
      <w:pPr>
        <w:ind w:firstLine="480"/>
      </w:pPr>
      <w:r>
        <w:rPr>
          <w:rFonts w:hint="eastAsia"/>
        </w:rPr>
        <w:t>根据建设项目的工程内容及其特点，明确与环境要素间的作用效应关系，根据规划环境影响评价结论和审查意见，充分利用符合时效的数据资料及成果，对建设项目主要环境影响予以重点分析和评价。</w:t>
      </w:r>
    </w:p>
    <w:p>
      <w:pPr>
        <w:pStyle w:val="4"/>
        <w:spacing w:before="120" w:after="120"/>
        <w:rPr>
          <w:color w:val="auto"/>
        </w:rPr>
      </w:pPr>
      <w:bookmarkStart w:id="49" w:name="_Toc24447062"/>
      <w:r>
        <w:rPr>
          <w:rFonts w:hint="eastAsia"/>
          <w:color w:val="auto"/>
        </w:rPr>
        <w:t>评价内容与重点</w:t>
      </w:r>
      <w:bookmarkEnd w:id="49"/>
    </w:p>
    <w:p>
      <w:pPr>
        <w:ind w:firstLine="480"/>
      </w:pPr>
      <w:r>
        <w:rPr>
          <w:rFonts w:hint="eastAsia"/>
        </w:rPr>
        <w:t>本次评价的内容主要有：项目概况、工程分析、环境现状调查与评价、环境影响预测与评价、环境保护措施极其可行性论证、环境影响经济损益分析、环境管理与环境监测计划、项目相关可行性分析等。</w:t>
      </w:r>
    </w:p>
    <w:p>
      <w:pPr>
        <w:ind w:firstLine="480"/>
      </w:pPr>
      <w:r>
        <w:rPr>
          <w:rFonts w:hint="eastAsia"/>
        </w:rPr>
        <w:t>本项目关注的主要环境问题为项目选址的合理性，建成后产生的恶臭污染物采取措施后能否达标排放，对环境风险、固体废物、声环境影响评价做次要点进行分析评价。</w:t>
      </w:r>
    </w:p>
    <w:p>
      <w:pPr>
        <w:pStyle w:val="3"/>
        <w:spacing w:before="120" w:after="120"/>
        <w:rPr>
          <w:color w:val="auto"/>
        </w:rPr>
      </w:pPr>
      <w:bookmarkStart w:id="50" w:name="_Toc24447063"/>
      <w:bookmarkStart w:id="51" w:name="_Toc24340208"/>
      <w:bookmarkStart w:id="52" w:name="_Toc687"/>
      <w:bookmarkStart w:id="53" w:name="_Toc24447603"/>
      <w:r>
        <w:rPr>
          <w:rFonts w:hint="eastAsia"/>
          <w:color w:val="auto"/>
        </w:rPr>
        <w:t>环境影响识别</w:t>
      </w:r>
      <w:bookmarkEnd w:id="50"/>
      <w:bookmarkEnd w:id="51"/>
      <w:bookmarkEnd w:id="52"/>
      <w:bookmarkEnd w:id="53"/>
    </w:p>
    <w:p>
      <w:pPr>
        <w:ind w:firstLine="480"/>
      </w:pPr>
      <w:r>
        <w:rPr>
          <w:rFonts w:hint="eastAsia"/>
        </w:rPr>
        <w:t>根据项目的性质，判别项目在不同阶段对环境产生影响的因素和程度，确定项目施工期和运行期可能产生的主要环境问题，并筛选出主要评价因子，为预测评价提供依据。</w:t>
      </w:r>
    </w:p>
    <w:p>
      <w:pPr>
        <w:pStyle w:val="4"/>
      </w:pPr>
      <w:r>
        <w:rPr>
          <w:rFonts w:hint="eastAsia"/>
        </w:rPr>
        <w:t>环境影响因素识别</w:t>
      </w:r>
    </w:p>
    <w:p>
      <w:pPr>
        <w:ind w:firstLine="480"/>
      </w:pPr>
      <w:r>
        <w:rPr>
          <w:rFonts w:hint="eastAsia"/>
        </w:rPr>
        <w:t>评价根据该工程建设特征、项目区域环境现状，识别本工程项目建设的环境影响因素及环境影响效果见表</w:t>
      </w:r>
      <w:r>
        <w:t>2.3.1-1</w:t>
      </w:r>
      <w:r>
        <w:rPr>
          <w:rFonts w:hint="eastAsia"/>
        </w:rPr>
        <w:t>、</w:t>
      </w:r>
      <w:r>
        <w:t>2.3.1-2</w:t>
      </w:r>
      <w:r>
        <w:rPr>
          <w:rFonts w:hint="eastAsia"/>
        </w:rPr>
        <w:t>。</w:t>
      </w:r>
    </w:p>
    <w:p>
      <w:pPr>
        <w:pStyle w:val="6"/>
      </w:pPr>
      <w:r>
        <w:rPr>
          <w:rFonts w:hint="eastAsia"/>
        </w:rPr>
        <w:t>表</w:t>
      </w:r>
      <w:r>
        <w:t xml:space="preserve">2.3.1-1    </w:t>
      </w:r>
      <w:r>
        <w:rPr>
          <w:rFonts w:hint="eastAsia"/>
        </w:rPr>
        <w:t>工程建设的环境影响要素分析</w:t>
      </w:r>
    </w:p>
    <w:tbl>
      <w:tblPr>
        <w:tblStyle w:val="3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45"/>
        <w:gridCol w:w="2695"/>
        <w:gridCol w:w="1794"/>
        <w:gridCol w:w="17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96" w:type="pct"/>
            <w:gridSpan w:val="2"/>
            <w:vAlign w:val="center"/>
          </w:tcPr>
          <w:p>
            <w:pPr>
              <w:pStyle w:val="232"/>
            </w:pPr>
            <w:r>
              <w:rPr>
                <w:rFonts w:hint="eastAsia"/>
              </w:rPr>
              <w:t>环境影响要素</w:t>
            </w:r>
          </w:p>
        </w:tc>
        <w:tc>
          <w:tcPr>
            <w:tcW w:w="1052" w:type="pct"/>
            <w:vAlign w:val="center"/>
          </w:tcPr>
          <w:p>
            <w:pPr>
              <w:pStyle w:val="232"/>
            </w:pPr>
            <w:r>
              <w:rPr>
                <w:rFonts w:hint="eastAsia"/>
              </w:rPr>
              <w:t>施工期</w:t>
            </w:r>
          </w:p>
        </w:tc>
        <w:tc>
          <w:tcPr>
            <w:tcW w:w="1052" w:type="pct"/>
            <w:shd w:val="clear" w:color="auto" w:fill="auto"/>
            <w:vAlign w:val="center"/>
          </w:tcPr>
          <w:p>
            <w:pPr>
              <w:pStyle w:val="232"/>
              <w:rPr>
                <w:rFonts w:eastAsia="Times New Roman"/>
              </w:rPr>
            </w:pPr>
            <w:r>
              <w:rPr>
                <w:rFonts w:hint="eastAsia"/>
              </w:rPr>
              <w:t>营运期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restart"/>
            <w:vAlign w:val="center"/>
          </w:tcPr>
          <w:p>
            <w:pPr>
              <w:pStyle w:val="232"/>
            </w:pPr>
            <w:r>
              <w:rPr>
                <w:rFonts w:hint="eastAsia"/>
              </w:rPr>
              <w:t>自然环境</w:t>
            </w:r>
          </w:p>
        </w:tc>
        <w:tc>
          <w:tcPr>
            <w:tcW w:w="1580" w:type="pct"/>
            <w:vAlign w:val="center"/>
          </w:tcPr>
          <w:p>
            <w:pPr>
              <w:pStyle w:val="232"/>
            </w:pPr>
            <w:r>
              <w:rPr>
                <w:rFonts w:hint="eastAsia"/>
              </w:rPr>
              <w:t>环境空气</w:t>
            </w:r>
          </w:p>
        </w:tc>
        <w:tc>
          <w:tcPr>
            <w:tcW w:w="1052" w:type="pct"/>
            <w:vAlign w:val="center"/>
          </w:tcPr>
          <w:p>
            <w:pPr>
              <w:pStyle w:val="232"/>
            </w:pPr>
            <w:r>
              <w:t>-1</w:t>
            </w:r>
          </w:p>
        </w:tc>
        <w:tc>
          <w:tcPr>
            <w:tcW w:w="1052" w:type="pct"/>
            <w:vAlign w:val="center"/>
          </w:tcPr>
          <w:p>
            <w:pPr>
              <w:pStyle w:val="232"/>
            </w:pPr>
            <w:r>
              <w:t>-</w:t>
            </w:r>
            <w:r>
              <w:rPr>
                <w:rFonts w:hint="eastAsia"/>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continue"/>
            <w:vAlign w:val="center"/>
          </w:tcPr>
          <w:p>
            <w:pPr>
              <w:pStyle w:val="232"/>
            </w:pPr>
          </w:p>
        </w:tc>
        <w:tc>
          <w:tcPr>
            <w:tcW w:w="1580" w:type="pct"/>
            <w:vAlign w:val="center"/>
          </w:tcPr>
          <w:p>
            <w:pPr>
              <w:pStyle w:val="232"/>
            </w:pPr>
            <w:r>
              <w:rPr>
                <w:rFonts w:hint="eastAsia"/>
              </w:rPr>
              <w:t>地表水水质</w:t>
            </w:r>
          </w:p>
        </w:tc>
        <w:tc>
          <w:tcPr>
            <w:tcW w:w="1052" w:type="pct"/>
            <w:vAlign w:val="center"/>
          </w:tcPr>
          <w:p>
            <w:pPr>
              <w:pStyle w:val="232"/>
            </w:pPr>
            <w:r>
              <w:t>0</w:t>
            </w:r>
          </w:p>
        </w:tc>
        <w:tc>
          <w:tcPr>
            <w:tcW w:w="1052" w:type="pct"/>
            <w:vAlign w:val="center"/>
          </w:tcPr>
          <w:p>
            <w:pPr>
              <w:pStyle w:val="232"/>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continue"/>
            <w:vAlign w:val="center"/>
          </w:tcPr>
          <w:p>
            <w:pPr>
              <w:pStyle w:val="232"/>
            </w:pPr>
          </w:p>
        </w:tc>
        <w:tc>
          <w:tcPr>
            <w:tcW w:w="1580" w:type="pct"/>
            <w:vAlign w:val="center"/>
          </w:tcPr>
          <w:p>
            <w:pPr>
              <w:pStyle w:val="232"/>
            </w:pPr>
            <w:r>
              <w:rPr>
                <w:rFonts w:hint="eastAsia"/>
              </w:rPr>
              <w:t>环境噪声</w:t>
            </w:r>
          </w:p>
        </w:tc>
        <w:tc>
          <w:tcPr>
            <w:tcW w:w="1052" w:type="pct"/>
            <w:vAlign w:val="center"/>
          </w:tcPr>
          <w:p>
            <w:pPr>
              <w:pStyle w:val="232"/>
            </w:pPr>
            <w:r>
              <w:t>-1</w:t>
            </w:r>
          </w:p>
        </w:tc>
        <w:tc>
          <w:tcPr>
            <w:tcW w:w="1052" w:type="pct"/>
            <w:vAlign w:val="center"/>
          </w:tcPr>
          <w:p>
            <w:pPr>
              <w:pStyle w:val="232"/>
            </w:pPr>
            <w: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continue"/>
            <w:vAlign w:val="center"/>
          </w:tcPr>
          <w:p>
            <w:pPr>
              <w:pStyle w:val="232"/>
            </w:pPr>
          </w:p>
        </w:tc>
        <w:tc>
          <w:tcPr>
            <w:tcW w:w="1580" w:type="pct"/>
            <w:vAlign w:val="center"/>
          </w:tcPr>
          <w:p>
            <w:pPr>
              <w:pStyle w:val="232"/>
            </w:pPr>
            <w:r>
              <w:rPr>
                <w:rFonts w:hint="eastAsia"/>
              </w:rPr>
              <w:t>土壤</w:t>
            </w:r>
          </w:p>
        </w:tc>
        <w:tc>
          <w:tcPr>
            <w:tcW w:w="1052" w:type="pct"/>
            <w:vAlign w:val="center"/>
          </w:tcPr>
          <w:p>
            <w:pPr>
              <w:pStyle w:val="232"/>
            </w:pPr>
            <w:r>
              <w:t>-1</w:t>
            </w:r>
          </w:p>
        </w:tc>
        <w:tc>
          <w:tcPr>
            <w:tcW w:w="1052" w:type="pct"/>
            <w:vAlign w:val="center"/>
          </w:tcPr>
          <w:p>
            <w:pPr>
              <w:pStyle w:val="232"/>
            </w:pPr>
            <w: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restart"/>
            <w:vAlign w:val="center"/>
          </w:tcPr>
          <w:p>
            <w:pPr>
              <w:pStyle w:val="232"/>
            </w:pPr>
            <w:r>
              <w:rPr>
                <w:rFonts w:hint="eastAsia"/>
              </w:rPr>
              <w:t>生态环境</w:t>
            </w:r>
          </w:p>
        </w:tc>
        <w:tc>
          <w:tcPr>
            <w:tcW w:w="1580" w:type="pct"/>
            <w:vAlign w:val="center"/>
          </w:tcPr>
          <w:p>
            <w:pPr>
              <w:pStyle w:val="232"/>
            </w:pPr>
            <w:r>
              <w:rPr>
                <w:rFonts w:hint="eastAsia"/>
              </w:rPr>
              <w:t>植被</w:t>
            </w:r>
          </w:p>
        </w:tc>
        <w:tc>
          <w:tcPr>
            <w:tcW w:w="1052" w:type="pct"/>
            <w:vAlign w:val="center"/>
          </w:tcPr>
          <w:p>
            <w:pPr>
              <w:pStyle w:val="232"/>
            </w:pPr>
            <w:r>
              <w:t>-1</w:t>
            </w:r>
          </w:p>
        </w:tc>
        <w:tc>
          <w:tcPr>
            <w:tcW w:w="1052" w:type="pct"/>
            <w:vAlign w:val="center"/>
          </w:tcPr>
          <w:p>
            <w:pPr>
              <w:pStyle w:val="232"/>
            </w:pPr>
            <w: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continue"/>
            <w:vAlign w:val="center"/>
          </w:tcPr>
          <w:p>
            <w:pPr>
              <w:pStyle w:val="232"/>
            </w:pPr>
          </w:p>
        </w:tc>
        <w:tc>
          <w:tcPr>
            <w:tcW w:w="1580" w:type="pct"/>
            <w:vAlign w:val="center"/>
          </w:tcPr>
          <w:p>
            <w:pPr>
              <w:pStyle w:val="232"/>
            </w:pPr>
            <w:r>
              <w:rPr>
                <w:rFonts w:hint="eastAsia"/>
              </w:rPr>
              <w:t>水土流失</w:t>
            </w:r>
          </w:p>
        </w:tc>
        <w:tc>
          <w:tcPr>
            <w:tcW w:w="1052" w:type="pct"/>
            <w:vAlign w:val="center"/>
          </w:tcPr>
          <w:p>
            <w:pPr>
              <w:pStyle w:val="232"/>
            </w:pPr>
            <w:r>
              <w:t>-1</w:t>
            </w:r>
          </w:p>
        </w:tc>
        <w:tc>
          <w:tcPr>
            <w:tcW w:w="1052" w:type="pct"/>
            <w:vAlign w:val="center"/>
          </w:tcPr>
          <w:p>
            <w:pPr>
              <w:pStyle w:val="232"/>
            </w:pPr>
            <w: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restart"/>
            <w:vAlign w:val="center"/>
          </w:tcPr>
          <w:p>
            <w:pPr>
              <w:pStyle w:val="232"/>
            </w:pPr>
            <w:r>
              <w:rPr>
                <w:rFonts w:hint="eastAsia"/>
              </w:rPr>
              <w:t>社会环境</w:t>
            </w:r>
          </w:p>
        </w:tc>
        <w:tc>
          <w:tcPr>
            <w:tcW w:w="1580" w:type="pct"/>
            <w:vAlign w:val="center"/>
          </w:tcPr>
          <w:p>
            <w:pPr>
              <w:pStyle w:val="232"/>
            </w:pPr>
            <w:r>
              <w:rPr>
                <w:rFonts w:hint="eastAsia"/>
              </w:rPr>
              <w:t>交通</w:t>
            </w:r>
          </w:p>
        </w:tc>
        <w:tc>
          <w:tcPr>
            <w:tcW w:w="1052" w:type="pct"/>
            <w:vAlign w:val="center"/>
          </w:tcPr>
          <w:p>
            <w:pPr>
              <w:pStyle w:val="232"/>
            </w:pPr>
            <w:r>
              <w:t>-1</w:t>
            </w:r>
          </w:p>
        </w:tc>
        <w:tc>
          <w:tcPr>
            <w:tcW w:w="1052" w:type="pct"/>
            <w:vAlign w:val="center"/>
          </w:tcPr>
          <w:p>
            <w:pPr>
              <w:pStyle w:val="232"/>
            </w:pPr>
            <w: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continue"/>
            <w:vAlign w:val="center"/>
          </w:tcPr>
          <w:p>
            <w:pPr>
              <w:pStyle w:val="232"/>
            </w:pPr>
          </w:p>
        </w:tc>
        <w:tc>
          <w:tcPr>
            <w:tcW w:w="1580" w:type="pct"/>
            <w:vAlign w:val="center"/>
          </w:tcPr>
          <w:p>
            <w:pPr>
              <w:pStyle w:val="232"/>
            </w:pPr>
            <w:r>
              <w:rPr>
                <w:rFonts w:hint="eastAsia"/>
              </w:rPr>
              <w:t>就业</w:t>
            </w:r>
          </w:p>
        </w:tc>
        <w:tc>
          <w:tcPr>
            <w:tcW w:w="1052" w:type="pct"/>
            <w:vAlign w:val="center"/>
          </w:tcPr>
          <w:p>
            <w:pPr>
              <w:pStyle w:val="232"/>
            </w:pPr>
            <w:r>
              <w:t>+1</w:t>
            </w:r>
          </w:p>
        </w:tc>
        <w:tc>
          <w:tcPr>
            <w:tcW w:w="1052" w:type="pct"/>
            <w:vAlign w:val="center"/>
          </w:tcPr>
          <w:p>
            <w:pPr>
              <w:pStyle w:val="232"/>
            </w:pPr>
            <w: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16" w:type="pct"/>
            <w:vMerge w:val="continue"/>
            <w:vAlign w:val="center"/>
          </w:tcPr>
          <w:p>
            <w:pPr>
              <w:pStyle w:val="232"/>
            </w:pPr>
          </w:p>
        </w:tc>
        <w:tc>
          <w:tcPr>
            <w:tcW w:w="1580" w:type="pct"/>
            <w:vAlign w:val="center"/>
          </w:tcPr>
          <w:p>
            <w:pPr>
              <w:pStyle w:val="232"/>
            </w:pPr>
            <w:r>
              <w:rPr>
                <w:rFonts w:hint="eastAsia"/>
              </w:rPr>
              <w:t>社会经济</w:t>
            </w:r>
          </w:p>
        </w:tc>
        <w:tc>
          <w:tcPr>
            <w:tcW w:w="1052" w:type="pct"/>
            <w:vAlign w:val="center"/>
          </w:tcPr>
          <w:p>
            <w:pPr>
              <w:pStyle w:val="232"/>
            </w:pPr>
            <w:r>
              <w:t>+1</w:t>
            </w:r>
          </w:p>
        </w:tc>
        <w:tc>
          <w:tcPr>
            <w:tcW w:w="1052" w:type="pct"/>
            <w:vAlign w:val="center"/>
          </w:tcPr>
          <w:p>
            <w:pPr>
              <w:pStyle w:val="232"/>
            </w:pPr>
            <w: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4"/>
            <w:vAlign w:val="center"/>
          </w:tcPr>
          <w:p>
            <w:pPr>
              <w:pStyle w:val="232"/>
              <w:jc w:val="left"/>
            </w:pPr>
            <w:r>
              <w:rPr>
                <w:rFonts w:hint="eastAsia"/>
              </w:rPr>
              <w:t>注：</w:t>
            </w:r>
            <w:r>
              <w:t>“-”</w:t>
            </w:r>
            <w:r>
              <w:rPr>
                <w:rFonts w:hint="eastAsia"/>
              </w:rPr>
              <w:t>表示不利影响，</w:t>
            </w:r>
            <w:r>
              <w:t>“+”</w:t>
            </w:r>
            <w:r>
              <w:rPr>
                <w:rFonts w:hint="eastAsia"/>
              </w:rPr>
              <w:t>表示有利影响，数字大小表示影响程度；</w:t>
            </w:r>
            <w:r>
              <w:t>1—</w:t>
            </w:r>
            <w:r>
              <w:rPr>
                <w:rFonts w:hint="eastAsia"/>
              </w:rPr>
              <w:t>轻度影响；</w:t>
            </w:r>
            <w:r>
              <w:t>2—</w:t>
            </w:r>
            <w:r>
              <w:rPr>
                <w:rFonts w:hint="eastAsia"/>
              </w:rPr>
              <w:t>中度影响；</w:t>
            </w:r>
            <w:r>
              <w:t>3—</w:t>
            </w:r>
            <w:r>
              <w:rPr>
                <w:rFonts w:hint="eastAsia"/>
              </w:rPr>
              <w:t>重度影响。</w:t>
            </w:r>
          </w:p>
        </w:tc>
      </w:tr>
    </w:tbl>
    <w:p>
      <w:pPr>
        <w:pStyle w:val="6"/>
      </w:pPr>
      <w:r>
        <w:rPr>
          <w:rFonts w:hint="eastAsia"/>
        </w:rPr>
        <w:t>表</w:t>
      </w:r>
      <w:r>
        <w:t xml:space="preserve">2.3.1-2    </w:t>
      </w:r>
      <w:r>
        <w:rPr>
          <w:rFonts w:hint="eastAsia"/>
        </w:rPr>
        <w:t>各环境要素影响类型及程度</w:t>
      </w:r>
    </w:p>
    <w:tbl>
      <w:tblPr>
        <w:tblStyle w:val="3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7"/>
        <w:gridCol w:w="1220"/>
        <w:gridCol w:w="1218"/>
        <w:gridCol w:w="1944"/>
        <w:gridCol w:w="1218"/>
        <w:gridCol w:w="1218"/>
        <w:gridCol w:w="7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287" w:type="pct"/>
            <w:gridSpan w:val="2"/>
            <w:vAlign w:val="center"/>
          </w:tcPr>
          <w:p>
            <w:pPr>
              <w:pStyle w:val="232"/>
            </w:pPr>
            <w:r>
              <w:rPr>
                <w:rFonts w:hint="eastAsia"/>
              </w:rPr>
              <w:t>要素</w:t>
            </w:r>
          </w:p>
        </w:tc>
        <w:tc>
          <w:tcPr>
            <w:tcW w:w="714" w:type="pct"/>
            <w:vAlign w:val="center"/>
          </w:tcPr>
          <w:p>
            <w:pPr>
              <w:pStyle w:val="232"/>
            </w:pPr>
            <w:r>
              <w:rPr>
                <w:rFonts w:hint="eastAsia"/>
              </w:rPr>
              <w:t>影响程度</w:t>
            </w:r>
          </w:p>
        </w:tc>
        <w:tc>
          <w:tcPr>
            <w:tcW w:w="1140" w:type="pct"/>
            <w:vAlign w:val="center"/>
          </w:tcPr>
          <w:p>
            <w:pPr>
              <w:pStyle w:val="232"/>
            </w:pPr>
            <w:r>
              <w:rPr>
                <w:rFonts w:hint="eastAsia"/>
              </w:rPr>
              <w:t>类型</w:t>
            </w:r>
          </w:p>
        </w:tc>
        <w:tc>
          <w:tcPr>
            <w:tcW w:w="714" w:type="pct"/>
            <w:vAlign w:val="center"/>
          </w:tcPr>
          <w:p>
            <w:pPr>
              <w:pStyle w:val="232"/>
            </w:pPr>
            <w:r>
              <w:rPr>
                <w:rFonts w:hint="eastAsia"/>
              </w:rPr>
              <w:t>可逆性</w:t>
            </w:r>
          </w:p>
        </w:tc>
        <w:tc>
          <w:tcPr>
            <w:tcW w:w="714" w:type="pct"/>
            <w:vAlign w:val="center"/>
          </w:tcPr>
          <w:p>
            <w:pPr>
              <w:pStyle w:val="232"/>
            </w:pPr>
            <w:r>
              <w:rPr>
                <w:rFonts w:hint="eastAsia"/>
              </w:rPr>
              <w:t>范围</w:t>
            </w:r>
          </w:p>
        </w:tc>
        <w:tc>
          <w:tcPr>
            <w:tcW w:w="430" w:type="pct"/>
          </w:tcPr>
          <w:p>
            <w:pPr>
              <w:pStyle w:val="232"/>
            </w:pPr>
            <w:r>
              <w:rPr>
                <w:rFonts w:hint="eastAsia"/>
              </w:rPr>
              <w:t>时限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3" w:type="pct"/>
            <w:vMerge w:val="restart"/>
            <w:vAlign w:val="center"/>
          </w:tcPr>
          <w:p>
            <w:pPr>
              <w:pStyle w:val="232"/>
            </w:pPr>
            <w:r>
              <w:rPr>
                <w:rFonts w:hint="eastAsia"/>
              </w:rPr>
              <w:t>营运期</w:t>
            </w:r>
          </w:p>
        </w:tc>
        <w:tc>
          <w:tcPr>
            <w:tcW w:w="715" w:type="pct"/>
            <w:vAlign w:val="center"/>
          </w:tcPr>
          <w:p>
            <w:pPr>
              <w:pStyle w:val="232"/>
            </w:pPr>
            <w:r>
              <w:rPr>
                <w:rFonts w:hint="eastAsia"/>
              </w:rPr>
              <w:t>环境空气</w:t>
            </w:r>
          </w:p>
        </w:tc>
        <w:tc>
          <w:tcPr>
            <w:tcW w:w="1218" w:type="dxa"/>
            <w:vAlign w:val="center"/>
          </w:tcPr>
          <w:p>
            <w:pPr>
              <w:pStyle w:val="232"/>
            </w:pPr>
            <w:r>
              <w:rPr>
                <w:color w:val="000000" w:themeColor="text1"/>
                <w14:textFill>
                  <w14:solidFill>
                    <w14:schemeClr w14:val="tx1"/>
                  </w14:solidFill>
                </w14:textFill>
              </w:rPr>
              <w:t>明显</w:t>
            </w:r>
          </w:p>
        </w:tc>
        <w:tc>
          <w:tcPr>
            <w:tcW w:w="1944" w:type="dxa"/>
            <w:vAlign w:val="center"/>
          </w:tcPr>
          <w:p>
            <w:pPr>
              <w:pStyle w:val="232"/>
            </w:pPr>
            <w:r>
              <w:rPr>
                <w:color w:val="000000" w:themeColor="text1"/>
                <w14:textFill>
                  <w14:solidFill>
                    <w14:schemeClr w14:val="tx1"/>
                  </w14:solidFill>
                </w14:textFill>
              </w:rPr>
              <w:t>有后续影响</w:t>
            </w:r>
          </w:p>
        </w:tc>
        <w:tc>
          <w:tcPr>
            <w:tcW w:w="1218" w:type="dxa"/>
            <w:vAlign w:val="center"/>
          </w:tcPr>
          <w:p>
            <w:pPr>
              <w:pStyle w:val="232"/>
            </w:pPr>
            <w:r>
              <w:rPr>
                <w:color w:val="000000" w:themeColor="text1"/>
                <w14:textFill>
                  <w14:solidFill>
                    <w14:schemeClr w14:val="tx1"/>
                  </w14:solidFill>
                </w14:textFill>
              </w:rPr>
              <w:t>基本可逆</w:t>
            </w:r>
          </w:p>
        </w:tc>
        <w:tc>
          <w:tcPr>
            <w:tcW w:w="1218" w:type="dxa"/>
            <w:vAlign w:val="center"/>
          </w:tcPr>
          <w:p>
            <w:pPr>
              <w:pStyle w:val="232"/>
            </w:pPr>
            <w:r>
              <w:rPr>
                <w:rFonts w:hint="eastAsia"/>
                <w:color w:val="000000" w:themeColor="text1"/>
                <w14:textFill>
                  <w14:solidFill>
                    <w14:schemeClr w14:val="tx1"/>
                  </w14:solidFill>
                </w14:textFill>
              </w:rPr>
              <w:t>局部</w:t>
            </w:r>
          </w:p>
        </w:tc>
        <w:tc>
          <w:tcPr>
            <w:tcW w:w="733" w:type="dxa"/>
            <w:vAlign w:val="center"/>
          </w:tcPr>
          <w:p>
            <w:pPr>
              <w:pStyle w:val="232"/>
            </w:pPr>
            <w:r>
              <w:rPr>
                <w:color w:val="000000" w:themeColor="text1"/>
                <w14:textFill>
                  <w14:solidFill>
                    <w14:schemeClr w14:val="tx1"/>
                  </w14:solidFill>
                </w14:textFill>
              </w:rPr>
              <w:t>长期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3" w:type="pct"/>
            <w:vMerge w:val="continue"/>
            <w:vAlign w:val="center"/>
          </w:tcPr>
          <w:p>
            <w:pPr>
              <w:pStyle w:val="232"/>
            </w:pPr>
          </w:p>
        </w:tc>
        <w:tc>
          <w:tcPr>
            <w:tcW w:w="715" w:type="pct"/>
            <w:vAlign w:val="center"/>
          </w:tcPr>
          <w:p>
            <w:pPr>
              <w:pStyle w:val="232"/>
            </w:pPr>
            <w:r>
              <w:rPr>
                <w:rFonts w:hint="eastAsia"/>
              </w:rPr>
              <w:t>水环境</w:t>
            </w:r>
          </w:p>
        </w:tc>
        <w:tc>
          <w:tcPr>
            <w:tcW w:w="1218" w:type="dxa"/>
            <w:vAlign w:val="center"/>
          </w:tcPr>
          <w:p>
            <w:pPr>
              <w:pStyle w:val="232"/>
            </w:pPr>
            <w:r>
              <w:rPr>
                <w:color w:val="000000" w:themeColor="text1"/>
                <w14:textFill>
                  <w14:solidFill>
                    <w14:schemeClr w14:val="tx1"/>
                  </w14:solidFill>
                </w14:textFill>
              </w:rPr>
              <w:t>不明显</w:t>
            </w:r>
          </w:p>
        </w:tc>
        <w:tc>
          <w:tcPr>
            <w:tcW w:w="1944" w:type="dxa"/>
            <w:vAlign w:val="center"/>
          </w:tcPr>
          <w:p>
            <w:pPr>
              <w:pStyle w:val="232"/>
            </w:pPr>
            <w:r>
              <w:rPr>
                <w:color w:val="000000" w:themeColor="text1"/>
                <w14:textFill>
                  <w14:solidFill>
                    <w14:schemeClr w14:val="tx1"/>
                  </w14:solidFill>
                </w14:textFill>
              </w:rPr>
              <w:t>有后续影响</w:t>
            </w:r>
          </w:p>
        </w:tc>
        <w:tc>
          <w:tcPr>
            <w:tcW w:w="1218" w:type="dxa"/>
            <w:vAlign w:val="center"/>
          </w:tcPr>
          <w:p>
            <w:pPr>
              <w:pStyle w:val="232"/>
            </w:pPr>
            <w:r>
              <w:rPr>
                <w:color w:val="000000" w:themeColor="text1"/>
                <w14:textFill>
                  <w14:solidFill>
                    <w14:schemeClr w14:val="tx1"/>
                  </w14:solidFill>
                </w14:textFill>
              </w:rPr>
              <w:t>基本可逆</w:t>
            </w:r>
          </w:p>
        </w:tc>
        <w:tc>
          <w:tcPr>
            <w:tcW w:w="1218" w:type="dxa"/>
            <w:vAlign w:val="center"/>
          </w:tcPr>
          <w:p>
            <w:pPr>
              <w:pStyle w:val="232"/>
            </w:pPr>
            <w:r>
              <w:rPr>
                <w:color w:val="000000" w:themeColor="text1"/>
                <w14:textFill>
                  <w14:solidFill>
                    <w14:schemeClr w14:val="tx1"/>
                  </w14:solidFill>
                </w14:textFill>
              </w:rPr>
              <w:t>局部</w:t>
            </w:r>
          </w:p>
        </w:tc>
        <w:tc>
          <w:tcPr>
            <w:tcW w:w="733" w:type="dxa"/>
            <w:vAlign w:val="center"/>
          </w:tcPr>
          <w:p>
            <w:pPr>
              <w:pStyle w:val="232"/>
            </w:pPr>
            <w:r>
              <w:rPr>
                <w:color w:val="000000" w:themeColor="text1"/>
                <w14:textFill>
                  <w14:solidFill>
                    <w14:schemeClr w14:val="tx1"/>
                  </w14:solidFill>
                </w14:textFill>
              </w:rPr>
              <w:t>长期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3" w:type="pct"/>
            <w:vMerge w:val="continue"/>
            <w:vAlign w:val="center"/>
          </w:tcPr>
          <w:p>
            <w:pPr>
              <w:pStyle w:val="232"/>
            </w:pPr>
          </w:p>
        </w:tc>
        <w:tc>
          <w:tcPr>
            <w:tcW w:w="715" w:type="pct"/>
            <w:vAlign w:val="center"/>
          </w:tcPr>
          <w:p>
            <w:pPr>
              <w:pStyle w:val="232"/>
            </w:pPr>
            <w:r>
              <w:rPr>
                <w:rFonts w:hint="eastAsia"/>
              </w:rPr>
              <w:t>土壤环境</w:t>
            </w:r>
          </w:p>
        </w:tc>
        <w:tc>
          <w:tcPr>
            <w:tcW w:w="1218" w:type="dxa"/>
            <w:vAlign w:val="center"/>
          </w:tcPr>
          <w:p>
            <w:pPr>
              <w:pStyle w:val="232"/>
            </w:pPr>
            <w:r>
              <w:rPr>
                <w:color w:val="000000" w:themeColor="text1"/>
                <w14:textFill>
                  <w14:solidFill>
                    <w14:schemeClr w14:val="tx1"/>
                  </w14:solidFill>
                </w14:textFill>
              </w:rPr>
              <w:t>不明显</w:t>
            </w:r>
          </w:p>
        </w:tc>
        <w:tc>
          <w:tcPr>
            <w:tcW w:w="1944" w:type="dxa"/>
            <w:vAlign w:val="center"/>
          </w:tcPr>
          <w:p>
            <w:pPr>
              <w:pStyle w:val="232"/>
            </w:pPr>
            <w:r>
              <w:rPr>
                <w:color w:val="000000" w:themeColor="text1"/>
                <w14:textFill>
                  <w14:solidFill>
                    <w14:schemeClr w14:val="tx1"/>
                  </w14:solidFill>
                </w14:textFill>
              </w:rPr>
              <w:t>有后续影响</w:t>
            </w:r>
          </w:p>
        </w:tc>
        <w:tc>
          <w:tcPr>
            <w:tcW w:w="1218" w:type="dxa"/>
            <w:vAlign w:val="center"/>
          </w:tcPr>
          <w:p>
            <w:pPr>
              <w:pStyle w:val="232"/>
            </w:pPr>
            <w:r>
              <w:rPr>
                <w:color w:val="000000" w:themeColor="text1"/>
                <w14:textFill>
                  <w14:solidFill>
                    <w14:schemeClr w14:val="tx1"/>
                  </w14:solidFill>
                </w14:textFill>
              </w:rPr>
              <w:t>基本可逆</w:t>
            </w:r>
          </w:p>
        </w:tc>
        <w:tc>
          <w:tcPr>
            <w:tcW w:w="1218" w:type="dxa"/>
            <w:vAlign w:val="center"/>
          </w:tcPr>
          <w:p>
            <w:pPr>
              <w:pStyle w:val="232"/>
            </w:pPr>
            <w:r>
              <w:rPr>
                <w:color w:val="000000" w:themeColor="text1"/>
                <w14:textFill>
                  <w14:solidFill>
                    <w14:schemeClr w14:val="tx1"/>
                  </w14:solidFill>
                </w14:textFill>
              </w:rPr>
              <w:t>局部</w:t>
            </w:r>
          </w:p>
        </w:tc>
        <w:tc>
          <w:tcPr>
            <w:tcW w:w="733" w:type="dxa"/>
            <w:vAlign w:val="center"/>
          </w:tcPr>
          <w:p>
            <w:pPr>
              <w:pStyle w:val="232"/>
            </w:pPr>
            <w:r>
              <w:rPr>
                <w:color w:val="000000" w:themeColor="text1"/>
                <w14:textFill>
                  <w14:solidFill>
                    <w14:schemeClr w14:val="tx1"/>
                  </w14:solidFill>
                </w14:textFill>
              </w:rPr>
              <w:t>长期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3" w:type="pct"/>
            <w:vMerge w:val="continue"/>
            <w:vAlign w:val="center"/>
          </w:tcPr>
          <w:p>
            <w:pPr>
              <w:pStyle w:val="232"/>
            </w:pPr>
          </w:p>
        </w:tc>
        <w:tc>
          <w:tcPr>
            <w:tcW w:w="715" w:type="pct"/>
            <w:vAlign w:val="center"/>
          </w:tcPr>
          <w:p>
            <w:pPr>
              <w:pStyle w:val="232"/>
            </w:pPr>
            <w:r>
              <w:rPr>
                <w:rFonts w:hint="eastAsia"/>
              </w:rPr>
              <w:t>声环境</w:t>
            </w:r>
          </w:p>
        </w:tc>
        <w:tc>
          <w:tcPr>
            <w:tcW w:w="1218" w:type="dxa"/>
            <w:vAlign w:val="center"/>
          </w:tcPr>
          <w:p>
            <w:pPr>
              <w:pStyle w:val="232"/>
            </w:pPr>
            <w:r>
              <w:rPr>
                <w:color w:val="000000" w:themeColor="text1"/>
                <w14:textFill>
                  <w14:solidFill>
                    <w14:schemeClr w14:val="tx1"/>
                  </w14:solidFill>
                </w14:textFill>
              </w:rPr>
              <w:t>较明显</w:t>
            </w:r>
          </w:p>
        </w:tc>
        <w:tc>
          <w:tcPr>
            <w:tcW w:w="1944" w:type="dxa"/>
            <w:vAlign w:val="center"/>
          </w:tcPr>
          <w:p>
            <w:pPr>
              <w:pStyle w:val="232"/>
            </w:pPr>
            <w:r>
              <w:rPr>
                <w:color w:val="000000" w:themeColor="text1"/>
                <w14:textFill>
                  <w14:solidFill>
                    <w14:schemeClr w14:val="tx1"/>
                  </w14:solidFill>
                </w14:textFill>
              </w:rPr>
              <w:t>与声源同时存在</w:t>
            </w:r>
          </w:p>
        </w:tc>
        <w:tc>
          <w:tcPr>
            <w:tcW w:w="1218" w:type="dxa"/>
            <w:vAlign w:val="center"/>
          </w:tcPr>
          <w:p>
            <w:pPr>
              <w:pStyle w:val="232"/>
            </w:pPr>
            <w:r>
              <w:rPr>
                <w:color w:val="000000" w:themeColor="text1"/>
                <w14:textFill>
                  <w14:solidFill>
                    <w14:schemeClr w14:val="tx1"/>
                  </w14:solidFill>
                </w14:textFill>
              </w:rPr>
              <w:t>可逆</w:t>
            </w:r>
          </w:p>
        </w:tc>
        <w:tc>
          <w:tcPr>
            <w:tcW w:w="1218" w:type="dxa"/>
            <w:vAlign w:val="center"/>
          </w:tcPr>
          <w:p>
            <w:pPr>
              <w:pStyle w:val="232"/>
            </w:pPr>
            <w:r>
              <w:rPr>
                <w:color w:val="000000" w:themeColor="text1"/>
                <w14:textFill>
                  <w14:solidFill>
                    <w14:schemeClr w14:val="tx1"/>
                  </w14:solidFill>
                </w14:textFill>
              </w:rPr>
              <w:t>局部</w:t>
            </w:r>
          </w:p>
        </w:tc>
        <w:tc>
          <w:tcPr>
            <w:tcW w:w="733" w:type="dxa"/>
            <w:vAlign w:val="center"/>
          </w:tcPr>
          <w:p>
            <w:pPr>
              <w:pStyle w:val="232"/>
            </w:pPr>
            <w:r>
              <w:rPr>
                <w:color w:val="000000" w:themeColor="text1"/>
                <w14:textFill>
                  <w14:solidFill>
                    <w14:schemeClr w14:val="tx1"/>
                  </w14:solidFill>
                </w14:textFill>
              </w:rPr>
              <w:t>长期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3" w:type="pct"/>
            <w:vMerge w:val="continue"/>
            <w:vAlign w:val="center"/>
          </w:tcPr>
          <w:p>
            <w:pPr>
              <w:pStyle w:val="232"/>
            </w:pPr>
          </w:p>
        </w:tc>
        <w:tc>
          <w:tcPr>
            <w:tcW w:w="715" w:type="pct"/>
            <w:vAlign w:val="center"/>
          </w:tcPr>
          <w:p>
            <w:pPr>
              <w:pStyle w:val="232"/>
            </w:pPr>
            <w:r>
              <w:rPr>
                <w:rFonts w:hint="eastAsia"/>
              </w:rPr>
              <w:t>固废</w:t>
            </w:r>
          </w:p>
        </w:tc>
        <w:tc>
          <w:tcPr>
            <w:tcW w:w="1218" w:type="dxa"/>
            <w:vAlign w:val="center"/>
          </w:tcPr>
          <w:p>
            <w:pPr>
              <w:pStyle w:val="232"/>
            </w:pPr>
            <w:r>
              <w:rPr>
                <w:color w:val="000000" w:themeColor="text1"/>
                <w14:textFill>
                  <w14:solidFill>
                    <w14:schemeClr w14:val="tx1"/>
                  </w14:solidFill>
                </w14:textFill>
              </w:rPr>
              <w:t>不明显</w:t>
            </w:r>
          </w:p>
        </w:tc>
        <w:tc>
          <w:tcPr>
            <w:tcW w:w="1944" w:type="dxa"/>
            <w:vAlign w:val="center"/>
          </w:tcPr>
          <w:p>
            <w:pPr>
              <w:pStyle w:val="232"/>
            </w:pPr>
            <w:r>
              <w:rPr>
                <w:color w:val="000000" w:themeColor="text1"/>
                <w14:textFill>
                  <w14:solidFill>
                    <w14:schemeClr w14:val="tx1"/>
                  </w14:solidFill>
                </w14:textFill>
              </w:rPr>
              <w:t>/</w:t>
            </w:r>
          </w:p>
        </w:tc>
        <w:tc>
          <w:tcPr>
            <w:tcW w:w="1218" w:type="dxa"/>
            <w:vAlign w:val="center"/>
          </w:tcPr>
          <w:p>
            <w:pPr>
              <w:pStyle w:val="232"/>
            </w:pPr>
            <w:r>
              <w:rPr>
                <w:rFonts w:hint="eastAsia"/>
                <w:color w:val="000000" w:themeColor="text1"/>
                <w14:textFill>
                  <w14:solidFill>
                    <w14:schemeClr w14:val="tx1"/>
                  </w14:solidFill>
                </w14:textFill>
              </w:rPr>
              <w:t>基本</w:t>
            </w:r>
            <w:r>
              <w:rPr>
                <w:color w:val="000000" w:themeColor="text1"/>
                <w14:textFill>
                  <w14:solidFill>
                    <w14:schemeClr w14:val="tx1"/>
                  </w14:solidFill>
                </w14:textFill>
              </w:rPr>
              <w:t>可逆</w:t>
            </w:r>
          </w:p>
        </w:tc>
        <w:tc>
          <w:tcPr>
            <w:tcW w:w="1218" w:type="dxa"/>
            <w:vAlign w:val="center"/>
          </w:tcPr>
          <w:p>
            <w:pPr>
              <w:pStyle w:val="232"/>
            </w:pPr>
            <w:r>
              <w:rPr>
                <w:color w:val="000000" w:themeColor="text1"/>
                <w14:textFill>
                  <w14:solidFill>
                    <w14:schemeClr w14:val="tx1"/>
                  </w14:solidFill>
                </w14:textFill>
              </w:rPr>
              <w:t>局部</w:t>
            </w:r>
          </w:p>
        </w:tc>
        <w:tc>
          <w:tcPr>
            <w:tcW w:w="733" w:type="dxa"/>
            <w:vAlign w:val="center"/>
          </w:tcPr>
          <w:p>
            <w:pPr>
              <w:pStyle w:val="232"/>
            </w:pPr>
            <w:r>
              <w:rPr>
                <w:rFonts w:hint="eastAsia"/>
                <w:color w:val="000000" w:themeColor="text1"/>
                <w14:textFill>
                  <w14:solidFill>
                    <w14:schemeClr w14:val="tx1"/>
                  </w14:solidFill>
                </w14:textFill>
              </w:rPr>
              <w:t>短</w:t>
            </w:r>
            <w:r>
              <w:rPr>
                <w:color w:val="000000" w:themeColor="text1"/>
                <w14:textFill>
                  <w14:solidFill>
                    <w14:schemeClr w14:val="tx1"/>
                  </w14:solidFill>
                </w14:textFill>
              </w:rPr>
              <w:t>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3" w:type="pct"/>
            <w:vMerge w:val="continue"/>
            <w:vAlign w:val="center"/>
          </w:tcPr>
          <w:p>
            <w:pPr>
              <w:pStyle w:val="232"/>
            </w:pPr>
          </w:p>
        </w:tc>
        <w:tc>
          <w:tcPr>
            <w:tcW w:w="715" w:type="pct"/>
            <w:vAlign w:val="center"/>
          </w:tcPr>
          <w:p>
            <w:pPr>
              <w:pStyle w:val="232"/>
            </w:pPr>
            <w:r>
              <w:rPr>
                <w:rFonts w:hint="eastAsia"/>
              </w:rPr>
              <w:t>环境风险</w:t>
            </w:r>
          </w:p>
        </w:tc>
        <w:tc>
          <w:tcPr>
            <w:tcW w:w="1218" w:type="dxa"/>
            <w:vAlign w:val="center"/>
          </w:tcPr>
          <w:p>
            <w:pPr>
              <w:pStyle w:val="232"/>
            </w:pPr>
            <w:r>
              <w:rPr>
                <w:rFonts w:hint="eastAsia"/>
                <w:color w:val="000000" w:themeColor="text1"/>
                <w14:textFill>
                  <w14:solidFill>
                    <w14:schemeClr w14:val="tx1"/>
                  </w14:solidFill>
                </w14:textFill>
              </w:rPr>
              <w:t>不</w:t>
            </w:r>
            <w:r>
              <w:rPr>
                <w:color w:val="000000" w:themeColor="text1"/>
                <w14:textFill>
                  <w14:solidFill>
                    <w14:schemeClr w14:val="tx1"/>
                  </w14:solidFill>
                </w14:textFill>
              </w:rPr>
              <w:t>明显</w:t>
            </w:r>
          </w:p>
        </w:tc>
        <w:tc>
          <w:tcPr>
            <w:tcW w:w="1944" w:type="dxa"/>
            <w:vAlign w:val="center"/>
          </w:tcPr>
          <w:p>
            <w:pPr>
              <w:pStyle w:val="232"/>
            </w:pPr>
            <w:r>
              <w:rPr>
                <w:color w:val="000000" w:themeColor="text1"/>
                <w14:textFill>
                  <w14:solidFill>
                    <w14:schemeClr w14:val="tx1"/>
                  </w14:solidFill>
                </w14:textFill>
              </w:rPr>
              <w:t>有后续影响</w:t>
            </w:r>
          </w:p>
        </w:tc>
        <w:tc>
          <w:tcPr>
            <w:tcW w:w="1218" w:type="dxa"/>
            <w:vAlign w:val="center"/>
          </w:tcPr>
          <w:p>
            <w:pPr>
              <w:pStyle w:val="232"/>
            </w:pPr>
            <w:r>
              <w:rPr>
                <w:color w:val="000000" w:themeColor="text1"/>
                <w14:textFill>
                  <w14:solidFill>
                    <w14:schemeClr w14:val="tx1"/>
                  </w14:solidFill>
                </w14:textFill>
              </w:rPr>
              <w:t>基本可逆</w:t>
            </w:r>
          </w:p>
        </w:tc>
        <w:tc>
          <w:tcPr>
            <w:tcW w:w="1218" w:type="dxa"/>
            <w:vAlign w:val="center"/>
          </w:tcPr>
          <w:p>
            <w:pPr>
              <w:pStyle w:val="232"/>
            </w:pPr>
            <w:r>
              <w:rPr>
                <w:rFonts w:hint="eastAsia"/>
                <w:color w:val="000000" w:themeColor="text1"/>
                <w14:textFill>
                  <w14:solidFill>
                    <w14:schemeClr w14:val="tx1"/>
                  </w14:solidFill>
                </w14:textFill>
              </w:rPr>
              <w:t>局部</w:t>
            </w:r>
          </w:p>
        </w:tc>
        <w:tc>
          <w:tcPr>
            <w:tcW w:w="733" w:type="dxa"/>
            <w:vAlign w:val="center"/>
          </w:tcPr>
          <w:p>
            <w:pPr>
              <w:pStyle w:val="232"/>
            </w:pPr>
            <w:r>
              <w:rPr>
                <w:color w:val="000000" w:themeColor="text1"/>
                <w14:textFill>
                  <w14:solidFill>
                    <w14:schemeClr w14:val="tx1"/>
                  </w14:solidFill>
                </w14:textFill>
              </w:rPr>
              <w:t>短期</w:t>
            </w:r>
          </w:p>
        </w:tc>
      </w:tr>
    </w:tbl>
    <w:p>
      <w:pPr>
        <w:pStyle w:val="165"/>
        <w:ind w:firstLine="480"/>
      </w:pPr>
    </w:p>
    <w:p>
      <w:pPr>
        <w:pStyle w:val="4"/>
      </w:pPr>
      <w:r>
        <w:rPr>
          <w:rFonts w:hint="eastAsia"/>
        </w:rPr>
        <w:t>环境影响评价因子识别</w:t>
      </w:r>
    </w:p>
    <w:p>
      <w:pPr>
        <w:ind w:firstLine="480"/>
      </w:pPr>
      <w:bookmarkStart w:id="54" w:name="_Toc519036208"/>
      <w:bookmarkStart w:id="55" w:name="_Toc519692352"/>
      <w:bookmarkStart w:id="56" w:name="_Toc518997374"/>
      <w:r>
        <w:t>根据项目建设内容，主要环境问题为</w:t>
      </w:r>
      <w:r>
        <w:rPr>
          <w:rFonts w:hint="eastAsia"/>
        </w:rPr>
        <w:t>恶臭</w:t>
      </w:r>
      <w:r>
        <w:t>污染</w:t>
      </w:r>
      <w:r>
        <w:rPr>
          <w:rFonts w:hint="eastAsia"/>
        </w:rPr>
        <w:t>防治问题</w:t>
      </w:r>
      <w:r>
        <w:t>。工程建设对环境的影响要素及因子见表</w:t>
      </w:r>
      <w:r>
        <w:rPr>
          <w:rFonts w:hint="eastAsia"/>
        </w:rPr>
        <w:t>2.3.2</w:t>
      </w:r>
      <w:r>
        <w:t>-</w:t>
      </w:r>
      <w:r>
        <w:rPr>
          <w:rFonts w:hint="eastAsia"/>
        </w:rPr>
        <w:t>1</w:t>
      </w:r>
      <w:r>
        <w:t>。</w:t>
      </w:r>
    </w:p>
    <w:p>
      <w:pPr>
        <w:pStyle w:val="6"/>
      </w:pPr>
      <w:r>
        <w:rPr>
          <w:rFonts w:hint="eastAsia"/>
        </w:rPr>
        <w:t>表2.3.2-</w:t>
      </w:r>
      <w:r>
        <w:rPr>
          <w:rFonts w:hint="eastAsia"/>
          <w:lang w:val="en-US" w:eastAsia="zh-CN"/>
        </w:rPr>
        <w:t>1</w:t>
      </w:r>
      <w:r>
        <w:rPr>
          <w:rFonts w:hint="eastAsia"/>
        </w:rPr>
        <w:t xml:space="preserve">    环境要素及污染因子分析</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2"/>
        <w:gridCol w:w="3300"/>
        <w:gridCol w:w="2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73" w:type="pct"/>
            <w:tcBorders>
              <w:tl2br w:val="single" w:color="auto" w:sz="6" w:space="0"/>
            </w:tcBorders>
            <w:vAlign w:val="center"/>
          </w:tcPr>
          <w:p>
            <w:pPr>
              <w:pStyle w:val="232"/>
            </w:pPr>
            <w:r>
              <w:rPr>
                <w:rFonts w:hint="eastAsia"/>
              </w:rPr>
              <w:t xml:space="preserve">         </w:t>
            </w:r>
            <w:r>
              <w:t>主要产生环节</w:t>
            </w:r>
          </w:p>
          <w:p>
            <w:pPr>
              <w:pStyle w:val="232"/>
              <w:jc w:val="both"/>
            </w:pPr>
            <w:r>
              <w:t>环境要素</w:t>
            </w:r>
          </w:p>
        </w:tc>
        <w:tc>
          <w:tcPr>
            <w:tcW w:w="1935" w:type="pct"/>
            <w:vAlign w:val="center"/>
          </w:tcPr>
          <w:p>
            <w:pPr>
              <w:pStyle w:val="232"/>
            </w:pPr>
            <w:r>
              <w:rPr>
                <w:rFonts w:hint="eastAsia"/>
              </w:rPr>
              <w:t>畜禽养殖</w:t>
            </w:r>
          </w:p>
        </w:tc>
        <w:tc>
          <w:tcPr>
            <w:tcW w:w="1590" w:type="pct"/>
            <w:vAlign w:val="center"/>
          </w:tcPr>
          <w:p>
            <w:pPr>
              <w:pStyle w:val="232"/>
            </w:pPr>
            <w:r>
              <w:t>办公、生活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pct"/>
            <w:vAlign w:val="center"/>
          </w:tcPr>
          <w:p>
            <w:pPr>
              <w:pStyle w:val="232"/>
            </w:pPr>
            <w:r>
              <w:t>大气</w:t>
            </w:r>
          </w:p>
        </w:tc>
        <w:tc>
          <w:tcPr>
            <w:tcW w:w="1935" w:type="pct"/>
            <w:vAlign w:val="center"/>
          </w:tcPr>
          <w:p>
            <w:pPr>
              <w:pStyle w:val="232"/>
            </w:pPr>
            <w:r>
              <w:t>NH</w:t>
            </w:r>
            <w:r>
              <w:rPr>
                <w:vertAlign w:val="subscript"/>
              </w:rPr>
              <w:t>3</w:t>
            </w:r>
            <w:r>
              <w:rPr>
                <w:rFonts w:hint="eastAsia"/>
              </w:rPr>
              <w:t>、</w:t>
            </w:r>
            <w:r>
              <w:t>H</w:t>
            </w:r>
            <w:r>
              <w:rPr>
                <w:vertAlign w:val="subscript"/>
              </w:rPr>
              <w:t>2</w:t>
            </w:r>
            <w:r>
              <w:t>S</w:t>
            </w:r>
            <w:r>
              <w:rPr>
                <w:rFonts w:hint="eastAsia"/>
              </w:rPr>
              <w:t>、臭气浓度、TSP</w:t>
            </w:r>
          </w:p>
        </w:tc>
        <w:tc>
          <w:tcPr>
            <w:tcW w:w="1590" w:type="pct"/>
            <w:vAlign w:val="center"/>
          </w:tcPr>
          <w:p>
            <w:pPr>
              <w:pStyle w:val="232"/>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pct"/>
            <w:vAlign w:val="center"/>
          </w:tcPr>
          <w:p>
            <w:pPr>
              <w:pStyle w:val="232"/>
            </w:pPr>
            <w:r>
              <w:rPr>
                <w:rFonts w:hint="eastAsia"/>
              </w:rPr>
              <w:t>水环境</w:t>
            </w:r>
          </w:p>
        </w:tc>
        <w:tc>
          <w:tcPr>
            <w:tcW w:w="1935" w:type="pct"/>
            <w:vAlign w:val="center"/>
          </w:tcPr>
          <w:p>
            <w:pPr>
              <w:pStyle w:val="232"/>
            </w:pPr>
            <w:r>
              <w:rPr>
                <w:rFonts w:hint="eastAsia"/>
              </w:rPr>
              <w:t>COD、BOD</w:t>
            </w:r>
            <w:r>
              <w:rPr>
                <w:rFonts w:hint="eastAsia"/>
                <w:vertAlign w:val="subscript"/>
              </w:rPr>
              <w:t>5</w:t>
            </w:r>
            <w:r>
              <w:rPr>
                <w:rFonts w:hint="eastAsia"/>
              </w:rPr>
              <w:t>、氨氮、SS</w:t>
            </w:r>
          </w:p>
        </w:tc>
        <w:tc>
          <w:tcPr>
            <w:tcW w:w="1590" w:type="pct"/>
            <w:vAlign w:val="center"/>
          </w:tcPr>
          <w:p>
            <w:pPr>
              <w:pStyle w:val="232"/>
            </w:pPr>
            <w:r>
              <w:rPr>
                <w:rFonts w:hint="eastAsia"/>
              </w:rPr>
              <w:t>COD、BOD</w:t>
            </w:r>
            <w:r>
              <w:rPr>
                <w:rFonts w:hint="eastAsia"/>
                <w:vertAlign w:val="subscript"/>
              </w:rPr>
              <w:t>5</w:t>
            </w:r>
            <w:r>
              <w:rPr>
                <w:rFonts w:hint="eastAsia"/>
              </w:rPr>
              <w:t>、氨氮、SS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pct"/>
            <w:vAlign w:val="center"/>
          </w:tcPr>
          <w:p>
            <w:pPr>
              <w:pStyle w:val="232"/>
            </w:pPr>
            <w:r>
              <w:rPr>
                <w:rFonts w:hint="eastAsia"/>
              </w:rPr>
              <w:t>土壤环境</w:t>
            </w:r>
          </w:p>
        </w:tc>
        <w:tc>
          <w:tcPr>
            <w:tcW w:w="1935" w:type="pct"/>
            <w:vAlign w:val="center"/>
          </w:tcPr>
          <w:p>
            <w:pPr>
              <w:pStyle w:val="232"/>
            </w:pPr>
            <w:r>
              <w:rPr>
                <w:rFonts w:hint="eastAsia"/>
              </w:rPr>
              <w:t>COD、氨氮</w:t>
            </w:r>
          </w:p>
        </w:tc>
        <w:tc>
          <w:tcPr>
            <w:tcW w:w="1590" w:type="pct"/>
            <w:vAlign w:val="center"/>
          </w:tcPr>
          <w:p>
            <w:pPr>
              <w:pStyle w:val="232"/>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pct"/>
            <w:vAlign w:val="center"/>
          </w:tcPr>
          <w:p>
            <w:pPr>
              <w:pStyle w:val="232"/>
            </w:pPr>
            <w:r>
              <w:t>噪声</w:t>
            </w:r>
          </w:p>
        </w:tc>
        <w:tc>
          <w:tcPr>
            <w:tcW w:w="1935" w:type="pct"/>
            <w:vAlign w:val="center"/>
          </w:tcPr>
          <w:p>
            <w:pPr>
              <w:pStyle w:val="232"/>
            </w:pPr>
            <w:r>
              <w:rPr>
                <w:rFonts w:hint="eastAsia"/>
              </w:rPr>
              <w:t>等效</w:t>
            </w:r>
            <w:r>
              <w:t>连续</w:t>
            </w:r>
            <w:r>
              <w:rPr>
                <w:rFonts w:hint="eastAsia"/>
              </w:rPr>
              <w:t>A声级</w:t>
            </w:r>
          </w:p>
        </w:tc>
        <w:tc>
          <w:tcPr>
            <w:tcW w:w="1590" w:type="pct"/>
            <w:vAlign w:val="center"/>
          </w:tcPr>
          <w:p>
            <w:pPr>
              <w:pStyle w:val="232"/>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pct"/>
            <w:vAlign w:val="center"/>
          </w:tcPr>
          <w:p>
            <w:pPr>
              <w:pStyle w:val="232"/>
            </w:pPr>
            <w:r>
              <w:t>固体废物</w:t>
            </w:r>
          </w:p>
        </w:tc>
        <w:tc>
          <w:tcPr>
            <w:tcW w:w="1935" w:type="pct"/>
            <w:vAlign w:val="center"/>
          </w:tcPr>
          <w:p>
            <w:pPr>
              <w:pStyle w:val="232"/>
            </w:pPr>
            <w:r>
              <w:rPr>
                <w:rFonts w:hint="eastAsia"/>
              </w:rPr>
              <w:t>一般工业固废、危险废物</w:t>
            </w:r>
          </w:p>
        </w:tc>
        <w:tc>
          <w:tcPr>
            <w:tcW w:w="1590" w:type="pct"/>
            <w:vAlign w:val="center"/>
          </w:tcPr>
          <w:p>
            <w:pPr>
              <w:pStyle w:val="232"/>
            </w:pPr>
            <w:r>
              <w:rPr>
                <w:rFonts w:hint="eastAsia"/>
              </w:rPr>
              <w:t>生活垃圾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pct"/>
            <w:vAlign w:val="center"/>
          </w:tcPr>
          <w:p>
            <w:pPr>
              <w:pStyle w:val="232"/>
            </w:pPr>
            <w:r>
              <w:t>环境风险</w:t>
            </w:r>
          </w:p>
        </w:tc>
        <w:tc>
          <w:tcPr>
            <w:tcW w:w="1935" w:type="pct"/>
            <w:vAlign w:val="center"/>
          </w:tcPr>
          <w:p>
            <w:pPr>
              <w:pStyle w:val="232"/>
            </w:pPr>
            <w:r>
              <w:rPr>
                <w:rFonts w:hint="eastAsia"/>
              </w:rPr>
              <w:t>/</w:t>
            </w:r>
          </w:p>
        </w:tc>
        <w:tc>
          <w:tcPr>
            <w:tcW w:w="1590" w:type="pct"/>
            <w:vAlign w:val="center"/>
          </w:tcPr>
          <w:p>
            <w:pPr>
              <w:pStyle w:val="232"/>
            </w:pPr>
            <w:r>
              <w:t>/</w:t>
            </w:r>
          </w:p>
        </w:tc>
      </w:tr>
    </w:tbl>
    <w:p>
      <w:pPr>
        <w:pStyle w:val="4"/>
      </w:pPr>
      <w:r>
        <w:rPr>
          <w:rFonts w:hint="eastAsia"/>
        </w:rPr>
        <w:t>评价因子</w:t>
      </w:r>
    </w:p>
    <w:p>
      <w:pPr>
        <w:ind w:firstLine="480"/>
        <w:rPr>
          <w:color w:val="000000" w:themeColor="text1"/>
          <w14:textFill>
            <w14:solidFill>
              <w14:schemeClr w14:val="tx1"/>
            </w14:solidFill>
          </w14:textFill>
        </w:rPr>
      </w:pPr>
      <w:bookmarkStart w:id="57" w:name="_Toc99522956"/>
      <w:bookmarkStart w:id="58" w:name="_Toc100371799"/>
      <w:bookmarkStart w:id="59" w:name="_Toc99464213"/>
      <w:bookmarkStart w:id="60" w:name="_Toc107623018"/>
      <w:bookmarkStart w:id="61" w:name="_Toc137911603"/>
      <w:bookmarkStart w:id="62" w:name="_Toc99515320"/>
      <w:bookmarkStart w:id="63" w:name="_Toc99462105"/>
      <w:bookmarkStart w:id="64" w:name="_Toc100021404"/>
      <w:bookmarkStart w:id="65" w:name="_Toc138133774"/>
      <w:bookmarkStart w:id="66" w:name="_Toc140304616"/>
      <w:bookmarkStart w:id="67" w:name="_Toc99463669"/>
      <w:bookmarkStart w:id="68" w:name="_Toc100136974"/>
      <w:bookmarkStart w:id="69" w:name="_Toc108866877"/>
      <w:bookmarkStart w:id="70" w:name="_Toc107017772"/>
      <w:bookmarkStart w:id="71" w:name="_Toc130812435"/>
      <w:bookmarkStart w:id="72" w:name="_Toc99522804"/>
      <w:bookmarkStart w:id="73" w:name="_Toc100387936"/>
      <w:bookmarkStart w:id="74" w:name="_Toc99515895"/>
      <w:bookmarkStart w:id="75" w:name="_Toc99464344"/>
      <w:bookmarkStart w:id="76" w:name="_Toc107198581"/>
      <w:bookmarkStart w:id="77" w:name="_Toc107017967"/>
      <w:bookmarkStart w:id="78" w:name="_Toc99463834"/>
      <w:bookmarkStart w:id="79" w:name="_Toc107018164"/>
      <w:bookmarkStart w:id="80" w:name="_Toc99502178"/>
      <w:bookmarkStart w:id="81" w:name="_Toc130886257"/>
      <w:bookmarkStart w:id="82" w:name="_Toc107017650"/>
      <w:bookmarkStart w:id="83" w:name="_Toc99521747"/>
      <w:bookmarkStart w:id="84" w:name="_Toc99528910"/>
      <w:bookmarkStart w:id="85" w:name="_Toc130883552"/>
      <w:bookmarkStart w:id="86" w:name="_Toc108232570"/>
      <w:bookmarkStart w:id="87" w:name="_Toc107018065"/>
      <w:bookmarkStart w:id="88" w:name="_Toc107994824"/>
      <w:bookmarkStart w:id="89" w:name="_Toc107198790"/>
      <w:bookmarkStart w:id="90" w:name="_Toc99464074"/>
      <w:bookmarkStart w:id="91" w:name="_Toc99525759"/>
      <w:bookmarkStart w:id="92" w:name="_Toc99521441"/>
      <w:r>
        <w:rPr>
          <w:color w:val="000000" w:themeColor="text1"/>
          <w14:textFill>
            <w14:solidFill>
              <w14:schemeClr w14:val="tx1"/>
            </w14:solidFill>
          </w14:textFill>
        </w:rPr>
        <w:t>根据环境影响要素识别结果，结合建设项目工程特征、排污种类、排污去向及周围地区环境质量概况，确定本次评价因子包括现状评价因子、环境影响评价因子，评价因子见表</w:t>
      </w:r>
      <w:r>
        <w:rPr>
          <w:rFonts w:hint="eastAsia"/>
          <w:color w:val="000000" w:themeColor="text1"/>
          <w14:textFill>
            <w14:solidFill>
              <w14:schemeClr w14:val="tx1"/>
            </w14:solidFill>
          </w14:textFill>
        </w:rPr>
        <w:t>2.3.1-4</w:t>
      </w:r>
      <w:r>
        <w:rPr>
          <w:color w:val="000000" w:themeColor="text1"/>
          <w14:textFill>
            <w14:solidFill>
              <w14:schemeClr w14:val="tx1"/>
            </w14:solidFill>
          </w14:textFill>
        </w:rPr>
        <w:t>。</w:t>
      </w:r>
    </w:p>
    <w:p>
      <w:pPr>
        <w:pStyle w:val="6"/>
      </w:pPr>
      <w:r>
        <w:rPr>
          <w:rFonts w:hint="eastAsia"/>
        </w:rPr>
        <w:t>表2.3.3-1    评价因子一览表</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170"/>
        <w:gridCol w:w="1155"/>
        <w:gridCol w:w="5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阶段</w:t>
            </w:r>
          </w:p>
        </w:tc>
        <w:tc>
          <w:tcPr>
            <w:tcW w:w="68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环境要素</w:t>
            </w: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评价类别</w:t>
            </w:r>
          </w:p>
        </w:tc>
        <w:tc>
          <w:tcPr>
            <w:tcW w:w="31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评价因子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施工期</w:t>
            </w:r>
          </w:p>
        </w:tc>
        <w:tc>
          <w:tcPr>
            <w:tcW w:w="68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大气环境</w:t>
            </w:r>
          </w:p>
        </w:tc>
        <w:tc>
          <w:tcPr>
            <w:tcW w:w="677"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影响分析</w:t>
            </w:r>
          </w:p>
        </w:tc>
        <w:tc>
          <w:tcPr>
            <w:tcW w:w="31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施工扬尘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vAlign w:val="center"/>
          </w:tcPr>
          <w:p>
            <w:pPr>
              <w:pStyle w:val="232"/>
              <w:rPr>
                <w:color w:val="000000" w:themeColor="text1"/>
                <w14:textFill>
                  <w14:solidFill>
                    <w14:schemeClr w14:val="tx1"/>
                  </w14:solidFill>
                </w14:textFill>
              </w:rPr>
            </w:pPr>
          </w:p>
        </w:tc>
        <w:tc>
          <w:tcPr>
            <w:tcW w:w="68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声环境</w:t>
            </w:r>
          </w:p>
        </w:tc>
        <w:tc>
          <w:tcPr>
            <w:tcW w:w="677" w:type="pct"/>
            <w:vMerge w:val="continue"/>
            <w:vAlign w:val="center"/>
          </w:tcPr>
          <w:p>
            <w:pPr>
              <w:pStyle w:val="232"/>
              <w:rPr>
                <w:color w:val="000000" w:themeColor="text1"/>
                <w14:textFill>
                  <w14:solidFill>
                    <w14:schemeClr w14:val="tx1"/>
                  </w14:solidFill>
                </w14:textFill>
              </w:rPr>
            </w:pPr>
          </w:p>
        </w:tc>
        <w:tc>
          <w:tcPr>
            <w:tcW w:w="31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施工场界噪声（LAeq）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vAlign w:val="center"/>
          </w:tcPr>
          <w:p>
            <w:pPr>
              <w:pStyle w:val="232"/>
              <w:rPr>
                <w:color w:val="000000" w:themeColor="text1"/>
                <w14:textFill>
                  <w14:solidFill>
                    <w14:schemeClr w14:val="tx1"/>
                  </w14:solidFill>
                </w14:textFill>
              </w:rPr>
            </w:pPr>
          </w:p>
        </w:tc>
        <w:tc>
          <w:tcPr>
            <w:tcW w:w="68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水环境</w:t>
            </w:r>
          </w:p>
        </w:tc>
        <w:tc>
          <w:tcPr>
            <w:tcW w:w="677" w:type="pct"/>
            <w:vMerge w:val="continue"/>
            <w:vAlign w:val="center"/>
          </w:tcPr>
          <w:p>
            <w:pPr>
              <w:pStyle w:val="232"/>
              <w:rPr>
                <w:color w:val="000000" w:themeColor="text1"/>
                <w14:textFill>
                  <w14:solidFill>
                    <w14:schemeClr w14:val="tx1"/>
                  </w14:solidFill>
                </w14:textFill>
              </w:rPr>
            </w:pPr>
          </w:p>
        </w:tc>
        <w:tc>
          <w:tcPr>
            <w:tcW w:w="31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施工废水、生活废水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vAlign w:val="center"/>
          </w:tcPr>
          <w:p>
            <w:pPr>
              <w:pStyle w:val="232"/>
              <w:rPr>
                <w:color w:val="000000" w:themeColor="text1"/>
                <w14:textFill>
                  <w14:solidFill>
                    <w14:schemeClr w14:val="tx1"/>
                  </w14:solidFill>
                </w14:textFill>
              </w:rPr>
            </w:pPr>
          </w:p>
        </w:tc>
        <w:tc>
          <w:tcPr>
            <w:tcW w:w="68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固体废物</w:t>
            </w:r>
          </w:p>
        </w:tc>
        <w:tc>
          <w:tcPr>
            <w:tcW w:w="677" w:type="pct"/>
            <w:vMerge w:val="continue"/>
            <w:vAlign w:val="center"/>
          </w:tcPr>
          <w:p>
            <w:pPr>
              <w:pStyle w:val="232"/>
              <w:rPr>
                <w:color w:val="000000" w:themeColor="text1"/>
                <w14:textFill>
                  <w14:solidFill>
                    <w14:schemeClr w14:val="tx1"/>
                  </w14:solidFill>
                </w14:textFill>
              </w:rPr>
            </w:pPr>
          </w:p>
        </w:tc>
        <w:tc>
          <w:tcPr>
            <w:tcW w:w="31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建筑垃圾</w:t>
            </w:r>
            <w:r>
              <w:rPr>
                <w:color w:val="000000" w:themeColor="text1"/>
                <w14:textFill>
                  <w14:solidFill>
                    <w14:schemeClr w14:val="tx1"/>
                  </w14:solidFill>
                </w14:textFill>
              </w:rPr>
              <w:t>、生活垃圾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restart"/>
            <w:vAlign w:val="center"/>
          </w:tcPr>
          <w:p>
            <w:pPr>
              <w:pStyle w:val="232"/>
              <w:rPr>
                <w:color w:val="000000" w:themeColor="text1"/>
                <w14:textFill>
                  <w14:solidFill>
                    <w14:schemeClr w14:val="tx1"/>
                  </w14:solidFill>
                </w14:textFill>
              </w:rPr>
            </w:pPr>
            <w:bookmarkStart w:id="93" w:name="_Toc138133780"/>
            <w:bookmarkStart w:id="94" w:name="_Toc107994828"/>
            <w:bookmarkStart w:id="95" w:name="_Toc107017654"/>
            <w:bookmarkStart w:id="96" w:name="_Toc130886263"/>
            <w:bookmarkStart w:id="97" w:name="_Toc107017776"/>
            <w:bookmarkStart w:id="98" w:name="_Toc107198794"/>
            <w:bookmarkStart w:id="99" w:name="_Toc130812439"/>
            <w:bookmarkStart w:id="100" w:name="_Toc107198585"/>
            <w:bookmarkStart w:id="101" w:name="_Toc137911609"/>
            <w:bookmarkStart w:id="102" w:name="_Toc107017971"/>
            <w:bookmarkStart w:id="103" w:name="_Toc108866881"/>
            <w:bookmarkStart w:id="104" w:name="_Toc108232574"/>
            <w:bookmarkStart w:id="105" w:name="_Toc130883558"/>
            <w:bookmarkStart w:id="106" w:name="_Toc107623022"/>
            <w:bookmarkStart w:id="107" w:name="_Toc107018168"/>
            <w:bookmarkStart w:id="108" w:name="_Toc107018069"/>
            <w:bookmarkStart w:id="109" w:name="_Toc140304622"/>
            <w:r>
              <w:rPr>
                <w:rFonts w:hint="eastAsia"/>
                <w:color w:val="000000" w:themeColor="text1"/>
                <w14:textFill>
                  <w14:solidFill>
                    <w14:schemeClr w14:val="tx1"/>
                  </w14:solidFill>
                </w14:textFill>
              </w:rPr>
              <w:t>运营期</w:t>
            </w:r>
          </w:p>
        </w:tc>
        <w:tc>
          <w:tcPr>
            <w:tcW w:w="686"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大气</w:t>
            </w:r>
            <w:r>
              <w:rPr>
                <w:color w:val="000000" w:themeColor="text1"/>
                <w14:textFill>
                  <w14:solidFill>
                    <w14:schemeClr w14:val="tx1"/>
                  </w14:solidFill>
                </w14:textFill>
              </w:rPr>
              <w:t>环境</w:t>
            </w: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现状评价</w:t>
            </w:r>
          </w:p>
        </w:tc>
        <w:tc>
          <w:tcPr>
            <w:tcW w:w="3168" w:type="pct"/>
            <w:vAlign w:val="center"/>
          </w:tcPr>
          <w:p>
            <w:pPr>
              <w:pStyle w:val="232"/>
              <w:jc w:val="both"/>
              <w:rPr>
                <w:color w:val="000000" w:themeColor="text1"/>
                <w14:textFill>
                  <w14:solidFill>
                    <w14:schemeClr w14:val="tx1"/>
                  </w14:solidFill>
                </w14:textFill>
              </w:rPr>
            </w:pPr>
            <w:r>
              <w:rPr>
                <w:rFonts w:hint="eastAsia"/>
                <w:bCs/>
                <w:color w:val="000000" w:themeColor="text1"/>
                <w:szCs w:val="24"/>
                <w14:textFill>
                  <w14:solidFill>
                    <w14:schemeClr w14:val="tx1"/>
                  </w14:solidFill>
                </w14:textFill>
              </w:rPr>
              <w:t>基本污染物：</w:t>
            </w:r>
            <w:r>
              <w:rPr>
                <w:bCs/>
                <w:color w:val="000000" w:themeColor="text1"/>
                <w:szCs w:val="24"/>
                <w14:textFill>
                  <w14:solidFill>
                    <w14:schemeClr w14:val="tx1"/>
                  </w14:solidFill>
                </w14:textFill>
              </w:rPr>
              <w:t>NO</w:t>
            </w:r>
            <w:r>
              <w:rPr>
                <w:bCs/>
                <w:color w:val="000000" w:themeColor="text1"/>
                <w:szCs w:val="24"/>
                <w:vertAlign w:val="subscript"/>
                <w14:textFill>
                  <w14:solidFill>
                    <w14:schemeClr w14:val="tx1"/>
                  </w14:solidFill>
                </w14:textFill>
              </w:rPr>
              <w:t>2</w:t>
            </w:r>
            <w:r>
              <w:rPr>
                <w:bCs/>
                <w:color w:val="000000" w:themeColor="text1"/>
                <w:szCs w:val="24"/>
                <w14:textFill>
                  <w14:solidFill>
                    <w14:schemeClr w14:val="tx1"/>
                  </w14:solidFill>
                </w14:textFill>
              </w:rPr>
              <w:t>、SO</w:t>
            </w:r>
            <w:r>
              <w:rPr>
                <w:bCs/>
                <w:color w:val="000000" w:themeColor="text1"/>
                <w:szCs w:val="24"/>
                <w:vertAlign w:val="subscript"/>
                <w14:textFill>
                  <w14:solidFill>
                    <w14:schemeClr w14:val="tx1"/>
                  </w14:solidFill>
                </w14:textFill>
              </w:rPr>
              <w:t>2</w:t>
            </w:r>
            <w:r>
              <w:rPr>
                <w:color w:val="000000" w:themeColor="text1"/>
                <w14:textFill>
                  <w14:solidFill>
                    <w14:schemeClr w14:val="tx1"/>
                  </w14:solidFill>
                </w14:textFill>
              </w:rPr>
              <w:t>、</w:t>
            </w:r>
            <w:r>
              <w:rPr>
                <w:bCs/>
                <w:color w:val="000000" w:themeColor="text1"/>
                <w:szCs w:val="24"/>
                <w14:textFill>
                  <w14:solidFill>
                    <w14:schemeClr w14:val="tx1"/>
                  </w14:solidFill>
                </w14:textFill>
              </w:rPr>
              <w:t>CO</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w:t>
            </w:r>
            <w:r>
              <w:rPr>
                <w:bCs/>
                <w:color w:val="000000" w:themeColor="text1"/>
                <w:szCs w:val="24"/>
                <w14:textFill>
                  <w14:solidFill>
                    <w14:schemeClr w14:val="tx1"/>
                  </w14:solidFill>
                </w14:textFill>
              </w:rPr>
              <w:t>PM</w:t>
            </w:r>
            <w:r>
              <w:rPr>
                <w:bCs/>
                <w:color w:val="000000" w:themeColor="text1"/>
                <w:szCs w:val="24"/>
                <w:vertAlign w:val="subscript"/>
                <w14:textFill>
                  <w14:solidFill>
                    <w14:schemeClr w14:val="tx1"/>
                  </w14:solidFill>
                </w14:textFill>
              </w:rPr>
              <w:t>10</w:t>
            </w:r>
            <w:r>
              <w:rPr>
                <w:bCs/>
                <w:color w:val="000000" w:themeColor="text1"/>
                <w:szCs w:val="24"/>
                <w14:textFill>
                  <w14:solidFill>
                    <w14:schemeClr w14:val="tx1"/>
                  </w14:solidFill>
                </w14:textFill>
              </w:rPr>
              <w:t>、</w:t>
            </w:r>
            <w:r>
              <w:rPr>
                <w:rFonts w:hint="eastAsia"/>
                <w:color w:val="000000" w:themeColor="text1"/>
                <w14:textFill>
                  <w14:solidFill>
                    <w14:schemeClr w14:val="tx1"/>
                  </w14:solidFill>
                </w14:textFill>
              </w:rPr>
              <w:t>PM</w:t>
            </w:r>
            <w:r>
              <w:rPr>
                <w:rFonts w:hint="eastAsia"/>
                <w:color w:val="000000" w:themeColor="text1"/>
                <w:vertAlign w:val="subscript"/>
                <w14:textFill>
                  <w14:solidFill>
                    <w14:schemeClr w14:val="tx1"/>
                  </w14:solidFill>
                </w14:textFill>
              </w:rPr>
              <w:t>2.5</w:t>
            </w:r>
            <w:r>
              <w:rPr>
                <w:rFonts w:hint="eastAsia"/>
                <w:color w:val="000000" w:themeColor="text1"/>
                <w14:textFill>
                  <w14:solidFill>
                    <w14:schemeClr w14:val="tx1"/>
                  </w14:solidFill>
                </w14:textFill>
              </w:rPr>
              <w:t>；</w:t>
            </w:r>
          </w:p>
          <w:p>
            <w:pPr>
              <w:pStyle w:val="232"/>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其他污染物：H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w:t>
            </w:r>
            <w:r>
              <w:rPr>
                <w:bCs/>
                <w:color w:val="000000" w:themeColor="text1"/>
                <w:szCs w:val="24"/>
                <w14:textFill>
                  <w14:solidFill>
                    <w14:schemeClr w14:val="tx1"/>
                  </w14:solidFill>
                </w14:textFill>
              </w:rPr>
              <w:t>TSP</w:t>
            </w:r>
            <w:r>
              <w:rPr>
                <w:rFonts w:hint="eastAsia"/>
                <w:bCs/>
                <w:color w:val="000000" w:themeColor="text1"/>
                <w:szCs w:val="24"/>
                <w14:textFill>
                  <w14:solidFill>
                    <w14:schemeClr w14:val="tx1"/>
                  </w14:solidFill>
                </w14:textFill>
              </w:rPr>
              <w:t>、臭气浓度</w:t>
            </w: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continue"/>
            <w:vAlign w:val="center"/>
          </w:tcPr>
          <w:p>
            <w:pPr>
              <w:pStyle w:val="232"/>
              <w:rPr>
                <w:color w:val="000000" w:themeColor="text1"/>
                <w14:textFill>
                  <w14:solidFill>
                    <w14:schemeClr w14:val="tx1"/>
                  </w14:solidFill>
                </w14:textFill>
              </w:rPr>
            </w:pP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影响评价</w:t>
            </w:r>
          </w:p>
        </w:tc>
        <w:tc>
          <w:tcPr>
            <w:tcW w:w="31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w:t>
            </w:r>
            <w:r>
              <w:rPr>
                <w:bCs/>
                <w:color w:val="000000" w:themeColor="text1"/>
                <w:szCs w:val="24"/>
                <w14:textFill>
                  <w14:solidFill>
                    <w14:schemeClr w14:val="tx1"/>
                  </w14:solidFill>
                </w14:textFill>
              </w:rPr>
              <w:t>TSP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地下水环境</w:t>
            </w: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现状评价</w:t>
            </w:r>
          </w:p>
        </w:tc>
        <w:tc>
          <w:tcPr>
            <w:tcW w:w="3168" w:type="pct"/>
            <w:vAlign w:val="center"/>
          </w:tcPr>
          <w:p>
            <w:pPr>
              <w:pStyle w:val="232"/>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（1）离子监测项目：K</w:t>
            </w:r>
            <w:r>
              <w:rPr>
                <w:rFonts w:hint="eastAsia"/>
                <w:color w:val="000000" w:themeColor="text1"/>
                <w:vertAlign w:val="superscript"/>
                <w14:textFill>
                  <w14:solidFill>
                    <w14:schemeClr w14:val="tx1"/>
                  </w14:solidFill>
                </w14:textFill>
              </w:rPr>
              <w:t>+</w:t>
            </w:r>
            <w:r>
              <w:rPr>
                <w:rFonts w:hint="eastAsia"/>
                <w:color w:val="000000" w:themeColor="text1"/>
                <w14:textFill>
                  <w14:solidFill>
                    <w14:schemeClr w14:val="tx1"/>
                  </w14:solidFill>
                </w14:textFill>
              </w:rPr>
              <w:t xml:space="preserve">、Na </w:t>
            </w:r>
            <w:r>
              <w:rPr>
                <w:rFonts w:hint="eastAsia"/>
                <w:color w:val="000000" w:themeColor="text1"/>
                <w:vertAlign w:val="superscript"/>
                <w14:textFill>
                  <w14:solidFill>
                    <w14:schemeClr w14:val="tx1"/>
                  </w14:solidFill>
                </w14:textFill>
              </w:rPr>
              <w:t>+</w:t>
            </w:r>
            <w:r>
              <w:rPr>
                <w:rFonts w:hint="eastAsia"/>
                <w:color w:val="000000" w:themeColor="text1"/>
                <w14:textFill>
                  <w14:solidFill>
                    <w14:schemeClr w14:val="tx1"/>
                  </w14:solidFill>
                </w14:textFill>
              </w:rPr>
              <w:t>、Ca</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、Mg</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、CO</w:t>
            </w:r>
            <w:r>
              <w:rPr>
                <w:rFonts w:hint="eastAsia"/>
                <w:color w:val="000000" w:themeColor="text1"/>
                <w:vertAlign w:val="subscript"/>
                <w14:textFill>
                  <w14:solidFill>
                    <w14:schemeClr w14:val="tx1"/>
                  </w14:solidFill>
                </w14:textFill>
              </w:rPr>
              <w:t>3</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、HCO</w:t>
            </w:r>
            <w:r>
              <w:rPr>
                <w:rFonts w:hint="eastAsia"/>
                <w:color w:val="000000" w:themeColor="text1"/>
                <w:vertAlign w:val="subscript"/>
                <w14:textFill>
                  <w14:solidFill>
                    <w14:schemeClr w14:val="tx1"/>
                  </w14:solidFill>
                </w14:textFill>
              </w:rPr>
              <w:t>3</w:t>
            </w:r>
            <w:r>
              <w:rPr>
                <w:rFonts w:hint="eastAsia"/>
                <w:color w:val="000000" w:themeColor="text1"/>
                <w:vertAlign w:val="superscript"/>
                <w14:textFill>
                  <w14:solidFill>
                    <w14:schemeClr w14:val="tx1"/>
                  </w14:solidFill>
                </w14:textFill>
              </w:rPr>
              <w:t>-</w:t>
            </w:r>
            <w:r>
              <w:rPr>
                <w:rFonts w:hint="eastAsia"/>
                <w:color w:val="000000" w:themeColor="text1"/>
                <w14:textFill>
                  <w14:solidFill>
                    <w14:schemeClr w14:val="tx1"/>
                  </w14:solidFill>
                </w14:textFill>
              </w:rPr>
              <w:t>、Cl</w:t>
            </w:r>
            <w:r>
              <w:rPr>
                <w:rFonts w:hint="eastAsia"/>
                <w:color w:val="000000" w:themeColor="text1"/>
                <w:vertAlign w:val="superscript"/>
                <w14:textFill>
                  <w14:solidFill>
                    <w14:schemeClr w14:val="tx1"/>
                  </w14:solidFill>
                </w14:textFill>
              </w:rPr>
              <w:t xml:space="preserve"> -</w:t>
            </w:r>
            <w:r>
              <w:rPr>
                <w:rFonts w:hint="eastAsia"/>
                <w:color w:val="000000" w:themeColor="text1"/>
                <w14:textFill>
                  <w14:solidFill>
                    <w14:schemeClr w14:val="tx1"/>
                  </w14:solidFill>
                </w14:textFill>
              </w:rPr>
              <w:t>、SO</w:t>
            </w:r>
            <w:r>
              <w:rPr>
                <w:rFonts w:hint="eastAsia"/>
                <w:color w:val="000000" w:themeColor="text1"/>
                <w:vertAlign w:val="subscript"/>
                <w14:textFill>
                  <w14:solidFill>
                    <w14:schemeClr w14:val="tx1"/>
                  </w14:solidFill>
                </w14:textFill>
              </w:rPr>
              <w:t>4</w:t>
            </w:r>
            <w:r>
              <w:rPr>
                <w:rFonts w:hint="eastAsia"/>
                <w:color w:val="000000" w:themeColor="text1"/>
                <w:vertAlign w:val="superscript"/>
                <w14:textFill>
                  <w14:solidFill>
                    <w14:schemeClr w14:val="tx1"/>
                  </w14:solidFill>
                </w14:textFill>
              </w:rPr>
              <w:t>2-</w:t>
            </w:r>
          </w:p>
          <w:p>
            <w:pPr>
              <w:pStyle w:val="232"/>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常规检测项目：色、浑浊度、嗅和味、肉眼可见物、pH、氨氮、硝酸盐、亚硝酸盐、挥发性酚类、氰化物、砷、汞、铬（六价）、总硬度、铅、氟、镉、铁、锰、溶解性总固体、高锰酸盐指数、硫酸盐、氯化物、总大肠菌群、细菌总数、铜、镍、锌、铍、银、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continue"/>
            <w:vAlign w:val="center"/>
          </w:tcPr>
          <w:p>
            <w:pPr>
              <w:pStyle w:val="232"/>
              <w:rPr>
                <w:color w:val="000000" w:themeColor="text1"/>
                <w14:textFill>
                  <w14:solidFill>
                    <w14:schemeClr w14:val="tx1"/>
                  </w14:solidFill>
                </w14:textFill>
              </w:rPr>
            </w:pP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预测评价</w:t>
            </w:r>
          </w:p>
        </w:tc>
        <w:tc>
          <w:tcPr>
            <w:tcW w:w="3168" w:type="pct"/>
            <w:vAlign w:val="center"/>
          </w:tcPr>
          <w:p>
            <w:pPr>
              <w:pStyle w:val="232"/>
              <w:rPr>
                <w:color w:val="000000" w:themeColor="text1"/>
                <w14:textFill>
                  <w14:solidFill>
                    <w14:schemeClr w14:val="tx1"/>
                  </w14:solidFill>
                </w14:textFill>
              </w:rPr>
            </w:pPr>
            <w:r>
              <w:rPr>
                <w:rFonts w:hint="eastAsia"/>
                <w:color w:val="FF0000"/>
                <w:lang w:val="en-US" w:eastAsia="zh-CN"/>
              </w:rPr>
              <w:t>耗氧量</w:t>
            </w:r>
            <w:r>
              <w:rPr>
                <w:rFonts w:hint="eastAsia"/>
                <w:color w:val="000000" w:themeColor="text1"/>
                <w14:textFill>
                  <w14:solidFill>
                    <w14:schemeClr w14:val="tx1"/>
                  </w14:solidFill>
                </w14:textFill>
              </w:rPr>
              <w:t>、氨氮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土壤环境</w:t>
            </w: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现状评价</w:t>
            </w:r>
          </w:p>
        </w:tc>
        <w:tc>
          <w:tcPr>
            <w:tcW w:w="31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pH、镉、铅、汞、砷、铜、铬、镍、锌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continue"/>
            <w:vAlign w:val="center"/>
          </w:tcPr>
          <w:p>
            <w:pPr>
              <w:pStyle w:val="232"/>
              <w:rPr>
                <w:color w:val="000000" w:themeColor="text1"/>
                <w14:textFill>
                  <w14:solidFill>
                    <w14:schemeClr w14:val="tx1"/>
                  </w14:solidFill>
                </w14:textFill>
              </w:rPr>
            </w:pP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预测因子</w:t>
            </w:r>
          </w:p>
        </w:tc>
        <w:tc>
          <w:tcPr>
            <w:tcW w:w="31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声环境</w:t>
            </w: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现状评价</w:t>
            </w:r>
          </w:p>
        </w:tc>
        <w:tc>
          <w:tcPr>
            <w:tcW w:w="31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等效连续A声级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continue"/>
            <w:vAlign w:val="center"/>
          </w:tcPr>
          <w:p>
            <w:pPr>
              <w:pStyle w:val="232"/>
              <w:rPr>
                <w:color w:val="000000" w:themeColor="text1"/>
                <w14:textFill>
                  <w14:solidFill>
                    <w14:schemeClr w14:val="tx1"/>
                  </w14:solidFill>
                </w14:textFill>
              </w:rPr>
            </w:pPr>
          </w:p>
        </w:tc>
        <w:tc>
          <w:tcPr>
            <w:tcW w:w="6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影响评价</w:t>
            </w:r>
          </w:p>
        </w:tc>
        <w:tc>
          <w:tcPr>
            <w:tcW w:w="31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等效连续A声级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生态环境</w:t>
            </w:r>
          </w:p>
        </w:tc>
        <w:tc>
          <w:tcPr>
            <w:tcW w:w="67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现状评价</w:t>
            </w:r>
          </w:p>
        </w:tc>
        <w:tc>
          <w:tcPr>
            <w:tcW w:w="3168" w:type="pct"/>
            <w:vAlign w:val="center"/>
          </w:tcPr>
          <w:p>
            <w:pPr>
              <w:pStyle w:val="232"/>
              <w:rPr>
                <w:color w:val="000000" w:themeColor="text1"/>
                <w14:textFill>
                  <w14:solidFill>
                    <w14:schemeClr w14:val="tx1"/>
                  </w14:solidFill>
                </w14:textFill>
              </w:rPr>
            </w:pPr>
            <w:r>
              <w:rPr>
                <w:rFonts w:hint="eastAsia"/>
                <w:bCs/>
                <w:color w:val="000000" w:themeColor="text1"/>
                <w:lang w:val="pt-BR"/>
                <w14:textFill>
                  <w14:solidFill>
                    <w14:schemeClr w14:val="tx1"/>
                  </w14:solidFill>
                </w14:textFill>
              </w:rPr>
              <w:t>土地利用、动植物资源及种类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Merge w:val="continue"/>
            <w:vAlign w:val="center"/>
          </w:tcPr>
          <w:p>
            <w:pPr>
              <w:pStyle w:val="232"/>
              <w:rPr>
                <w:color w:val="000000" w:themeColor="text1"/>
                <w14:textFill>
                  <w14:solidFill>
                    <w14:schemeClr w14:val="tx1"/>
                  </w14:solidFill>
                </w14:textFill>
              </w:rPr>
            </w:pPr>
          </w:p>
        </w:tc>
        <w:tc>
          <w:tcPr>
            <w:tcW w:w="677" w:type="pct"/>
            <w:vAlign w:val="center"/>
          </w:tcPr>
          <w:p>
            <w:pPr>
              <w:pStyle w:val="232"/>
              <w:rPr>
                <w:bCs/>
                <w:color w:val="000000" w:themeColor="text1"/>
                <w:lang w:val="pt-BR"/>
                <w14:textFill>
                  <w14:solidFill>
                    <w14:schemeClr w14:val="tx1"/>
                  </w14:solidFill>
                </w14:textFill>
              </w:rPr>
            </w:pPr>
            <w:r>
              <w:rPr>
                <w:rFonts w:hint="eastAsia"/>
                <w:bCs/>
                <w:color w:val="000000" w:themeColor="text1"/>
                <w:lang w:val="pt-BR"/>
                <w14:textFill>
                  <w14:solidFill>
                    <w14:schemeClr w14:val="tx1"/>
                  </w14:solidFill>
                </w14:textFill>
              </w:rPr>
              <w:t>影响预测</w:t>
            </w:r>
          </w:p>
        </w:tc>
        <w:tc>
          <w:tcPr>
            <w:tcW w:w="3168" w:type="pct"/>
            <w:vAlign w:val="center"/>
          </w:tcPr>
          <w:p>
            <w:pPr>
              <w:pStyle w:val="232"/>
              <w:rPr>
                <w:bCs/>
                <w:color w:val="000000" w:themeColor="text1"/>
                <w:lang w:val="pt-BR"/>
                <w14:textFill>
                  <w14:solidFill>
                    <w14:schemeClr w14:val="tx1"/>
                  </w14:solidFill>
                </w14:textFill>
              </w:rPr>
            </w:pPr>
            <w:r>
              <w:rPr>
                <w:rFonts w:hint="eastAsia"/>
                <w:bCs/>
                <w:color w:val="000000" w:themeColor="text1"/>
                <w:lang w:val="pt-BR"/>
                <w14:textFill>
                  <w14:solidFill>
                    <w14:schemeClr w14:val="tx1"/>
                  </w14:solidFill>
                </w14:textFill>
              </w:rPr>
              <w:t>土地利用、动植物资源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风险环境</w:t>
            </w:r>
          </w:p>
        </w:tc>
        <w:tc>
          <w:tcPr>
            <w:tcW w:w="677" w:type="pct"/>
            <w:vAlign w:val="center"/>
          </w:tcPr>
          <w:p>
            <w:pPr>
              <w:pStyle w:val="232"/>
              <w:rPr>
                <w:bCs/>
                <w:color w:val="000000" w:themeColor="text1"/>
                <w:lang w:val="pt-BR"/>
                <w14:textFill>
                  <w14:solidFill>
                    <w14:schemeClr w14:val="tx1"/>
                  </w14:solidFill>
                </w14:textFill>
              </w:rPr>
            </w:pPr>
            <w:r>
              <w:rPr>
                <w:rFonts w:hint="eastAsia"/>
                <w:color w:val="000000" w:themeColor="text1"/>
                <w14:textFill>
                  <w14:solidFill>
                    <w14:schemeClr w14:val="tx1"/>
                  </w14:solidFill>
                </w14:textFill>
              </w:rPr>
              <w:t>影响评价</w:t>
            </w:r>
          </w:p>
        </w:tc>
        <w:tc>
          <w:tcPr>
            <w:tcW w:w="3168" w:type="pct"/>
            <w:vAlign w:val="center"/>
          </w:tcPr>
          <w:p>
            <w:pPr>
              <w:pStyle w:val="232"/>
              <w:rPr>
                <w:bCs/>
                <w:color w:val="000000" w:themeColor="text1"/>
                <w:lang w:val="pt-BR"/>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tcPr>
          <w:p>
            <w:pPr>
              <w:pStyle w:val="232"/>
              <w:rPr>
                <w:color w:val="000000" w:themeColor="text1"/>
                <w14:textFill>
                  <w14:solidFill>
                    <w14:schemeClr w14:val="tx1"/>
                  </w14:solidFill>
                </w14:textFill>
              </w:rPr>
            </w:pPr>
          </w:p>
        </w:tc>
        <w:tc>
          <w:tcPr>
            <w:tcW w:w="686"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固体废物</w:t>
            </w:r>
          </w:p>
        </w:tc>
        <w:tc>
          <w:tcPr>
            <w:tcW w:w="67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影响评价</w:t>
            </w:r>
          </w:p>
        </w:tc>
        <w:tc>
          <w:tcPr>
            <w:tcW w:w="31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固体废物产生及处置情况</w:t>
            </w:r>
          </w:p>
        </w:tc>
      </w:t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tbl>
    <w:p>
      <w:pPr>
        <w:ind w:firstLine="480"/>
      </w:pPr>
    </w:p>
    <w:bookmarkEnd w:id="54"/>
    <w:bookmarkEnd w:id="55"/>
    <w:bookmarkEnd w:id="56"/>
    <w:p>
      <w:pPr>
        <w:pStyle w:val="3"/>
        <w:spacing w:before="120" w:after="120"/>
      </w:pPr>
      <w:bookmarkStart w:id="110" w:name="_Toc28212"/>
      <w:bookmarkStart w:id="111" w:name="_Toc24447065"/>
      <w:r>
        <w:rPr>
          <w:rFonts w:hint="eastAsia"/>
        </w:rPr>
        <w:t>环境功能区划及评价标准</w:t>
      </w:r>
      <w:bookmarkEnd w:id="110"/>
      <w:bookmarkEnd w:id="111"/>
    </w:p>
    <w:p>
      <w:pPr>
        <w:pStyle w:val="4"/>
      </w:pPr>
      <w:r>
        <w:rPr>
          <w:rFonts w:hint="eastAsia"/>
        </w:rPr>
        <w:t>环境功能区划</w:t>
      </w:r>
    </w:p>
    <w:p>
      <w:pPr>
        <w:ind w:firstLine="480"/>
      </w:pPr>
      <w:r>
        <w:rPr>
          <w:rFonts w:hint="eastAsia"/>
        </w:rPr>
        <w:t>根据评价区功能区划和环境保护目标的要求，环境空气为二类功能区；地下水为农业及生活用水区，为Ⅲ类水质要求；声环境为2类功能区。</w:t>
      </w:r>
    </w:p>
    <w:p>
      <w:pPr>
        <w:pStyle w:val="4"/>
      </w:pPr>
      <w:r>
        <w:rPr>
          <w:rFonts w:hint="eastAsia"/>
        </w:rPr>
        <w:t>环境质量标准</w:t>
      </w:r>
    </w:p>
    <w:p>
      <w:pPr>
        <w:pStyle w:val="5"/>
      </w:pPr>
      <w:r>
        <w:rPr>
          <w:rFonts w:hint="eastAsia"/>
        </w:rPr>
        <w:t xml:space="preserve">环境空气质量标准 </w:t>
      </w:r>
    </w:p>
    <w:p>
      <w:pPr>
        <w:ind w:firstLine="480"/>
      </w:pPr>
      <w:r>
        <w:rPr>
          <w:rFonts w:hint="eastAsia"/>
        </w:rPr>
        <w:t>项目所在区域属于环境空气质量二类功能区，</w:t>
      </w:r>
      <w:r>
        <w:t>PM</w:t>
      </w:r>
      <w:r>
        <w:rPr>
          <w:vertAlign w:val="subscript"/>
        </w:rPr>
        <w:t>10</w:t>
      </w:r>
      <w:r>
        <w:rPr>
          <w:rFonts w:hint="eastAsia"/>
        </w:rPr>
        <w:t>、</w:t>
      </w:r>
      <w:r>
        <w:t>PM</w:t>
      </w:r>
      <w:r>
        <w:rPr>
          <w:vertAlign w:val="subscript"/>
        </w:rPr>
        <w:t>2.5</w:t>
      </w:r>
      <w:r>
        <w:rPr>
          <w:rFonts w:hint="eastAsia"/>
        </w:rPr>
        <w:t>、</w:t>
      </w:r>
      <w:r>
        <w:t>SO</w:t>
      </w:r>
      <w:r>
        <w:rPr>
          <w:vertAlign w:val="subscript"/>
        </w:rPr>
        <w:t>2</w:t>
      </w:r>
      <w:r>
        <w:rPr>
          <w:rFonts w:hint="eastAsia"/>
        </w:rPr>
        <w:t>、</w:t>
      </w:r>
      <w:r>
        <w:t>NO</w:t>
      </w:r>
      <w:r>
        <w:rPr>
          <w:vertAlign w:val="subscript"/>
        </w:rPr>
        <w:t>2</w:t>
      </w:r>
      <w:r>
        <w:rPr>
          <w:rFonts w:hint="eastAsia"/>
        </w:rPr>
        <w:t>、</w:t>
      </w:r>
      <w:r>
        <w:t>CO</w:t>
      </w:r>
      <w:r>
        <w:rPr>
          <w:rFonts w:hint="eastAsia"/>
        </w:rPr>
        <w:t>、</w:t>
      </w:r>
      <w:r>
        <w:t>O</w:t>
      </w:r>
      <w:r>
        <w:rPr>
          <w:vertAlign w:val="subscript"/>
        </w:rPr>
        <w:t>3</w:t>
      </w:r>
      <w:r>
        <w:rPr>
          <w:rFonts w:hint="eastAsia"/>
        </w:rPr>
        <w:t>、T</w:t>
      </w:r>
      <w:r>
        <w:t>SP执行《环境空气质量标准》（GB3095-</w:t>
      </w:r>
      <w:r>
        <w:rPr>
          <w:rFonts w:hint="eastAsia"/>
        </w:rPr>
        <w:t>2012</w:t>
      </w:r>
      <w:r>
        <w:t>）中的二级标准</w:t>
      </w:r>
      <w:r>
        <w:rPr>
          <w:rFonts w:hint="eastAsia"/>
        </w:rPr>
        <w:t>；TSP、</w:t>
      </w:r>
      <w:r>
        <w:t>NH</w:t>
      </w:r>
      <w:r>
        <w:rPr>
          <w:vertAlign w:val="subscript"/>
        </w:rPr>
        <w:t>3</w:t>
      </w:r>
      <w:r>
        <w:rPr>
          <w:rFonts w:hint="eastAsia"/>
        </w:rPr>
        <w:t>、</w:t>
      </w:r>
      <w:r>
        <w:t>H</w:t>
      </w:r>
      <w:r>
        <w:rPr>
          <w:vertAlign w:val="subscript"/>
        </w:rPr>
        <w:t>2</w:t>
      </w:r>
      <w:r>
        <w:t>S</w:t>
      </w:r>
      <w:r>
        <w:rPr>
          <w:rFonts w:hint="eastAsia"/>
        </w:rPr>
        <w:t>执行《环境影响评价技术导则 大气环境》（</w:t>
      </w:r>
      <w:r>
        <w:t>HJ2.2-2018</w:t>
      </w:r>
      <w:r>
        <w:rPr>
          <w:rFonts w:hint="eastAsia"/>
        </w:rPr>
        <w:t>）中的附录</w:t>
      </w:r>
      <w:r>
        <w:t>D</w:t>
      </w:r>
      <w:r>
        <w:rPr>
          <w:rFonts w:hint="eastAsia"/>
        </w:rPr>
        <w:t>其他污染物空气质量浓度参考限值，详见下表。</w:t>
      </w:r>
    </w:p>
    <w:p>
      <w:pPr>
        <w:pStyle w:val="6"/>
      </w:pPr>
      <w:r>
        <w:rPr>
          <w:rFonts w:hint="eastAsia"/>
        </w:rPr>
        <w:t>表2.</w:t>
      </w:r>
      <w:r>
        <w:t>4</w:t>
      </w:r>
      <w:r>
        <w:rPr>
          <w:rFonts w:hint="eastAsia"/>
        </w:rPr>
        <w:t>.2-1</w:t>
      </w:r>
      <w:r>
        <w:t xml:space="preserve">    环境空气质量标准</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814"/>
        <w:gridCol w:w="899"/>
        <w:gridCol w:w="2429"/>
        <w:gridCol w:w="1290"/>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477"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评价因子</w:t>
            </w:r>
          </w:p>
        </w:tc>
        <w:tc>
          <w:tcPr>
            <w:tcW w:w="2707" w:type="pct"/>
            <w:gridSpan w:val="3"/>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浓度限值</w:t>
            </w:r>
            <w:r>
              <w:rPr>
                <w:bCs/>
                <w:color w:val="000000" w:themeColor="text1"/>
                <w14:textFill>
                  <w14:solidFill>
                    <w14:schemeClr w14:val="tx1"/>
                  </w14:solidFill>
                </w14:textFill>
              </w:rPr>
              <w:t>（单位：</w:t>
            </w:r>
            <w:r>
              <w:rPr>
                <w:color w:val="000000" w:themeColor="text1"/>
                <w14:textFill>
                  <w14:solidFill>
                    <w14:schemeClr w14:val="tx1"/>
                  </w14:solidFill>
                </w14:textFill>
              </w:rPr>
              <w:t>μg</w:t>
            </w:r>
            <w:r>
              <w:rPr>
                <w:bCs/>
                <w:color w:val="000000" w:themeColor="text1"/>
                <w14:textFill>
                  <w14:solidFill>
                    <w14:schemeClr w14:val="tx1"/>
                  </w14:solidFill>
                </w14:textFill>
              </w:rPr>
              <w:t>/Nm</w:t>
            </w:r>
            <w:r>
              <w:rPr>
                <w:bCs/>
                <w:color w:val="000000" w:themeColor="text1"/>
                <w:vertAlign w:val="superscript"/>
                <w14:textFill>
                  <w14:solidFill>
                    <w14:schemeClr w14:val="tx1"/>
                  </w14:solidFill>
                </w14:textFill>
              </w:rPr>
              <w:t>3</w:t>
            </w:r>
            <w:r>
              <w:rPr>
                <w:bCs/>
                <w:color w:val="000000" w:themeColor="text1"/>
                <w14:textFill>
                  <w14:solidFill>
                    <w14:schemeClr w14:val="tx1"/>
                  </w14:solidFill>
                </w14:textFill>
              </w:rPr>
              <w:t>）</w:t>
            </w:r>
          </w:p>
        </w:tc>
        <w:tc>
          <w:tcPr>
            <w:tcW w:w="1424"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Merge w:val="continue"/>
            <w:vAlign w:val="center"/>
          </w:tcPr>
          <w:p>
            <w:pPr>
              <w:pStyle w:val="232"/>
              <w:rPr>
                <w:color w:val="000000" w:themeColor="text1"/>
                <w14:textFill>
                  <w14:solidFill>
                    <w14:schemeClr w14:val="tx1"/>
                  </w14:solidFill>
                </w14:textFill>
              </w:rPr>
            </w:pPr>
          </w:p>
        </w:tc>
        <w:tc>
          <w:tcPr>
            <w:tcW w:w="477" w:type="pct"/>
            <w:vMerge w:val="continue"/>
            <w:vAlign w:val="center"/>
          </w:tcPr>
          <w:p>
            <w:pPr>
              <w:pStyle w:val="232"/>
              <w:rPr>
                <w:color w:val="000000" w:themeColor="text1"/>
                <w14:textFill>
                  <w14:solidFill>
                    <w14:schemeClr w14:val="tx1"/>
                  </w14:solidFill>
                </w14:textFill>
              </w:rPr>
            </w:pPr>
          </w:p>
        </w:tc>
        <w:tc>
          <w:tcPr>
            <w:tcW w:w="52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年平均</w:t>
            </w:r>
          </w:p>
        </w:tc>
        <w:tc>
          <w:tcPr>
            <w:tcW w:w="142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日平均</w:t>
            </w:r>
          </w:p>
        </w:tc>
        <w:tc>
          <w:tcPr>
            <w:tcW w:w="756"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小时平均</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60</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150</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500</w:t>
            </w:r>
          </w:p>
        </w:tc>
        <w:tc>
          <w:tcPr>
            <w:tcW w:w="1424"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《环境空气质量标准》（GB3095-2012）二级标准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40</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80</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200</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TSP</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200</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300</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70</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150</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35</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75</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160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日最大八小时平均</w:t>
            </w:r>
            <w:r>
              <w:rPr>
                <w:rFonts w:hint="eastAsia"/>
                <w:color w:val="000000" w:themeColor="text1"/>
                <w:lang w:eastAsia="zh-CN"/>
                <w14:textFill>
                  <w14:solidFill>
                    <w14:schemeClr w14:val="tx1"/>
                  </w14:solidFill>
                </w14:textFill>
              </w:rPr>
              <w:t>）</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200</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w:t>
            </w:r>
          </w:p>
        </w:tc>
        <w:tc>
          <w:tcPr>
            <w:tcW w:w="4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CO</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lang w:eastAsia="zh-CN"/>
                <w14:textFill>
                  <w14:solidFill>
                    <w14:schemeClr w14:val="tx1"/>
                  </w14:solidFill>
                </w14:textFill>
              </w:rPr>
              <w:t>）</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lang w:eastAsia="zh-CN"/>
                <w14:textFill>
                  <w14:solidFill>
                    <w14:schemeClr w14:val="tx1"/>
                  </w14:solidFill>
                </w14:textFill>
              </w:rPr>
              <w:t>）</w:t>
            </w:r>
          </w:p>
        </w:tc>
        <w:tc>
          <w:tcPr>
            <w:tcW w:w="1424"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w:t>
            </w:r>
          </w:p>
        </w:tc>
        <w:tc>
          <w:tcPr>
            <w:tcW w:w="477" w:type="pct"/>
            <w:vAlign w:val="center"/>
          </w:tcPr>
          <w:p>
            <w:pPr>
              <w:pStyle w:val="232"/>
              <w:rPr>
                <w:bCs/>
                <w:color w:val="000000" w:themeColor="text1"/>
                <w:lang w:bidi="en-US"/>
                <w14:textFill>
                  <w14:solidFill>
                    <w14:schemeClr w14:val="tx1"/>
                  </w14:solidFill>
                </w14:textFill>
              </w:rPr>
            </w:pPr>
            <w:r>
              <w:rPr>
                <w:bCs/>
                <w:color w:val="000000" w:themeColor="text1"/>
                <w:lang w:bidi="en-US"/>
                <w14:textFill>
                  <w14:solidFill>
                    <w14:schemeClr w14:val="tx1"/>
                  </w14:solidFill>
                </w14:textFill>
              </w:rPr>
              <w:t>NH</w:t>
            </w:r>
            <w:r>
              <w:rPr>
                <w:bCs/>
                <w:color w:val="000000" w:themeColor="text1"/>
                <w:vertAlign w:val="subscript"/>
                <w:lang w:bidi="en-US"/>
                <w14:textFill>
                  <w14:solidFill>
                    <w14:schemeClr w14:val="tx1"/>
                  </w14:solidFill>
                </w14:textFill>
              </w:rPr>
              <w:t>3</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200</w:t>
            </w:r>
          </w:p>
        </w:tc>
        <w:tc>
          <w:tcPr>
            <w:tcW w:w="1424"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《环境影响评价技术导则 大气环境》（HJ2.2-2018）表</w:t>
            </w:r>
            <w:r>
              <w:rPr>
                <w:color w:val="000000" w:themeColor="text1"/>
                <w14:textFill>
                  <w14:solidFill>
                    <w14:schemeClr w14:val="tx1"/>
                  </w14:solidFill>
                </w14:textFill>
              </w:rPr>
              <w:t>D.1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9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9</w:t>
            </w:r>
          </w:p>
        </w:tc>
        <w:tc>
          <w:tcPr>
            <w:tcW w:w="477" w:type="pct"/>
            <w:vAlign w:val="center"/>
          </w:tcPr>
          <w:p>
            <w:pPr>
              <w:pStyle w:val="232"/>
              <w:rPr>
                <w:bCs/>
                <w:color w:val="000000" w:themeColor="text1"/>
                <w:lang w:bidi="en-US"/>
                <w14:textFill>
                  <w14:solidFill>
                    <w14:schemeClr w14:val="tx1"/>
                  </w14:solidFill>
                </w14:textFill>
              </w:rPr>
            </w:pPr>
            <w:r>
              <w:rPr>
                <w:bCs/>
                <w:color w:val="000000" w:themeColor="text1"/>
                <w:lang w:bidi="en-US"/>
                <w14:textFill>
                  <w14:solidFill>
                    <w14:schemeClr w14:val="tx1"/>
                  </w14:solidFill>
                </w14:textFill>
              </w:rPr>
              <w:t>H</w:t>
            </w:r>
            <w:r>
              <w:rPr>
                <w:bCs/>
                <w:color w:val="000000" w:themeColor="text1"/>
                <w:vertAlign w:val="subscript"/>
                <w:lang w:bidi="en-US"/>
                <w14:textFill>
                  <w14:solidFill>
                    <w14:schemeClr w14:val="tx1"/>
                  </w14:solidFill>
                </w14:textFill>
              </w:rPr>
              <w:t>2</w:t>
            </w:r>
            <w:r>
              <w:rPr>
                <w:bCs/>
                <w:color w:val="000000" w:themeColor="text1"/>
                <w:lang w:bidi="en-US"/>
                <w14:textFill>
                  <w14:solidFill>
                    <w14:schemeClr w14:val="tx1"/>
                  </w14:solidFill>
                </w14:textFill>
              </w:rPr>
              <w:t>S</w:t>
            </w:r>
          </w:p>
        </w:tc>
        <w:tc>
          <w:tcPr>
            <w:tcW w:w="52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142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t>
            </w:r>
          </w:p>
        </w:tc>
        <w:tc>
          <w:tcPr>
            <w:tcW w:w="75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w:t>
            </w:r>
          </w:p>
        </w:tc>
        <w:tc>
          <w:tcPr>
            <w:tcW w:w="1424" w:type="pct"/>
            <w:vMerge w:val="continue"/>
            <w:vAlign w:val="center"/>
          </w:tcPr>
          <w:p>
            <w:pPr>
              <w:pStyle w:val="232"/>
              <w:rPr>
                <w:color w:val="000000" w:themeColor="text1"/>
                <w14:textFill>
                  <w14:solidFill>
                    <w14:schemeClr w14:val="tx1"/>
                  </w14:solidFill>
                </w14:textFill>
              </w:rPr>
            </w:pPr>
          </w:p>
        </w:tc>
      </w:tr>
    </w:tbl>
    <w:p>
      <w:pPr>
        <w:ind w:firstLine="480"/>
      </w:pPr>
    </w:p>
    <w:p>
      <w:pPr>
        <w:pStyle w:val="5"/>
      </w:pPr>
      <w:r>
        <w:rPr>
          <w:rFonts w:hint="eastAsia"/>
        </w:rPr>
        <w:t>地下水环境</w:t>
      </w:r>
    </w:p>
    <w:p>
      <w:pPr>
        <w:ind w:firstLine="480"/>
      </w:pPr>
      <w:r>
        <w:rPr>
          <w:rFonts w:hint="eastAsia"/>
        </w:rPr>
        <w:t>项目拟建地地下水执行《地下水质量标准》（</w:t>
      </w:r>
      <w:r>
        <w:t>GB/T14848-</w:t>
      </w:r>
      <w:r>
        <w:rPr>
          <w:rFonts w:hint="eastAsia"/>
        </w:rPr>
        <w:t>2017）</w:t>
      </w:r>
      <w:r>
        <w:t>III</w:t>
      </w:r>
      <w:r>
        <w:rPr>
          <w:rFonts w:hint="eastAsia"/>
        </w:rPr>
        <w:t>类标准，</w:t>
      </w:r>
      <w:r>
        <w:t>各污染物浓度限值详见</w:t>
      </w:r>
      <w:r>
        <w:rPr>
          <w:rFonts w:hint="eastAsia"/>
        </w:rPr>
        <w:t>下</w:t>
      </w:r>
      <w:r>
        <w:t>表</w:t>
      </w:r>
      <w:r>
        <w:rPr>
          <w:rFonts w:hint="eastAsia"/>
        </w:rPr>
        <w:t>。</w:t>
      </w:r>
    </w:p>
    <w:p>
      <w:pPr>
        <w:pStyle w:val="6"/>
      </w:pPr>
      <w:r>
        <w:rPr>
          <w:rFonts w:hint="eastAsia"/>
        </w:rPr>
        <w:t>表2.4.2-2    地下水质量标准（单位：mg/L，pH值无量纲）</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2626"/>
        <w:gridCol w:w="2754"/>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46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Ⅲ</w:t>
            </w:r>
            <w:r>
              <w:rPr>
                <w:color w:val="000000" w:themeColor="text1"/>
                <w14:textFill>
                  <w14:solidFill>
                    <w14:schemeClr w14:val="tx1"/>
                  </w14:solidFill>
                </w14:textFill>
              </w:rPr>
              <w:t>类标准</w:t>
            </w:r>
          </w:p>
        </w:tc>
        <w:tc>
          <w:tcPr>
            <w:tcW w:w="1380"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pH值</w:t>
            </w:r>
          </w:p>
        </w:tc>
        <w:tc>
          <w:tcPr>
            <w:tcW w:w="161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8.5</w:t>
            </w:r>
          </w:p>
        </w:tc>
        <w:tc>
          <w:tcPr>
            <w:tcW w:w="1380"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《地下水质量标准》（GB/T14848-2017)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氨氮</w:t>
            </w:r>
          </w:p>
        </w:tc>
        <w:tc>
          <w:tcPr>
            <w:tcW w:w="1614" w:type="pct"/>
            <w:vAlign w:val="center"/>
          </w:tcPr>
          <w:p>
            <w:pPr>
              <w:pStyle w:val="232"/>
              <w:rPr>
                <w:color w:val="000000" w:themeColor="text1"/>
                <w14:textFill>
                  <w14:solidFill>
                    <w14:schemeClr w14:val="tx1"/>
                  </w14:solidFill>
                </w14:textFill>
              </w:rPr>
            </w:pPr>
            <w:r>
              <w:rPr>
                <w:color w:val="000000" w:themeColor="text1"/>
                <w:lang w:val="en-GB"/>
                <w14:textFill>
                  <w14:solidFill>
                    <w14:schemeClr w14:val="tx1"/>
                  </w14:solidFill>
                </w14:textFill>
              </w:rPr>
              <w:t>0.</w:t>
            </w:r>
            <w:r>
              <w:rPr>
                <w:rFonts w:hint="eastAsia"/>
                <w:color w:val="000000" w:themeColor="text1"/>
                <w:lang w:val="en-GB"/>
                <w14:textFill>
                  <w14:solidFill>
                    <w14:schemeClr w14:val="tx1"/>
                  </w14:solidFill>
                </w14:textFill>
              </w:rPr>
              <w:t>5</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硝酸盐（以氮计）</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亚硝酸盐（以氮计）</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539" w:type="pct"/>
            <w:vAlign w:val="center"/>
          </w:tcPr>
          <w:p>
            <w:pPr>
              <w:pStyle w:val="232"/>
              <w:rPr>
                <w:color w:val="000000" w:themeColor="text1"/>
                <w14:textFill>
                  <w14:solidFill>
                    <w14:schemeClr w14:val="tx1"/>
                  </w14:solidFill>
                </w14:textFill>
              </w:rPr>
            </w:pPr>
            <w:r>
              <w:rPr>
                <w:rFonts w:hint="eastAsia"/>
                <w:bCs/>
                <w:color w:val="000000" w:themeColor="text1"/>
                <w14:textFill>
                  <w14:solidFill>
                    <w14:schemeClr w14:val="tx1"/>
                  </w14:solidFill>
                </w14:textFill>
              </w:rPr>
              <w:t>挥发性酚类</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0.002</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氰化物</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0.05</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53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钠</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200.0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砷</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0.01</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汞</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0.001</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六价铬</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0.05</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铅</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0.01</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氟化物</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镉</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0.0005</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铁</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0.3</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锰</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0.10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153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耗氧量</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1539" w:type="pct"/>
            <w:vAlign w:val="center"/>
          </w:tcPr>
          <w:p>
            <w:pPr>
              <w:pStyle w:val="232"/>
              <w:rPr>
                <w:color w:val="000000" w:themeColor="text1"/>
                <w14:textFill>
                  <w14:solidFill>
                    <w14:schemeClr w14:val="tx1"/>
                  </w14:solidFill>
                </w14:textFill>
              </w:rPr>
            </w:pPr>
            <w:r>
              <w:rPr>
                <w:rFonts w:hint="eastAsia"/>
                <w:bCs/>
                <w:color w:val="000000" w:themeColor="text1"/>
                <w14:textFill>
                  <w14:solidFill>
                    <w14:schemeClr w14:val="tx1"/>
                  </w14:solidFill>
                </w14:textFill>
              </w:rPr>
              <w:t>总大肠菌群</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3.0(MPN</w:t>
            </w:r>
            <w:r>
              <w:rPr>
                <w:rFonts w:hint="eastAsia"/>
                <w:color w:val="000000" w:themeColor="text1"/>
                <w:vertAlign w:val="superscript"/>
                <w14:textFill>
                  <w14:solidFill>
                    <w14:schemeClr w14:val="tx1"/>
                  </w14:solidFill>
                </w14:textFill>
              </w:rPr>
              <w:t>b</w:t>
            </w:r>
            <w:r>
              <w:rPr>
                <w:rFonts w:hint="eastAsia"/>
                <w:color w:val="000000" w:themeColor="text1"/>
                <w14:textFill>
                  <w14:solidFill>
                    <w14:schemeClr w14:val="tx1"/>
                  </w14:solidFill>
                </w14:textFill>
              </w:rPr>
              <w:t>/100ml)</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1539" w:type="pct"/>
            <w:vAlign w:val="center"/>
          </w:tcPr>
          <w:p>
            <w:pPr>
              <w:pStyle w:val="232"/>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菌落总数</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100(CFU/ml)</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氯化物</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250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硫酸盐</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250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21</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总硬度</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450</w:t>
            </w:r>
          </w:p>
        </w:tc>
        <w:tc>
          <w:tcPr>
            <w:tcW w:w="138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22</w:t>
            </w:r>
          </w:p>
        </w:tc>
        <w:tc>
          <w:tcPr>
            <w:tcW w:w="153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溶解性总固体</w:t>
            </w:r>
          </w:p>
        </w:tc>
        <w:tc>
          <w:tcPr>
            <w:tcW w:w="16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1000</w:t>
            </w:r>
          </w:p>
        </w:tc>
        <w:tc>
          <w:tcPr>
            <w:tcW w:w="1380" w:type="pct"/>
            <w:vMerge w:val="continue"/>
            <w:vAlign w:val="center"/>
          </w:tcPr>
          <w:p>
            <w:pPr>
              <w:pStyle w:val="232"/>
              <w:rPr>
                <w:color w:val="000000" w:themeColor="text1"/>
                <w14:textFill>
                  <w14:solidFill>
                    <w14:schemeClr w14:val="tx1"/>
                  </w14:solidFill>
                </w14:textFill>
              </w:rPr>
            </w:pPr>
          </w:p>
        </w:tc>
      </w:tr>
    </w:tbl>
    <w:p>
      <w:pPr>
        <w:ind w:firstLine="480"/>
      </w:pPr>
    </w:p>
    <w:p>
      <w:pPr>
        <w:pStyle w:val="5"/>
      </w:pPr>
      <w:r>
        <w:rPr>
          <w:rFonts w:hint="eastAsia"/>
        </w:rPr>
        <w:t>声环境质量标准</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所在区域</w:t>
      </w:r>
      <w:r>
        <w:rPr>
          <w:color w:val="000000" w:themeColor="text1"/>
          <w14:textFill>
            <w14:solidFill>
              <w14:schemeClr w14:val="tx1"/>
            </w14:solidFill>
          </w14:textFill>
        </w:rPr>
        <w:t>执行《声环境质量标准》（GB3096-2008）中</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类标准</w:t>
      </w:r>
      <w:r>
        <w:rPr>
          <w:rFonts w:hint="eastAsia"/>
          <w:color w:val="000000" w:themeColor="text1"/>
          <w14:textFill>
            <w14:solidFill>
              <w14:schemeClr w14:val="tx1"/>
            </w14:solidFill>
          </w14:textFill>
        </w:rPr>
        <w:t>，见下表。</w:t>
      </w:r>
    </w:p>
    <w:p>
      <w:pPr>
        <w:pStyle w:val="6"/>
      </w:pPr>
      <w:r>
        <w:rPr>
          <w:rFonts w:hint="eastAsia"/>
        </w:rPr>
        <w:t>表2.4.2-3    声环境质量标准</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1100"/>
        <w:gridCol w:w="1757"/>
        <w:gridCol w:w="1757"/>
        <w:gridCol w:w="2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功能区</w:t>
            </w:r>
          </w:p>
        </w:tc>
        <w:tc>
          <w:tcPr>
            <w:tcW w:w="64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tc>
          <w:tcPr>
            <w:tcW w:w="103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03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夜间</w:t>
            </w:r>
          </w:p>
        </w:tc>
        <w:tc>
          <w:tcPr>
            <w:tcW w:w="143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村庄</w:t>
            </w:r>
          </w:p>
        </w:tc>
        <w:tc>
          <w:tcPr>
            <w:tcW w:w="64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03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60dB(A)</w:t>
            </w:r>
          </w:p>
        </w:tc>
        <w:tc>
          <w:tcPr>
            <w:tcW w:w="103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50dB(A)</w:t>
            </w:r>
          </w:p>
        </w:tc>
        <w:tc>
          <w:tcPr>
            <w:tcW w:w="143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GB3096-2008</w:t>
            </w:r>
          </w:p>
        </w:tc>
      </w:tr>
    </w:tbl>
    <w:p>
      <w:pPr>
        <w:ind w:firstLine="480"/>
      </w:pPr>
    </w:p>
    <w:p>
      <w:pPr>
        <w:pStyle w:val="5"/>
      </w:pPr>
      <w:r>
        <w:rPr>
          <w:rFonts w:hint="eastAsia"/>
        </w:rPr>
        <w:t>土壤质量标准</w:t>
      </w:r>
    </w:p>
    <w:p>
      <w:pPr>
        <w:bidi w:val="0"/>
        <w:rPr>
          <w:rFonts w:hint="eastAsia"/>
        </w:rPr>
      </w:pPr>
      <w:r>
        <w:rPr>
          <w:rFonts w:hint="eastAsia"/>
        </w:rPr>
        <w:t>根据《国土资源部、农业部关于促进规模化畜禽养殖有关用地政策的通知》（国土资发[2007]220号）“兴办规模化畜禽养殖所需用地按农用地管理”，项目用地土壤执行《土壤环境质量 农用地土壤污染风险管控标准（试行）》（</w:t>
      </w:r>
      <w:r>
        <w:t>GB15618-2018</w:t>
      </w:r>
      <w:r>
        <w:rPr>
          <w:rFonts w:hint="eastAsia"/>
        </w:rPr>
        <w:t>）表</w:t>
      </w:r>
      <w:r>
        <w:t>1中</w:t>
      </w:r>
      <w:r>
        <w:rPr>
          <w:rFonts w:hint="eastAsia"/>
        </w:rPr>
        <w:t>农用地土壤污染风险筛选值（基本项目）中的其他，见下表。</w:t>
      </w:r>
    </w:p>
    <w:p>
      <w:pPr>
        <w:ind w:firstLine="0" w:firstLineChars="0"/>
        <w:jc w:val="center"/>
      </w:pPr>
      <w:r>
        <w:rPr>
          <w:rFonts w:hint="eastAsia"/>
        </w:rPr>
        <w:t>表2.4.2-4    土壤环境质量标准一览表（单位mg/kg）</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1311"/>
        <w:gridCol w:w="1469"/>
        <w:gridCol w:w="548"/>
        <w:gridCol w:w="548"/>
        <w:gridCol w:w="548"/>
        <w:gridCol w:w="495"/>
        <w:gridCol w:w="439"/>
        <w:gridCol w:w="548"/>
        <w:gridCol w:w="495"/>
        <w:gridCol w:w="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923" w:type="pct"/>
            <w:noWrap/>
            <w:vAlign w:val="center"/>
          </w:tcPr>
          <w:p>
            <w:pPr>
              <w:pStyle w:val="232"/>
              <w:rPr>
                <w:color w:val="000000" w:themeColor="text1"/>
                <w:lang w:val="zh-TW"/>
                <w14:textFill>
                  <w14:solidFill>
                    <w14:schemeClr w14:val="tx1"/>
                  </w14:solidFill>
                </w14:textFill>
              </w:rPr>
            </w:pPr>
            <w:r>
              <w:rPr>
                <w:rFonts w:hint="eastAsia"/>
                <w:color w:val="000000" w:themeColor="text1"/>
                <w14:textFill>
                  <w14:solidFill>
                    <w14:schemeClr w14:val="tx1"/>
                  </w14:solidFill>
                </w14:textFill>
              </w:rPr>
              <w:t>项目</w:t>
            </w:r>
          </w:p>
        </w:tc>
        <w:tc>
          <w:tcPr>
            <w:tcW w:w="768"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其它</w:t>
            </w:r>
          </w:p>
        </w:tc>
        <w:tc>
          <w:tcPr>
            <w:tcW w:w="860"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pH</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铜</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锌</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铅</w:t>
            </w:r>
          </w:p>
        </w:tc>
        <w:tc>
          <w:tcPr>
            <w:tcW w:w="290"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镉</w:t>
            </w:r>
          </w:p>
        </w:tc>
        <w:tc>
          <w:tcPr>
            <w:tcW w:w="257"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砷</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铬</w:t>
            </w:r>
          </w:p>
        </w:tc>
        <w:tc>
          <w:tcPr>
            <w:tcW w:w="290"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汞</w:t>
            </w:r>
          </w:p>
        </w:tc>
        <w:tc>
          <w:tcPr>
            <w:tcW w:w="322" w:type="pct"/>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575" w:type="dxa"/>
            <w:vAlign w:val="center"/>
          </w:tcPr>
          <w:p>
            <w:pPr>
              <w:pStyle w:val="232"/>
              <w:ind w:firstLine="0" w:firstLineChars="0"/>
              <w:rPr>
                <w:color w:val="000000" w:themeColor="text1"/>
                <w:lang w:val="zh-TW"/>
                <w14:textFill>
                  <w14:solidFill>
                    <w14:schemeClr w14:val="tx1"/>
                  </w14:solidFill>
                </w14:textFill>
              </w:rPr>
            </w:pPr>
            <w:r>
              <w:rPr>
                <w:color w:val="000000" w:themeColor="text1"/>
                <w14:textFill>
                  <w14:solidFill>
                    <w14:schemeClr w14:val="tx1"/>
                  </w14:solidFill>
                </w14:textFill>
              </w:rPr>
              <w:t>GB15618-2018</w:t>
            </w:r>
          </w:p>
        </w:tc>
        <w:tc>
          <w:tcPr>
            <w:tcW w:w="1310" w:type="dxa"/>
            <w:vAlign w:val="center"/>
          </w:tcPr>
          <w:p>
            <w:pPr>
              <w:pStyle w:val="232"/>
              <w:ind w:firstLine="0" w:firstLineChars="0"/>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风险筛选值</w:t>
            </w:r>
          </w:p>
        </w:tc>
        <w:tc>
          <w:tcPr>
            <w:tcW w:w="860" w:type="pct"/>
            <w:noWrap/>
            <w:vAlign w:val="center"/>
          </w:tcPr>
          <w:p>
            <w:pPr>
              <w:pStyle w:val="232"/>
              <w:rPr>
                <w:color w:val="000000" w:themeColor="text1"/>
                <w:lang w:val="zh-TW"/>
                <w14:textFill>
                  <w14:solidFill>
                    <w14:schemeClr w14:val="tx1"/>
                  </w14:solidFill>
                </w14:textFill>
              </w:rPr>
            </w:pPr>
            <w:r>
              <w:rPr>
                <w:rFonts w:hint="eastAsia"/>
                <w:color w:val="FF0000"/>
                <w:lang w:val="zh-TW"/>
              </w:rPr>
              <w:t>＞7.5</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100</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300</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170</w:t>
            </w:r>
          </w:p>
        </w:tc>
        <w:tc>
          <w:tcPr>
            <w:tcW w:w="290"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0.6</w:t>
            </w:r>
          </w:p>
        </w:tc>
        <w:tc>
          <w:tcPr>
            <w:tcW w:w="257"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25</w:t>
            </w:r>
          </w:p>
        </w:tc>
        <w:tc>
          <w:tcPr>
            <w:tcW w:w="321"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250</w:t>
            </w:r>
          </w:p>
        </w:tc>
        <w:tc>
          <w:tcPr>
            <w:tcW w:w="290" w:type="pct"/>
            <w:noWrap/>
            <w:vAlign w:val="center"/>
          </w:tcPr>
          <w:p>
            <w:pPr>
              <w:pStyle w:val="232"/>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3.4</w:t>
            </w:r>
          </w:p>
        </w:tc>
        <w:tc>
          <w:tcPr>
            <w:tcW w:w="322" w:type="pct"/>
            <w:vAlign w:val="center"/>
          </w:tcPr>
          <w:p>
            <w:pPr>
              <w:pStyle w:val="232"/>
              <w:jc w:val="center"/>
              <w:rPr>
                <w:color w:val="000000" w:themeColor="text1"/>
                <w:lang w:val="zh-TW"/>
                <w14:textFill>
                  <w14:solidFill>
                    <w14:schemeClr w14:val="tx1"/>
                  </w14:solidFill>
                </w14:textFill>
              </w:rPr>
            </w:pPr>
            <w:r>
              <w:rPr>
                <w:rFonts w:hint="eastAsia"/>
                <w:color w:val="000000" w:themeColor="text1"/>
                <w:lang w:val="zh-TW"/>
                <w14:textFill>
                  <w14:solidFill>
                    <w14:schemeClr w14:val="tx1"/>
                  </w14:solidFill>
                </w14:textFill>
              </w:rPr>
              <w:t>190</w:t>
            </w:r>
          </w:p>
        </w:tc>
      </w:tr>
    </w:tbl>
    <w:p>
      <w:pPr>
        <w:pStyle w:val="4"/>
      </w:pPr>
      <w:r>
        <w:rPr>
          <w:rFonts w:hint="eastAsia"/>
        </w:rPr>
        <w:t>污染物排放标准</w:t>
      </w:r>
    </w:p>
    <w:p>
      <w:pPr>
        <w:pStyle w:val="5"/>
      </w:pPr>
      <w:r>
        <w:rPr>
          <w:rFonts w:hint="eastAsia"/>
        </w:rPr>
        <w:t>大气污染物排放标准</w:t>
      </w:r>
    </w:p>
    <w:p>
      <w:pPr>
        <w:ind w:firstLine="480"/>
      </w:pPr>
      <w:r>
        <w:rPr>
          <w:rFonts w:hint="eastAsia"/>
        </w:rPr>
        <w:t>本项目无害化处理车间</w:t>
      </w:r>
      <w:r>
        <w:t>H</w:t>
      </w:r>
      <w:r>
        <w:rPr>
          <w:vertAlign w:val="subscript"/>
        </w:rPr>
        <w:t>2</w:t>
      </w:r>
      <w:r>
        <w:t>S</w:t>
      </w:r>
      <w:r>
        <w:rPr>
          <w:rFonts w:hint="eastAsia"/>
        </w:rPr>
        <w:t>、</w:t>
      </w:r>
      <w:r>
        <w:t>NH</w:t>
      </w:r>
      <w:r>
        <w:rPr>
          <w:vertAlign w:val="subscript"/>
        </w:rPr>
        <w:t>3</w:t>
      </w:r>
      <w:r>
        <w:rPr>
          <w:rFonts w:hint="eastAsia"/>
        </w:rPr>
        <w:t>、臭气浓度的有组织排放执行《恶臭污染物排放标准》（</w:t>
      </w:r>
      <w:r>
        <w:t>GB14554-93</w:t>
      </w:r>
      <w:r>
        <w:rPr>
          <w:rFonts w:hint="eastAsia"/>
        </w:rPr>
        <w:t>）表2恶臭污染物排放限值。</w:t>
      </w:r>
    </w:p>
    <w:p>
      <w:pPr>
        <w:ind w:firstLine="480"/>
      </w:pPr>
      <w:r>
        <w:rPr>
          <w:rFonts w:hint="eastAsia"/>
        </w:rPr>
        <w:t>项目厂界</w:t>
      </w:r>
      <w:r>
        <w:t>H</w:t>
      </w:r>
      <w:r>
        <w:rPr>
          <w:vertAlign w:val="subscript"/>
        </w:rPr>
        <w:t>2</w:t>
      </w:r>
      <w:r>
        <w:t>S</w:t>
      </w:r>
      <w:r>
        <w:rPr>
          <w:rFonts w:hint="eastAsia"/>
        </w:rPr>
        <w:t>、</w:t>
      </w:r>
      <w:r>
        <w:t>NH</w:t>
      </w:r>
      <w:r>
        <w:rPr>
          <w:vertAlign w:val="subscript"/>
        </w:rPr>
        <w:t>3</w:t>
      </w:r>
      <w:r>
        <w:rPr>
          <w:rFonts w:hint="eastAsia"/>
        </w:rPr>
        <w:t>执行《恶臭污染物排放标准》（</w:t>
      </w:r>
      <w:r>
        <w:t>GB14554-93</w:t>
      </w:r>
      <w:r>
        <w:rPr>
          <w:rFonts w:hint="eastAsia"/>
        </w:rPr>
        <w:t>）表</w:t>
      </w:r>
      <w:r>
        <w:t>1</w:t>
      </w:r>
      <w:r>
        <w:rPr>
          <w:rFonts w:hint="eastAsia"/>
        </w:rPr>
        <w:t>恶臭污染物厂界标准值二级新改扩建要求，臭气浓度执行《畜禽养殖业污染物排放标准》（</w:t>
      </w:r>
      <w:r>
        <w:t>GB18596-2001</w:t>
      </w:r>
      <w:r>
        <w:rPr>
          <w:rFonts w:hint="eastAsia"/>
        </w:rPr>
        <w:t>），</w:t>
      </w:r>
      <w:r>
        <w:rPr>
          <w:rFonts w:hint="eastAsia"/>
          <w:lang w:val="en-US" w:eastAsia="zh-CN"/>
        </w:rPr>
        <w:t>饲料混合车间</w:t>
      </w:r>
      <w:r>
        <w:rPr>
          <w:rFonts w:hint="eastAsia"/>
        </w:rPr>
        <w:t>无组织颗粒物排放执行《大气污染物综合排放标准》（GB16297-1996）表2新污染源排放二级标准。</w:t>
      </w:r>
    </w:p>
    <w:p>
      <w:pPr>
        <w:ind w:firstLine="480"/>
      </w:pPr>
      <w:r>
        <w:t>本项目废气排放标准详见</w:t>
      </w:r>
      <w:r>
        <w:rPr>
          <w:rFonts w:hint="eastAsia"/>
        </w:rPr>
        <w:t>下</w:t>
      </w:r>
      <w:r>
        <w:t>表。</w:t>
      </w:r>
    </w:p>
    <w:p>
      <w:pPr>
        <w:pStyle w:val="6"/>
      </w:pPr>
      <w:r>
        <w:rPr>
          <w:rFonts w:hint="eastAsia"/>
        </w:rPr>
        <w:t>表2.4.3-1    大气污染物排放标准</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745"/>
        <w:gridCol w:w="2034"/>
        <w:gridCol w:w="2261"/>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49"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序号</w:t>
            </w:r>
          </w:p>
        </w:tc>
        <w:tc>
          <w:tcPr>
            <w:tcW w:w="1609"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标准</w:t>
            </w:r>
          </w:p>
        </w:tc>
        <w:tc>
          <w:tcPr>
            <w:tcW w:w="1192"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污染物</w:t>
            </w:r>
          </w:p>
        </w:tc>
        <w:tc>
          <w:tcPr>
            <w:tcW w:w="1325"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监控点</w:t>
            </w:r>
          </w:p>
        </w:tc>
        <w:tc>
          <w:tcPr>
            <w:tcW w:w="622"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1609" w:type="pct"/>
            <w:vMerge w:val="restart"/>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《恶臭污染物排放标准》</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r>
              <w:rPr>
                <w:color w:val="000000" w:themeColor="text1"/>
                <w:sz w:val="21"/>
                <w:szCs w:val="21"/>
                <w:lang w:bidi="en-US"/>
                <w14:textFill>
                  <w14:solidFill>
                    <w14:schemeClr w14:val="tx1"/>
                  </w14:solidFill>
                </w14:textFill>
              </w:rPr>
              <w:t>GB14554-1993</w:t>
            </w:r>
            <w:r>
              <w:rPr>
                <w:rFonts w:hint="eastAsia"/>
                <w:color w:val="000000" w:themeColor="text1"/>
                <w:sz w:val="21"/>
                <w:szCs w:val="21"/>
                <w14:textFill>
                  <w14:solidFill>
                    <w14:schemeClr w14:val="tx1"/>
                  </w14:solidFill>
                </w14:textFill>
              </w:rPr>
              <w:t>）</w:t>
            </w:r>
          </w:p>
        </w:tc>
        <w:tc>
          <w:tcPr>
            <w:tcW w:w="1192" w:type="pct"/>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lang w:bidi="en-US"/>
                <w14:textFill>
                  <w14:solidFill>
                    <w14:schemeClr w14:val="tx1"/>
                  </w14:solidFill>
                </w14:textFill>
              </w:rPr>
              <w:t>NH</w:t>
            </w:r>
            <w:r>
              <w:rPr>
                <w:color w:val="000000" w:themeColor="text1"/>
                <w:sz w:val="21"/>
                <w:szCs w:val="21"/>
                <w:vertAlign w:val="subscript"/>
                <w:lang w:bidi="en-US"/>
                <w14:textFill>
                  <w14:solidFill>
                    <w14:schemeClr w14:val="tx1"/>
                  </w14:solidFill>
                </w14:textFill>
              </w:rPr>
              <w:t>3</w:t>
            </w:r>
          </w:p>
        </w:tc>
        <w:tc>
          <w:tcPr>
            <w:tcW w:w="1325" w:type="pct"/>
            <w:vMerge w:val="restar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15m高排气筒排放量，kg/h</w:t>
            </w:r>
          </w:p>
        </w:tc>
        <w:tc>
          <w:tcPr>
            <w:tcW w:w="622" w:type="pct"/>
            <w:vAlign w:val="center"/>
          </w:tcPr>
          <w:p>
            <w:pPr>
              <w:pStyle w:val="232"/>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c>
          <w:tcPr>
            <w:tcW w:w="1609" w:type="pct"/>
            <w:vMerge w:val="continue"/>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192" w:type="pct"/>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lang w:bidi="en-US"/>
                <w14:textFill>
                  <w14:solidFill>
                    <w14:schemeClr w14:val="tx1"/>
                  </w14:solidFill>
                </w14:textFill>
              </w:rPr>
              <w:t>H</w:t>
            </w:r>
            <w:r>
              <w:rPr>
                <w:color w:val="000000" w:themeColor="text1"/>
                <w:sz w:val="21"/>
                <w:szCs w:val="21"/>
                <w:vertAlign w:val="subscript"/>
                <w:lang w:bidi="en-US"/>
                <w14:textFill>
                  <w14:solidFill>
                    <w14:schemeClr w14:val="tx1"/>
                  </w14:solidFill>
                </w14:textFill>
              </w:rPr>
              <w:t>2</w:t>
            </w:r>
            <w:r>
              <w:rPr>
                <w:color w:val="000000" w:themeColor="text1"/>
                <w:sz w:val="21"/>
                <w:szCs w:val="21"/>
                <w:lang w:bidi="en-US"/>
                <w14:textFill>
                  <w14:solidFill>
                    <w14:schemeClr w14:val="tx1"/>
                  </w14:solidFill>
                </w14:textFill>
              </w:rPr>
              <w:t>S</w:t>
            </w:r>
          </w:p>
        </w:tc>
        <w:tc>
          <w:tcPr>
            <w:tcW w:w="1325" w:type="pct"/>
            <w:vMerge w:val="continue"/>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p>
        </w:tc>
        <w:tc>
          <w:tcPr>
            <w:tcW w:w="622" w:type="pct"/>
            <w:vAlign w:val="center"/>
          </w:tcPr>
          <w:p>
            <w:pPr>
              <w:pStyle w:val="232"/>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c>
          <w:tcPr>
            <w:tcW w:w="1609" w:type="pct"/>
            <w:vMerge w:val="continue"/>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192" w:type="pct"/>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臭气浓度</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（无量纲）</w:t>
            </w:r>
          </w:p>
        </w:tc>
        <w:tc>
          <w:tcPr>
            <w:tcW w:w="1325" w:type="pct"/>
            <w:vMerge w:val="continue"/>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p>
        </w:tc>
        <w:tc>
          <w:tcPr>
            <w:tcW w:w="622" w:type="pct"/>
            <w:vAlign w:val="center"/>
          </w:tcPr>
          <w:p>
            <w:pPr>
              <w:pStyle w:val="232"/>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4</w:t>
            </w:r>
          </w:p>
        </w:tc>
        <w:tc>
          <w:tcPr>
            <w:tcW w:w="1609" w:type="pct"/>
            <w:vMerge w:val="continue"/>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p>
        </w:tc>
        <w:tc>
          <w:tcPr>
            <w:tcW w:w="1192"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color w:val="000000" w:themeColor="text1"/>
                <w:sz w:val="21"/>
                <w:szCs w:val="21"/>
                <w:lang w:bidi="en-US"/>
                <w14:textFill>
                  <w14:solidFill>
                    <w14:schemeClr w14:val="tx1"/>
                  </w14:solidFill>
                </w14:textFill>
              </w:rPr>
              <w:t>NH</w:t>
            </w:r>
            <w:r>
              <w:rPr>
                <w:color w:val="000000" w:themeColor="text1"/>
                <w:sz w:val="21"/>
                <w:szCs w:val="21"/>
                <w:vertAlign w:val="subscript"/>
                <w:lang w:bidi="en-US"/>
                <w14:textFill>
                  <w14:solidFill>
                    <w14:schemeClr w14:val="tx1"/>
                  </w14:solidFill>
                </w14:textFill>
              </w:rPr>
              <w:t>3</w:t>
            </w:r>
          </w:p>
        </w:tc>
        <w:tc>
          <w:tcPr>
            <w:tcW w:w="1325"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厂界</w:t>
            </w:r>
          </w:p>
        </w:tc>
        <w:tc>
          <w:tcPr>
            <w:tcW w:w="622" w:type="pct"/>
            <w:vAlign w:val="center"/>
          </w:tcPr>
          <w:p>
            <w:pPr>
              <w:pStyle w:val="232"/>
              <w:rPr>
                <w:color w:val="000000" w:themeColor="text1"/>
                <w:lang w:bidi="en-US"/>
                <w14:textFill>
                  <w14:solidFill>
                    <w14:schemeClr w14:val="tx1"/>
                  </w14:solidFill>
                </w14:textFill>
              </w:rPr>
            </w:pPr>
            <w:r>
              <w:rPr>
                <w:color w:val="000000" w:themeColor="text1"/>
                <w:lang w:bidi="en-US"/>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5</w:t>
            </w:r>
          </w:p>
        </w:tc>
        <w:tc>
          <w:tcPr>
            <w:tcW w:w="1609" w:type="pct"/>
            <w:vMerge w:val="continue"/>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192"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color w:val="000000" w:themeColor="text1"/>
                <w:sz w:val="21"/>
                <w:szCs w:val="21"/>
                <w:lang w:bidi="en-US"/>
                <w14:textFill>
                  <w14:solidFill>
                    <w14:schemeClr w14:val="tx1"/>
                  </w14:solidFill>
                </w14:textFill>
              </w:rPr>
              <w:t>H</w:t>
            </w:r>
            <w:r>
              <w:rPr>
                <w:color w:val="000000" w:themeColor="text1"/>
                <w:sz w:val="21"/>
                <w:szCs w:val="21"/>
                <w:vertAlign w:val="subscript"/>
                <w:lang w:bidi="en-US"/>
                <w14:textFill>
                  <w14:solidFill>
                    <w14:schemeClr w14:val="tx1"/>
                  </w14:solidFill>
                </w14:textFill>
              </w:rPr>
              <w:t>2</w:t>
            </w:r>
            <w:r>
              <w:rPr>
                <w:color w:val="000000" w:themeColor="text1"/>
                <w:sz w:val="21"/>
                <w:szCs w:val="21"/>
                <w:lang w:bidi="en-US"/>
                <w14:textFill>
                  <w14:solidFill>
                    <w14:schemeClr w14:val="tx1"/>
                  </w14:solidFill>
                </w14:textFill>
              </w:rPr>
              <w:t>S</w:t>
            </w:r>
          </w:p>
        </w:tc>
        <w:tc>
          <w:tcPr>
            <w:tcW w:w="1325"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厂界</w:t>
            </w:r>
          </w:p>
        </w:tc>
        <w:tc>
          <w:tcPr>
            <w:tcW w:w="622" w:type="pct"/>
            <w:vAlign w:val="center"/>
          </w:tcPr>
          <w:p>
            <w:pPr>
              <w:pStyle w:val="232"/>
              <w:rPr>
                <w:color w:val="000000" w:themeColor="text1"/>
                <w:lang w:bidi="en-US"/>
                <w14:textFill>
                  <w14:solidFill>
                    <w14:schemeClr w14:val="tx1"/>
                  </w14:solidFill>
                </w14:textFill>
              </w:rPr>
            </w:pPr>
            <w:r>
              <w:rPr>
                <w:color w:val="000000" w:themeColor="text1"/>
                <w:lang w:bidi="en-US"/>
                <w14:textFill>
                  <w14:solidFill>
                    <w14:schemeClr w14:val="tx1"/>
                  </w14:solidFill>
                </w14:textFill>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6</w:t>
            </w:r>
          </w:p>
        </w:tc>
        <w:tc>
          <w:tcPr>
            <w:tcW w:w="1609"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《畜禽养殖业污染物排放标准》（</w:t>
            </w:r>
            <w:r>
              <w:rPr>
                <w:color w:val="000000" w:themeColor="text1"/>
                <w:sz w:val="21"/>
                <w:szCs w:val="21"/>
                <w:lang w:bidi="en-US"/>
                <w14:textFill>
                  <w14:solidFill>
                    <w14:schemeClr w14:val="tx1"/>
                  </w14:solidFill>
                </w14:textFill>
              </w:rPr>
              <w:t>GB18596-2001</w:t>
            </w:r>
            <w:r>
              <w:rPr>
                <w:rFonts w:hint="eastAsia"/>
                <w:color w:val="000000" w:themeColor="text1"/>
                <w:sz w:val="21"/>
                <w:szCs w:val="21"/>
                <w:lang w:bidi="en-US"/>
                <w14:textFill>
                  <w14:solidFill>
                    <w14:schemeClr w14:val="tx1"/>
                  </w14:solidFill>
                </w14:textFill>
              </w:rPr>
              <w:t>）</w:t>
            </w:r>
          </w:p>
        </w:tc>
        <w:tc>
          <w:tcPr>
            <w:tcW w:w="1192"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臭气浓度</w:t>
            </w:r>
          </w:p>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（无量纲）</w:t>
            </w:r>
          </w:p>
        </w:tc>
        <w:tc>
          <w:tcPr>
            <w:tcW w:w="1325"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厂界</w:t>
            </w:r>
          </w:p>
        </w:tc>
        <w:tc>
          <w:tcPr>
            <w:tcW w:w="622" w:type="pct"/>
            <w:vAlign w:val="center"/>
          </w:tcPr>
          <w:p>
            <w:pPr>
              <w:pStyle w:val="232"/>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9" w:type="pct"/>
            <w:vAlign w:val="center"/>
          </w:tcPr>
          <w:p>
            <w:pPr>
              <w:spacing w:line="240" w:lineRule="auto"/>
              <w:ind w:firstLine="0" w:firstLineChars="0"/>
              <w:jc w:val="center"/>
              <w:textAlignment w:val="center"/>
              <w:rPr>
                <w:rFonts w:hint="eastAsia" w:eastAsia="宋体"/>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7</w:t>
            </w:r>
          </w:p>
        </w:tc>
        <w:tc>
          <w:tcPr>
            <w:tcW w:w="1609"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《大气污染物综合排放标准》（GB16297-1996）</w:t>
            </w:r>
          </w:p>
        </w:tc>
        <w:tc>
          <w:tcPr>
            <w:tcW w:w="1192"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TSP</w:t>
            </w:r>
          </w:p>
        </w:tc>
        <w:tc>
          <w:tcPr>
            <w:tcW w:w="1325" w:type="pct"/>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r>
              <w:rPr>
                <w:rFonts w:hint="eastAsia"/>
                <w:color w:val="000000" w:themeColor="text1"/>
                <w:sz w:val="21"/>
                <w:szCs w:val="21"/>
                <w:lang w:bidi="en-US"/>
                <w14:textFill>
                  <w14:solidFill>
                    <w14:schemeClr w14:val="tx1"/>
                  </w14:solidFill>
                </w14:textFill>
              </w:rPr>
              <w:t>周界外浓度最高点（mg/m</w:t>
            </w:r>
            <w:r>
              <w:rPr>
                <w:rFonts w:hint="eastAsia"/>
                <w:color w:val="000000" w:themeColor="text1"/>
                <w:sz w:val="21"/>
                <w:szCs w:val="21"/>
                <w:vertAlign w:val="superscript"/>
                <w:lang w:bidi="en-US"/>
                <w14:textFill>
                  <w14:solidFill>
                    <w14:schemeClr w14:val="tx1"/>
                  </w14:solidFill>
                </w14:textFill>
              </w:rPr>
              <w:t>3</w:t>
            </w:r>
            <w:r>
              <w:rPr>
                <w:rFonts w:hint="eastAsia"/>
                <w:color w:val="000000" w:themeColor="text1"/>
                <w:sz w:val="21"/>
                <w:szCs w:val="21"/>
                <w:lang w:bidi="en-US"/>
                <w14:textFill>
                  <w14:solidFill>
                    <w14:schemeClr w14:val="tx1"/>
                  </w14:solidFill>
                </w14:textFill>
              </w:rPr>
              <w:t>）</w:t>
            </w:r>
          </w:p>
        </w:tc>
        <w:tc>
          <w:tcPr>
            <w:tcW w:w="622" w:type="pct"/>
            <w:vAlign w:val="center"/>
          </w:tcPr>
          <w:p>
            <w:pPr>
              <w:pStyle w:val="232"/>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1.01</w:t>
            </w:r>
          </w:p>
        </w:tc>
      </w:tr>
    </w:tbl>
    <w:p>
      <w:pPr>
        <w:ind w:firstLine="0" w:firstLineChars="0"/>
        <w:jc w:val="center"/>
      </w:pPr>
    </w:p>
    <w:p>
      <w:pPr>
        <w:pStyle w:val="5"/>
      </w:pPr>
      <w:r>
        <w:rPr>
          <w:rFonts w:hint="eastAsia"/>
        </w:rPr>
        <w:t>废水排放标准</w:t>
      </w:r>
    </w:p>
    <w:p>
      <w:pPr>
        <w:bidi w:val="0"/>
        <w:rPr>
          <w:rFonts w:hint="eastAsia"/>
        </w:rPr>
      </w:pPr>
      <w:r>
        <w:rPr>
          <w:rFonts w:hint="eastAsia"/>
        </w:rPr>
        <w:t>本项目采用干清粪工艺并且羊舍不需进行清洗，</w:t>
      </w:r>
      <w:r>
        <w:rPr>
          <w:rFonts w:hint="eastAsia"/>
          <w:lang w:val="en-US" w:eastAsia="zh-CN"/>
        </w:rPr>
        <w:t>羊尿随羊粪一起漏入</w:t>
      </w:r>
      <w:r>
        <w:rPr>
          <w:rFonts w:hint="eastAsia"/>
        </w:rPr>
        <w:t>羊舍下方的粪污通道</w:t>
      </w:r>
      <w:r>
        <w:rPr>
          <w:rFonts w:hint="eastAsia"/>
          <w:lang w:val="en-US" w:eastAsia="zh-CN"/>
        </w:rPr>
        <w:t>后</w:t>
      </w:r>
      <w:r>
        <w:rPr>
          <w:rFonts w:hint="eastAsia"/>
        </w:rPr>
        <w:t>采用机械刮板（机械清理），集中收集到羊舍外直接装车拉运，通过车辆运输至有机肥堆场，进行有机肥制作；生活污水排入化粪池处理</w:t>
      </w:r>
      <w:r>
        <w:rPr>
          <w:rFonts w:hint="eastAsia"/>
          <w:lang w:val="zh-CN"/>
        </w:rPr>
        <w:t>后</w:t>
      </w:r>
      <w:r>
        <w:rPr>
          <w:rFonts w:hint="eastAsia"/>
          <w:color w:val="FF0000"/>
          <w:lang w:val="zh-CN"/>
        </w:rPr>
        <w:t>定期</w:t>
      </w:r>
      <w:r>
        <w:rPr>
          <w:rFonts w:hint="eastAsia"/>
          <w:color w:val="FF0000"/>
          <w:lang w:val="en-US" w:eastAsia="zh-CN"/>
        </w:rPr>
        <w:t>由</w:t>
      </w:r>
      <w:r>
        <w:rPr>
          <w:rFonts w:hint="eastAsia"/>
          <w:color w:val="92D050"/>
          <w:lang w:val="zh-CN"/>
        </w:rPr>
        <w:t>五原县</w:t>
      </w:r>
      <w:r>
        <w:rPr>
          <w:rFonts w:hint="eastAsia"/>
          <w:color w:val="92D050"/>
          <w:lang w:val="en-US" w:eastAsia="zh-CN"/>
        </w:rPr>
        <w:t>塔尔湖</w:t>
      </w:r>
      <w:r>
        <w:rPr>
          <w:rFonts w:hint="eastAsia"/>
          <w:color w:val="92D050"/>
          <w:lang w:val="zh-CN"/>
        </w:rPr>
        <w:t>污水处理厂</w:t>
      </w:r>
      <w:r>
        <w:rPr>
          <w:rFonts w:hint="eastAsia"/>
          <w:color w:val="FF0000"/>
          <w:lang w:val="zh-CN"/>
        </w:rPr>
        <w:t>采用罐车</w:t>
      </w:r>
      <w:r>
        <w:rPr>
          <w:rFonts w:hint="eastAsia"/>
          <w:color w:val="FF0000"/>
          <w:lang w:val="en-US" w:eastAsia="zh-CN"/>
        </w:rPr>
        <w:t>抽取、</w:t>
      </w:r>
      <w:r>
        <w:rPr>
          <w:rFonts w:hint="eastAsia"/>
          <w:color w:val="FF0000"/>
          <w:lang w:val="zh-CN"/>
        </w:rPr>
        <w:t>清运处理，</w:t>
      </w:r>
      <w:r>
        <w:rPr>
          <w:rFonts w:hint="eastAsia"/>
          <w:color w:val="FF0000"/>
          <w:lang w:val="en-US" w:eastAsia="zh-CN"/>
        </w:rPr>
        <w:t>生活污水处理协议见</w:t>
      </w:r>
      <w:r>
        <w:rPr>
          <w:rFonts w:hint="eastAsia"/>
          <w:color w:val="92D050"/>
          <w:lang w:val="en-US" w:eastAsia="zh-CN"/>
        </w:rPr>
        <w:t>附件六</w:t>
      </w:r>
      <w:r>
        <w:rPr>
          <w:rFonts w:hint="eastAsia"/>
        </w:rPr>
        <w:t>。</w:t>
      </w:r>
    </w:p>
    <w:p>
      <w:pPr>
        <w:bidi w:val="0"/>
        <w:rPr>
          <w:color w:val="FF0000"/>
        </w:rPr>
      </w:pPr>
      <w:r>
        <w:rPr>
          <w:color w:val="FF0000"/>
        </w:rPr>
        <w:t>废水排放符合《污水综合排放标准》（GB8978-1996）三级标准，详见表</w:t>
      </w:r>
      <w:r>
        <w:rPr>
          <w:rFonts w:hint="eastAsia"/>
          <w:color w:val="FF0000"/>
          <w:lang w:val="en-US" w:eastAsia="zh-CN"/>
        </w:rPr>
        <w:t>2.4.3-2</w:t>
      </w:r>
      <w:r>
        <w:rPr>
          <w:color w:val="FF0000"/>
        </w:rPr>
        <w:t>。</w:t>
      </w:r>
    </w:p>
    <w:p>
      <w:pPr>
        <w:pStyle w:val="6"/>
        <w:bidi w:val="0"/>
        <w:rPr>
          <w:color w:val="FF0000"/>
        </w:rPr>
      </w:pPr>
      <w:r>
        <w:rPr>
          <w:color w:val="FF0000"/>
        </w:rPr>
        <w:t>表</w:t>
      </w:r>
      <w:r>
        <w:rPr>
          <w:rFonts w:hint="eastAsia"/>
          <w:color w:val="FF0000"/>
          <w:lang w:val="en-US" w:eastAsia="zh-CN"/>
        </w:rPr>
        <w:t>2.4.3-2</w:t>
      </w:r>
      <w:r>
        <w:rPr>
          <w:color w:val="FF0000"/>
        </w:rPr>
        <w:t xml:space="preserve">       </w:t>
      </w:r>
      <w:r>
        <w:rPr>
          <w:rFonts w:hint="eastAsia"/>
          <w:color w:val="FF0000"/>
          <w:lang w:eastAsia="zh-CN"/>
        </w:rPr>
        <w:t>《</w:t>
      </w:r>
      <w:r>
        <w:rPr>
          <w:color w:val="FF0000"/>
        </w:rPr>
        <w:t>污水综合排放标准》（GB8978-1996）</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FF0000"/>
                <w:sz w:val="21"/>
                <w:szCs w:val="21"/>
              </w:rPr>
            </w:pPr>
            <w:r>
              <w:rPr>
                <w:b/>
                <w:bCs/>
                <w:color w:val="FF0000"/>
                <w:sz w:val="21"/>
                <w:szCs w:val="21"/>
              </w:rPr>
              <w:t>污染物名称</w:t>
            </w:r>
          </w:p>
        </w:tc>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FF0000"/>
                <w:sz w:val="21"/>
                <w:szCs w:val="21"/>
              </w:rPr>
            </w:pPr>
            <w:r>
              <w:rPr>
                <w:b/>
                <w:bCs/>
                <w:color w:val="FF0000"/>
                <w:sz w:val="21"/>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COD</w:t>
            </w:r>
          </w:p>
        </w:tc>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500mg/L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BOD</w:t>
            </w:r>
            <w:r>
              <w:rPr>
                <w:color w:val="FF0000"/>
                <w:sz w:val="21"/>
                <w:szCs w:val="21"/>
                <w:vertAlign w:val="subscript"/>
              </w:rPr>
              <w:t>5</w:t>
            </w:r>
          </w:p>
        </w:tc>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300mg/L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SS</w:t>
            </w:r>
          </w:p>
        </w:tc>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400mg/L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动植物油</w:t>
            </w:r>
          </w:p>
        </w:tc>
        <w:tc>
          <w:tcPr>
            <w:tcW w:w="25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100mg/L</w:t>
            </w:r>
          </w:p>
        </w:tc>
      </w:tr>
    </w:tbl>
    <w:p>
      <w:pPr>
        <w:pStyle w:val="5"/>
      </w:pPr>
      <w:r>
        <w:rPr>
          <w:rFonts w:hint="eastAsia"/>
        </w:rPr>
        <w:t>噪声排放标准</w:t>
      </w:r>
    </w:p>
    <w:p>
      <w:pPr>
        <w:ind w:firstLine="480"/>
      </w:pPr>
      <w:r>
        <w:rPr>
          <w:rFonts w:hint="eastAsia"/>
        </w:rPr>
        <w:t>（1）施工期</w:t>
      </w:r>
    </w:p>
    <w:p>
      <w:pPr>
        <w:ind w:firstLine="480"/>
      </w:pPr>
      <w:r>
        <w:t>施工噪声执行《建筑施工场界</w:t>
      </w:r>
      <w:r>
        <w:rPr>
          <w:rFonts w:hint="eastAsia"/>
        </w:rPr>
        <w:t>环境</w:t>
      </w:r>
      <w:r>
        <w:t>噪声</w:t>
      </w:r>
      <w:r>
        <w:rPr>
          <w:rFonts w:hint="eastAsia"/>
        </w:rPr>
        <w:t>排放标准</w:t>
      </w:r>
      <w:r>
        <w:t>》（GB12523-</w:t>
      </w:r>
      <w:r>
        <w:rPr>
          <w:rFonts w:hint="eastAsia"/>
        </w:rPr>
        <w:t>2011</w:t>
      </w:r>
      <w:r>
        <w:t>），</w:t>
      </w:r>
      <w:r>
        <w:rPr>
          <w:rFonts w:hint="eastAsia"/>
        </w:rPr>
        <w:t>即昼间70dB(A)、夜间55dB(A)</w:t>
      </w:r>
      <w:r>
        <w:t>。</w:t>
      </w:r>
    </w:p>
    <w:p>
      <w:pPr>
        <w:ind w:firstLine="480"/>
      </w:pPr>
      <w:r>
        <w:rPr>
          <w:rFonts w:hint="eastAsia"/>
        </w:rPr>
        <w:t>（2）运营期</w:t>
      </w:r>
    </w:p>
    <w:p>
      <w:pPr>
        <w:ind w:firstLine="480"/>
      </w:pPr>
      <w:r>
        <w:rPr>
          <w:rFonts w:hint="eastAsia"/>
        </w:rPr>
        <w:t>项目厂界噪声执行《工业企业厂界环境噪声排放标准》（GB12348-2008）2类标准。厂界噪声标准见下表。</w:t>
      </w:r>
    </w:p>
    <w:p>
      <w:pPr>
        <w:pStyle w:val="6"/>
      </w:pPr>
      <w:r>
        <w:rPr>
          <w:rFonts w:hint="eastAsia"/>
        </w:rPr>
        <w:t>表</w:t>
      </w:r>
      <w:r>
        <w:t>2.</w:t>
      </w:r>
      <w:r>
        <w:rPr>
          <w:rFonts w:hint="eastAsia"/>
        </w:rPr>
        <w:t>4.3</w:t>
      </w:r>
      <w:r>
        <w:t>-</w:t>
      </w:r>
      <w:r>
        <w:rPr>
          <w:rFonts w:hint="eastAsia"/>
          <w:lang w:val="en-US" w:eastAsia="zh-CN"/>
        </w:rPr>
        <w:t>3</w:t>
      </w:r>
      <w:r>
        <w:t xml:space="preserve">    </w:t>
      </w:r>
      <w:r>
        <w:rPr>
          <w:rFonts w:hint="eastAsia"/>
        </w:rPr>
        <w:t>厂界噪声标准值表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1232"/>
        <w:gridCol w:w="1073"/>
        <w:gridCol w:w="1346"/>
        <w:gridCol w:w="4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58"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厂界</w:t>
            </w:r>
          </w:p>
        </w:tc>
        <w:tc>
          <w:tcPr>
            <w:tcW w:w="72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tc>
          <w:tcPr>
            <w:tcW w:w="62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78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夜间</w:t>
            </w:r>
          </w:p>
        </w:tc>
        <w:tc>
          <w:tcPr>
            <w:tcW w:w="250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58" w:type="pct"/>
            <w:vMerge w:val="continue"/>
            <w:vAlign w:val="center"/>
          </w:tcPr>
          <w:p>
            <w:pPr>
              <w:pStyle w:val="232"/>
              <w:rPr>
                <w:color w:val="000000" w:themeColor="text1"/>
                <w14:textFill>
                  <w14:solidFill>
                    <w14:schemeClr w14:val="tx1"/>
                  </w14:solidFill>
                </w14:textFill>
              </w:rPr>
            </w:pPr>
          </w:p>
        </w:tc>
        <w:tc>
          <w:tcPr>
            <w:tcW w:w="72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2类</w:t>
            </w:r>
          </w:p>
        </w:tc>
        <w:tc>
          <w:tcPr>
            <w:tcW w:w="62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60dB(A)</w:t>
            </w:r>
          </w:p>
        </w:tc>
        <w:tc>
          <w:tcPr>
            <w:tcW w:w="78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50dB(A)</w:t>
            </w:r>
          </w:p>
        </w:tc>
        <w:tc>
          <w:tcPr>
            <w:tcW w:w="250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《工业企业厂界环境噪声排放标准》（GB12348-2008）2类</w:t>
            </w:r>
          </w:p>
        </w:tc>
      </w:tr>
    </w:tbl>
    <w:p>
      <w:pPr>
        <w:ind w:firstLine="480"/>
      </w:pPr>
    </w:p>
    <w:p>
      <w:pPr>
        <w:pStyle w:val="5"/>
      </w:pPr>
      <w:r>
        <w:rPr>
          <w:rFonts w:hint="eastAsia"/>
        </w:rPr>
        <w:t>固体废物评价标准</w:t>
      </w:r>
    </w:p>
    <w:p>
      <w:pPr>
        <w:ind w:firstLine="480"/>
        <w:rPr>
          <w:rFonts w:hint="eastAsia"/>
          <w:color w:val="FF0000"/>
          <w:lang w:eastAsia="zh-CN"/>
        </w:rPr>
      </w:pPr>
      <w:r>
        <w:rPr>
          <w:rFonts w:hint="eastAsia"/>
        </w:rPr>
        <w:t>运营期产生的一般固体废物其贮存过程</w:t>
      </w:r>
      <w:r>
        <w:rPr>
          <w:rFonts w:hint="eastAsia"/>
          <w:lang w:eastAsia="zh-CN"/>
        </w:rPr>
        <w:t>，</w:t>
      </w:r>
      <w:r>
        <w:rPr>
          <w:rFonts w:hint="eastAsia"/>
          <w:lang w:val="en-US" w:eastAsia="zh-CN"/>
        </w:rPr>
        <w:t>如</w:t>
      </w:r>
      <w:r>
        <w:rPr>
          <w:rFonts w:hint="eastAsia"/>
          <w:highlight w:val="yellow"/>
          <w:lang w:val="en-US" w:eastAsia="zh-CN"/>
        </w:rPr>
        <w:t>有机肥堆场、病死羊及分娩物无害化</w:t>
      </w:r>
      <w:r>
        <w:rPr>
          <w:rFonts w:hint="eastAsia"/>
          <w:lang w:val="en-US" w:eastAsia="zh-CN"/>
        </w:rPr>
        <w:t>车间的建设</w:t>
      </w:r>
      <w:r>
        <w:rPr>
          <w:rFonts w:hint="eastAsia"/>
        </w:rPr>
        <w:t>应</w:t>
      </w:r>
      <w:r>
        <w:rPr>
          <w:rFonts w:ascii="Times New Roman" w:hAnsi="Times New Roman" w:eastAsia="宋体" w:cs="Times New Roman"/>
          <w:color w:val="auto"/>
          <w:sz w:val="24"/>
        </w:rPr>
        <w:t>执行</w:t>
      </w:r>
      <w:r>
        <w:rPr>
          <w:rFonts w:ascii="Times New Roman" w:hAnsi="Times New Roman" w:eastAsia="宋体" w:cs="Times New Roman"/>
          <w:color w:val="auto"/>
          <w:sz w:val="24"/>
        </w:rPr>
        <w:fldChar w:fldCharType="begin"/>
      </w:r>
      <w:r>
        <w:rPr>
          <w:rFonts w:ascii="Times New Roman" w:hAnsi="Times New Roman" w:eastAsia="宋体" w:cs="Times New Roman"/>
          <w:color w:val="auto"/>
          <w:sz w:val="24"/>
        </w:rPr>
        <w:instrText xml:space="preserve"> HYPERLINK "http://www.mee.gov.cn/ywgz/fgbz/bz/bzwb/gthw/gtfwwrkzbz/202012/W020201218695845325455.pdf" </w:instrText>
      </w:r>
      <w:r>
        <w:rPr>
          <w:rFonts w:ascii="Times New Roman" w:hAnsi="Times New Roman" w:eastAsia="宋体" w:cs="Times New Roman"/>
          <w:color w:val="auto"/>
          <w:sz w:val="24"/>
        </w:rPr>
        <w:fldChar w:fldCharType="separate"/>
      </w:r>
      <w:r>
        <w:rPr>
          <w:rFonts w:hint="eastAsia" w:ascii="Times New Roman" w:hAnsi="Times New Roman" w:eastAsia="宋体" w:cs="Times New Roman"/>
          <w:color w:val="auto"/>
          <w:sz w:val="24"/>
        </w:rPr>
        <w:t>《一般工业固体废物贮存和填埋污染控制标准》（GB 18599-2020）</w:t>
      </w:r>
      <w:r>
        <w:rPr>
          <w:rFonts w:hint="eastAsia" w:ascii="Times New Roman" w:hAnsi="Times New Roman" w:eastAsia="宋体" w:cs="Times New Roman"/>
          <w:color w:val="auto"/>
          <w:sz w:val="24"/>
        </w:rPr>
        <w:fldChar w:fldCharType="end"/>
      </w:r>
      <w:r>
        <w:rPr>
          <w:rFonts w:hint="eastAsia" w:cs="Times New Roman"/>
          <w:color w:val="auto"/>
          <w:sz w:val="24"/>
          <w:lang w:val="en-US" w:eastAsia="zh-CN"/>
        </w:rPr>
        <w:t>中相关</w:t>
      </w:r>
      <w:r>
        <w:rPr>
          <w:rFonts w:hint="eastAsia"/>
        </w:rPr>
        <w:t>要求；</w:t>
      </w:r>
      <w:r>
        <w:rPr>
          <w:rFonts w:hint="eastAsia"/>
          <w:color w:val="FF0000"/>
          <w:lang w:val="en-US" w:eastAsia="zh-CN"/>
        </w:rPr>
        <w:t>医疗废物暂存间的建设及医疗废物的管理、暂存等</w:t>
      </w:r>
      <w:r>
        <w:rPr>
          <w:rFonts w:hint="eastAsia"/>
          <w:color w:val="FF0000"/>
        </w:rPr>
        <w:t>执行《危险废物贮存污染物控制标准》（GB18597-20</w:t>
      </w:r>
      <w:r>
        <w:rPr>
          <w:rFonts w:hint="eastAsia"/>
          <w:color w:val="FF0000"/>
          <w:lang w:val="en-US" w:eastAsia="zh-CN"/>
        </w:rPr>
        <w:t>23</w:t>
      </w:r>
      <w:r>
        <w:rPr>
          <w:rFonts w:hint="eastAsia"/>
          <w:color w:val="FF0000"/>
        </w:rPr>
        <w:t>）</w:t>
      </w:r>
      <w:r>
        <w:rPr>
          <w:rFonts w:hint="eastAsia"/>
          <w:color w:val="FF0000"/>
          <w:lang w:eastAsia="zh-CN"/>
        </w:rPr>
        <w:t>。</w:t>
      </w:r>
    </w:p>
    <w:p>
      <w:pPr>
        <w:ind w:firstLine="480"/>
      </w:pPr>
      <w:r>
        <w:rPr>
          <w:rFonts w:hint="eastAsia"/>
        </w:rPr>
        <w:t>病疫死羊和分娩胎衣同时参照《畜禽养殖业污染治理工程技术规范》（HJ497-2009）、《病害动物和病害动物产品生物安全处理规程》（GB16548-2006）以及《病死及病害动物无害化处理技术规范》（农医发[2017]25号）中的相关规定进行处置。</w:t>
      </w:r>
    </w:p>
    <w:p>
      <w:pPr>
        <w:pStyle w:val="3"/>
        <w:spacing w:before="120" w:after="120"/>
        <w:rPr>
          <w:color w:val="auto"/>
        </w:rPr>
      </w:pPr>
      <w:bookmarkStart w:id="112" w:name="_Toc24447066"/>
      <w:bookmarkStart w:id="113" w:name="_Toc24340209"/>
      <w:bookmarkStart w:id="114" w:name="_Toc24447604"/>
      <w:bookmarkStart w:id="115" w:name="_Toc10296"/>
      <w:r>
        <w:rPr>
          <w:rFonts w:hint="eastAsia"/>
          <w:color w:val="auto"/>
        </w:rPr>
        <w:t>评价工作等级及评价范围</w:t>
      </w:r>
      <w:bookmarkEnd w:id="112"/>
      <w:bookmarkEnd w:id="113"/>
      <w:bookmarkEnd w:id="114"/>
      <w:bookmarkEnd w:id="115"/>
    </w:p>
    <w:p>
      <w:pPr>
        <w:pStyle w:val="4"/>
        <w:rPr>
          <w:color w:val="auto"/>
        </w:rPr>
      </w:pPr>
      <w:bookmarkStart w:id="116" w:name="_Toc24447069"/>
      <w:bookmarkStart w:id="117" w:name="_Toc24447067"/>
      <w:r>
        <w:rPr>
          <w:rFonts w:hint="eastAsia"/>
          <w:color w:val="auto"/>
        </w:rPr>
        <w:t>大气环境影响评价等级及评价范围</w:t>
      </w:r>
      <w:bookmarkEnd w:id="116"/>
    </w:p>
    <w:p>
      <w:pPr>
        <w:pStyle w:val="5"/>
      </w:pPr>
      <w:r>
        <w:rPr>
          <w:rFonts w:hint="eastAsia"/>
        </w:rPr>
        <w:t>大气评价等级判断</w:t>
      </w:r>
    </w:p>
    <w:p>
      <w:pPr>
        <w:ind w:firstLine="480"/>
      </w:pPr>
      <w:r>
        <w:rPr>
          <w:rFonts w:hint="eastAsia"/>
        </w:rPr>
        <w:t>（1）评价等级判定</w:t>
      </w:r>
    </w:p>
    <w:p>
      <w:pPr>
        <w:ind w:firstLine="480"/>
      </w:pPr>
      <w:r>
        <w:t>根据《环境影响评价技术导则</w:t>
      </w:r>
      <w:r>
        <w:rPr>
          <w:rFonts w:hint="eastAsia"/>
        </w:rPr>
        <w:t xml:space="preserve"> </w:t>
      </w:r>
      <w:r>
        <w:t>大气环境》（HJ2.2-2018）中规定，</w:t>
      </w:r>
      <w:r>
        <w:rPr>
          <w:rFonts w:hint="eastAsia"/>
        </w:rPr>
        <w:t>根据项目污染源初步调查结果，分别计算项目排放主要污染物的最大地面空气质量浓度占标率Pi（第i个污染物，简称“最大浓度占标率”），及</w:t>
      </w:r>
      <w:r>
        <w:t>第i个污染物的地面</w:t>
      </w:r>
      <w:r>
        <w:rPr>
          <w:rFonts w:hint="eastAsia"/>
        </w:rPr>
        <w:t>空气质量浓度达到标准值的</w:t>
      </w:r>
      <w:r>
        <w:t>10%时所对应的最远距离D10%</w:t>
      </w:r>
      <w:r>
        <w:rPr>
          <w:rFonts w:hint="eastAsia"/>
        </w:rPr>
        <w:t>。其中Pi定义见公式。</w:t>
      </w:r>
    </w:p>
    <w:p>
      <w:pPr>
        <w:overflowPunct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25" o:spt="75" type="#_x0000_t75" style="height:36pt;width:102pt;" o:ole="t" filled="f" o:preferrelative="t" stroked="f" coordsize="21600,21600">
            <v:path/>
            <v:fill on="f" focussize="0,0"/>
            <v:stroke on="f" joinstyle="miter"/>
            <v:imagedata r:id="rId31" o:title=""/>
            <o:lock v:ext="edit" aspectratio="t"/>
            <w10:wrap type="none"/>
            <w10:anchorlock/>
          </v:shape>
          <o:OLEObject Type="Embed" ProgID="Equation.3" ShapeID="_x0000_i1025" DrawAspect="Content" ObjectID="_1468075725" r:id="rId30">
            <o:LockedField>false</o:LockedField>
          </o:OLEObject>
        </w:object>
      </w:r>
    </w:p>
    <w:p>
      <w:pPr>
        <w:overflowPunct w:val="0"/>
        <w:ind w:firstLine="480"/>
        <w:rPr>
          <w:color w:val="000000" w:themeColor="text1"/>
          <w14:textFill>
            <w14:solidFill>
              <w14:schemeClr w14:val="tx1"/>
            </w14:solidFill>
          </w14:textFill>
        </w:rPr>
      </w:pPr>
      <w:r>
        <w:rPr>
          <w:color w:val="000000" w:themeColor="text1"/>
          <w14:textFill>
            <w14:solidFill>
              <w14:schemeClr w14:val="tx1"/>
            </w14:solidFill>
          </w14:textFill>
        </w:rPr>
        <w:t>式中：P</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－第i个污染物的最大地面</w:t>
      </w:r>
      <w:r>
        <w:rPr>
          <w:rFonts w:hint="eastAsia"/>
          <w:color w:val="000000" w:themeColor="text1"/>
          <w14:textFill>
            <w14:solidFill>
              <w14:schemeClr w14:val="tx1"/>
            </w14:solidFill>
          </w14:textFill>
        </w:rPr>
        <w:t>空气质量</w:t>
      </w:r>
      <w:r>
        <w:rPr>
          <w:color w:val="000000" w:themeColor="text1"/>
          <w14:textFill>
            <w14:solidFill>
              <w14:schemeClr w14:val="tx1"/>
            </w14:solidFill>
          </w14:textFill>
        </w:rPr>
        <w:t>浓度占标率，%；</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 xml:space="preserve">      C</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－采用估算模式计算出的第i个污染物的</w:t>
      </w:r>
      <w:r>
        <w:rPr>
          <w:rFonts w:hint="eastAsia"/>
          <w:color w:val="000000" w:themeColor="text1"/>
          <w14:textFill>
            <w14:solidFill>
              <w14:schemeClr w14:val="tx1"/>
            </w14:solidFill>
          </w14:textFill>
        </w:rPr>
        <w:t>最大1h地面空气质量浓度</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m</w:t>
      </w:r>
      <w:r>
        <w:rPr>
          <w:color w:val="000000" w:themeColor="text1"/>
          <w14:textFill>
            <w14:solidFill>
              <w14:schemeClr w14:val="tx1"/>
            </w14:solidFill>
          </w14:textFill>
        </w:rPr>
        <w:t>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p>
      <w:pPr>
        <w:pStyle w:val="165"/>
        <w:ind w:firstLine="720" w:firstLineChars="300"/>
        <w:jc w:val="left"/>
      </w:pPr>
      <w:r>
        <w:rPr>
          <w:color w:val="000000" w:themeColor="text1"/>
          <w14:textFill>
            <w14:solidFill>
              <w14:schemeClr w14:val="tx1"/>
            </w14:solidFill>
          </w14:textFill>
        </w:rPr>
        <w:t xml:space="preserve">    C</w:t>
      </w:r>
      <w:r>
        <w:rPr>
          <w:rFonts w:hint="eastAsia"/>
          <w:color w:val="000000" w:themeColor="text1"/>
          <w:vertAlign w:val="subscript"/>
          <w14:textFill>
            <w14:solidFill>
              <w14:schemeClr w14:val="tx1"/>
            </w14:solidFill>
          </w14:textFill>
        </w:rPr>
        <w:t>0</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－第i个污染物的环境空气质量标准，μg/m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r>
        <w:rPr>
          <w:rFonts w:hint="eastAsia"/>
        </w:rPr>
        <w:t>一般选用《环境空气质量标准》（GB3095-2012）中1h平均质量浓度的二级浓度限值，如项目位于一类环境空气功能区，应选择相应的一级浓度限值；对该标准中未包含的污染物，使用HJ2.2-2018中5.2确定的各评价因子1h平均质量浓度限值。对仅有8h平均质量浓度限值、日平均质量浓度限值或年平均质量浓度限值的，可分别按2倍、3倍、6倍折算为1h平均质量浓度限值。</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TSP相应Coi取值执行《环境空气质量标准》（GB3095-2012）及修改单中二级浓度限制、NH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、H</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S相应Coi取值执行《环境影响评价技术导则-大气环境》（HJ 2.2-2018）中附录D其他污染物空气质量浓度参考限值中的1h平均浓度限值，具体取值情况见表2.5.1-1。</w:t>
      </w:r>
    </w:p>
    <w:p>
      <w:pPr>
        <w:pStyle w:val="6"/>
      </w:pPr>
      <w:r>
        <w:rPr>
          <w:rFonts w:hint="eastAsia"/>
        </w:rPr>
        <w:t>表</w:t>
      </w:r>
      <w:r>
        <w:t>2.</w:t>
      </w:r>
      <w:r>
        <w:rPr>
          <w:rFonts w:hint="eastAsia"/>
        </w:rPr>
        <w:t>5.1-1  本项目评价因子和评级标准取值表</w:t>
      </w:r>
    </w:p>
    <w:tbl>
      <w:tblPr>
        <w:tblStyle w:val="3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274"/>
        <w:gridCol w:w="1551"/>
        <w:gridCol w:w="1121"/>
        <w:gridCol w:w="3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评价因子</w:t>
            </w:r>
          </w:p>
        </w:tc>
        <w:tc>
          <w:tcPr>
            <w:tcW w:w="74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平均时段</w:t>
            </w:r>
          </w:p>
        </w:tc>
        <w:tc>
          <w:tcPr>
            <w:tcW w:w="909"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标准值</w:t>
            </w:r>
          </w:p>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（μg/m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w:t>
            </w:r>
          </w:p>
        </w:tc>
        <w:tc>
          <w:tcPr>
            <w:tcW w:w="65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Coi取值</w:t>
            </w:r>
          </w:p>
        </w:tc>
        <w:tc>
          <w:tcPr>
            <w:tcW w:w="2209"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TSP</w:t>
            </w:r>
          </w:p>
        </w:tc>
        <w:tc>
          <w:tcPr>
            <w:tcW w:w="74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24小时</w:t>
            </w:r>
          </w:p>
        </w:tc>
        <w:tc>
          <w:tcPr>
            <w:tcW w:w="909"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300</w:t>
            </w:r>
          </w:p>
        </w:tc>
        <w:tc>
          <w:tcPr>
            <w:tcW w:w="65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900</w:t>
            </w:r>
          </w:p>
        </w:tc>
        <w:tc>
          <w:tcPr>
            <w:tcW w:w="2209"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《环境空气质量标准》（GB3095-2012）及修改单中二级浓度限制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NH</w:t>
            </w:r>
            <w:r>
              <w:rPr>
                <w:rFonts w:hint="eastAsia"/>
                <w:color w:val="000000" w:themeColor="text1"/>
                <w:sz w:val="21"/>
                <w:szCs w:val="21"/>
                <w:vertAlign w:val="subscript"/>
                <w14:textFill>
                  <w14:solidFill>
                    <w14:schemeClr w14:val="tx1"/>
                  </w14:solidFill>
                </w14:textFill>
              </w:rPr>
              <w:t>3</w:t>
            </w:r>
          </w:p>
        </w:tc>
        <w:tc>
          <w:tcPr>
            <w:tcW w:w="74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1小时</w:t>
            </w:r>
          </w:p>
        </w:tc>
        <w:tc>
          <w:tcPr>
            <w:tcW w:w="909"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w:t>
            </w:r>
          </w:p>
        </w:tc>
        <w:tc>
          <w:tcPr>
            <w:tcW w:w="65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w:t>
            </w:r>
          </w:p>
        </w:tc>
        <w:tc>
          <w:tcPr>
            <w:tcW w:w="2209" w:type="pct"/>
            <w:vMerge w:val="restar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《环境影响评价技术导则-大气环境》（HJ 2.2-2018）中附录D其他污染物空气质量浓度参考限值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H</w:t>
            </w:r>
            <w:r>
              <w:rPr>
                <w:rFonts w:hint="eastAsia"/>
                <w:color w:val="000000" w:themeColor="text1"/>
                <w:sz w:val="21"/>
                <w:szCs w:val="21"/>
                <w:vertAlign w:val="subscript"/>
                <w14:textFill>
                  <w14:solidFill>
                    <w14:schemeClr w14:val="tx1"/>
                  </w14:solidFill>
                </w14:textFill>
              </w:rPr>
              <w:t>2</w:t>
            </w:r>
            <w:r>
              <w:rPr>
                <w:rFonts w:hint="eastAsia"/>
                <w:color w:val="000000" w:themeColor="text1"/>
                <w:sz w:val="21"/>
                <w:szCs w:val="21"/>
                <w14:textFill>
                  <w14:solidFill>
                    <w14:schemeClr w14:val="tx1"/>
                  </w14:solidFill>
                </w14:textFill>
              </w:rPr>
              <w:t>S</w:t>
            </w:r>
          </w:p>
        </w:tc>
        <w:tc>
          <w:tcPr>
            <w:tcW w:w="74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1小时</w:t>
            </w:r>
          </w:p>
        </w:tc>
        <w:tc>
          <w:tcPr>
            <w:tcW w:w="909"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w:t>
            </w:r>
          </w:p>
        </w:tc>
        <w:tc>
          <w:tcPr>
            <w:tcW w:w="657" w:type="pct"/>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w:t>
            </w:r>
          </w:p>
        </w:tc>
        <w:tc>
          <w:tcPr>
            <w:tcW w:w="2209" w:type="pct"/>
            <w:vMerge w:val="continue"/>
            <w:vAlign w:val="center"/>
          </w:tcPr>
          <w:p>
            <w:pPr>
              <w:overflowPunct w:val="0"/>
              <w:spacing w:line="240" w:lineRule="auto"/>
              <w:ind w:firstLine="0" w:firstLineChars="0"/>
              <w:jc w:val="center"/>
              <w:rPr>
                <w:color w:val="000000" w:themeColor="text1"/>
                <w:sz w:val="21"/>
                <w:szCs w:val="21"/>
                <w14:textFill>
                  <w14:solidFill>
                    <w14:schemeClr w14:val="tx1"/>
                  </w14:solidFill>
                </w14:textFill>
              </w:rPr>
            </w:pPr>
          </w:p>
        </w:tc>
      </w:tr>
    </w:tbl>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评价工作等级按表</w:t>
      </w:r>
      <w:r>
        <w:t>2.</w:t>
      </w:r>
      <w:r>
        <w:rPr>
          <w:rFonts w:hint="eastAsia"/>
        </w:rPr>
        <w:t>5.1</w:t>
      </w:r>
      <w:r>
        <w:rPr>
          <w:rFonts w:hint="eastAsia"/>
          <w:color w:val="000000" w:themeColor="text1"/>
          <w14:textFill>
            <w14:solidFill>
              <w14:schemeClr w14:val="tx1"/>
            </w14:solidFill>
          </w14:textFill>
        </w:rPr>
        <w:t>-2的分级判据进行划分。最大地面空气质量浓度占标率P</w:t>
      </w:r>
      <w:r>
        <w:rPr>
          <w:rFonts w:hint="eastAsia"/>
          <w:color w:val="000000" w:themeColor="text1"/>
          <w:vertAlign w:val="subscript"/>
          <w14:textFill>
            <w14:solidFill>
              <w14:schemeClr w14:val="tx1"/>
            </w14:solidFill>
          </w14:textFill>
        </w:rPr>
        <w:t>i</w:t>
      </w:r>
      <w:r>
        <w:rPr>
          <w:rFonts w:hint="eastAsia"/>
          <w:color w:val="000000" w:themeColor="text1"/>
          <w14:textFill>
            <w14:solidFill>
              <w14:schemeClr w14:val="tx1"/>
            </w14:solidFill>
          </w14:textFill>
        </w:rPr>
        <w:t>按上公式计算，如污染物i大于1，取P值中的最大者P</w:t>
      </w:r>
      <w:r>
        <w:rPr>
          <w:rFonts w:hint="eastAsia"/>
          <w:color w:val="000000" w:themeColor="text1"/>
          <w:vertAlign w:val="subscript"/>
          <w14:textFill>
            <w14:solidFill>
              <w14:schemeClr w14:val="tx1"/>
            </w14:solidFill>
          </w14:textFill>
        </w:rPr>
        <w:t>max</w:t>
      </w:r>
      <w:r>
        <w:rPr>
          <w:rFonts w:hint="eastAsia"/>
          <w:color w:val="000000" w:themeColor="text1"/>
          <w14:textFill>
            <w14:solidFill>
              <w14:schemeClr w14:val="tx1"/>
            </w14:solidFill>
          </w14:textFill>
        </w:rPr>
        <w:t>。</w:t>
      </w:r>
    </w:p>
    <w:p>
      <w:pPr>
        <w:pStyle w:val="6"/>
      </w:pPr>
      <w:r>
        <w:t>表2.</w:t>
      </w:r>
      <w:r>
        <w:rPr>
          <w:rFonts w:hint="eastAsia"/>
        </w:rPr>
        <w:t xml:space="preserve">5.1-2    </w:t>
      </w:r>
      <w:r>
        <w:t>评价等级判</w:t>
      </w:r>
      <w:r>
        <w:rPr>
          <w:rFonts w:hint="eastAsia"/>
        </w:rPr>
        <w:t>别</w:t>
      </w:r>
      <w:r>
        <w:t>表</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568"/>
        <w:gridCol w:w="4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评价工作等级</w:t>
            </w:r>
          </w:p>
        </w:tc>
        <w:tc>
          <w:tcPr>
            <w:tcW w:w="285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评价工作分级判据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一级</w:t>
            </w:r>
            <w:r>
              <w:rPr>
                <w:rFonts w:hint="eastAsia"/>
                <w:color w:val="000000" w:themeColor="text1"/>
                <w14:textFill>
                  <w14:solidFill>
                    <w14:schemeClr w14:val="tx1"/>
                  </w14:solidFill>
                </w14:textFill>
              </w:rPr>
              <w:t>评价</w:t>
            </w:r>
          </w:p>
        </w:tc>
        <w:tc>
          <w:tcPr>
            <w:tcW w:w="285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Pmax</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二级</w:t>
            </w:r>
            <w:r>
              <w:rPr>
                <w:rFonts w:hint="eastAsia"/>
                <w:color w:val="000000" w:themeColor="text1"/>
                <w14:textFill>
                  <w14:solidFill>
                    <w14:schemeClr w14:val="tx1"/>
                  </w14:solidFill>
                </w14:textFill>
              </w:rPr>
              <w:t>评价</w:t>
            </w:r>
          </w:p>
        </w:tc>
        <w:tc>
          <w:tcPr>
            <w:tcW w:w="285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Pmax</w:t>
            </w:r>
            <w:r>
              <w:rPr>
                <w:rFonts w:hint="eastAsia"/>
                <w:color w:val="000000" w:themeColor="text1"/>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三级</w:t>
            </w:r>
            <w:r>
              <w:rPr>
                <w:rFonts w:hint="eastAsia"/>
                <w:color w:val="000000" w:themeColor="text1"/>
                <w14:textFill>
                  <w14:solidFill>
                    <w14:schemeClr w14:val="tx1"/>
                  </w14:solidFill>
                </w14:textFill>
              </w:rPr>
              <w:t>评价</w:t>
            </w:r>
          </w:p>
        </w:tc>
        <w:tc>
          <w:tcPr>
            <w:tcW w:w="285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Pmax＜1%</w:t>
            </w:r>
          </w:p>
        </w:tc>
      </w:tr>
    </w:tbl>
    <w:p>
      <w:pPr>
        <w:ind w:firstLine="480"/>
      </w:pPr>
      <w:r>
        <w:rPr>
          <w:rFonts w:hint="eastAsia"/>
        </w:rPr>
        <w:t>本评价采用《环境影响评价技术导则 大气环境》（HJ2.2-2018）推荐模式清单中的估算模式（AERSCREEN）分别计算各源各污染物的短期浓度最大值及对应距离，用以分析最大影响程度和最远影响范围。</w:t>
      </w:r>
    </w:p>
    <w:p>
      <w:pPr>
        <w:numPr>
          <w:ilvl w:val="0"/>
          <w:numId w:val="5"/>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估算模型参数</w:t>
      </w:r>
    </w:p>
    <w:p>
      <w:pPr>
        <w:ind w:firstLine="480"/>
        <w:rPr>
          <w:color w:val="000000" w:themeColor="text1"/>
          <w14:textFill>
            <w14:solidFill>
              <w14:schemeClr w14:val="tx1"/>
            </w14:solidFill>
          </w14:textFill>
        </w:rPr>
      </w:pPr>
      <w:r>
        <w:rPr>
          <w:rFonts w:hint="eastAsia"/>
        </w:rPr>
        <w:t>估算模型AERSCREEN的地表参数根据模型特点取项目周边3km范围内占地面积最大的土地利用类型为</w:t>
      </w:r>
      <w:r>
        <w:rPr>
          <w:rFonts w:hint="eastAsia"/>
          <w:color w:val="FF0000"/>
          <w:lang w:val="en-US" w:eastAsia="zh-CN"/>
        </w:rPr>
        <w:t>农</w:t>
      </w:r>
      <w:r>
        <w:rPr>
          <w:rFonts w:hint="eastAsia"/>
          <w:color w:val="FF0000"/>
        </w:rPr>
        <w:t>用地</w:t>
      </w:r>
      <w:r>
        <w:rPr>
          <w:rFonts w:hint="eastAsia"/>
        </w:rPr>
        <w:t>，因此确定为</w:t>
      </w:r>
      <w:r>
        <w:rPr>
          <w:rFonts w:hint="eastAsia"/>
          <w:color w:val="FF0000"/>
          <w:lang w:val="en-US" w:eastAsia="zh-CN"/>
        </w:rPr>
        <w:t>农村</w:t>
      </w:r>
      <w:r>
        <w:rPr>
          <w:rFonts w:hint="eastAsia"/>
        </w:rPr>
        <w:t>。</w:t>
      </w:r>
      <w:r>
        <w:rPr>
          <w:rFonts w:hint="eastAsia"/>
          <w:color w:val="000000" w:themeColor="text1"/>
          <w14:textFill>
            <w14:solidFill>
              <w14:schemeClr w14:val="tx1"/>
            </w14:solidFill>
          </w14:textFill>
        </w:rPr>
        <w:t>估算模型参数见表</w:t>
      </w:r>
      <w:r>
        <w:t>2.</w:t>
      </w:r>
      <w:r>
        <w:rPr>
          <w:rFonts w:hint="eastAsia"/>
        </w:rPr>
        <w:t>5.1</w:t>
      </w:r>
      <w:r>
        <w:rPr>
          <w:rFonts w:hint="eastAsia"/>
          <w:color w:val="000000" w:themeColor="text1"/>
          <w14:textFill>
            <w14:solidFill>
              <w14:schemeClr w14:val="tx1"/>
            </w14:solidFill>
          </w14:textFill>
        </w:rPr>
        <w:t>-3。</w:t>
      </w:r>
    </w:p>
    <w:p>
      <w:pPr>
        <w:pStyle w:val="6"/>
      </w:pPr>
      <w:r>
        <w:t>表2.</w:t>
      </w:r>
      <w:r>
        <w:rPr>
          <w:rFonts w:hint="eastAsia"/>
        </w:rPr>
        <w:t>5.1</w:t>
      </w:r>
      <w:r>
        <w:t>-</w:t>
      </w:r>
      <w:r>
        <w:rPr>
          <w:rFonts w:hint="eastAsia"/>
        </w:rPr>
        <w:t>3</w:t>
      </w:r>
      <w:r>
        <w:t xml:space="preserve">    估算模型参数表</w:t>
      </w:r>
    </w:p>
    <w:tbl>
      <w:tblPr>
        <w:tblStyle w:val="3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8"/>
        <w:gridCol w:w="3224"/>
        <w:gridCol w:w="2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43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参数</w:t>
            </w:r>
          </w:p>
        </w:tc>
        <w:tc>
          <w:tcPr>
            <w:tcW w:w="1562"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城市/农村选项</w:t>
            </w: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城市/农村</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FF0000"/>
              </w:rPr>
              <w:t>农村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人口数（城市选型时）</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最高环境温度/</w:t>
            </w:r>
            <w:r>
              <w:rPr>
                <w:rFonts w:hint="eastAsia"/>
                <w:color w:val="000000" w:themeColor="text1"/>
                <w14:textFill>
                  <w14:solidFill>
                    <w14:schemeClr w14:val="tx1"/>
                  </w14:solidFill>
                </w14:textFill>
              </w:rPr>
              <w:t>℃</w:t>
            </w:r>
          </w:p>
        </w:tc>
        <w:tc>
          <w:tcPr>
            <w:tcW w:w="1562"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最低环境温度/</w:t>
            </w:r>
            <w:r>
              <w:rPr>
                <w:rFonts w:hint="eastAsia"/>
                <w:color w:val="000000" w:themeColor="text1"/>
                <w14:textFill>
                  <w14:solidFill>
                    <w14:schemeClr w14:val="tx1"/>
                  </w14:solidFill>
                </w14:textFill>
              </w:rPr>
              <w:t>℃</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土地利用类型</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农用地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区域湿度条件</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干旱</w:t>
            </w:r>
            <w:r>
              <w:rPr>
                <w:color w:val="000000" w:themeColor="text1"/>
                <w14:textFill>
                  <w14:solidFill>
                    <w14:schemeClr w14:val="tx1"/>
                  </w14:solidFill>
                </w14:textFill>
              </w:rPr>
              <w:t>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是否考虑地形</w:t>
            </w: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考虑地形</w:t>
            </w:r>
          </w:p>
        </w:tc>
        <w:tc>
          <w:tcPr>
            <w:tcW w:w="1562"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sym w:font="Wingdings 2" w:char="0052"/>
            </w:r>
            <w:r>
              <w:rPr>
                <w:color w:val="000000" w:themeColor="text1"/>
                <w14:textFill>
                  <w14:solidFill>
                    <w14:schemeClr w14:val="tx1"/>
                  </w14:solidFill>
                </w14:textFill>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地形数据分辨率/m</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90m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是否考虑岸线熏烟</w:t>
            </w: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考虑岸线熏烟</w:t>
            </w:r>
          </w:p>
        </w:tc>
        <w:tc>
          <w:tcPr>
            <w:tcW w:w="1562"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 xml:space="preserve">□是   </w:t>
            </w:r>
            <w:r>
              <w:rPr>
                <w:color w:val="000000" w:themeColor="text1"/>
                <w14:textFill>
                  <w14:solidFill>
                    <w14:schemeClr w14:val="tx1"/>
                  </w14:solidFill>
                </w14:textFill>
              </w:rPr>
              <w:sym w:font="Wingdings 2" w:char="0052"/>
            </w:r>
            <w:r>
              <w:rPr>
                <w:color w:val="000000" w:themeColor="text1"/>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岸线距离/km</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1890"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岸线方向/°</w:t>
            </w:r>
          </w:p>
        </w:tc>
        <w:tc>
          <w:tcPr>
            <w:tcW w:w="156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pPr>
        <w:ind w:firstLine="480"/>
      </w:pPr>
      <w:r>
        <w:rPr>
          <w:rFonts w:hint="eastAsia"/>
        </w:rPr>
        <w:t>根据评价范围内当前DEM所需的SRTM资源文件（strm-59-04.ASC），从下载地址获取并生成本工程DEM文件（分辨率为90m）。</w:t>
      </w:r>
    </w:p>
    <w:p>
      <w:pPr>
        <w:pStyle w:val="11"/>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pPr>
      <w:r>
        <w:drawing>
          <wp:inline distT="0" distB="0" distL="114300" distR="114300">
            <wp:extent cx="5397500" cy="3089275"/>
            <wp:effectExtent l="9525" t="9525" r="12700" b="15875"/>
            <wp:docPr id="33" name="图片 33" descr="030c370f3bac90292893e7b93ea7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30c370f3bac90292893e7b93ea71e7"/>
                    <pic:cNvPicPr>
                      <a:picLocks noChangeAspect="1"/>
                    </pic:cNvPicPr>
                  </pic:nvPicPr>
                  <pic:blipFill>
                    <a:blip r:embed="rId32"/>
                    <a:stretch>
                      <a:fillRect/>
                    </a:stretch>
                  </pic:blipFill>
                  <pic:spPr>
                    <a:xfrm>
                      <a:off x="0" y="0"/>
                      <a:ext cx="5397500" cy="3089275"/>
                    </a:xfrm>
                    <a:prstGeom prst="rect">
                      <a:avLst/>
                    </a:prstGeom>
                    <a:ln>
                      <a:solidFill>
                        <a:schemeClr val="tx1"/>
                      </a:solidFill>
                    </a:ln>
                  </pic:spPr>
                </pic:pic>
              </a:graphicData>
            </a:graphic>
          </wp:inline>
        </w:drawing>
      </w:r>
    </w:p>
    <w:p>
      <w:pPr>
        <w:pStyle w:val="6"/>
      </w:pPr>
      <w:r>
        <w:rPr>
          <w:rFonts w:hint="eastAsia"/>
        </w:rPr>
        <w:t>图2.5-1   项目区域地形数据图</w:t>
      </w:r>
    </w:p>
    <w:p>
      <w:pPr>
        <w:ind w:firstLine="480"/>
        <w:sectPr>
          <w:pgSz w:w="11906" w:h="16838"/>
          <w:pgMar w:top="1440" w:right="1797" w:bottom="1440" w:left="1797" w:header="851" w:footer="992" w:gutter="0"/>
          <w:pgNumType w:fmt="decimal"/>
          <w:cols w:space="425" w:num="1"/>
          <w:docGrid w:linePitch="312" w:charSpace="0"/>
        </w:sectPr>
      </w:pPr>
      <w:r>
        <w:rPr>
          <w:rFonts w:hint="eastAsia"/>
        </w:rPr>
        <w:t>本项目所在地经估算模式（AERSCREEN）判断为复杂地形，地形点经纬度坐标（116.3521</w:t>
      </w:r>
      <w:r>
        <w:rPr>
          <w:rFonts w:hint="eastAsia"/>
          <w:lang w:val="en-US" w:eastAsia="zh-CN"/>
        </w:rPr>
        <w:t>，</w:t>
      </w:r>
      <w:r>
        <w:rPr>
          <w:rFonts w:hint="eastAsia"/>
        </w:rPr>
        <w:t>39.9113</w:t>
      </w:r>
      <w:r>
        <w:rPr>
          <w:rFonts w:hint="eastAsia"/>
          <w:lang w:eastAsia="zh-CN"/>
        </w:rPr>
        <w:t>，</w:t>
      </w:r>
      <w:r>
        <w:rPr>
          <w:rFonts w:hint="eastAsia"/>
        </w:rPr>
        <w:t>93），离源距离3898m，高程93m。本项目污染源分为有组织污染源和无组织污染源，其污染源调查信息见表</w:t>
      </w:r>
      <w:r>
        <w:t>2.</w:t>
      </w:r>
      <w:r>
        <w:rPr>
          <w:rFonts w:hint="eastAsia"/>
        </w:rPr>
        <w:t>5.1-4~</w:t>
      </w:r>
      <w:r>
        <w:t>2.</w:t>
      </w:r>
      <w:r>
        <w:rPr>
          <w:rFonts w:hint="eastAsia"/>
        </w:rPr>
        <w:t>5.1-5。</w:t>
      </w:r>
    </w:p>
    <w:p>
      <w:pPr>
        <w:pStyle w:val="6"/>
      </w:pPr>
      <w:r>
        <w:rPr>
          <w:rFonts w:hint="eastAsia"/>
        </w:rPr>
        <w:t>表</w:t>
      </w:r>
      <w:r>
        <w:t>2.</w:t>
      </w:r>
      <w:r>
        <w:rPr>
          <w:rFonts w:hint="eastAsia"/>
        </w:rPr>
        <w:t>5.1-4   项目点源参数表</w:t>
      </w:r>
    </w:p>
    <w:tbl>
      <w:tblPr>
        <w:tblStyle w:val="3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1545"/>
        <w:gridCol w:w="1650"/>
        <w:gridCol w:w="1274"/>
        <w:gridCol w:w="1002"/>
        <w:gridCol w:w="1245"/>
        <w:gridCol w:w="1320"/>
        <w:gridCol w:w="765"/>
        <w:gridCol w:w="1035"/>
        <w:gridCol w:w="734"/>
        <w:gridCol w:w="1186"/>
        <w:gridCol w:w="1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名称</w:t>
            </w:r>
          </w:p>
        </w:tc>
        <w:tc>
          <w:tcPr>
            <w:tcW w:w="112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排气筒底部中心坐标</w:t>
            </w:r>
            <w:r>
              <w:rPr>
                <w:rFonts w:hint="eastAsia"/>
                <w:color w:val="000000" w:themeColor="text1"/>
                <w14:textFill>
                  <w14:solidFill>
                    <w14:schemeClr w14:val="tx1"/>
                  </w14:solidFill>
                </w14:textFill>
              </w:rPr>
              <w:t>/m</w:t>
            </w:r>
          </w:p>
        </w:tc>
        <w:tc>
          <w:tcPr>
            <w:tcW w:w="449"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排气筒底部海拔高度</w:t>
            </w:r>
          </w:p>
        </w:tc>
        <w:tc>
          <w:tcPr>
            <w:tcW w:w="353"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排气筒高度</w:t>
            </w:r>
          </w:p>
        </w:tc>
        <w:tc>
          <w:tcPr>
            <w:tcW w:w="439"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排气筒出口内径</w:t>
            </w:r>
          </w:p>
        </w:tc>
        <w:tc>
          <w:tcPr>
            <w:tcW w:w="466" w:type="pct"/>
            <w:vMerge w:val="restar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烟气流量m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w:t>
            </w:r>
          </w:p>
        </w:tc>
        <w:tc>
          <w:tcPr>
            <w:tcW w:w="270"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烟气温度</w:t>
            </w:r>
          </w:p>
        </w:tc>
        <w:tc>
          <w:tcPr>
            <w:tcW w:w="365"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年排放小时数</w:t>
            </w:r>
          </w:p>
        </w:tc>
        <w:tc>
          <w:tcPr>
            <w:tcW w:w="259"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排放工况</w:t>
            </w:r>
          </w:p>
        </w:tc>
        <w:tc>
          <w:tcPr>
            <w:tcW w:w="828" w:type="pct"/>
            <w:gridSpan w:val="2"/>
            <w:tcBorders>
              <w:tl2br w:val="nil"/>
              <w:tr2bl w:val="nil"/>
            </w:tcBorders>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污染物排放</w:t>
            </w:r>
            <w:r>
              <w:rPr>
                <w:rFonts w:hint="eastAsia"/>
                <w:color w:val="000000" w:themeColor="text1"/>
                <w14:textFill>
                  <w14:solidFill>
                    <w14:schemeClr w14:val="tx1"/>
                  </w14:solidFill>
                </w14:textFill>
              </w:rPr>
              <w:t>速率</w:t>
            </w:r>
          </w:p>
          <w:p>
            <w:pPr>
              <w:pStyle w:val="23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kg</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h</w:t>
            </w:r>
            <w:r>
              <w:rPr>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vMerge w:val="continue"/>
            <w:tcBorders>
              <w:tl2br w:val="nil"/>
              <w:tr2bl w:val="nil"/>
            </w:tcBorders>
            <w:vAlign w:val="center"/>
          </w:tcPr>
          <w:p>
            <w:pPr>
              <w:pStyle w:val="232"/>
              <w:rPr>
                <w:color w:val="000000" w:themeColor="text1"/>
                <w14:textFill>
                  <w14:solidFill>
                    <w14:schemeClr w14:val="tx1"/>
                  </w14:solidFill>
                </w14:textFill>
              </w:rPr>
            </w:pPr>
          </w:p>
        </w:tc>
        <w:tc>
          <w:tcPr>
            <w:tcW w:w="545"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X</w:t>
            </w:r>
          </w:p>
        </w:tc>
        <w:tc>
          <w:tcPr>
            <w:tcW w:w="58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Y</w:t>
            </w:r>
          </w:p>
        </w:tc>
        <w:tc>
          <w:tcPr>
            <w:tcW w:w="449" w:type="pct"/>
            <w:vMerge w:val="continue"/>
            <w:tcBorders>
              <w:tl2br w:val="nil"/>
              <w:tr2bl w:val="nil"/>
            </w:tcBorders>
            <w:vAlign w:val="center"/>
          </w:tcPr>
          <w:p>
            <w:pPr>
              <w:pStyle w:val="232"/>
              <w:rPr>
                <w:color w:val="000000" w:themeColor="text1"/>
                <w14:textFill>
                  <w14:solidFill>
                    <w14:schemeClr w14:val="tx1"/>
                  </w14:solidFill>
                </w14:textFill>
              </w:rPr>
            </w:pPr>
          </w:p>
        </w:tc>
        <w:tc>
          <w:tcPr>
            <w:tcW w:w="353" w:type="pct"/>
            <w:vMerge w:val="continue"/>
            <w:tcBorders>
              <w:tl2br w:val="nil"/>
              <w:tr2bl w:val="nil"/>
            </w:tcBorders>
            <w:vAlign w:val="center"/>
          </w:tcPr>
          <w:p>
            <w:pPr>
              <w:pStyle w:val="232"/>
              <w:rPr>
                <w:color w:val="000000" w:themeColor="text1"/>
                <w14:textFill>
                  <w14:solidFill>
                    <w14:schemeClr w14:val="tx1"/>
                  </w14:solidFill>
                </w14:textFill>
              </w:rPr>
            </w:pPr>
          </w:p>
        </w:tc>
        <w:tc>
          <w:tcPr>
            <w:tcW w:w="439" w:type="pct"/>
            <w:vMerge w:val="continue"/>
            <w:tcBorders>
              <w:tl2br w:val="nil"/>
              <w:tr2bl w:val="nil"/>
            </w:tcBorders>
            <w:vAlign w:val="center"/>
          </w:tcPr>
          <w:p>
            <w:pPr>
              <w:pStyle w:val="232"/>
              <w:rPr>
                <w:color w:val="000000" w:themeColor="text1"/>
                <w14:textFill>
                  <w14:solidFill>
                    <w14:schemeClr w14:val="tx1"/>
                  </w14:solidFill>
                </w14:textFill>
              </w:rPr>
            </w:pPr>
          </w:p>
        </w:tc>
        <w:tc>
          <w:tcPr>
            <w:tcW w:w="466" w:type="pct"/>
            <w:vMerge w:val="continue"/>
            <w:tcBorders>
              <w:tl2br w:val="nil"/>
              <w:tr2bl w:val="nil"/>
            </w:tcBorders>
            <w:vAlign w:val="center"/>
          </w:tcPr>
          <w:p>
            <w:pPr>
              <w:pStyle w:val="232"/>
              <w:rPr>
                <w:color w:val="000000" w:themeColor="text1"/>
                <w14:textFill>
                  <w14:solidFill>
                    <w14:schemeClr w14:val="tx1"/>
                  </w14:solidFill>
                </w14:textFill>
              </w:rPr>
            </w:pPr>
          </w:p>
        </w:tc>
        <w:tc>
          <w:tcPr>
            <w:tcW w:w="270" w:type="pct"/>
            <w:vMerge w:val="continue"/>
            <w:tcBorders>
              <w:tl2br w:val="nil"/>
              <w:tr2bl w:val="nil"/>
            </w:tcBorders>
            <w:vAlign w:val="center"/>
          </w:tcPr>
          <w:p>
            <w:pPr>
              <w:pStyle w:val="232"/>
              <w:rPr>
                <w:color w:val="000000" w:themeColor="text1"/>
                <w14:textFill>
                  <w14:solidFill>
                    <w14:schemeClr w14:val="tx1"/>
                  </w14:solidFill>
                </w14:textFill>
              </w:rPr>
            </w:pPr>
          </w:p>
        </w:tc>
        <w:tc>
          <w:tcPr>
            <w:tcW w:w="365" w:type="pct"/>
            <w:vMerge w:val="continue"/>
            <w:tcBorders>
              <w:tl2br w:val="nil"/>
              <w:tr2bl w:val="nil"/>
            </w:tcBorders>
            <w:vAlign w:val="center"/>
          </w:tcPr>
          <w:p>
            <w:pPr>
              <w:pStyle w:val="232"/>
              <w:rPr>
                <w:color w:val="000000" w:themeColor="text1"/>
                <w14:textFill>
                  <w14:solidFill>
                    <w14:schemeClr w14:val="tx1"/>
                  </w14:solidFill>
                </w14:textFill>
              </w:rPr>
            </w:pPr>
          </w:p>
        </w:tc>
        <w:tc>
          <w:tcPr>
            <w:tcW w:w="259" w:type="pct"/>
            <w:vMerge w:val="continue"/>
            <w:tcBorders>
              <w:tl2br w:val="nil"/>
              <w:tr2bl w:val="nil"/>
            </w:tcBorders>
            <w:vAlign w:val="center"/>
          </w:tcPr>
          <w:p>
            <w:pPr>
              <w:pStyle w:val="232"/>
              <w:rPr>
                <w:color w:val="000000" w:themeColor="text1"/>
                <w14:textFill>
                  <w14:solidFill>
                    <w14:schemeClr w14:val="tx1"/>
                  </w14:solidFill>
                </w14:textFill>
              </w:rPr>
            </w:pPr>
          </w:p>
        </w:tc>
        <w:tc>
          <w:tcPr>
            <w:tcW w:w="418"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w:t>
            </w:r>
          </w:p>
        </w:tc>
        <w:tc>
          <w:tcPr>
            <w:tcW w:w="409" w:type="pct"/>
            <w:tcBorders>
              <w:tl2br w:val="nil"/>
              <w:tr2bl w:val="nil"/>
            </w:tcBorders>
            <w:vAlign w:val="center"/>
          </w:tcPr>
          <w:p>
            <w:pPr>
              <w:pStyle w:val="23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硫化氢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440"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病死羊及分娩物无害化车间DA001</w:t>
            </w:r>
          </w:p>
        </w:tc>
        <w:tc>
          <w:tcPr>
            <w:tcW w:w="545"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N</w:t>
            </w:r>
            <w:r>
              <w:rPr>
                <w:color w:val="000000" w:themeColor="text1"/>
                <w14:textFill>
                  <w14:solidFill>
                    <w14:schemeClr w14:val="tx1"/>
                  </w14:solidFill>
                </w14:textFill>
              </w:rPr>
              <w:t>41°</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'41.</w:t>
            </w:r>
            <w:r>
              <w:rPr>
                <w:rFonts w:hint="eastAsia"/>
                <w:color w:val="000000" w:themeColor="text1"/>
                <w14:textFill>
                  <w14:solidFill>
                    <w14:schemeClr w14:val="tx1"/>
                  </w14:solidFill>
                </w14:textFill>
              </w:rPr>
              <w:t>93</w:t>
            </w:r>
            <w:r>
              <w:rPr>
                <w:color w:val="000000" w:themeColor="text1"/>
                <w14:textFill>
                  <w14:solidFill>
                    <w14:schemeClr w14:val="tx1"/>
                  </w14:solidFill>
                </w14:textFill>
              </w:rPr>
              <w:t>"</w:t>
            </w:r>
          </w:p>
        </w:tc>
        <w:tc>
          <w:tcPr>
            <w:tcW w:w="58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E</w:t>
            </w:r>
            <w:r>
              <w:rPr>
                <w:color w:val="000000" w:themeColor="text1"/>
                <w14:textFill>
                  <w14:solidFill>
                    <w14:schemeClr w14:val="tx1"/>
                  </w14:solidFill>
                </w14:textFill>
              </w:rPr>
              <w:t>107°4</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36</w:t>
            </w:r>
            <w:r>
              <w:rPr>
                <w:color w:val="000000" w:themeColor="text1"/>
                <w14:textFill>
                  <w14:solidFill>
                    <w14:schemeClr w14:val="tx1"/>
                  </w14:solidFill>
                </w14:textFill>
              </w:rPr>
              <w:t>"</w:t>
            </w:r>
          </w:p>
        </w:tc>
        <w:tc>
          <w:tcPr>
            <w:tcW w:w="449"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w:t>
            </w:r>
            <w:r>
              <w:rPr>
                <w:rFonts w:hint="eastAsia"/>
                <w:color w:val="000000" w:themeColor="text1"/>
                <w14:textFill>
                  <w14:solidFill>
                    <w14:schemeClr w14:val="tx1"/>
                  </w14:solidFill>
                </w14:textFill>
              </w:rPr>
              <w:t>29.5</w:t>
            </w:r>
            <w:r>
              <w:rPr>
                <w:color w:val="000000" w:themeColor="text1"/>
                <w14:textFill>
                  <w14:solidFill>
                    <w14:schemeClr w14:val="tx1"/>
                  </w14:solidFill>
                </w14:textFill>
              </w:rPr>
              <w:t>m</w:t>
            </w:r>
          </w:p>
        </w:tc>
        <w:tc>
          <w:tcPr>
            <w:tcW w:w="353"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15</w:t>
            </w:r>
            <w:r>
              <w:rPr>
                <w:color w:val="000000" w:themeColor="text1"/>
                <w14:textFill>
                  <w14:solidFill>
                    <w14:schemeClr w14:val="tx1"/>
                  </w14:solidFill>
                </w14:textFill>
              </w:rPr>
              <w:t>m</w:t>
            </w:r>
          </w:p>
        </w:tc>
        <w:tc>
          <w:tcPr>
            <w:tcW w:w="439"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0.5m</w:t>
            </w:r>
          </w:p>
        </w:tc>
        <w:tc>
          <w:tcPr>
            <w:tcW w:w="466"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1000</w:t>
            </w:r>
          </w:p>
        </w:tc>
        <w:tc>
          <w:tcPr>
            <w:tcW w:w="270"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60</w:t>
            </w:r>
            <w:r>
              <w:rPr>
                <w:color w:val="000000" w:themeColor="text1"/>
                <w14:textFill>
                  <w14:solidFill>
                    <w14:schemeClr w14:val="tx1"/>
                  </w14:solidFill>
                </w14:textFill>
              </w:rPr>
              <w:t>℃</w:t>
            </w:r>
          </w:p>
        </w:tc>
        <w:tc>
          <w:tcPr>
            <w:tcW w:w="365"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8760</w:t>
            </w:r>
            <w:r>
              <w:rPr>
                <w:color w:val="000000" w:themeColor="text1"/>
                <w14:textFill>
                  <w14:solidFill>
                    <w14:schemeClr w14:val="tx1"/>
                  </w14:solidFill>
                </w14:textFill>
              </w:rPr>
              <w:t>h</w:t>
            </w:r>
          </w:p>
        </w:tc>
        <w:tc>
          <w:tcPr>
            <w:tcW w:w="259"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正常</w:t>
            </w:r>
          </w:p>
        </w:tc>
        <w:tc>
          <w:tcPr>
            <w:tcW w:w="418" w:type="pct"/>
            <w:tcBorders>
              <w:tl2br w:val="nil"/>
              <w:tr2bl w:val="nil"/>
            </w:tcBorders>
            <w:vAlign w:val="center"/>
          </w:tcPr>
          <w:p>
            <w:pPr>
              <w:pStyle w:val="232"/>
              <w:rPr>
                <w:rFonts w:hint="eastAsia" w:eastAsia="宋体"/>
                <w:color w:val="FF0000"/>
                <w:lang w:val="en-US" w:eastAsia="zh-CN"/>
              </w:rPr>
            </w:pPr>
            <w:r>
              <w:rPr>
                <w:rFonts w:hint="eastAsia"/>
                <w:color w:val="FF0000"/>
                <w:lang w:val="en-US" w:eastAsia="zh-CN"/>
              </w:rPr>
              <w:t>0.08</w:t>
            </w:r>
            <w:r>
              <w:rPr>
                <w:rFonts w:hint="eastAsia"/>
                <w:color w:val="FF0000"/>
                <w:sz w:val="21"/>
                <w:szCs w:val="21"/>
              </w:rPr>
              <w:t>×10</w:t>
            </w:r>
            <w:r>
              <w:rPr>
                <w:rFonts w:hint="eastAsia"/>
                <w:color w:val="FF0000"/>
                <w:sz w:val="21"/>
                <w:szCs w:val="21"/>
                <w:vertAlign w:val="superscript"/>
              </w:rPr>
              <w:t>-</w:t>
            </w:r>
            <w:r>
              <w:rPr>
                <w:rFonts w:hint="eastAsia"/>
                <w:color w:val="FF0000"/>
                <w:sz w:val="21"/>
                <w:szCs w:val="21"/>
                <w:vertAlign w:val="superscript"/>
                <w:lang w:val="en-US" w:eastAsia="zh-CN"/>
              </w:rPr>
              <w:t>3</w:t>
            </w:r>
          </w:p>
        </w:tc>
        <w:tc>
          <w:tcPr>
            <w:tcW w:w="409" w:type="pct"/>
            <w:tcBorders>
              <w:tl2br w:val="nil"/>
              <w:tr2bl w:val="nil"/>
            </w:tcBorders>
            <w:vAlign w:val="center"/>
          </w:tcPr>
          <w:p>
            <w:pPr>
              <w:pStyle w:val="232"/>
              <w:rPr>
                <w:rFonts w:hint="eastAsia"/>
                <w:color w:val="FF0000"/>
              </w:rPr>
            </w:pPr>
            <w:r>
              <w:rPr>
                <w:rFonts w:hint="eastAsia"/>
                <w:color w:val="FF0000"/>
                <w:sz w:val="21"/>
                <w:szCs w:val="21"/>
              </w:rPr>
              <w:t>0.03×10</w:t>
            </w:r>
            <w:r>
              <w:rPr>
                <w:rFonts w:hint="eastAsia"/>
                <w:color w:val="FF0000"/>
                <w:sz w:val="21"/>
                <w:szCs w:val="21"/>
                <w:vertAlign w:val="superscript"/>
              </w:rPr>
              <w:t>-3</w:t>
            </w:r>
          </w:p>
        </w:tc>
      </w:tr>
    </w:tbl>
    <w:p>
      <w:pPr>
        <w:pStyle w:val="6"/>
      </w:pPr>
      <w:r>
        <w:rPr>
          <w:rFonts w:hint="eastAsia"/>
        </w:rPr>
        <w:t>表</w:t>
      </w:r>
      <w:r>
        <w:t>2.</w:t>
      </w:r>
      <w:r>
        <w:rPr>
          <w:rFonts w:hint="eastAsia"/>
        </w:rPr>
        <w:t>5.1-5   项目面源（矩形）参数表</w:t>
      </w:r>
    </w:p>
    <w:tbl>
      <w:tblPr>
        <w:tblStyle w:val="3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517"/>
        <w:gridCol w:w="1350"/>
        <w:gridCol w:w="1408"/>
        <w:gridCol w:w="1125"/>
        <w:gridCol w:w="847"/>
        <w:gridCol w:w="840"/>
        <w:gridCol w:w="1050"/>
        <w:gridCol w:w="975"/>
        <w:gridCol w:w="870"/>
        <w:gridCol w:w="713"/>
        <w:gridCol w:w="742"/>
        <w:gridCol w:w="1065"/>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13" w:type="pct"/>
            <w:vMerge w:val="restart"/>
            <w:vAlign w:val="center"/>
          </w:tcPr>
          <w:p>
            <w:pPr>
              <w:pStyle w:val="184"/>
              <w:spacing w:beforeLines="0" w:line="240" w:lineRule="auto"/>
              <w:rPr>
                <w:b w:val="0"/>
              </w:rPr>
            </w:pPr>
            <w:r>
              <w:rPr>
                <w:rFonts w:hint="eastAsia"/>
                <w:b w:val="0"/>
              </w:rPr>
              <w:t>编号</w:t>
            </w:r>
          </w:p>
        </w:tc>
        <w:tc>
          <w:tcPr>
            <w:tcW w:w="535" w:type="pct"/>
            <w:vMerge w:val="restart"/>
            <w:vAlign w:val="center"/>
          </w:tcPr>
          <w:p>
            <w:pPr>
              <w:pStyle w:val="184"/>
              <w:spacing w:beforeLines="0" w:line="240" w:lineRule="auto"/>
              <w:rPr>
                <w:b w:val="0"/>
              </w:rPr>
            </w:pPr>
            <w:r>
              <w:rPr>
                <w:rFonts w:hint="eastAsia"/>
                <w:b w:val="0"/>
              </w:rPr>
              <w:t>名称</w:t>
            </w:r>
          </w:p>
        </w:tc>
        <w:tc>
          <w:tcPr>
            <w:tcW w:w="973" w:type="pct"/>
            <w:gridSpan w:val="2"/>
            <w:vAlign w:val="center"/>
          </w:tcPr>
          <w:p>
            <w:pPr>
              <w:pStyle w:val="184"/>
              <w:spacing w:beforeLines="0" w:line="240" w:lineRule="auto"/>
              <w:rPr>
                <w:b w:val="0"/>
              </w:rPr>
            </w:pPr>
            <w:r>
              <w:rPr>
                <w:rFonts w:hint="eastAsia"/>
                <w:b w:val="0"/>
              </w:rPr>
              <w:t>面源起点坐标/m</w:t>
            </w:r>
          </w:p>
        </w:tc>
        <w:tc>
          <w:tcPr>
            <w:tcW w:w="397" w:type="pct"/>
            <w:vMerge w:val="restart"/>
            <w:vAlign w:val="center"/>
          </w:tcPr>
          <w:p>
            <w:pPr>
              <w:pStyle w:val="184"/>
              <w:spacing w:beforeLines="0" w:line="240" w:lineRule="auto"/>
              <w:rPr>
                <w:b w:val="0"/>
              </w:rPr>
            </w:pPr>
            <w:r>
              <w:rPr>
                <w:rFonts w:hint="eastAsia"/>
                <w:b w:val="0"/>
              </w:rPr>
              <w:t>面源海拔高度/m</w:t>
            </w:r>
          </w:p>
        </w:tc>
        <w:tc>
          <w:tcPr>
            <w:tcW w:w="299" w:type="pct"/>
            <w:vMerge w:val="restart"/>
            <w:vAlign w:val="center"/>
          </w:tcPr>
          <w:p>
            <w:pPr>
              <w:pStyle w:val="184"/>
              <w:spacing w:beforeLines="0" w:line="240" w:lineRule="auto"/>
              <w:rPr>
                <w:b w:val="0"/>
              </w:rPr>
            </w:pPr>
            <w:r>
              <w:rPr>
                <w:rFonts w:hint="eastAsia"/>
                <w:b w:val="0"/>
              </w:rPr>
              <w:t>面源长度/m</w:t>
            </w:r>
          </w:p>
        </w:tc>
        <w:tc>
          <w:tcPr>
            <w:tcW w:w="296" w:type="pct"/>
            <w:vMerge w:val="restart"/>
            <w:vAlign w:val="center"/>
          </w:tcPr>
          <w:p>
            <w:pPr>
              <w:pStyle w:val="184"/>
              <w:spacing w:beforeLines="0" w:line="240" w:lineRule="auto"/>
              <w:rPr>
                <w:b w:val="0"/>
              </w:rPr>
            </w:pPr>
            <w:r>
              <w:rPr>
                <w:rFonts w:hint="eastAsia"/>
                <w:b w:val="0"/>
              </w:rPr>
              <w:t>面源宽度/m</w:t>
            </w:r>
          </w:p>
        </w:tc>
        <w:tc>
          <w:tcPr>
            <w:tcW w:w="370" w:type="pct"/>
            <w:vMerge w:val="restart"/>
            <w:vAlign w:val="center"/>
          </w:tcPr>
          <w:p>
            <w:pPr>
              <w:pStyle w:val="184"/>
              <w:spacing w:beforeLines="0" w:line="240" w:lineRule="auto"/>
              <w:rPr>
                <w:b w:val="0"/>
              </w:rPr>
            </w:pPr>
            <w:r>
              <w:rPr>
                <w:rFonts w:hint="eastAsia"/>
                <w:b w:val="0"/>
              </w:rPr>
              <w:t>与正北向夹角/°</w:t>
            </w:r>
          </w:p>
        </w:tc>
        <w:tc>
          <w:tcPr>
            <w:tcW w:w="344" w:type="pct"/>
            <w:vMerge w:val="restart"/>
            <w:vAlign w:val="center"/>
          </w:tcPr>
          <w:p>
            <w:pPr>
              <w:pStyle w:val="184"/>
              <w:spacing w:beforeLines="0" w:line="240" w:lineRule="auto"/>
              <w:rPr>
                <w:b w:val="0"/>
              </w:rPr>
            </w:pPr>
            <w:r>
              <w:rPr>
                <w:rFonts w:hint="eastAsia"/>
                <w:b w:val="0"/>
              </w:rPr>
              <w:t>面源有效排放高度/m</w:t>
            </w:r>
          </w:p>
        </w:tc>
        <w:tc>
          <w:tcPr>
            <w:tcW w:w="307" w:type="pct"/>
            <w:vMerge w:val="restart"/>
            <w:vAlign w:val="center"/>
          </w:tcPr>
          <w:p>
            <w:pPr>
              <w:pStyle w:val="184"/>
              <w:spacing w:beforeLines="0" w:line="240" w:lineRule="auto"/>
              <w:rPr>
                <w:b w:val="0"/>
              </w:rPr>
            </w:pPr>
            <w:r>
              <w:rPr>
                <w:rFonts w:hint="eastAsia"/>
                <w:b w:val="0"/>
              </w:rPr>
              <w:t>年排放小时数</w:t>
            </w:r>
          </w:p>
        </w:tc>
        <w:tc>
          <w:tcPr>
            <w:tcW w:w="251" w:type="pct"/>
            <w:vMerge w:val="restart"/>
            <w:vAlign w:val="center"/>
          </w:tcPr>
          <w:p>
            <w:pPr>
              <w:pStyle w:val="184"/>
              <w:spacing w:beforeLines="0" w:line="240" w:lineRule="auto"/>
              <w:rPr>
                <w:b w:val="0"/>
              </w:rPr>
            </w:pPr>
            <w:r>
              <w:rPr>
                <w:rFonts w:hint="eastAsia"/>
                <w:b w:val="0"/>
              </w:rPr>
              <w:t>排放工况</w:t>
            </w:r>
          </w:p>
        </w:tc>
        <w:tc>
          <w:tcPr>
            <w:tcW w:w="1010" w:type="pct"/>
            <w:gridSpan w:val="3"/>
            <w:vAlign w:val="center"/>
          </w:tcPr>
          <w:p>
            <w:pPr>
              <w:pStyle w:val="184"/>
              <w:spacing w:beforeLines="0" w:line="240" w:lineRule="auto"/>
              <w:rPr>
                <w:b w:val="0"/>
              </w:rPr>
            </w:pPr>
            <w:r>
              <w:rPr>
                <w:rFonts w:hint="eastAsia"/>
                <w:b w:val="0"/>
              </w:rPr>
              <w:t>污染物排放速率/(kg/h）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13" w:type="pct"/>
            <w:vMerge w:val="continue"/>
            <w:vAlign w:val="center"/>
          </w:tcPr>
          <w:p>
            <w:pPr>
              <w:pStyle w:val="184"/>
              <w:spacing w:beforeLines="0" w:line="240" w:lineRule="auto"/>
              <w:rPr>
                <w:b w:val="0"/>
              </w:rPr>
            </w:pPr>
          </w:p>
        </w:tc>
        <w:tc>
          <w:tcPr>
            <w:tcW w:w="535" w:type="pct"/>
            <w:vMerge w:val="continue"/>
            <w:vAlign w:val="center"/>
          </w:tcPr>
          <w:p>
            <w:pPr>
              <w:pStyle w:val="184"/>
              <w:spacing w:beforeLines="0" w:line="240" w:lineRule="auto"/>
              <w:rPr>
                <w:b w:val="0"/>
              </w:rPr>
            </w:pPr>
          </w:p>
        </w:tc>
        <w:tc>
          <w:tcPr>
            <w:tcW w:w="476" w:type="pct"/>
            <w:vAlign w:val="center"/>
          </w:tcPr>
          <w:p>
            <w:pPr>
              <w:pStyle w:val="184"/>
              <w:spacing w:beforeLines="0" w:line="240" w:lineRule="auto"/>
              <w:rPr>
                <w:b w:val="0"/>
              </w:rPr>
            </w:pPr>
            <w:r>
              <w:rPr>
                <w:rFonts w:hint="eastAsia"/>
                <w:b w:val="0"/>
              </w:rPr>
              <w:t>X</w:t>
            </w:r>
          </w:p>
        </w:tc>
        <w:tc>
          <w:tcPr>
            <w:tcW w:w="497" w:type="pct"/>
            <w:vAlign w:val="center"/>
          </w:tcPr>
          <w:p>
            <w:pPr>
              <w:pStyle w:val="184"/>
              <w:spacing w:beforeLines="0" w:line="240" w:lineRule="auto"/>
              <w:rPr>
                <w:b w:val="0"/>
              </w:rPr>
            </w:pPr>
            <w:r>
              <w:rPr>
                <w:rFonts w:hint="eastAsia"/>
                <w:b w:val="0"/>
              </w:rPr>
              <w:t>Y</w:t>
            </w:r>
          </w:p>
        </w:tc>
        <w:tc>
          <w:tcPr>
            <w:tcW w:w="397" w:type="pct"/>
            <w:vMerge w:val="continue"/>
            <w:vAlign w:val="center"/>
          </w:tcPr>
          <w:p>
            <w:pPr>
              <w:pStyle w:val="184"/>
              <w:spacing w:beforeLines="0" w:line="240" w:lineRule="auto"/>
              <w:rPr>
                <w:b w:val="0"/>
              </w:rPr>
            </w:pPr>
          </w:p>
        </w:tc>
        <w:tc>
          <w:tcPr>
            <w:tcW w:w="299" w:type="pct"/>
            <w:vMerge w:val="continue"/>
            <w:vAlign w:val="center"/>
          </w:tcPr>
          <w:p>
            <w:pPr>
              <w:pStyle w:val="184"/>
              <w:spacing w:beforeLines="0" w:line="240" w:lineRule="auto"/>
              <w:rPr>
                <w:b w:val="0"/>
              </w:rPr>
            </w:pPr>
          </w:p>
        </w:tc>
        <w:tc>
          <w:tcPr>
            <w:tcW w:w="296" w:type="pct"/>
            <w:vMerge w:val="continue"/>
            <w:vAlign w:val="center"/>
          </w:tcPr>
          <w:p>
            <w:pPr>
              <w:pStyle w:val="184"/>
              <w:spacing w:beforeLines="0" w:line="240" w:lineRule="auto"/>
              <w:rPr>
                <w:b w:val="0"/>
              </w:rPr>
            </w:pPr>
          </w:p>
        </w:tc>
        <w:tc>
          <w:tcPr>
            <w:tcW w:w="370" w:type="pct"/>
            <w:vMerge w:val="continue"/>
            <w:vAlign w:val="center"/>
          </w:tcPr>
          <w:p>
            <w:pPr>
              <w:pStyle w:val="184"/>
              <w:spacing w:beforeLines="0" w:line="240" w:lineRule="auto"/>
              <w:rPr>
                <w:b w:val="0"/>
              </w:rPr>
            </w:pPr>
          </w:p>
        </w:tc>
        <w:tc>
          <w:tcPr>
            <w:tcW w:w="344" w:type="pct"/>
            <w:vMerge w:val="continue"/>
            <w:vAlign w:val="center"/>
          </w:tcPr>
          <w:p>
            <w:pPr>
              <w:pStyle w:val="184"/>
              <w:spacing w:beforeLines="0" w:line="240" w:lineRule="auto"/>
              <w:rPr>
                <w:b w:val="0"/>
              </w:rPr>
            </w:pPr>
          </w:p>
        </w:tc>
        <w:tc>
          <w:tcPr>
            <w:tcW w:w="307" w:type="pct"/>
            <w:vMerge w:val="continue"/>
            <w:vAlign w:val="center"/>
          </w:tcPr>
          <w:p>
            <w:pPr>
              <w:pStyle w:val="184"/>
              <w:spacing w:beforeLines="0" w:line="240" w:lineRule="auto"/>
              <w:rPr>
                <w:b w:val="0"/>
              </w:rPr>
            </w:pPr>
          </w:p>
        </w:tc>
        <w:tc>
          <w:tcPr>
            <w:tcW w:w="251" w:type="pct"/>
            <w:vMerge w:val="continue"/>
            <w:vAlign w:val="center"/>
          </w:tcPr>
          <w:p>
            <w:pPr>
              <w:pStyle w:val="184"/>
              <w:spacing w:beforeLines="0" w:line="240" w:lineRule="auto"/>
              <w:rPr>
                <w:b w:val="0"/>
              </w:rPr>
            </w:pPr>
          </w:p>
        </w:tc>
        <w:tc>
          <w:tcPr>
            <w:tcW w:w="261" w:type="pct"/>
            <w:vAlign w:val="center"/>
          </w:tcPr>
          <w:p>
            <w:pPr>
              <w:pStyle w:val="184"/>
              <w:spacing w:beforeLines="0" w:line="240" w:lineRule="auto"/>
              <w:rPr>
                <w:b w:val="0"/>
              </w:rPr>
            </w:pPr>
            <w:r>
              <w:rPr>
                <w:rFonts w:hint="eastAsia"/>
                <w:b w:val="0"/>
              </w:rPr>
              <w:t>TSP</w:t>
            </w:r>
          </w:p>
        </w:tc>
        <w:tc>
          <w:tcPr>
            <w:tcW w:w="375" w:type="pct"/>
            <w:vAlign w:val="center"/>
          </w:tcPr>
          <w:p>
            <w:pPr>
              <w:pStyle w:val="184"/>
              <w:spacing w:beforeLines="0" w:line="240" w:lineRule="auto"/>
              <w:rPr>
                <w:b w:val="0"/>
              </w:rPr>
            </w:pPr>
            <w:r>
              <w:rPr>
                <w:rFonts w:hint="eastAsia"/>
                <w:b w:val="0"/>
              </w:rPr>
              <w:t>NH</w:t>
            </w:r>
            <w:r>
              <w:rPr>
                <w:rFonts w:hint="eastAsia"/>
                <w:b w:val="0"/>
                <w:vertAlign w:val="subscript"/>
              </w:rPr>
              <w:t>3</w:t>
            </w:r>
          </w:p>
        </w:tc>
        <w:tc>
          <w:tcPr>
            <w:tcW w:w="372" w:type="pct"/>
            <w:vAlign w:val="center"/>
          </w:tcPr>
          <w:p>
            <w:pPr>
              <w:pStyle w:val="184"/>
              <w:spacing w:beforeLines="0" w:line="240" w:lineRule="auto"/>
              <w:rPr>
                <w:b w:val="0"/>
              </w:rPr>
            </w:pPr>
            <w:r>
              <w:rPr>
                <w:rFonts w:hint="eastAsia"/>
                <w:b w:val="0"/>
              </w:rPr>
              <w:t>H</w:t>
            </w:r>
            <w:r>
              <w:rPr>
                <w:rFonts w:hint="eastAsia"/>
                <w:b w:val="0"/>
                <w:vertAlign w:val="subscript"/>
              </w:rPr>
              <w:t>2</w:t>
            </w:r>
            <w:r>
              <w:rPr>
                <w:rFonts w:hint="eastAsia"/>
                <w:b w:val="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 w:type="pct"/>
            <w:vAlign w:val="center"/>
          </w:tcPr>
          <w:p>
            <w:pPr>
              <w:pStyle w:val="184"/>
              <w:spacing w:beforeLines="0" w:line="240" w:lineRule="auto"/>
              <w:rPr>
                <w:b w:val="0"/>
              </w:rPr>
            </w:pPr>
            <w:r>
              <w:rPr>
                <w:rFonts w:hint="eastAsia"/>
                <w:b w:val="0"/>
              </w:rPr>
              <w:t>M1</w:t>
            </w:r>
          </w:p>
        </w:tc>
        <w:tc>
          <w:tcPr>
            <w:tcW w:w="535" w:type="pct"/>
            <w:vAlign w:val="center"/>
          </w:tcPr>
          <w:p>
            <w:pPr>
              <w:pStyle w:val="153"/>
              <w:adjustRightInd/>
              <w:jc w:val="center"/>
              <w:rPr>
                <w:rFonts w:ascii="Times New Roman"/>
                <w:color w:val="auto"/>
                <w:sz w:val="21"/>
                <w:szCs w:val="21"/>
              </w:rPr>
            </w:pPr>
            <w:r>
              <w:rPr>
                <w:rFonts w:hint="eastAsia" w:ascii="Times New Roman"/>
                <w:color w:val="auto"/>
                <w:sz w:val="21"/>
                <w:szCs w:val="21"/>
              </w:rPr>
              <w:t>饲草混合加工车间</w:t>
            </w:r>
          </w:p>
        </w:tc>
        <w:tc>
          <w:tcPr>
            <w:tcW w:w="476" w:type="pct"/>
            <w:vAlign w:val="center"/>
          </w:tcPr>
          <w:p>
            <w:pPr>
              <w:pStyle w:val="184"/>
              <w:spacing w:beforeLines="0" w:line="240" w:lineRule="auto"/>
              <w:rPr>
                <w:b w:val="0"/>
              </w:rPr>
            </w:pPr>
            <w:r>
              <w:rPr>
                <w:rFonts w:hint="eastAsia"/>
                <w:b w:val="0"/>
              </w:rPr>
              <w:t>41</w:t>
            </w:r>
            <w:r>
              <w:rPr>
                <w:szCs w:val="21"/>
              </w:rPr>
              <w:t>°</w:t>
            </w:r>
            <w:r>
              <w:rPr>
                <w:rFonts w:hint="eastAsia"/>
                <w:b w:val="0"/>
              </w:rPr>
              <w:t>6</w:t>
            </w:r>
            <w:r>
              <w:rPr>
                <w:szCs w:val="21"/>
              </w:rPr>
              <w:t>'</w:t>
            </w:r>
            <w:r>
              <w:rPr>
                <w:rFonts w:hint="eastAsia"/>
                <w:b w:val="0"/>
              </w:rPr>
              <w:t>0.62</w:t>
            </w:r>
            <w:r>
              <w:rPr>
                <w:szCs w:val="21"/>
              </w:rPr>
              <w:t>"</w:t>
            </w:r>
          </w:p>
        </w:tc>
        <w:tc>
          <w:tcPr>
            <w:tcW w:w="497" w:type="pct"/>
            <w:vAlign w:val="center"/>
          </w:tcPr>
          <w:p>
            <w:pPr>
              <w:pStyle w:val="184"/>
              <w:spacing w:beforeLines="0" w:line="240" w:lineRule="auto"/>
              <w:rPr>
                <w:b w:val="0"/>
              </w:rPr>
            </w:pPr>
            <w:r>
              <w:rPr>
                <w:rFonts w:hint="eastAsia"/>
                <w:b w:val="0"/>
              </w:rPr>
              <w:t>107</w:t>
            </w:r>
            <w:r>
              <w:rPr>
                <w:szCs w:val="21"/>
              </w:rPr>
              <w:t>°</w:t>
            </w:r>
            <w:r>
              <w:rPr>
                <w:rFonts w:hint="eastAsia"/>
                <w:b w:val="0"/>
              </w:rPr>
              <w:t>47</w:t>
            </w:r>
            <w:r>
              <w:rPr>
                <w:szCs w:val="21"/>
              </w:rPr>
              <w:t>'</w:t>
            </w:r>
            <w:r>
              <w:rPr>
                <w:rFonts w:hint="eastAsia"/>
                <w:b w:val="0"/>
              </w:rPr>
              <w:t>23.01</w:t>
            </w:r>
            <w:r>
              <w:rPr>
                <w:szCs w:val="21"/>
              </w:rPr>
              <w:t>"</w:t>
            </w:r>
          </w:p>
        </w:tc>
        <w:tc>
          <w:tcPr>
            <w:tcW w:w="397" w:type="pct"/>
            <w:vAlign w:val="center"/>
          </w:tcPr>
          <w:p>
            <w:pPr>
              <w:pStyle w:val="184"/>
              <w:spacing w:beforeLines="0" w:line="240" w:lineRule="auto"/>
              <w:rPr>
                <w:b w:val="0"/>
              </w:rPr>
            </w:pPr>
            <w:r>
              <w:rPr>
                <w:rFonts w:hint="eastAsia"/>
                <w:b w:val="0"/>
              </w:rPr>
              <w:t>1028.833</w:t>
            </w:r>
          </w:p>
        </w:tc>
        <w:tc>
          <w:tcPr>
            <w:tcW w:w="299" w:type="pct"/>
            <w:vAlign w:val="center"/>
          </w:tcPr>
          <w:p>
            <w:pPr>
              <w:pStyle w:val="184"/>
              <w:spacing w:beforeLines="0" w:line="240" w:lineRule="auto"/>
              <w:rPr>
                <w:b w:val="0"/>
              </w:rPr>
            </w:pPr>
            <w:r>
              <w:rPr>
                <w:rFonts w:hint="eastAsia"/>
                <w:b w:val="0"/>
              </w:rPr>
              <w:t>140</w:t>
            </w:r>
          </w:p>
        </w:tc>
        <w:tc>
          <w:tcPr>
            <w:tcW w:w="296" w:type="pct"/>
            <w:vAlign w:val="center"/>
          </w:tcPr>
          <w:p>
            <w:pPr>
              <w:pStyle w:val="184"/>
              <w:spacing w:beforeLines="0" w:line="240" w:lineRule="auto"/>
              <w:rPr>
                <w:b w:val="0"/>
              </w:rPr>
            </w:pPr>
            <w:r>
              <w:rPr>
                <w:rFonts w:hint="eastAsia"/>
                <w:b w:val="0"/>
              </w:rPr>
              <w:t>50</w:t>
            </w:r>
          </w:p>
        </w:tc>
        <w:tc>
          <w:tcPr>
            <w:tcW w:w="370" w:type="pct"/>
            <w:vAlign w:val="center"/>
          </w:tcPr>
          <w:p>
            <w:pPr>
              <w:pStyle w:val="184"/>
              <w:spacing w:beforeLines="0" w:line="240" w:lineRule="auto"/>
              <w:rPr>
                <w:b w:val="0"/>
              </w:rPr>
            </w:pPr>
            <w:r>
              <w:rPr>
                <w:rFonts w:hint="eastAsia"/>
                <w:b w:val="0"/>
              </w:rPr>
              <w:t>120</w:t>
            </w:r>
          </w:p>
        </w:tc>
        <w:tc>
          <w:tcPr>
            <w:tcW w:w="344" w:type="pct"/>
            <w:vAlign w:val="center"/>
          </w:tcPr>
          <w:p>
            <w:pPr>
              <w:pStyle w:val="184"/>
              <w:spacing w:beforeLines="0" w:line="240" w:lineRule="auto"/>
              <w:rPr>
                <w:b w:val="0"/>
              </w:rPr>
            </w:pPr>
            <w:r>
              <w:rPr>
                <w:rFonts w:hint="eastAsia"/>
                <w:b w:val="0"/>
              </w:rPr>
              <w:t>5</w:t>
            </w:r>
          </w:p>
        </w:tc>
        <w:tc>
          <w:tcPr>
            <w:tcW w:w="307" w:type="pct"/>
            <w:vAlign w:val="center"/>
          </w:tcPr>
          <w:p>
            <w:pPr>
              <w:pStyle w:val="184"/>
              <w:spacing w:beforeLines="0" w:line="240" w:lineRule="auto"/>
              <w:rPr>
                <w:b w:val="0"/>
              </w:rPr>
            </w:pPr>
            <w:r>
              <w:rPr>
                <w:rFonts w:hint="eastAsia"/>
                <w:b w:val="0"/>
              </w:rPr>
              <w:t>1100</w:t>
            </w:r>
          </w:p>
        </w:tc>
        <w:tc>
          <w:tcPr>
            <w:tcW w:w="251" w:type="pct"/>
            <w:vAlign w:val="center"/>
          </w:tcPr>
          <w:p>
            <w:pPr>
              <w:pStyle w:val="184"/>
              <w:spacing w:beforeLines="0" w:line="240" w:lineRule="auto"/>
              <w:rPr>
                <w:b w:val="0"/>
              </w:rPr>
            </w:pPr>
            <w:r>
              <w:rPr>
                <w:rFonts w:hint="eastAsia"/>
                <w:b w:val="0"/>
              </w:rPr>
              <w:t>正常</w:t>
            </w:r>
          </w:p>
        </w:tc>
        <w:tc>
          <w:tcPr>
            <w:tcW w:w="261" w:type="pct"/>
            <w:vAlign w:val="center"/>
          </w:tcPr>
          <w:p>
            <w:pPr>
              <w:pStyle w:val="184"/>
              <w:spacing w:beforeLines="0" w:line="240" w:lineRule="auto"/>
              <w:rPr>
                <w:b w:val="0"/>
              </w:rPr>
            </w:pPr>
            <w:r>
              <w:rPr>
                <w:rFonts w:hint="eastAsia"/>
                <w:b w:val="0"/>
              </w:rPr>
              <w:t>0.006</w:t>
            </w:r>
          </w:p>
        </w:tc>
        <w:tc>
          <w:tcPr>
            <w:tcW w:w="375" w:type="pct"/>
            <w:vAlign w:val="center"/>
          </w:tcPr>
          <w:p>
            <w:pPr>
              <w:pStyle w:val="184"/>
              <w:spacing w:beforeLines="0" w:line="240" w:lineRule="auto"/>
              <w:rPr>
                <w:b w:val="0"/>
              </w:rPr>
            </w:pPr>
            <w:r>
              <w:rPr>
                <w:rFonts w:hint="eastAsia"/>
                <w:b w:val="0"/>
              </w:rPr>
              <w:t>/</w:t>
            </w:r>
          </w:p>
        </w:tc>
        <w:tc>
          <w:tcPr>
            <w:tcW w:w="372" w:type="pct"/>
            <w:vAlign w:val="center"/>
          </w:tcPr>
          <w:p>
            <w:pPr>
              <w:pStyle w:val="184"/>
              <w:spacing w:beforeLines="0" w:line="240" w:lineRule="auto"/>
              <w:rPr>
                <w:b w:val="0"/>
              </w:rPr>
            </w:pPr>
            <w:r>
              <w:rPr>
                <w:rFonts w:hint="eastAsia"/>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 w:type="pct"/>
            <w:vAlign w:val="center"/>
          </w:tcPr>
          <w:p>
            <w:pPr>
              <w:pStyle w:val="184"/>
              <w:spacing w:beforeLines="0" w:line="240" w:lineRule="auto"/>
              <w:rPr>
                <w:b w:val="0"/>
              </w:rPr>
            </w:pPr>
            <w:r>
              <w:rPr>
                <w:rFonts w:hint="eastAsia"/>
                <w:b w:val="0"/>
              </w:rPr>
              <w:t>M2</w:t>
            </w:r>
          </w:p>
        </w:tc>
        <w:tc>
          <w:tcPr>
            <w:tcW w:w="535" w:type="pct"/>
            <w:vAlign w:val="center"/>
          </w:tcPr>
          <w:p>
            <w:pPr>
              <w:pStyle w:val="153"/>
              <w:adjustRightInd/>
              <w:jc w:val="center"/>
              <w:rPr>
                <w:rFonts w:ascii="Times New Roman"/>
                <w:color w:val="auto"/>
                <w:sz w:val="21"/>
                <w:szCs w:val="21"/>
              </w:rPr>
            </w:pPr>
            <w:r>
              <w:rPr>
                <w:rFonts w:hint="eastAsia" w:ascii="Times New Roman"/>
                <w:color w:val="auto"/>
                <w:sz w:val="21"/>
                <w:szCs w:val="21"/>
              </w:rPr>
              <w:t>现代化高标准羊舍</w:t>
            </w:r>
          </w:p>
        </w:tc>
        <w:tc>
          <w:tcPr>
            <w:tcW w:w="476" w:type="pct"/>
            <w:vAlign w:val="center"/>
          </w:tcPr>
          <w:p>
            <w:pPr>
              <w:pStyle w:val="184"/>
              <w:spacing w:beforeLines="0" w:line="240" w:lineRule="auto"/>
              <w:rPr>
                <w:b w:val="0"/>
              </w:rPr>
            </w:pPr>
            <w:r>
              <w:rPr>
                <w:rFonts w:hint="eastAsia"/>
                <w:b w:val="0"/>
              </w:rPr>
              <w:t>41</w:t>
            </w:r>
            <w:r>
              <w:rPr>
                <w:szCs w:val="21"/>
              </w:rPr>
              <w:t>°</w:t>
            </w:r>
            <w:r>
              <w:rPr>
                <w:rFonts w:hint="eastAsia"/>
                <w:b w:val="0"/>
              </w:rPr>
              <w:t>6</w:t>
            </w:r>
            <w:r>
              <w:rPr>
                <w:szCs w:val="21"/>
              </w:rPr>
              <w:t>'</w:t>
            </w:r>
            <w:r>
              <w:rPr>
                <w:rFonts w:hint="eastAsia"/>
                <w:b w:val="0"/>
              </w:rPr>
              <w:t>18.46</w:t>
            </w:r>
            <w:r>
              <w:rPr>
                <w:szCs w:val="21"/>
              </w:rPr>
              <w:t>"</w:t>
            </w:r>
          </w:p>
        </w:tc>
        <w:tc>
          <w:tcPr>
            <w:tcW w:w="497" w:type="pct"/>
            <w:vAlign w:val="center"/>
          </w:tcPr>
          <w:p>
            <w:pPr>
              <w:pStyle w:val="184"/>
              <w:spacing w:beforeLines="0" w:line="240" w:lineRule="auto"/>
              <w:rPr>
                <w:b w:val="0"/>
              </w:rPr>
            </w:pPr>
            <w:r>
              <w:rPr>
                <w:rFonts w:hint="eastAsia"/>
                <w:b w:val="0"/>
              </w:rPr>
              <w:t>107</w:t>
            </w:r>
            <w:r>
              <w:rPr>
                <w:szCs w:val="21"/>
              </w:rPr>
              <w:t>°</w:t>
            </w:r>
            <w:r>
              <w:rPr>
                <w:rFonts w:hint="eastAsia"/>
                <w:b w:val="0"/>
              </w:rPr>
              <w:t>47</w:t>
            </w:r>
            <w:r>
              <w:rPr>
                <w:szCs w:val="21"/>
              </w:rPr>
              <w:t>'</w:t>
            </w:r>
            <w:r>
              <w:rPr>
                <w:rFonts w:hint="eastAsia"/>
                <w:b w:val="0"/>
              </w:rPr>
              <w:t>15.28</w:t>
            </w:r>
            <w:r>
              <w:rPr>
                <w:szCs w:val="21"/>
              </w:rPr>
              <w:t>"</w:t>
            </w:r>
          </w:p>
        </w:tc>
        <w:tc>
          <w:tcPr>
            <w:tcW w:w="397" w:type="pct"/>
            <w:vAlign w:val="center"/>
          </w:tcPr>
          <w:p>
            <w:pPr>
              <w:pStyle w:val="184"/>
              <w:spacing w:beforeLines="0" w:line="240" w:lineRule="auto"/>
              <w:rPr>
                <w:b w:val="0"/>
              </w:rPr>
            </w:pPr>
            <w:r>
              <w:rPr>
                <w:rFonts w:hint="eastAsia"/>
                <w:b w:val="0"/>
              </w:rPr>
              <w:t>1028.49</w:t>
            </w:r>
          </w:p>
        </w:tc>
        <w:tc>
          <w:tcPr>
            <w:tcW w:w="299" w:type="pct"/>
            <w:vAlign w:val="center"/>
          </w:tcPr>
          <w:p>
            <w:pPr>
              <w:pStyle w:val="184"/>
              <w:spacing w:beforeLines="0" w:line="240" w:lineRule="auto"/>
              <w:rPr>
                <w:b w:val="0"/>
              </w:rPr>
            </w:pPr>
            <w:r>
              <w:rPr>
                <w:rFonts w:hint="eastAsia"/>
                <w:b w:val="0"/>
              </w:rPr>
              <w:t>1000</w:t>
            </w:r>
          </w:p>
        </w:tc>
        <w:tc>
          <w:tcPr>
            <w:tcW w:w="296" w:type="pct"/>
            <w:vAlign w:val="center"/>
          </w:tcPr>
          <w:p>
            <w:pPr>
              <w:pStyle w:val="184"/>
              <w:spacing w:beforeLines="0" w:line="240" w:lineRule="auto"/>
              <w:rPr>
                <w:b w:val="0"/>
              </w:rPr>
            </w:pPr>
            <w:r>
              <w:rPr>
                <w:rFonts w:hint="eastAsia"/>
                <w:b w:val="0"/>
              </w:rPr>
              <w:t>600</w:t>
            </w:r>
          </w:p>
        </w:tc>
        <w:tc>
          <w:tcPr>
            <w:tcW w:w="370" w:type="pct"/>
            <w:vAlign w:val="center"/>
          </w:tcPr>
          <w:p>
            <w:pPr>
              <w:pStyle w:val="184"/>
              <w:spacing w:beforeLines="0" w:line="240" w:lineRule="auto"/>
              <w:rPr>
                <w:b w:val="0"/>
              </w:rPr>
            </w:pPr>
            <w:r>
              <w:rPr>
                <w:rFonts w:hint="eastAsia"/>
                <w:b w:val="0"/>
              </w:rPr>
              <w:t>120</w:t>
            </w:r>
          </w:p>
        </w:tc>
        <w:tc>
          <w:tcPr>
            <w:tcW w:w="344" w:type="pct"/>
            <w:vAlign w:val="center"/>
          </w:tcPr>
          <w:p>
            <w:pPr>
              <w:pStyle w:val="184"/>
              <w:spacing w:beforeLines="0" w:line="240" w:lineRule="auto"/>
              <w:rPr>
                <w:b w:val="0"/>
              </w:rPr>
            </w:pPr>
            <w:r>
              <w:rPr>
                <w:rFonts w:hint="eastAsia"/>
                <w:b w:val="0"/>
              </w:rPr>
              <w:t>3.5</w:t>
            </w:r>
          </w:p>
        </w:tc>
        <w:tc>
          <w:tcPr>
            <w:tcW w:w="307" w:type="pct"/>
            <w:vAlign w:val="center"/>
          </w:tcPr>
          <w:p>
            <w:pPr>
              <w:pStyle w:val="184"/>
              <w:spacing w:beforeLines="0" w:line="240" w:lineRule="auto"/>
              <w:rPr>
                <w:b w:val="0"/>
              </w:rPr>
            </w:pPr>
            <w:r>
              <w:rPr>
                <w:rFonts w:hint="eastAsia"/>
                <w:b w:val="0"/>
              </w:rPr>
              <w:t>8760</w:t>
            </w:r>
          </w:p>
        </w:tc>
        <w:tc>
          <w:tcPr>
            <w:tcW w:w="251" w:type="pct"/>
            <w:vAlign w:val="center"/>
          </w:tcPr>
          <w:p>
            <w:pPr>
              <w:pStyle w:val="184"/>
              <w:spacing w:beforeLines="0" w:line="240" w:lineRule="auto"/>
              <w:rPr>
                <w:b w:val="0"/>
              </w:rPr>
            </w:pPr>
            <w:r>
              <w:rPr>
                <w:rFonts w:hint="eastAsia"/>
                <w:b w:val="0"/>
              </w:rPr>
              <w:t>正常</w:t>
            </w:r>
          </w:p>
        </w:tc>
        <w:tc>
          <w:tcPr>
            <w:tcW w:w="261" w:type="pct"/>
            <w:vAlign w:val="center"/>
          </w:tcPr>
          <w:p>
            <w:pPr>
              <w:pStyle w:val="184"/>
              <w:spacing w:beforeLines="0" w:line="240" w:lineRule="auto"/>
              <w:rPr>
                <w:b w:val="0"/>
              </w:rPr>
            </w:pPr>
            <w:r>
              <w:rPr>
                <w:rFonts w:hint="eastAsia"/>
                <w:b w:val="0"/>
              </w:rPr>
              <w:t>/</w:t>
            </w:r>
          </w:p>
        </w:tc>
        <w:tc>
          <w:tcPr>
            <w:tcW w:w="375" w:type="pct"/>
            <w:vAlign w:val="center"/>
          </w:tcPr>
          <w:p>
            <w:pPr>
              <w:pStyle w:val="184"/>
              <w:spacing w:beforeLines="0" w:line="240" w:lineRule="auto"/>
              <w:rPr>
                <w:rFonts w:hint="default" w:eastAsia="宋体"/>
                <w:b w:val="0"/>
                <w:color w:val="FF0000"/>
                <w:lang w:val="en-US" w:eastAsia="zh-CN"/>
              </w:rPr>
            </w:pPr>
            <w:r>
              <w:rPr>
                <w:rFonts w:hint="eastAsia"/>
                <w:b w:val="0"/>
                <w:color w:val="FF0000"/>
                <w:lang w:val="en-US" w:eastAsia="zh-CN"/>
              </w:rPr>
              <w:t>0.05</w:t>
            </w:r>
          </w:p>
        </w:tc>
        <w:tc>
          <w:tcPr>
            <w:tcW w:w="372" w:type="pct"/>
            <w:vAlign w:val="center"/>
          </w:tcPr>
          <w:p>
            <w:pPr>
              <w:pStyle w:val="184"/>
              <w:spacing w:beforeLines="0" w:line="240" w:lineRule="auto"/>
              <w:rPr>
                <w:rFonts w:hint="default" w:eastAsia="宋体"/>
                <w:b w:val="0"/>
                <w:color w:val="FF0000"/>
                <w:lang w:val="en-US" w:eastAsia="zh-CN"/>
              </w:rPr>
            </w:pPr>
            <w:r>
              <w:rPr>
                <w:rFonts w:hint="eastAsia"/>
                <w:b w:val="0"/>
                <w:color w:val="FF0000"/>
                <w:lang w:val="en-US" w:eastAsia="zh-CN"/>
              </w:rPr>
              <w:t>0.00004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213" w:type="pct"/>
            <w:vAlign w:val="center"/>
          </w:tcPr>
          <w:p>
            <w:pPr>
              <w:pStyle w:val="184"/>
              <w:spacing w:beforeLines="0" w:line="240" w:lineRule="auto"/>
              <w:rPr>
                <w:b w:val="0"/>
              </w:rPr>
            </w:pPr>
            <w:r>
              <w:rPr>
                <w:rFonts w:hint="eastAsia"/>
                <w:b w:val="0"/>
              </w:rPr>
              <w:t>M3</w:t>
            </w:r>
          </w:p>
        </w:tc>
        <w:tc>
          <w:tcPr>
            <w:tcW w:w="535" w:type="pct"/>
            <w:vAlign w:val="center"/>
          </w:tcPr>
          <w:p>
            <w:pPr>
              <w:pStyle w:val="153"/>
              <w:adjustRightInd/>
              <w:jc w:val="center"/>
              <w:rPr>
                <w:rFonts w:hint="eastAsia" w:ascii="Times New Roman" w:eastAsia="宋体"/>
                <w:color w:val="auto"/>
                <w:sz w:val="21"/>
                <w:szCs w:val="21"/>
                <w:lang w:eastAsia="zh-CN"/>
              </w:rPr>
            </w:pPr>
            <w:r>
              <w:rPr>
                <w:rFonts w:hint="eastAsia" w:ascii="Times New Roman" w:eastAsia="宋体"/>
                <w:color w:val="auto"/>
                <w:sz w:val="21"/>
                <w:szCs w:val="21"/>
                <w:lang w:eastAsia="zh-CN"/>
              </w:rPr>
              <w:t>有机肥堆场</w:t>
            </w:r>
          </w:p>
        </w:tc>
        <w:tc>
          <w:tcPr>
            <w:tcW w:w="476" w:type="pct"/>
            <w:vAlign w:val="center"/>
          </w:tcPr>
          <w:p>
            <w:pPr>
              <w:pStyle w:val="184"/>
              <w:spacing w:beforeLines="0" w:line="240" w:lineRule="auto"/>
              <w:rPr>
                <w:b w:val="0"/>
              </w:rPr>
            </w:pPr>
            <w:r>
              <w:rPr>
                <w:rFonts w:hint="eastAsia"/>
                <w:b w:val="0"/>
              </w:rPr>
              <w:t>41</w:t>
            </w:r>
            <w:r>
              <w:rPr>
                <w:szCs w:val="21"/>
              </w:rPr>
              <w:t>°</w:t>
            </w:r>
            <w:r>
              <w:rPr>
                <w:rFonts w:hint="eastAsia"/>
                <w:b w:val="0"/>
              </w:rPr>
              <w:t>5</w:t>
            </w:r>
            <w:r>
              <w:rPr>
                <w:szCs w:val="21"/>
              </w:rPr>
              <w:t>'</w:t>
            </w:r>
            <w:r>
              <w:rPr>
                <w:rFonts w:hint="eastAsia"/>
                <w:b w:val="0"/>
              </w:rPr>
              <w:t>47.64</w:t>
            </w:r>
            <w:r>
              <w:rPr>
                <w:szCs w:val="21"/>
              </w:rPr>
              <w:t>"</w:t>
            </w:r>
          </w:p>
        </w:tc>
        <w:tc>
          <w:tcPr>
            <w:tcW w:w="497" w:type="pct"/>
            <w:vAlign w:val="center"/>
          </w:tcPr>
          <w:p>
            <w:pPr>
              <w:pStyle w:val="184"/>
              <w:spacing w:beforeLines="0" w:line="240" w:lineRule="auto"/>
              <w:rPr>
                <w:b w:val="0"/>
              </w:rPr>
            </w:pPr>
            <w:r>
              <w:rPr>
                <w:rFonts w:hint="eastAsia"/>
                <w:b w:val="0"/>
              </w:rPr>
              <w:t>107</w:t>
            </w:r>
            <w:r>
              <w:rPr>
                <w:szCs w:val="21"/>
              </w:rPr>
              <w:t>°</w:t>
            </w:r>
            <w:r>
              <w:rPr>
                <w:rFonts w:hint="eastAsia"/>
                <w:b w:val="0"/>
              </w:rPr>
              <w:t>47</w:t>
            </w:r>
            <w:r>
              <w:rPr>
                <w:szCs w:val="21"/>
              </w:rPr>
              <w:t>'</w:t>
            </w:r>
            <w:r>
              <w:rPr>
                <w:rFonts w:hint="eastAsia"/>
                <w:b w:val="0"/>
              </w:rPr>
              <w:t>0.22</w:t>
            </w:r>
            <w:r>
              <w:rPr>
                <w:szCs w:val="21"/>
              </w:rPr>
              <w:t>"</w:t>
            </w:r>
          </w:p>
        </w:tc>
        <w:tc>
          <w:tcPr>
            <w:tcW w:w="397" w:type="pct"/>
            <w:vAlign w:val="center"/>
          </w:tcPr>
          <w:p>
            <w:pPr>
              <w:pStyle w:val="184"/>
              <w:spacing w:beforeLines="0" w:line="240" w:lineRule="auto"/>
              <w:rPr>
                <w:b w:val="0"/>
              </w:rPr>
            </w:pPr>
            <w:r>
              <w:rPr>
                <w:rFonts w:hint="eastAsia"/>
                <w:b w:val="0"/>
              </w:rPr>
              <w:t>1029.53</w:t>
            </w:r>
          </w:p>
        </w:tc>
        <w:tc>
          <w:tcPr>
            <w:tcW w:w="299" w:type="pct"/>
            <w:vAlign w:val="center"/>
          </w:tcPr>
          <w:p>
            <w:pPr>
              <w:pStyle w:val="184"/>
              <w:spacing w:beforeLines="0" w:line="240" w:lineRule="auto"/>
              <w:rPr>
                <w:rFonts w:hint="default" w:eastAsia="宋体"/>
                <w:b w:val="0"/>
                <w:lang w:val="en-US" w:eastAsia="zh-CN"/>
              </w:rPr>
            </w:pPr>
            <w:r>
              <w:rPr>
                <w:rFonts w:hint="eastAsia"/>
                <w:b w:val="0"/>
                <w:lang w:val="en-US" w:eastAsia="zh-CN"/>
              </w:rPr>
              <w:t>200</w:t>
            </w:r>
          </w:p>
        </w:tc>
        <w:tc>
          <w:tcPr>
            <w:tcW w:w="296" w:type="pct"/>
            <w:vAlign w:val="center"/>
          </w:tcPr>
          <w:p>
            <w:pPr>
              <w:pStyle w:val="184"/>
              <w:spacing w:beforeLines="0" w:line="240" w:lineRule="auto"/>
              <w:rPr>
                <w:rFonts w:hint="default" w:eastAsia="宋体"/>
                <w:b w:val="0"/>
                <w:lang w:val="en-US" w:eastAsia="zh-CN"/>
              </w:rPr>
            </w:pPr>
            <w:r>
              <w:rPr>
                <w:rFonts w:hint="eastAsia"/>
                <w:b w:val="0"/>
                <w:lang w:val="en-US" w:eastAsia="zh-CN"/>
              </w:rPr>
              <w:t>100</w:t>
            </w:r>
          </w:p>
        </w:tc>
        <w:tc>
          <w:tcPr>
            <w:tcW w:w="370" w:type="pct"/>
            <w:vAlign w:val="center"/>
          </w:tcPr>
          <w:p>
            <w:pPr>
              <w:pStyle w:val="184"/>
              <w:spacing w:beforeLines="0" w:line="240" w:lineRule="auto"/>
              <w:rPr>
                <w:b w:val="0"/>
              </w:rPr>
            </w:pPr>
            <w:r>
              <w:rPr>
                <w:rFonts w:hint="eastAsia"/>
                <w:b w:val="0"/>
              </w:rPr>
              <w:t>0</w:t>
            </w:r>
          </w:p>
        </w:tc>
        <w:tc>
          <w:tcPr>
            <w:tcW w:w="344" w:type="pct"/>
            <w:vAlign w:val="center"/>
          </w:tcPr>
          <w:p>
            <w:pPr>
              <w:pStyle w:val="184"/>
              <w:spacing w:beforeLines="0" w:line="240" w:lineRule="auto"/>
              <w:rPr>
                <w:b w:val="0"/>
              </w:rPr>
            </w:pPr>
            <w:r>
              <w:rPr>
                <w:rFonts w:hint="eastAsia"/>
                <w:b w:val="0"/>
              </w:rPr>
              <w:t>7</w:t>
            </w:r>
          </w:p>
        </w:tc>
        <w:tc>
          <w:tcPr>
            <w:tcW w:w="307" w:type="pct"/>
            <w:vAlign w:val="center"/>
          </w:tcPr>
          <w:p>
            <w:pPr>
              <w:pStyle w:val="184"/>
              <w:spacing w:beforeLines="0" w:line="240" w:lineRule="auto"/>
              <w:rPr>
                <w:b w:val="0"/>
              </w:rPr>
            </w:pPr>
            <w:r>
              <w:rPr>
                <w:rFonts w:hint="eastAsia"/>
                <w:b w:val="0"/>
              </w:rPr>
              <w:t>8760</w:t>
            </w:r>
          </w:p>
        </w:tc>
        <w:tc>
          <w:tcPr>
            <w:tcW w:w="251" w:type="pct"/>
            <w:vAlign w:val="center"/>
          </w:tcPr>
          <w:p>
            <w:pPr>
              <w:pStyle w:val="184"/>
              <w:spacing w:beforeLines="0" w:line="240" w:lineRule="auto"/>
              <w:rPr>
                <w:b w:val="0"/>
              </w:rPr>
            </w:pPr>
            <w:r>
              <w:rPr>
                <w:rFonts w:hint="eastAsia"/>
                <w:b w:val="0"/>
              </w:rPr>
              <w:t>正常</w:t>
            </w:r>
          </w:p>
        </w:tc>
        <w:tc>
          <w:tcPr>
            <w:tcW w:w="261" w:type="pct"/>
            <w:vAlign w:val="center"/>
          </w:tcPr>
          <w:p>
            <w:pPr>
              <w:pStyle w:val="184"/>
              <w:spacing w:beforeLines="0" w:line="240" w:lineRule="auto"/>
              <w:rPr>
                <w:b w:val="0"/>
              </w:rPr>
            </w:pPr>
            <w:r>
              <w:rPr>
                <w:rFonts w:hint="eastAsia"/>
                <w:b w:val="0"/>
              </w:rPr>
              <w:t>/</w:t>
            </w:r>
          </w:p>
        </w:tc>
        <w:tc>
          <w:tcPr>
            <w:tcW w:w="375" w:type="pct"/>
            <w:vAlign w:val="center"/>
          </w:tcPr>
          <w:p>
            <w:pPr>
              <w:pStyle w:val="184"/>
              <w:spacing w:beforeLines="0" w:line="240" w:lineRule="auto"/>
              <w:rPr>
                <w:rFonts w:hint="default" w:eastAsia="宋体"/>
                <w:b w:val="0"/>
                <w:color w:val="FF0000"/>
                <w:lang w:val="en-US" w:eastAsia="zh-CN"/>
              </w:rPr>
            </w:pPr>
            <w:r>
              <w:rPr>
                <w:rFonts w:hint="eastAsia"/>
                <w:b w:val="0"/>
                <w:color w:val="FF0000"/>
                <w:lang w:val="en-US" w:eastAsia="zh-CN"/>
              </w:rPr>
              <w:t>0.014</w:t>
            </w:r>
          </w:p>
        </w:tc>
        <w:tc>
          <w:tcPr>
            <w:tcW w:w="372" w:type="pct"/>
            <w:vAlign w:val="center"/>
          </w:tcPr>
          <w:p>
            <w:pPr>
              <w:pStyle w:val="184"/>
              <w:spacing w:beforeLines="0" w:line="240" w:lineRule="auto"/>
              <w:rPr>
                <w:rFonts w:hint="default" w:eastAsia="宋体"/>
                <w:b w:val="0"/>
                <w:color w:val="FF0000"/>
                <w:lang w:val="en-US" w:eastAsia="zh-CN"/>
              </w:rPr>
            </w:pPr>
            <w:r>
              <w:rPr>
                <w:rFonts w:hint="eastAsia"/>
                <w:b w:val="0"/>
                <w:color w:val="FF0000"/>
                <w:lang w:val="en-US" w:eastAsia="zh-CN"/>
              </w:rPr>
              <w:t>0.0006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 w:type="pct"/>
            <w:vAlign w:val="center"/>
          </w:tcPr>
          <w:p>
            <w:pPr>
              <w:pStyle w:val="184"/>
              <w:spacing w:beforeLines="0" w:line="240" w:lineRule="auto"/>
              <w:rPr>
                <w:b w:val="0"/>
              </w:rPr>
            </w:pPr>
            <w:r>
              <w:rPr>
                <w:rFonts w:hint="eastAsia"/>
                <w:b w:val="0"/>
              </w:rPr>
              <w:t>M4</w:t>
            </w:r>
          </w:p>
        </w:tc>
        <w:tc>
          <w:tcPr>
            <w:tcW w:w="535" w:type="pct"/>
            <w:vAlign w:val="center"/>
          </w:tcPr>
          <w:p>
            <w:pPr>
              <w:pStyle w:val="153"/>
              <w:adjustRightInd/>
              <w:jc w:val="center"/>
              <w:rPr>
                <w:rFonts w:ascii="Times New Roman"/>
                <w:color w:val="auto"/>
                <w:sz w:val="21"/>
                <w:szCs w:val="21"/>
              </w:rPr>
            </w:pPr>
            <w:r>
              <w:rPr>
                <w:rFonts w:hint="eastAsia" w:ascii="Times New Roman"/>
                <w:color w:val="auto"/>
                <w:sz w:val="21"/>
                <w:szCs w:val="21"/>
              </w:rPr>
              <w:t>病死羊及分娩物无害化车间</w:t>
            </w:r>
          </w:p>
        </w:tc>
        <w:tc>
          <w:tcPr>
            <w:tcW w:w="476" w:type="pct"/>
            <w:vAlign w:val="center"/>
          </w:tcPr>
          <w:p>
            <w:pPr>
              <w:pStyle w:val="184"/>
              <w:spacing w:beforeLines="0" w:line="240" w:lineRule="auto"/>
              <w:rPr>
                <w:b w:val="0"/>
              </w:rPr>
            </w:pPr>
            <w:r>
              <w:rPr>
                <w:rFonts w:hint="eastAsia"/>
                <w:b w:val="0"/>
              </w:rPr>
              <w:t>41</w:t>
            </w:r>
            <w:r>
              <w:rPr>
                <w:szCs w:val="21"/>
              </w:rPr>
              <w:t>°</w:t>
            </w:r>
            <w:r>
              <w:rPr>
                <w:rFonts w:hint="eastAsia"/>
                <w:b w:val="0"/>
              </w:rPr>
              <w:t>5</w:t>
            </w:r>
            <w:r>
              <w:rPr>
                <w:szCs w:val="21"/>
              </w:rPr>
              <w:t>'</w:t>
            </w:r>
            <w:r>
              <w:rPr>
                <w:rFonts w:hint="eastAsia"/>
                <w:b w:val="0"/>
              </w:rPr>
              <w:t>40.54</w:t>
            </w:r>
            <w:r>
              <w:rPr>
                <w:szCs w:val="21"/>
              </w:rPr>
              <w:t>"</w:t>
            </w:r>
          </w:p>
        </w:tc>
        <w:tc>
          <w:tcPr>
            <w:tcW w:w="497" w:type="pct"/>
            <w:vAlign w:val="center"/>
          </w:tcPr>
          <w:p>
            <w:pPr>
              <w:pStyle w:val="184"/>
              <w:spacing w:beforeLines="0" w:line="240" w:lineRule="auto"/>
              <w:rPr>
                <w:b w:val="0"/>
              </w:rPr>
            </w:pPr>
            <w:r>
              <w:rPr>
                <w:rFonts w:hint="eastAsia"/>
                <w:b w:val="0"/>
              </w:rPr>
              <w:t>107</w:t>
            </w:r>
            <w:r>
              <w:rPr>
                <w:szCs w:val="21"/>
              </w:rPr>
              <w:t>°</w:t>
            </w:r>
            <w:r>
              <w:rPr>
                <w:rFonts w:hint="eastAsia"/>
                <w:b w:val="0"/>
              </w:rPr>
              <w:t>47</w:t>
            </w:r>
            <w:r>
              <w:rPr>
                <w:szCs w:val="21"/>
              </w:rPr>
              <w:t>'</w:t>
            </w:r>
            <w:r>
              <w:rPr>
                <w:rFonts w:hint="eastAsia"/>
                <w:b w:val="0"/>
              </w:rPr>
              <w:t>2.08</w:t>
            </w:r>
            <w:r>
              <w:rPr>
                <w:szCs w:val="21"/>
              </w:rPr>
              <w:t>"</w:t>
            </w:r>
          </w:p>
        </w:tc>
        <w:tc>
          <w:tcPr>
            <w:tcW w:w="397" w:type="pct"/>
            <w:vAlign w:val="center"/>
          </w:tcPr>
          <w:p>
            <w:pPr>
              <w:pStyle w:val="184"/>
              <w:spacing w:beforeLines="0" w:line="240" w:lineRule="auto"/>
              <w:rPr>
                <w:b w:val="0"/>
              </w:rPr>
            </w:pPr>
            <w:r>
              <w:rPr>
                <w:rFonts w:hint="eastAsia"/>
                <w:b w:val="0"/>
              </w:rPr>
              <w:t>1029.53</w:t>
            </w:r>
          </w:p>
        </w:tc>
        <w:tc>
          <w:tcPr>
            <w:tcW w:w="299" w:type="pct"/>
            <w:vAlign w:val="center"/>
          </w:tcPr>
          <w:p>
            <w:pPr>
              <w:pStyle w:val="184"/>
              <w:spacing w:beforeLines="0" w:line="240" w:lineRule="auto"/>
              <w:rPr>
                <w:b w:val="0"/>
              </w:rPr>
            </w:pPr>
            <w:r>
              <w:rPr>
                <w:rFonts w:hint="eastAsia"/>
                <w:b w:val="0"/>
              </w:rPr>
              <w:t>300</w:t>
            </w:r>
          </w:p>
        </w:tc>
        <w:tc>
          <w:tcPr>
            <w:tcW w:w="296" w:type="pct"/>
            <w:vAlign w:val="center"/>
          </w:tcPr>
          <w:p>
            <w:pPr>
              <w:pStyle w:val="184"/>
              <w:spacing w:beforeLines="0" w:line="240" w:lineRule="auto"/>
              <w:rPr>
                <w:b w:val="0"/>
              </w:rPr>
            </w:pPr>
            <w:r>
              <w:rPr>
                <w:rFonts w:hint="eastAsia"/>
                <w:b w:val="0"/>
              </w:rPr>
              <w:t>200</w:t>
            </w:r>
          </w:p>
        </w:tc>
        <w:tc>
          <w:tcPr>
            <w:tcW w:w="370" w:type="pct"/>
            <w:vAlign w:val="center"/>
          </w:tcPr>
          <w:p>
            <w:pPr>
              <w:pStyle w:val="184"/>
              <w:spacing w:beforeLines="0" w:line="240" w:lineRule="auto"/>
              <w:rPr>
                <w:b w:val="0"/>
              </w:rPr>
            </w:pPr>
            <w:r>
              <w:rPr>
                <w:rFonts w:hint="eastAsia"/>
                <w:b w:val="0"/>
              </w:rPr>
              <w:t>150</w:t>
            </w:r>
          </w:p>
        </w:tc>
        <w:tc>
          <w:tcPr>
            <w:tcW w:w="344" w:type="pct"/>
            <w:vAlign w:val="center"/>
          </w:tcPr>
          <w:p>
            <w:pPr>
              <w:pStyle w:val="184"/>
              <w:spacing w:beforeLines="0" w:line="240" w:lineRule="auto"/>
              <w:rPr>
                <w:b w:val="0"/>
              </w:rPr>
            </w:pPr>
            <w:r>
              <w:rPr>
                <w:rFonts w:hint="eastAsia"/>
                <w:b w:val="0"/>
              </w:rPr>
              <w:t>7</w:t>
            </w:r>
          </w:p>
        </w:tc>
        <w:tc>
          <w:tcPr>
            <w:tcW w:w="307" w:type="pct"/>
            <w:vAlign w:val="center"/>
          </w:tcPr>
          <w:p>
            <w:pPr>
              <w:pStyle w:val="184"/>
              <w:spacing w:beforeLines="0" w:line="240" w:lineRule="auto"/>
              <w:rPr>
                <w:b w:val="0"/>
              </w:rPr>
            </w:pPr>
            <w:r>
              <w:rPr>
                <w:rFonts w:hint="eastAsia"/>
                <w:b w:val="0"/>
              </w:rPr>
              <w:t>8760</w:t>
            </w:r>
          </w:p>
        </w:tc>
        <w:tc>
          <w:tcPr>
            <w:tcW w:w="251" w:type="pct"/>
            <w:vAlign w:val="center"/>
          </w:tcPr>
          <w:p>
            <w:pPr>
              <w:pStyle w:val="184"/>
              <w:spacing w:beforeLines="0" w:line="240" w:lineRule="auto"/>
              <w:rPr>
                <w:b w:val="0"/>
              </w:rPr>
            </w:pPr>
            <w:r>
              <w:rPr>
                <w:rFonts w:hint="eastAsia"/>
                <w:b w:val="0"/>
              </w:rPr>
              <w:t>正常</w:t>
            </w:r>
          </w:p>
        </w:tc>
        <w:tc>
          <w:tcPr>
            <w:tcW w:w="261" w:type="pct"/>
            <w:vAlign w:val="center"/>
          </w:tcPr>
          <w:p>
            <w:pPr>
              <w:pStyle w:val="184"/>
              <w:spacing w:beforeLines="0" w:line="240" w:lineRule="auto"/>
              <w:rPr>
                <w:b w:val="0"/>
              </w:rPr>
            </w:pPr>
            <w:r>
              <w:rPr>
                <w:rFonts w:hint="eastAsia"/>
                <w:b w:val="0"/>
              </w:rPr>
              <w:t>/</w:t>
            </w:r>
          </w:p>
        </w:tc>
        <w:tc>
          <w:tcPr>
            <w:tcW w:w="375" w:type="pct"/>
            <w:vAlign w:val="center"/>
          </w:tcPr>
          <w:p>
            <w:pPr>
              <w:pStyle w:val="184"/>
              <w:spacing w:beforeLines="0" w:line="240" w:lineRule="auto"/>
              <w:rPr>
                <w:b w:val="0"/>
                <w:color w:val="FF0000"/>
              </w:rPr>
            </w:pPr>
            <w:r>
              <w:rPr>
                <w:rFonts w:hint="eastAsia"/>
                <w:b w:val="0"/>
                <w:color w:val="FF0000"/>
              </w:rPr>
              <w:t>0.</w:t>
            </w:r>
            <w:r>
              <w:rPr>
                <w:rFonts w:hint="eastAsia"/>
                <w:b w:val="0"/>
                <w:color w:val="FF0000"/>
                <w:lang w:val="en-US" w:eastAsia="zh-CN"/>
              </w:rPr>
              <w:t>1</w:t>
            </w:r>
            <w:r>
              <w:rPr>
                <w:rFonts w:hint="eastAsia"/>
                <w:b w:val="0"/>
                <w:color w:val="FF0000"/>
              </w:rPr>
              <w:t>×10</w:t>
            </w:r>
            <w:r>
              <w:rPr>
                <w:rFonts w:hint="eastAsia"/>
                <w:b w:val="0"/>
                <w:color w:val="FF0000"/>
                <w:vertAlign w:val="superscript"/>
              </w:rPr>
              <w:t>-3</w:t>
            </w:r>
          </w:p>
        </w:tc>
        <w:tc>
          <w:tcPr>
            <w:tcW w:w="372" w:type="pct"/>
            <w:vAlign w:val="center"/>
          </w:tcPr>
          <w:p>
            <w:pPr>
              <w:pStyle w:val="184"/>
              <w:spacing w:beforeLines="0" w:line="240" w:lineRule="auto"/>
              <w:rPr>
                <w:b w:val="0"/>
                <w:color w:val="FF0000"/>
              </w:rPr>
            </w:pPr>
            <w:r>
              <w:rPr>
                <w:rFonts w:hint="eastAsia"/>
                <w:b w:val="0"/>
                <w:color w:val="FF0000"/>
              </w:rPr>
              <w:t>0.</w:t>
            </w:r>
            <w:r>
              <w:rPr>
                <w:rFonts w:hint="eastAsia"/>
                <w:b w:val="0"/>
                <w:color w:val="FF0000"/>
                <w:lang w:val="en-US" w:eastAsia="zh-CN"/>
              </w:rPr>
              <w:t>3</w:t>
            </w:r>
            <w:r>
              <w:rPr>
                <w:rFonts w:hint="eastAsia"/>
                <w:b w:val="0"/>
                <w:color w:val="FF0000"/>
              </w:rPr>
              <w:t>×10</w:t>
            </w:r>
            <w:r>
              <w:rPr>
                <w:rFonts w:hint="eastAsia"/>
                <w:b w:val="0"/>
                <w:color w:val="FF0000"/>
                <w:vertAlign w:val="superscript"/>
              </w:rPr>
              <w:t>-4</w:t>
            </w:r>
          </w:p>
        </w:tc>
      </w:tr>
    </w:tbl>
    <w:p>
      <w:pPr>
        <w:pStyle w:val="184"/>
        <w:spacing w:before="120"/>
        <w:sectPr>
          <w:pgSz w:w="16838" w:h="11906" w:orient="landscape"/>
          <w:pgMar w:top="1797" w:right="1440" w:bottom="1797" w:left="1440" w:header="851" w:footer="992" w:gutter="0"/>
          <w:pgNumType w:fmt="decimal"/>
          <w:cols w:space="425" w:num="1"/>
          <w:docGrid w:linePitch="312" w:charSpace="0"/>
        </w:sectPr>
      </w:pPr>
    </w:p>
    <w:p>
      <w:pPr>
        <w:bidi w:val="0"/>
      </w:pPr>
      <w:r>
        <w:rPr>
          <w:rFonts w:hint="eastAsia"/>
        </w:rPr>
        <w:t>（</w:t>
      </w:r>
      <w:r>
        <w:t>2</w:t>
      </w:r>
      <w:r>
        <w:rPr>
          <w:rFonts w:hint="eastAsia"/>
        </w:rPr>
        <w:t>）等级评价判别依据</w:t>
      </w:r>
    </w:p>
    <w:p>
      <w:pPr>
        <w:bidi w:val="0"/>
      </w:pPr>
      <w:r>
        <w:rPr>
          <w:rFonts w:hint="eastAsia"/>
        </w:rPr>
        <w:t>根据《环境影响评价技术导则</w:t>
      </w:r>
      <w:r>
        <w:t xml:space="preserve">  </w:t>
      </w:r>
      <w:r>
        <w:rPr>
          <w:rFonts w:hint="eastAsia"/>
        </w:rPr>
        <w:t>大气环境》（</w:t>
      </w:r>
      <w:r>
        <w:t>HJ2.2-2018</w:t>
      </w:r>
      <w:r>
        <w:rPr>
          <w:rFonts w:hint="eastAsia"/>
        </w:rPr>
        <w:t>）中的有关规定，将环境空气影响评价工作分为一、二、三级，划分依据见表</w:t>
      </w:r>
      <w:r>
        <w:t>2.</w:t>
      </w:r>
      <w:r>
        <w:rPr>
          <w:rFonts w:hint="eastAsia"/>
        </w:rPr>
        <w:t>5.1</w:t>
      </w:r>
      <w:r>
        <w:t>-</w:t>
      </w:r>
      <w:r>
        <w:rPr>
          <w:rFonts w:hint="eastAsia"/>
        </w:rPr>
        <w:t>6。</w:t>
      </w:r>
    </w:p>
    <w:p>
      <w:pPr>
        <w:pStyle w:val="6"/>
      </w:pPr>
      <w:r>
        <w:rPr>
          <w:rFonts w:hint="eastAsia"/>
        </w:rPr>
        <w:t>表</w:t>
      </w:r>
      <w:r>
        <w:t>2.</w:t>
      </w:r>
      <w:r>
        <w:rPr>
          <w:rFonts w:hint="eastAsia"/>
        </w:rPr>
        <w:t>5.1</w:t>
      </w:r>
      <w:r>
        <w:t>-</w:t>
      </w:r>
      <w:r>
        <w:rPr>
          <w:rFonts w:hint="eastAsia"/>
        </w:rPr>
        <w:t xml:space="preserve">6   </w:t>
      </w:r>
      <w:r>
        <w:t xml:space="preserve"> </w:t>
      </w:r>
      <w:r>
        <w:rPr>
          <w:rFonts w:hint="eastAsia"/>
        </w:rPr>
        <w:t>评价等级判别表</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5"/>
        <w:gridCol w:w="5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580" w:type="pct"/>
            <w:vAlign w:val="center"/>
          </w:tcPr>
          <w:p>
            <w:pPr>
              <w:pStyle w:val="103"/>
              <w:rPr>
                <w:szCs w:val="21"/>
              </w:rPr>
            </w:pPr>
            <w:r>
              <w:rPr>
                <w:rFonts w:hint="eastAsia"/>
                <w:szCs w:val="21"/>
              </w:rPr>
              <w:t>评价工作等级</w:t>
            </w:r>
          </w:p>
        </w:tc>
        <w:tc>
          <w:tcPr>
            <w:tcW w:w="3419" w:type="pct"/>
            <w:vAlign w:val="center"/>
          </w:tcPr>
          <w:p>
            <w:pPr>
              <w:pStyle w:val="103"/>
              <w:rPr>
                <w:szCs w:val="21"/>
              </w:rPr>
            </w:pPr>
            <w:r>
              <w:rPr>
                <w:rFonts w:hint="eastAsia"/>
                <w:szCs w:val="21"/>
              </w:rPr>
              <w:t>评价工作分级判据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580" w:type="pct"/>
            <w:vAlign w:val="center"/>
          </w:tcPr>
          <w:p>
            <w:pPr>
              <w:pStyle w:val="103"/>
              <w:rPr>
                <w:szCs w:val="21"/>
              </w:rPr>
            </w:pPr>
            <w:r>
              <w:rPr>
                <w:rFonts w:hint="eastAsia"/>
                <w:szCs w:val="21"/>
              </w:rPr>
              <w:t>一</w:t>
            </w:r>
          </w:p>
        </w:tc>
        <w:tc>
          <w:tcPr>
            <w:tcW w:w="3419" w:type="pct"/>
            <w:vAlign w:val="center"/>
          </w:tcPr>
          <w:p>
            <w:pPr>
              <w:pStyle w:val="103"/>
              <w:rPr>
                <w:szCs w:val="21"/>
              </w:rPr>
            </w:pPr>
            <w:r>
              <w:rPr>
                <w:rFonts w:hint="eastAsia"/>
                <w:szCs w:val="21"/>
              </w:rPr>
              <w:t>Pmax≥</w:t>
            </w:r>
            <w:r>
              <w:rPr>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580" w:type="pct"/>
            <w:vAlign w:val="center"/>
          </w:tcPr>
          <w:p>
            <w:pPr>
              <w:pStyle w:val="103"/>
              <w:rPr>
                <w:szCs w:val="21"/>
              </w:rPr>
            </w:pPr>
            <w:r>
              <w:rPr>
                <w:rFonts w:hint="eastAsia"/>
                <w:szCs w:val="21"/>
              </w:rPr>
              <w:t>二</w:t>
            </w:r>
          </w:p>
        </w:tc>
        <w:tc>
          <w:tcPr>
            <w:tcW w:w="3419" w:type="pct"/>
            <w:vAlign w:val="center"/>
          </w:tcPr>
          <w:p>
            <w:pPr>
              <w:pStyle w:val="103"/>
              <w:rPr>
                <w:szCs w:val="21"/>
              </w:rPr>
            </w:pPr>
            <w:r>
              <w:rPr>
                <w:szCs w:val="21"/>
              </w:rPr>
              <w:t>1%</w:t>
            </w:r>
            <w:r>
              <w:rPr>
                <w:rFonts w:hint="eastAsia"/>
                <w:szCs w:val="21"/>
              </w:rPr>
              <w:t>≤Pmax≤</w:t>
            </w:r>
            <w:r>
              <w:rPr>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580" w:type="pct"/>
            <w:vAlign w:val="center"/>
          </w:tcPr>
          <w:p>
            <w:pPr>
              <w:pStyle w:val="103"/>
              <w:rPr>
                <w:szCs w:val="21"/>
              </w:rPr>
            </w:pPr>
            <w:r>
              <w:rPr>
                <w:rFonts w:hint="eastAsia"/>
                <w:szCs w:val="21"/>
              </w:rPr>
              <w:t>三</w:t>
            </w:r>
          </w:p>
        </w:tc>
        <w:tc>
          <w:tcPr>
            <w:tcW w:w="3419" w:type="pct"/>
            <w:vAlign w:val="center"/>
          </w:tcPr>
          <w:p>
            <w:pPr>
              <w:pStyle w:val="103"/>
              <w:rPr>
                <w:szCs w:val="21"/>
              </w:rPr>
            </w:pPr>
            <w:r>
              <w:rPr>
                <w:szCs w:val="21"/>
              </w:rPr>
              <w:t>Pmax</w:t>
            </w:r>
            <w:r>
              <w:rPr>
                <w:rFonts w:hint="eastAsia"/>
                <w:szCs w:val="21"/>
              </w:rPr>
              <w:t>＜</w:t>
            </w:r>
            <w:r>
              <w:rPr>
                <w:szCs w:val="21"/>
              </w:rPr>
              <w:t>1%</w:t>
            </w:r>
          </w:p>
        </w:tc>
      </w:tr>
    </w:tbl>
    <w:p>
      <w:pPr>
        <w:ind w:firstLine="480"/>
        <w:rPr>
          <w:color w:val="FF0000"/>
          <w:highlight w:val="green"/>
        </w:rPr>
      </w:pPr>
    </w:p>
    <w:p>
      <w:pPr>
        <w:ind w:firstLine="480"/>
        <w:sectPr>
          <w:pgSz w:w="11906" w:h="16838"/>
          <w:pgMar w:top="1440" w:right="1797" w:bottom="1440" w:left="1797" w:header="851" w:footer="992" w:gutter="0"/>
          <w:pgNumType w:fmt="decimal"/>
          <w:cols w:space="425" w:num="1"/>
          <w:docGrid w:linePitch="312" w:charSpace="0"/>
        </w:sectPr>
      </w:pPr>
      <w:r>
        <w:rPr>
          <w:rFonts w:hint="eastAsia"/>
        </w:rPr>
        <w:t>估算模式（</w:t>
      </w:r>
      <w:r>
        <w:t>AERSCREEN</w:t>
      </w:r>
      <w:r>
        <w:rPr>
          <w:rFonts w:hint="eastAsia"/>
        </w:rPr>
        <w:t>模型）计算结果见表</w:t>
      </w:r>
      <w:r>
        <w:t>2.</w:t>
      </w:r>
      <w:r>
        <w:rPr>
          <w:rFonts w:hint="eastAsia"/>
        </w:rPr>
        <w:t>5.1-7。</w:t>
      </w:r>
    </w:p>
    <w:p>
      <w:pPr>
        <w:pStyle w:val="6"/>
      </w:pPr>
      <w:r>
        <w:rPr>
          <w:rFonts w:hint="eastAsia"/>
        </w:rPr>
        <w:t>表</w:t>
      </w:r>
      <w:r>
        <w:t>2.</w:t>
      </w:r>
      <w:r>
        <w:rPr>
          <w:rFonts w:hint="eastAsia"/>
        </w:rPr>
        <w:t>5.1-7</w:t>
      </w:r>
      <w:r>
        <w:t xml:space="preserve">  </w:t>
      </w:r>
      <w:r>
        <w:rPr>
          <w:rFonts w:hint="eastAsia"/>
        </w:rPr>
        <w:t>各污染物大气估算结果统计一览表</w:t>
      </w:r>
    </w:p>
    <w:tbl>
      <w:tblPr>
        <w:tblStyle w:val="3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494"/>
        <w:gridCol w:w="1213"/>
        <w:gridCol w:w="2129"/>
        <w:gridCol w:w="1610"/>
        <w:gridCol w:w="1863"/>
        <w:gridCol w:w="1616"/>
        <w:gridCol w:w="1863"/>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Merge w:val="restart"/>
            <w:vAlign w:val="center"/>
          </w:tcPr>
          <w:p>
            <w:pPr>
              <w:spacing w:line="240" w:lineRule="auto"/>
              <w:ind w:firstLine="0" w:firstLineChars="0"/>
              <w:jc w:val="center"/>
              <w:rPr>
                <w:sz w:val="21"/>
                <w:szCs w:val="21"/>
              </w:rPr>
            </w:pPr>
            <w:r>
              <w:rPr>
                <w:rFonts w:hint="eastAsia"/>
                <w:sz w:val="21"/>
                <w:szCs w:val="21"/>
              </w:rPr>
              <w:t>序号</w:t>
            </w:r>
          </w:p>
        </w:tc>
        <w:tc>
          <w:tcPr>
            <w:tcW w:w="527" w:type="pct"/>
            <w:vMerge w:val="restart"/>
            <w:vAlign w:val="center"/>
          </w:tcPr>
          <w:p>
            <w:pPr>
              <w:spacing w:line="240" w:lineRule="auto"/>
              <w:ind w:firstLine="0" w:firstLineChars="0"/>
              <w:jc w:val="center"/>
              <w:rPr>
                <w:sz w:val="21"/>
                <w:szCs w:val="21"/>
              </w:rPr>
            </w:pPr>
            <w:r>
              <w:rPr>
                <w:rFonts w:hint="eastAsia"/>
                <w:sz w:val="21"/>
                <w:szCs w:val="21"/>
              </w:rPr>
              <w:t>污染源名称</w:t>
            </w:r>
          </w:p>
        </w:tc>
        <w:tc>
          <w:tcPr>
            <w:tcW w:w="428" w:type="pct"/>
            <w:vMerge w:val="restart"/>
            <w:vAlign w:val="center"/>
          </w:tcPr>
          <w:p>
            <w:pPr>
              <w:spacing w:line="240" w:lineRule="auto"/>
              <w:ind w:firstLine="0" w:firstLineChars="0"/>
              <w:jc w:val="center"/>
              <w:rPr>
                <w:sz w:val="21"/>
                <w:szCs w:val="21"/>
              </w:rPr>
            </w:pPr>
            <w:r>
              <w:rPr>
                <w:rFonts w:hint="eastAsia"/>
                <w:sz w:val="21"/>
                <w:szCs w:val="21"/>
              </w:rPr>
              <w:t>下风向距离/m</w:t>
            </w:r>
          </w:p>
        </w:tc>
        <w:tc>
          <w:tcPr>
            <w:tcW w:w="1319" w:type="pct"/>
            <w:gridSpan w:val="2"/>
            <w:vAlign w:val="center"/>
          </w:tcPr>
          <w:p>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1227" w:type="pct"/>
            <w:gridSpan w:val="2"/>
            <w:vAlign w:val="center"/>
          </w:tcPr>
          <w:p>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p>
        </w:tc>
        <w:tc>
          <w:tcPr>
            <w:tcW w:w="1227" w:type="pct"/>
            <w:gridSpan w:val="2"/>
            <w:vAlign w:val="center"/>
          </w:tcPr>
          <w:p>
            <w:pPr>
              <w:spacing w:line="240" w:lineRule="auto"/>
              <w:ind w:firstLine="0" w:firstLineChars="0"/>
              <w:jc w:val="center"/>
              <w:rPr>
                <w:sz w:val="21"/>
                <w:szCs w:val="21"/>
              </w:rPr>
            </w:pPr>
            <w:r>
              <w:rPr>
                <w:rFonts w:hint="eastAsia"/>
                <w:sz w:val="21"/>
                <w:szCs w:val="21"/>
              </w:rPr>
              <w:t>TSP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Merge w:val="continue"/>
            <w:vAlign w:val="center"/>
          </w:tcPr>
          <w:p>
            <w:pPr>
              <w:spacing w:line="240" w:lineRule="auto"/>
              <w:ind w:firstLine="0" w:firstLineChars="0"/>
              <w:jc w:val="center"/>
              <w:rPr>
                <w:sz w:val="21"/>
                <w:szCs w:val="21"/>
              </w:rPr>
            </w:pPr>
          </w:p>
        </w:tc>
        <w:tc>
          <w:tcPr>
            <w:tcW w:w="527" w:type="pct"/>
            <w:vMerge w:val="continue"/>
            <w:vAlign w:val="center"/>
          </w:tcPr>
          <w:p>
            <w:pPr>
              <w:spacing w:line="240" w:lineRule="auto"/>
              <w:ind w:firstLine="0" w:firstLineChars="0"/>
              <w:jc w:val="center"/>
              <w:rPr>
                <w:sz w:val="21"/>
                <w:szCs w:val="21"/>
              </w:rPr>
            </w:pPr>
          </w:p>
        </w:tc>
        <w:tc>
          <w:tcPr>
            <w:tcW w:w="428" w:type="pct"/>
            <w:vMerge w:val="continue"/>
            <w:vAlign w:val="center"/>
          </w:tcPr>
          <w:p>
            <w:pPr>
              <w:spacing w:line="240" w:lineRule="auto"/>
              <w:ind w:firstLine="0" w:firstLineChars="0"/>
              <w:jc w:val="center"/>
              <w:rPr>
                <w:sz w:val="21"/>
                <w:szCs w:val="21"/>
              </w:rPr>
            </w:pPr>
          </w:p>
        </w:tc>
        <w:tc>
          <w:tcPr>
            <w:tcW w:w="751" w:type="pct"/>
            <w:vAlign w:val="center"/>
          </w:tcPr>
          <w:p>
            <w:pPr>
              <w:spacing w:line="240" w:lineRule="auto"/>
              <w:ind w:firstLine="0" w:firstLineChars="0"/>
              <w:jc w:val="center"/>
              <w:rPr>
                <w:sz w:val="21"/>
                <w:szCs w:val="21"/>
              </w:rPr>
            </w:pPr>
            <w:r>
              <w:rPr>
                <w:sz w:val="21"/>
                <w:szCs w:val="21"/>
              </w:rPr>
              <w:t>1</w:t>
            </w:r>
            <w:r>
              <w:rPr>
                <w:rFonts w:hint="eastAsia"/>
                <w:sz w:val="21"/>
                <w:szCs w:val="21"/>
              </w:rPr>
              <w:t>小时浓度</w:t>
            </w:r>
          </w:p>
        </w:tc>
        <w:tc>
          <w:tcPr>
            <w:tcW w:w="568" w:type="pct"/>
            <w:vAlign w:val="center"/>
          </w:tcPr>
          <w:p>
            <w:pPr>
              <w:spacing w:line="240" w:lineRule="auto"/>
              <w:ind w:firstLine="0" w:firstLineChars="0"/>
              <w:jc w:val="center"/>
              <w:rPr>
                <w:sz w:val="21"/>
                <w:szCs w:val="21"/>
              </w:rPr>
            </w:pPr>
            <w:r>
              <w:rPr>
                <w:rFonts w:hint="eastAsia"/>
                <w:sz w:val="21"/>
                <w:szCs w:val="21"/>
              </w:rPr>
              <w:t>占标率</w:t>
            </w:r>
            <w:r>
              <w:rPr>
                <w:sz w:val="21"/>
                <w:szCs w:val="21"/>
              </w:rPr>
              <w:t>(%)</w:t>
            </w:r>
          </w:p>
        </w:tc>
        <w:tc>
          <w:tcPr>
            <w:tcW w:w="657" w:type="pct"/>
            <w:vAlign w:val="center"/>
          </w:tcPr>
          <w:p>
            <w:pPr>
              <w:spacing w:line="240" w:lineRule="auto"/>
              <w:ind w:firstLine="0" w:firstLineChars="0"/>
              <w:jc w:val="center"/>
              <w:rPr>
                <w:sz w:val="21"/>
                <w:szCs w:val="21"/>
              </w:rPr>
            </w:pPr>
            <w:r>
              <w:rPr>
                <w:sz w:val="21"/>
                <w:szCs w:val="21"/>
              </w:rPr>
              <w:t>1</w:t>
            </w:r>
            <w:r>
              <w:rPr>
                <w:rFonts w:hint="eastAsia"/>
                <w:sz w:val="21"/>
                <w:szCs w:val="21"/>
              </w:rPr>
              <w:t>小时浓度</w:t>
            </w:r>
          </w:p>
        </w:tc>
        <w:tc>
          <w:tcPr>
            <w:tcW w:w="570" w:type="pct"/>
            <w:vAlign w:val="center"/>
          </w:tcPr>
          <w:p>
            <w:pPr>
              <w:spacing w:line="240" w:lineRule="auto"/>
              <w:ind w:firstLine="0" w:firstLineChars="0"/>
              <w:jc w:val="center"/>
              <w:rPr>
                <w:sz w:val="21"/>
                <w:szCs w:val="21"/>
              </w:rPr>
            </w:pPr>
            <w:r>
              <w:rPr>
                <w:rFonts w:hint="eastAsia"/>
                <w:sz w:val="21"/>
                <w:szCs w:val="21"/>
              </w:rPr>
              <w:t>占标率</w:t>
            </w:r>
            <w:r>
              <w:rPr>
                <w:sz w:val="21"/>
                <w:szCs w:val="21"/>
              </w:rPr>
              <w:t>(%)</w:t>
            </w:r>
          </w:p>
        </w:tc>
        <w:tc>
          <w:tcPr>
            <w:tcW w:w="657" w:type="pct"/>
            <w:vAlign w:val="center"/>
          </w:tcPr>
          <w:p>
            <w:pPr>
              <w:spacing w:line="240" w:lineRule="auto"/>
              <w:ind w:firstLine="0" w:firstLineChars="0"/>
              <w:jc w:val="center"/>
              <w:rPr>
                <w:sz w:val="21"/>
                <w:szCs w:val="21"/>
              </w:rPr>
            </w:pPr>
            <w:r>
              <w:rPr>
                <w:sz w:val="21"/>
                <w:szCs w:val="21"/>
              </w:rPr>
              <w:t>1</w:t>
            </w:r>
            <w:r>
              <w:rPr>
                <w:rFonts w:hint="eastAsia"/>
                <w:sz w:val="21"/>
                <w:szCs w:val="21"/>
              </w:rPr>
              <w:t>小时浓度</w:t>
            </w:r>
          </w:p>
        </w:tc>
        <w:tc>
          <w:tcPr>
            <w:tcW w:w="570" w:type="pct"/>
            <w:vAlign w:val="center"/>
          </w:tcPr>
          <w:p>
            <w:pPr>
              <w:spacing w:line="240" w:lineRule="auto"/>
              <w:ind w:firstLine="0" w:firstLineChars="0"/>
              <w:jc w:val="center"/>
              <w:rPr>
                <w:sz w:val="21"/>
                <w:szCs w:val="21"/>
              </w:rPr>
            </w:pPr>
            <w:r>
              <w:rPr>
                <w:rFonts w:hint="eastAsia"/>
                <w:sz w:val="21"/>
                <w:szCs w:val="21"/>
              </w:rPr>
              <w:t>占标率</w:t>
            </w: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Align w:val="center"/>
          </w:tcPr>
          <w:p>
            <w:pPr>
              <w:spacing w:line="240" w:lineRule="auto"/>
              <w:ind w:firstLine="0" w:firstLineChars="0"/>
              <w:jc w:val="center"/>
              <w:rPr>
                <w:sz w:val="21"/>
                <w:szCs w:val="21"/>
              </w:rPr>
            </w:pPr>
            <w:r>
              <w:rPr>
                <w:sz w:val="21"/>
                <w:szCs w:val="21"/>
              </w:rPr>
              <w:t>1</w:t>
            </w:r>
          </w:p>
        </w:tc>
        <w:tc>
          <w:tcPr>
            <w:tcW w:w="527" w:type="pct"/>
            <w:vAlign w:val="center"/>
          </w:tcPr>
          <w:p>
            <w:pPr>
              <w:spacing w:line="240" w:lineRule="auto"/>
              <w:ind w:firstLine="0" w:firstLineChars="0"/>
              <w:jc w:val="center"/>
              <w:rPr>
                <w:sz w:val="21"/>
                <w:szCs w:val="21"/>
              </w:rPr>
            </w:pPr>
            <w:r>
              <w:rPr>
                <w:rFonts w:hint="eastAsia"/>
                <w:sz w:val="21"/>
                <w:szCs w:val="21"/>
              </w:rPr>
              <w:t>DA001</w:t>
            </w:r>
          </w:p>
        </w:tc>
        <w:tc>
          <w:tcPr>
            <w:tcW w:w="428" w:type="pct"/>
            <w:vAlign w:val="center"/>
          </w:tcPr>
          <w:p>
            <w:pPr>
              <w:widowControl/>
              <w:spacing w:line="240" w:lineRule="auto"/>
              <w:ind w:firstLine="0" w:firstLineChars="0"/>
              <w:jc w:val="center"/>
              <w:textAlignment w:val="center"/>
              <w:rPr>
                <w:sz w:val="21"/>
                <w:szCs w:val="21"/>
              </w:rPr>
            </w:pPr>
            <w:r>
              <w:rPr>
                <w:rFonts w:hint="eastAsia" w:cs="宋体"/>
                <w:color w:val="000000"/>
                <w:kern w:val="0"/>
                <w:sz w:val="21"/>
                <w:szCs w:val="21"/>
                <w:lang w:bidi="ar"/>
              </w:rPr>
              <w:t>46</w:t>
            </w:r>
          </w:p>
        </w:tc>
        <w:tc>
          <w:tcPr>
            <w:tcW w:w="751"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0</w:t>
            </w:r>
            <w:r>
              <w:rPr>
                <w:rFonts w:hint="eastAsia" w:cs="宋体"/>
                <w:color w:val="FF0000"/>
                <w:kern w:val="0"/>
                <w:sz w:val="21"/>
                <w:szCs w:val="21"/>
                <w:lang w:bidi="ar"/>
              </w:rPr>
              <w:t>.</w:t>
            </w:r>
            <w:r>
              <w:rPr>
                <w:rFonts w:hint="eastAsia" w:cs="宋体"/>
                <w:color w:val="FF0000"/>
                <w:kern w:val="0"/>
                <w:sz w:val="21"/>
                <w:szCs w:val="21"/>
                <w:lang w:val="en-US" w:eastAsia="zh-CN" w:bidi="ar"/>
              </w:rPr>
              <w:t>0765</w:t>
            </w:r>
            <w:r>
              <w:rPr>
                <w:rFonts w:hint="eastAsia" w:cs="宋体"/>
                <w:color w:val="FF0000"/>
                <w:kern w:val="0"/>
                <w:sz w:val="21"/>
                <w:szCs w:val="21"/>
                <w:lang w:bidi="ar"/>
              </w:rPr>
              <w:t>|0</w:t>
            </w:r>
          </w:p>
        </w:tc>
        <w:tc>
          <w:tcPr>
            <w:tcW w:w="568"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w:t>
            </w:r>
            <w:r>
              <w:rPr>
                <w:rFonts w:hint="eastAsia" w:cs="宋体"/>
                <w:color w:val="FF0000"/>
                <w:kern w:val="0"/>
                <w:sz w:val="21"/>
                <w:szCs w:val="21"/>
                <w:lang w:val="en-US" w:eastAsia="zh-CN" w:bidi="ar"/>
              </w:rPr>
              <w:t>30</w:t>
            </w:r>
            <w:r>
              <w:rPr>
                <w:rFonts w:hint="eastAsia" w:cs="宋体"/>
                <w:color w:val="FF0000"/>
                <w:kern w:val="0"/>
                <w:sz w:val="21"/>
                <w:szCs w:val="21"/>
                <w:lang w:bidi="ar"/>
              </w:rPr>
              <w:t>|0</w:t>
            </w:r>
          </w:p>
        </w:tc>
        <w:tc>
          <w:tcPr>
            <w:tcW w:w="657"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0.0018|0</w:t>
            </w:r>
          </w:p>
        </w:tc>
        <w:tc>
          <w:tcPr>
            <w:tcW w:w="570"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0.02|0</w:t>
            </w:r>
          </w:p>
        </w:tc>
        <w:tc>
          <w:tcPr>
            <w:tcW w:w="657" w:type="pct"/>
            <w:vAlign w:val="center"/>
          </w:tcPr>
          <w:p>
            <w:pPr>
              <w:spacing w:line="240" w:lineRule="auto"/>
              <w:ind w:firstLine="0" w:firstLineChars="0"/>
              <w:jc w:val="center"/>
              <w:rPr>
                <w:color w:val="FF0000"/>
                <w:sz w:val="21"/>
                <w:szCs w:val="21"/>
              </w:rPr>
            </w:pPr>
            <w:r>
              <w:rPr>
                <w:color w:val="FF0000"/>
                <w:sz w:val="21"/>
                <w:szCs w:val="21"/>
              </w:rPr>
              <w:t>0.0000|0</w:t>
            </w:r>
          </w:p>
        </w:tc>
        <w:tc>
          <w:tcPr>
            <w:tcW w:w="570" w:type="pct"/>
            <w:vAlign w:val="center"/>
          </w:tcPr>
          <w:p>
            <w:pPr>
              <w:spacing w:line="240" w:lineRule="auto"/>
              <w:ind w:firstLine="0" w:firstLineChars="0"/>
              <w:jc w:val="center"/>
              <w:rPr>
                <w:color w:val="FF0000"/>
                <w:sz w:val="21"/>
                <w:szCs w:val="21"/>
              </w:rPr>
            </w:pPr>
            <w:r>
              <w:rPr>
                <w:color w:val="FF0000"/>
                <w:sz w:val="21"/>
                <w:szCs w:val="21"/>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68" w:type="pct"/>
            <w:vAlign w:val="center"/>
          </w:tcPr>
          <w:p>
            <w:pPr>
              <w:spacing w:line="240" w:lineRule="auto"/>
              <w:ind w:firstLine="0" w:firstLineChars="0"/>
              <w:jc w:val="center"/>
              <w:rPr>
                <w:sz w:val="21"/>
                <w:szCs w:val="21"/>
              </w:rPr>
            </w:pPr>
            <w:r>
              <w:rPr>
                <w:rFonts w:hint="eastAsia"/>
                <w:sz w:val="21"/>
                <w:szCs w:val="21"/>
              </w:rPr>
              <w:t>2</w:t>
            </w:r>
          </w:p>
        </w:tc>
        <w:tc>
          <w:tcPr>
            <w:tcW w:w="527" w:type="pct"/>
            <w:vAlign w:val="center"/>
          </w:tcPr>
          <w:p>
            <w:pPr>
              <w:spacing w:line="240" w:lineRule="auto"/>
              <w:ind w:firstLine="0" w:firstLineChars="0"/>
              <w:jc w:val="center"/>
              <w:rPr>
                <w:sz w:val="21"/>
                <w:szCs w:val="21"/>
              </w:rPr>
            </w:pPr>
            <w:r>
              <w:rPr>
                <w:rFonts w:hint="eastAsia"/>
                <w:sz w:val="21"/>
                <w:szCs w:val="21"/>
              </w:rPr>
              <w:t>M1</w:t>
            </w:r>
          </w:p>
        </w:tc>
        <w:tc>
          <w:tcPr>
            <w:tcW w:w="428" w:type="pct"/>
            <w:vAlign w:val="center"/>
          </w:tcPr>
          <w:p>
            <w:pPr>
              <w:widowControl/>
              <w:spacing w:line="240" w:lineRule="auto"/>
              <w:ind w:firstLine="0" w:firstLineChars="0"/>
              <w:jc w:val="center"/>
              <w:textAlignment w:val="center"/>
              <w:rPr>
                <w:sz w:val="21"/>
                <w:szCs w:val="21"/>
              </w:rPr>
            </w:pPr>
            <w:r>
              <w:rPr>
                <w:rFonts w:hint="eastAsia" w:cs="宋体"/>
                <w:color w:val="000000"/>
                <w:kern w:val="0"/>
                <w:sz w:val="21"/>
                <w:szCs w:val="21"/>
                <w:lang w:bidi="ar"/>
              </w:rPr>
              <w:t>126</w:t>
            </w:r>
          </w:p>
        </w:tc>
        <w:tc>
          <w:tcPr>
            <w:tcW w:w="751" w:type="pct"/>
            <w:vAlign w:val="center"/>
          </w:tcPr>
          <w:p>
            <w:pPr>
              <w:spacing w:line="240" w:lineRule="auto"/>
              <w:ind w:firstLine="0" w:firstLineChars="0"/>
              <w:jc w:val="center"/>
              <w:rPr>
                <w:sz w:val="21"/>
                <w:szCs w:val="21"/>
              </w:rPr>
            </w:pPr>
            <w:r>
              <w:rPr>
                <w:sz w:val="21"/>
                <w:szCs w:val="21"/>
              </w:rPr>
              <w:t>000.0E+0|0</w:t>
            </w:r>
          </w:p>
        </w:tc>
        <w:tc>
          <w:tcPr>
            <w:tcW w:w="568" w:type="pct"/>
            <w:vAlign w:val="center"/>
          </w:tcPr>
          <w:p>
            <w:pPr>
              <w:spacing w:line="240" w:lineRule="auto"/>
              <w:ind w:firstLine="0" w:firstLineChars="0"/>
              <w:jc w:val="center"/>
              <w:rPr>
                <w:sz w:val="21"/>
                <w:szCs w:val="21"/>
              </w:rPr>
            </w:pPr>
            <w:r>
              <w:rPr>
                <w:sz w:val="21"/>
                <w:szCs w:val="21"/>
              </w:rPr>
              <w:t>0.00|0</w:t>
            </w:r>
          </w:p>
        </w:tc>
        <w:tc>
          <w:tcPr>
            <w:tcW w:w="657" w:type="pct"/>
            <w:vAlign w:val="center"/>
          </w:tcPr>
          <w:p>
            <w:pPr>
              <w:spacing w:line="240" w:lineRule="auto"/>
              <w:ind w:firstLine="0" w:firstLineChars="0"/>
              <w:jc w:val="center"/>
              <w:rPr>
                <w:sz w:val="21"/>
                <w:szCs w:val="21"/>
              </w:rPr>
            </w:pPr>
            <w:r>
              <w:rPr>
                <w:sz w:val="21"/>
                <w:szCs w:val="21"/>
              </w:rPr>
              <w:t>0.0000|0</w:t>
            </w:r>
          </w:p>
        </w:tc>
        <w:tc>
          <w:tcPr>
            <w:tcW w:w="570" w:type="pct"/>
            <w:vAlign w:val="center"/>
          </w:tcPr>
          <w:p>
            <w:pPr>
              <w:spacing w:line="240" w:lineRule="auto"/>
              <w:ind w:firstLine="0" w:firstLineChars="0"/>
              <w:jc w:val="center"/>
              <w:rPr>
                <w:sz w:val="21"/>
                <w:szCs w:val="21"/>
              </w:rPr>
            </w:pPr>
            <w:r>
              <w:rPr>
                <w:sz w:val="21"/>
                <w:szCs w:val="21"/>
              </w:rPr>
              <w:t>0.00|0</w:t>
            </w:r>
          </w:p>
        </w:tc>
        <w:tc>
          <w:tcPr>
            <w:tcW w:w="657" w:type="pct"/>
            <w:vAlign w:val="center"/>
          </w:tcPr>
          <w:p>
            <w:pPr>
              <w:widowControl/>
              <w:spacing w:line="240" w:lineRule="auto"/>
              <w:ind w:firstLine="0" w:firstLineChars="0"/>
              <w:jc w:val="center"/>
              <w:textAlignment w:val="center"/>
              <w:rPr>
                <w:rFonts w:cs="宋体"/>
                <w:color w:val="000000"/>
                <w:sz w:val="21"/>
                <w:szCs w:val="21"/>
              </w:rPr>
            </w:pPr>
            <w:r>
              <w:rPr>
                <w:rFonts w:hint="eastAsia" w:cs="宋体"/>
                <w:color w:val="000000"/>
                <w:kern w:val="0"/>
                <w:sz w:val="21"/>
                <w:szCs w:val="21"/>
                <w:lang w:bidi="ar"/>
              </w:rPr>
              <w:t>6.2225|0</w:t>
            </w:r>
          </w:p>
        </w:tc>
        <w:tc>
          <w:tcPr>
            <w:tcW w:w="570" w:type="pct"/>
            <w:vAlign w:val="center"/>
          </w:tcPr>
          <w:p>
            <w:pPr>
              <w:widowControl/>
              <w:spacing w:line="240" w:lineRule="auto"/>
              <w:ind w:firstLine="0" w:firstLineChars="0"/>
              <w:jc w:val="center"/>
              <w:textAlignment w:val="center"/>
              <w:rPr>
                <w:rFonts w:cs="宋体"/>
                <w:color w:val="000000"/>
                <w:sz w:val="21"/>
                <w:szCs w:val="21"/>
              </w:rPr>
            </w:pPr>
            <w:r>
              <w:rPr>
                <w:rFonts w:hint="eastAsia" w:cs="宋体"/>
                <w:color w:val="000000"/>
                <w:kern w:val="0"/>
                <w:sz w:val="21"/>
                <w:szCs w:val="21"/>
                <w:lang w:bidi="ar"/>
              </w:rPr>
              <w:t>0.69|0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Align w:val="center"/>
          </w:tcPr>
          <w:p>
            <w:pPr>
              <w:spacing w:line="240" w:lineRule="auto"/>
              <w:ind w:firstLine="0" w:firstLineChars="0"/>
              <w:jc w:val="center"/>
              <w:rPr>
                <w:sz w:val="21"/>
                <w:szCs w:val="21"/>
              </w:rPr>
            </w:pPr>
            <w:r>
              <w:rPr>
                <w:rFonts w:hint="eastAsia"/>
                <w:sz w:val="21"/>
                <w:szCs w:val="21"/>
              </w:rPr>
              <w:t>3</w:t>
            </w:r>
          </w:p>
        </w:tc>
        <w:tc>
          <w:tcPr>
            <w:tcW w:w="527" w:type="pct"/>
            <w:vAlign w:val="center"/>
          </w:tcPr>
          <w:p>
            <w:pPr>
              <w:spacing w:line="240" w:lineRule="auto"/>
              <w:ind w:firstLine="0" w:firstLineChars="0"/>
              <w:jc w:val="center"/>
              <w:rPr>
                <w:sz w:val="21"/>
                <w:szCs w:val="21"/>
              </w:rPr>
            </w:pPr>
            <w:r>
              <w:rPr>
                <w:rFonts w:hint="eastAsia"/>
                <w:sz w:val="21"/>
                <w:szCs w:val="21"/>
              </w:rPr>
              <w:t>M2</w:t>
            </w:r>
          </w:p>
        </w:tc>
        <w:tc>
          <w:tcPr>
            <w:tcW w:w="428" w:type="pct"/>
            <w:vAlign w:val="center"/>
          </w:tcPr>
          <w:p>
            <w:pPr>
              <w:widowControl/>
              <w:spacing w:line="240" w:lineRule="auto"/>
              <w:ind w:firstLine="0" w:firstLineChars="0"/>
              <w:jc w:val="center"/>
              <w:textAlignment w:val="center"/>
              <w:rPr>
                <w:rFonts w:hint="default" w:eastAsia="宋体"/>
                <w:sz w:val="21"/>
                <w:szCs w:val="21"/>
                <w:lang w:val="en-US" w:eastAsia="zh-CN"/>
              </w:rPr>
            </w:pPr>
            <w:r>
              <w:rPr>
                <w:rFonts w:hint="eastAsia" w:cs="宋体"/>
                <w:color w:val="000000"/>
                <w:kern w:val="0"/>
                <w:sz w:val="21"/>
                <w:szCs w:val="21"/>
                <w:lang w:val="en-US" w:eastAsia="zh-CN" w:bidi="ar"/>
              </w:rPr>
              <w:t>425</w:t>
            </w:r>
          </w:p>
        </w:tc>
        <w:tc>
          <w:tcPr>
            <w:tcW w:w="751"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8</w:t>
            </w:r>
            <w:r>
              <w:rPr>
                <w:rFonts w:hint="eastAsia" w:cs="宋体"/>
                <w:color w:val="FF0000"/>
                <w:kern w:val="0"/>
                <w:sz w:val="21"/>
                <w:szCs w:val="21"/>
                <w:lang w:bidi="ar"/>
              </w:rPr>
              <w:t>.3240|0</w:t>
            </w:r>
          </w:p>
        </w:tc>
        <w:tc>
          <w:tcPr>
            <w:tcW w:w="568"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6</w:t>
            </w:r>
            <w:r>
              <w:rPr>
                <w:rFonts w:hint="eastAsia" w:cs="宋体"/>
                <w:color w:val="FF0000"/>
                <w:kern w:val="0"/>
                <w:sz w:val="21"/>
                <w:szCs w:val="21"/>
                <w:lang w:bidi="ar"/>
              </w:rPr>
              <w:t>.22|0</w:t>
            </w:r>
          </w:p>
        </w:tc>
        <w:tc>
          <w:tcPr>
            <w:tcW w:w="657"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w:t>
            </w:r>
            <w:r>
              <w:rPr>
                <w:rFonts w:hint="eastAsia" w:cs="宋体"/>
                <w:color w:val="FF0000"/>
                <w:kern w:val="0"/>
                <w:sz w:val="21"/>
                <w:szCs w:val="21"/>
                <w:lang w:val="en-US" w:eastAsia="zh-CN" w:bidi="ar"/>
              </w:rPr>
              <w:t>38</w:t>
            </w:r>
            <w:r>
              <w:rPr>
                <w:rFonts w:hint="eastAsia" w:cs="宋体"/>
                <w:color w:val="FF0000"/>
                <w:kern w:val="0"/>
                <w:sz w:val="21"/>
                <w:szCs w:val="21"/>
                <w:lang w:bidi="ar"/>
              </w:rPr>
              <w:t>09|0</w:t>
            </w:r>
          </w:p>
        </w:tc>
        <w:tc>
          <w:tcPr>
            <w:tcW w:w="570"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3.29</w:t>
            </w:r>
            <w:r>
              <w:rPr>
                <w:rFonts w:hint="eastAsia" w:cs="宋体"/>
                <w:color w:val="FF0000"/>
                <w:kern w:val="0"/>
                <w:sz w:val="21"/>
                <w:szCs w:val="21"/>
                <w:lang w:bidi="ar"/>
              </w:rPr>
              <w:t>|0</w:t>
            </w:r>
          </w:p>
        </w:tc>
        <w:tc>
          <w:tcPr>
            <w:tcW w:w="657" w:type="pct"/>
            <w:vAlign w:val="center"/>
          </w:tcPr>
          <w:p>
            <w:pPr>
              <w:spacing w:line="240" w:lineRule="auto"/>
              <w:ind w:firstLine="0" w:firstLineChars="0"/>
              <w:jc w:val="center"/>
              <w:rPr>
                <w:color w:val="FF0000"/>
                <w:sz w:val="21"/>
                <w:szCs w:val="21"/>
              </w:rPr>
            </w:pPr>
            <w:r>
              <w:rPr>
                <w:color w:val="FF0000"/>
                <w:sz w:val="21"/>
                <w:szCs w:val="21"/>
              </w:rPr>
              <w:t>0.0000|0</w:t>
            </w:r>
          </w:p>
        </w:tc>
        <w:tc>
          <w:tcPr>
            <w:tcW w:w="570" w:type="pct"/>
            <w:vAlign w:val="center"/>
          </w:tcPr>
          <w:p>
            <w:pPr>
              <w:spacing w:line="240" w:lineRule="auto"/>
              <w:ind w:firstLine="0" w:firstLineChars="0"/>
              <w:jc w:val="center"/>
              <w:rPr>
                <w:color w:val="FF0000"/>
                <w:sz w:val="21"/>
                <w:szCs w:val="21"/>
              </w:rPr>
            </w:pPr>
            <w:r>
              <w:rPr>
                <w:color w:val="FF0000"/>
                <w:sz w:val="21"/>
                <w:szCs w:val="21"/>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Align w:val="center"/>
          </w:tcPr>
          <w:p>
            <w:pPr>
              <w:spacing w:line="240" w:lineRule="auto"/>
              <w:ind w:firstLine="0" w:firstLineChars="0"/>
              <w:jc w:val="center"/>
              <w:rPr>
                <w:sz w:val="21"/>
                <w:szCs w:val="21"/>
              </w:rPr>
            </w:pPr>
            <w:r>
              <w:rPr>
                <w:rFonts w:hint="eastAsia"/>
                <w:sz w:val="21"/>
                <w:szCs w:val="21"/>
              </w:rPr>
              <w:t>4</w:t>
            </w:r>
          </w:p>
        </w:tc>
        <w:tc>
          <w:tcPr>
            <w:tcW w:w="527" w:type="pct"/>
            <w:vAlign w:val="center"/>
          </w:tcPr>
          <w:p>
            <w:pPr>
              <w:spacing w:line="240" w:lineRule="auto"/>
              <w:ind w:firstLine="0" w:firstLineChars="0"/>
              <w:jc w:val="center"/>
              <w:rPr>
                <w:sz w:val="21"/>
                <w:szCs w:val="21"/>
              </w:rPr>
            </w:pPr>
            <w:r>
              <w:rPr>
                <w:rFonts w:hint="eastAsia"/>
                <w:sz w:val="21"/>
                <w:szCs w:val="21"/>
              </w:rPr>
              <w:t>M3</w:t>
            </w:r>
          </w:p>
        </w:tc>
        <w:tc>
          <w:tcPr>
            <w:tcW w:w="428" w:type="pct"/>
            <w:vAlign w:val="center"/>
          </w:tcPr>
          <w:p>
            <w:pPr>
              <w:widowControl/>
              <w:spacing w:line="240" w:lineRule="auto"/>
              <w:ind w:firstLine="0" w:firstLineChars="0"/>
              <w:jc w:val="center"/>
              <w:textAlignment w:val="center"/>
              <w:rPr>
                <w:rFonts w:hint="default" w:eastAsia="宋体"/>
                <w:sz w:val="21"/>
                <w:szCs w:val="21"/>
                <w:lang w:val="en-US" w:eastAsia="zh-CN"/>
              </w:rPr>
            </w:pPr>
            <w:r>
              <w:rPr>
                <w:rFonts w:hint="eastAsia"/>
                <w:sz w:val="21"/>
                <w:szCs w:val="21"/>
                <w:lang w:val="en-US" w:eastAsia="zh-CN"/>
              </w:rPr>
              <w:t>55</w:t>
            </w:r>
          </w:p>
        </w:tc>
        <w:tc>
          <w:tcPr>
            <w:tcW w:w="751"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5</w:t>
            </w:r>
            <w:r>
              <w:rPr>
                <w:rFonts w:hint="eastAsia" w:cs="宋体"/>
                <w:color w:val="FF0000"/>
                <w:kern w:val="0"/>
                <w:sz w:val="21"/>
                <w:szCs w:val="21"/>
                <w:lang w:bidi="ar"/>
              </w:rPr>
              <w:t>.</w:t>
            </w:r>
            <w:r>
              <w:rPr>
                <w:rFonts w:hint="eastAsia" w:cs="宋体"/>
                <w:color w:val="FF0000"/>
                <w:kern w:val="0"/>
                <w:sz w:val="21"/>
                <w:szCs w:val="21"/>
                <w:lang w:val="en-US" w:eastAsia="zh-CN" w:bidi="ar"/>
              </w:rPr>
              <w:t>37</w:t>
            </w:r>
            <w:r>
              <w:rPr>
                <w:rFonts w:hint="eastAsia" w:cs="宋体"/>
                <w:color w:val="FF0000"/>
                <w:kern w:val="0"/>
                <w:sz w:val="21"/>
                <w:szCs w:val="21"/>
                <w:lang w:bidi="ar"/>
              </w:rPr>
              <w:t>6</w:t>
            </w:r>
            <w:r>
              <w:rPr>
                <w:rFonts w:hint="eastAsia" w:cs="宋体"/>
                <w:color w:val="FF0000"/>
                <w:kern w:val="0"/>
                <w:sz w:val="21"/>
                <w:szCs w:val="21"/>
                <w:lang w:val="en-US" w:eastAsia="zh-CN" w:bidi="ar"/>
              </w:rPr>
              <w:t>3</w:t>
            </w:r>
            <w:r>
              <w:rPr>
                <w:rFonts w:hint="eastAsia" w:cs="宋体"/>
                <w:color w:val="FF0000"/>
                <w:kern w:val="0"/>
                <w:sz w:val="21"/>
                <w:szCs w:val="21"/>
                <w:lang w:bidi="ar"/>
              </w:rPr>
              <w:t>|0</w:t>
            </w:r>
          </w:p>
        </w:tc>
        <w:tc>
          <w:tcPr>
            <w:tcW w:w="568"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3</w:t>
            </w:r>
            <w:r>
              <w:rPr>
                <w:rFonts w:hint="eastAsia" w:cs="宋体"/>
                <w:color w:val="FF0000"/>
                <w:kern w:val="0"/>
                <w:sz w:val="21"/>
                <w:szCs w:val="21"/>
                <w:lang w:bidi="ar"/>
              </w:rPr>
              <w:t>.16|0</w:t>
            </w:r>
          </w:p>
        </w:tc>
        <w:tc>
          <w:tcPr>
            <w:tcW w:w="657" w:type="pct"/>
            <w:vAlign w:val="center"/>
          </w:tcPr>
          <w:p>
            <w:pPr>
              <w:spacing w:line="240" w:lineRule="auto"/>
              <w:ind w:firstLine="0" w:firstLineChars="0"/>
              <w:jc w:val="center"/>
              <w:rPr>
                <w:color w:val="FF0000"/>
                <w:sz w:val="21"/>
                <w:szCs w:val="21"/>
              </w:rPr>
            </w:pPr>
            <w:r>
              <w:rPr>
                <w:rFonts w:hint="eastAsia"/>
                <w:color w:val="FF0000"/>
                <w:sz w:val="21"/>
                <w:szCs w:val="21"/>
                <w:lang w:val="en-US" w:eastAsia="zh-CN"/>
              </w:rPr>
              <w:t>0.7</w:t>
            </w:r>
            <w:r>
              <w:rPr>
                <w:color w:val="FF0000"/>
                <w:sz w:val="21"/>
                <w:szCs w:val="21"/>
              </w:rPr>
              <w:t>|0</w:t>
            </w:r>
          </w:p>
        </w:tc>
        <w:tc>
          <w:tcPr>
            <w:tcW w:w="570" w:type="pct"/>
            <w:vAlign w:val="center"/>
          </w:tcPr>
          <w:p>
            <w:pPr>
              <w:spacing w:line="240" w:lineRule="auto"/>
              <w:ind w:firstLine="0" w:firstLineChars="0"/>
              <w:jc w:val="center"/>
              <w:rPr>
                <w:color w:val="FF0000"/>
                <w:sz w:val="21"/>
                <w:szCs w:val="21"/>
              </w:rPr>
            </w:pPr>
            <w:r>
              <w:rPr>
                <w:rFonts w:hint="eastAsia"/>
                <w:color w:val="FF0000"/>
                <w:sz w:val="21"/>
                <w:szCs w:val="21"/>
                <w:lang w:val="en-US" w:eastAsia="zh-CN"/>
              </w:rPr>
              <w:t>6</w:t>
            </w:r>
            <w:r>
              <w:rPr>
                <w:color w:val="FF0000"/>
                <w:sz w:val="21"/>
                <w:szCs w:val="21"/>
              </w:rPr>
              <w:t>.00|0</w:t>
            </w:r>
          </w:p>
        </w:tc>
        <w:tc>
          <w:tcPr>
            <w:tcW w:w="657" w:type="pct"/>
            <w:vAlign w:val="center"/>
          </w:tcPr>
          <w:p>
            <w:pPr>
              <w:spacing w:line="240" w:lineRule="auto"/>
              <w:ind w:firstLine="0" w:firstLineChars="0"/>
              <w:jc w:val="center"/>
              <w:rPr>
                <w:color w:val="FF0000"/>
                <w:sz w:val="21"/>
                <w:szCs w:val="21"/>
              </w:rPr>
            </w:pPr>
            <w:r>
              <w:rPr>
                <w:color w:val="FF0000"/>
                <w:sz w:val="21"/>
                <w:szCs w:val="21"/>
              </w:rPr>
              <w:t>0.0000|0</w:t>
            </w:r>
          </w:p>
        </w:tc>
        <w:tc>
          <w:tcPr>
            <w:tcW w:w="570" w:type="pct"/>
            <w:vAlign w:val="center"/>
          </w:tcPr>
          <w:p>
            <w:pPr>
              <w:spacing w:line="240" w:lineRule="auto"/>
              <w:ind w:firstLine="0" w:firstLineChars="0"/>
              <w:jc w:val="center"/>
              <w:rPr>
                <w:color w:val="FF0000"/>
                <w:sz w:val="21"/>
                <w:szCs w:val="21"/>
              </w:rPr>
            </w:pPr>
            <w:r>
              <w:rPr>
                <w:color w:val="FF0000"/>
                <w:sz w:val="21"/>
                <w:szCs w:val="21"/>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Align w:val="center"/>
          </w:tcPr>
          <w:p>
            <w:pPr>
              <w:spacing w:line="240" w:lineRule="auto"/>
              <w:ind w:firstLine="0" w:firstLineChars="0"/>
              <w:jc w:val="center"/>
              <w:rPr>
                <w:sz w:val="21"/>
                <w:szCs w:val="21"/>
              </w:rPr>
            </w:pPr>
            <w:r>
              <w:rPr>
                <w:rFonts w:hint="eastAsia"/>
                <w:sz w:val="21"/>
                <w:szCs w:val="21"/>
              </w:rPr>
              <w:t>5</w:t>
            </w:r>
          </w:p>
        </w:tc>
        <w:tc>
          <w:tcPr>
            <w:tcW w:w="527" w:type="pct"/>
            <w:vAlign w:val="center"/>
          </w:tcPr>
          <w:p>
            <w:pPr>
              <w:spacing w:line="240" w:lineRule="auto"/>
              <w:ind w:firstLine="0" w:firstLineChars="0"/>
              <w:jc w:val="center"/>
              <w:rPr>
                <w:sz w:val="21"/>
                <w:szCs w:val="21"/>
              </w:rPr>
            </w:pPr>
            <w:r>
              <w:rPr>
                <w:rFonts w:hint="eastAsia"/>
                <w:sz w:val="21"/>
                <w:szCs w:val="21"/>
              </w:rPr>
              <w:t>M4</w:t>
            </w:r>
          </w:p>
        </w:tc>
        <w:tc>
          <w:tcPr>
            <w:tcW w:w="428" w:type="pct"/>
            <w:vAlign w:val="center"/>
          </w:tcPr>
          <w:p>
            <w:pPr>
              <w:widowControl/>
              <w:spacing w:line="240" w:lineRule="auto"/>
              <w:ind w:firstLine="0" w:firstLineChars="0"/>
              <w:jc w:val="center"/>
              <w:textAlignment w:val="center"/>
              <w:rPr>
                <w:rFonts w:hint="default" w:eastAsia="宋体"/>
                <w:sz w:val="21"/>
                <w:szCs w:val="21"/>
                <w:lang w:val="en-US" w:eastAsia="zh-CN"/>
              </w:rPr>
            </w:pPr>
            <w:r>
              <w:rPr>
                <w:rFonts w:hint="eastAsia" w:cs="宋体"/>
                <w:color w:val="000000"/>
                <w:kern w:val="0"/>
                <w:sz w:val="21"/>
                <w:szCs w:val="21"/>
                <w:lang w:val="en-US" w:eastAsia="zh-CN" w:bidi="ar"/>
              </w:rPr>
              <w:t>257</w:t>
            </w:r>
          </w:p>
        </w:tc>
        <w:tc>
          <w:tcPr>
            <w:tcW w:w="751"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0.0</w:t>
            </w:r>
            <w:r>
              <w:rPr>
                <w:rFonts w:hint="eastAsia" w:cs="宋体"/>
                <w:color w:val="FF0000"/>
                <w:kern w:val="0"/>
                <w:sz w:val="21"/>
                <w:szCs w:val="21"/>
                <w:lang w:val="en-US" w:eastAsia="zh-CN" w:bidi="ar"/>
              </w:rPr>
              <w:t>230</w:t>
            </w:r>
            <w:r>
              <w:rPr>
                <w:rFonts w:hint="eastAsia" w:cs="宋体"/>
                <w:color w:val="FF0000"/>
                <w:kern w:val="0"/>
                <w:sz w:val="21"/>
                <w:szCs w:val="21"/>
                <w:lang w:bidi="ar"/>
              </w:rPr>
              <w:t>|0</w:t>
            </w:r>
          </w:p>
        </w:tc>
        <w:tc>
          <w:tcPr>
            <w:tcW w:w="568"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0.0</w:t>
            </w:r>
            <w:r>
              <w:rPr>
                <w:rFonts w:hint="eastAsia" w:cs="宋体"/>
                <w:color w:val="FF0000"/>
                <w:kern w:val="0"/>
                <w:sz w:val="21"/>
                <w:szCs w:val="21"/>
                <w:lang w:val="en-US" w:eastAsia="zh-CN" w:bidi="ar"/>
              </w:rPr>
              <w:t>1</w:t>
            </w:r>
            <w:r>
              <w:rPr>
                <w:rFonts w:hint="eastAsia" w:cs="宋体"/>
                <w:color w:val="FF0000"/>
                <w:kern w:val="0"/>
                <w:sz w:val="21"/>
                <w:szCs w:val="21"/>
                <w:lang w:bidi="ar"/>
              </w:rPr>
              <w:t>|0</w:t>
            </w:r>
          </w:p>
        </w:tc>
        <w:tc>
          <w:tcPr>
            <w:tcW w:w="657"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0.0</w:t>
            </w:r>
            <w:r>
              <w:rPr>
                <w:rFonts w:hint="eastAsia" w:cs="宋体"/>
                <w:color w:val="FF0000"/>
                <w:kern w:val="0"/>
                <w:sz w:val="21"/>
                <w:szCs w:val="21"/>
                <w:lang w:val="en-US" w:eastAsia="zh-CN" w:bidi="ar"/>
              </w:rPr>
              <w:t>07</w:t>
            </w:r>
            <w:r>
              <w:rPr>
                <w:rFonts w:hint="eastAsia" w:cs="宋体"/>
                <w:color w:val="FF0000"/>
                <w:kern w:val="0"/>
                <w:sz w:val="21"/>
                <w:szCs w:val="21"/>
                <w:lang w:bidi="ar"/>
              </w:rPr>
              <w:t>|0</w:t>
            </w:r>
          </w:p>
        </w:tc>
        <w:tc>
          <w:tcPr>
            <w:tcW w:w="570"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w:t>
            </w:r>
            <w:r>
              <w:rPr>
                <w:rFonts w:hint="eastAsia" w:cs="宋体"/>
                <w:color w:val="FF0000"/>
                <w:kern w:val="0"/>
                <w:sz w:val="21"/>
                <w:szCs w:val="21"/>
                <w:lang w:val="en-US" w:eastAsia="zh-CN" w:bidi="ar"/>
              </w:rPr>
              <w:t>08</w:t>
            </w:r>
            <w:r>
              <w:rPr>
                <w:rFonts w:hint="eastAsia" w:cs="宋体"/>
                <w:color w:val="FF0000"/>
                <w:kern w:val="0"/>
                <w:sz w:val="21"/>
                <w:szCs w:val="21"/>
                <w:lang w:bidi="ar"/>
              </w:rPr>
              <w:t>|0</w:t>
            </w:r>
          </w:p>
        </w:tc>
        <w:tc>
          <w:tcPr>
            <w:tcW w:w="657" w:type="pct"/>
            <w:vAlign w:val="center"/>
          </w:tcPr>
          <w:p>
            <w:pPr>
              <w:spacing w:line="240" w:lineRule="auto"/>
              <w:ind w:firstLine="0" w:firstLineChars="0"/>
              <w:jc w:val="center"/>
              <w:rPr>
                <w:color w:val="FF0000"/>
                <w:sz w:val="21"/>
                <w:szCs w:val="21"/>
              </w:rPr>
            </w:pPr>
            <w:r>
              <w:rPr>
                <w:color w:val="FF0000"/>
                <w:sz w:val="21"/>
                <w:szCs w:val="21"/>
              </w:rPr>
              <w:t>0.0000|0</w:t>
            </w:r>
          </w:p>
        </w:tc>
        <w:tc>
          <w:tcPr>
            <w:tcW w:w="570" w:type="pct"/>
            <w:vAlign w:val="center"/>
          </w:tcPr>
          <w:p>
            <w:pPr>
              <w:spacing w:line="240" w:lineRule="auto"/>
              <w:ind w:firstLine="0" w:firstLineChars="0"/>
              <w:jc w:val="center"/>
              <w:rPr>
                <w:color w:val="FF0000"/>
                <w:sz w:val="21"/>
                <w:szCs w:val="21"/>
              </w:rPr>
            </w:pPr>
            <w:r>
              <w:rPr>
                <w:color w:val="FF0000"/>
                <w:sz w:val="21"/>
                <w:szCs w:val="21"/>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Align w:val="center"/>
          </w:tcPr>
          <w:p>
            <w:pPr>
              <w:spacing w:line="240" w:lineRule="auto"/>
              <w:ind w:firstLine="0" w:firstLineChars="0"/>
              <w:jc w:val="center"/>
              <w:rPr>
                <w:sz w:val="21"/>
                <w:szCs w:val="21"/>
              </w:rPr>
            </w:pPr>
            <w:r>
              <w:rPr>
                <w:rFonts w:hint="eastAsia"/>
                <w:sz w:val="21"/>
                <w:szCs w:val="21"/>
              </w:rPr>
              <w:t>6</w:t>
            </w:r>
          </w:p>
        </w:tc>
        <w:tc>
          <w:tcPr>
            <w:tcW w:w="527" w:type="pct"/>
            <w:vAlign w:val="center"/>
          </w:tcPr>
          <w:p>
            <w:pPr>
              <w:spacing w:line="240" w:lineRule="auto"/>
              <w:ind w:firstLine="0" w:firstLineChars="0"/>
              <w:jc w:val="center"/>
              <w:rPr>
                <w:sz w:val="21"/>
                <w:szCs w:val="21"/>
              </w:rPr>
            </w:pPr>
            <w:r>
              <w:rPr>
                <w:rFonts w:hint="eastAsia"/>
                <w:sz w:val="21"/>
                <w:szCs w:val="21"/>
              </w:rPr>
              <w:t>下风向最大质量浓度及占标率/%</w:t>
            </w:r>
          </w:p>
        </w:tc>
        <w:tc>
          <w:tcPr>
            <w:tcW w:w="428" w:type="pct"/>
            <w:vAlign w:val="center"/>
          </w:tcPr>
          <w:p>
            <w:pPr>
              <w:spacing w:line="240" w:lineRule="auto"/>
              <w:ind w:firstLine="0" w:firstLineChars="0"/>
              <w:jc w:val="center"/>
              <w:rPr>
                <w:sz w:val="21"/>
                <w:szCs w:val="21"/>
              </w:rPr>
            </w:pPr>
            <w:r>
              <w:rPr>
                <w:rFonts w:hint="eastAsia"/>
                <w:sz w:val="21"/>
                <w:szCs w:val="21"/>
              </w:rPr>
              <w:t>/</w:t>
            </w:r>
          </w:p>
        </w:tc>
        <w:tc>
          <w:tcPr>
            <w:tcW w:w="751" w:type="pct"/>
            <w:vAlign w:val="center"/>
          </w:tcPr>
          <w:p>
            <w:pPr>
              <w:widowControl/>
              <w:spacing w:line="240" w:lineRule="auto"/>
              <w:ind w:firstLine="0" w:firstLineChars="0"/>
              <w:jc w:val="center"/>
              <w:textAlignment w:val="center"/>
              <w:rPr>
                <w:rFonts w:hint="default" w:eastAsia="宋体" w:cs="宋体"/>
                <w:color w:val="FF0000"/>
                <w:sz w:val="21"/>
                <w:szCs w:val="21"/>
                <w:lang w:val="en-US" w:eastAsia="zh-CN"/>
              </w:rPr>
            </w:pPr>
            <w:r>
              <w:rPr>
                <w:rFonts w:hint="eastAsia" w:cs="宋体"/>
                <w:color w:val="FF0000"/>
                <w:kern w:val="0"/>
                <w:sz w:val="21"/>
                <w:szCs w:val="21"/>
                <w:lang w:val="en-US" w:eastAsia="zh-CN" w:bidi="ar"/>
              </w:rPr>
              <w:t>8.3240</w:t>
            </w:r>
          </w:p>
        </w:tc>
        <w:tc>
          <w:tcPr>
            <w:tcW w:w="568"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val="en-US" w:eastAsia="zh-CN" w:bidi="ar"/>
              </w:rPr>
              <w:t>6</w:t>
            </w:r>
            <w:r>
              <w:rPr>
                <w:rFonts w:hint="eastAsia" w:cs="宋体"/>
                <w:color w:val="FF0000"/>
                <w:kern w:val="0"/>
                <w:sz w:val="21"/>
                <w:szCs w:val="21"/>
                <w:lang w:bidi="ar"/>
              </w:rPr>
              <w:t>.22</w:t>
            </w:r>
          </w:p>
        </w:tc>
        <w:tc>
          <w:tcPr>
            <w:tcW w:w="657"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w:t>
            </w:r>
            <w:r>
              <w:rPr>
                <w:rFonts w:hint="eastAsia" w:cs="宋体"/>
                <w:color w:val="FF0000"/>
                <w:kern w:val="0"/>
                <w:sz w:val="21"/>
                <w:szCs w:val="21"/>
                <w:lang w:val="en-US" w:eastAsia="zh-CN" w:bidi="ar"/>
              </w:rPr>
              <w:t>38</w:t>
            </w:r>
            <w:r>
              <w:rPr>
                <w:rFonts w:hint="eastAsia" w:cs="宋体"/>
                <w:color w:val="FF0000"/>
                <w:kern w:val="0"/>
                <w:sz w:val="21"/>
                <w:szCs w:val="21"/>
                <w:lang w:bidi="ar"/>
              </w:rPr>
              <w:t>09</w:t>
            </w:r>
          </w:p>
        </w:tc>
        <w:tc>
          <w:tcPr>
            <w:tcW w:w="570" w:type="pct"/>
            <w:vAlign w:val="center"/>
          </w:tcPr>
          <w:p>
            <w:pPr>
              <w:widowControl/>
              <w:spacing w:line="240" w:lineRule="auto"/>
              <w:ind w:firstLine="0" w:firstLineChars="0"/>
              <w:jc w:val="center"/>
              <w:textAlignment w:val="center"/>
              <w:rPr>
                <w:rFonts w:hint="default" w:eastAsia="宋体" w:cs="宋体"/>
                <w:color w:val="FF0000"/>
                <w:sz w:val="21"/>
                <w:szCs w:val="21"/>
                <w:lang w:val="en-US" w:eastAsia="zh-CN"/>
              </w:rPr>
            </w:pPr>
            <w:r>
              <w:rPr>
                <w:rFonts w:hint="eastAsia" w:cs="宋体"/>
                <w:color w:val="FF0000"/>
                <w:sz w:val="21"/>
                <w:szCs w:val="21"/>
                <w:lang w:val="en-US" w:eastAsia="zh-CN"/>
              </w:rPr>
              <w:t>3.29</w:t>
            </w:r>
          </w:p>
        </w:tc>
        <w:tc>
          <w:tcPr>
            <w:tcW w:w="657"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6.2225</w:t>
            </w:r>
          </w:p>
        </w:tc>
        <w:tc>
          <w:tcPr>
            <w:tcW w:w="570" w:type="pct"/>
            <w:vAlign w:val="center"/>
          </w:tcPr>
          <w:p>
            <w:pPr>
              <w:widowControl/>
              <w:spacing w:line="240" w:lineRule="auto"/>
              <w:ind w:firstLine="0" w:firstLineChars="0"/>
              <w:jc w:val="center"/>
              <w:textAlignment w:val="center"/>
              <w:rPr>
                <w:rFonts w:cs="宋体"/>
                <w:color w:val="FF0000"/>
                <w:sz w:val="21"/>
                <w:szCs w:val="21"/>
              </w:rPr>
            </w:pPr>
            <w:r>
              <w:rPr>
                <w:rFonts w:hint="eastAsia" w:cs="宋体"/>
                <w:color w:val="FF0000"/>
                <w:kern w:val="0"/>
                <w:sz w:val="21"/>
                <w:szCs w:val="21"/>
                <w:lang w:bidi="ar"/>
              </w:rPr>
              <w:t>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vAlign w:val="center"/>
          </w:tcPr>
          <w:p>
            <w:pPr>
              <w:spacing w:line="240" w:lineRule="auto"/>
              <w:ind w:firstLine="0" w:firstLineChars="0"/>
              <w:jc w:val="center"/>
              <w:rPr>
                <w:sz w:val="21"/>
                <w:szCs w:val="21"/>
              </w:rPr>
            </w:pPr>
            <w:r>
              <w:rPr>
                <w:rFonts w:hint="eastAsia"/>
                <w:sz w:val="21"/>
                <w:szCs w:val="21"/>
              </w:rPr>
              <w:t>7</w:t>
            </w:r>
          </w:p>
        </w:tc>
        <w:tc>
          <w:tcPr>
            <w:tcW w:w="527" w:type="pct"/>
            <w:vAlign w:val="center"/>
          </w:tcPr>
          <w:p>
            <w:pPr>
              <w:spacing w:line="240" w:lineRule="auto"/>
              <w:ind w:firstLine="0" w:firstLineChars="0"/>
              <w:jc w:val="center"/>
              <w:rPr>
                <w:sz w:val="21"/>
                <w:szCs w:val="21"/>
              </w:rPr>
            </w:pPr>
            <w:r>
              <w:rPr>
                <w:rFonts w:hint="eastAsia"/>
                <w:sz w:val="21"/>
                <w:szCs w:val="21"/>
              </w:rPr>
              <w:t>D</w:t>
            </w:r>
            <w:r>
              <w:rPr>
                <w:rFonts w:hint="eastAsia"/>
                <w:sz w:val="21"/>
                <w:szCs w:val="21"/>
                <w:vertAlign w:val="subscript"/>
              </w:rPr>
              <w:t>10%</w:t>
            </w:r>
            <w:r>
              <w:rPr>
                <w:rFonts w:hint="eastAsia"/>
                <w:sz w:val="21"/>
                <w:szCs w:val="21"/>
              </w:rPr>
              <w:t>最远距离/m</w:t>
            </w:r>
          </w:p>
        </w:tc>
        <w:tc>
          <w:tcPr>
            <w:tcW w:w="428" w:type="pct"/>
            <w:vAlign w:val="center"/>
          </w:tcPr>
          <w:p>
            <w:pPr>
              <w:spacing w:line="240" w:lineRule="auto"/>
              <w:ind w:firstLine="0" w:firstLineChars="0"/>
              <w:jc w:val="center"/>
              <w:rPr>
                <w:sz w:val="21"/>
                <w:szCs w:val="21"/>
              </w:rPr>
            </w:pPr>
            <w:r>
              <w:rPr>
                <w:rFonts w:hint="eastAsia"/>
                <w:sz w:val="21"/>
                <w:szCs w:val="21"/>
              </w:rPr>
              <w:t>/</w:t>
            </w:r>
          </w:p>
        </w:tc>
        <w:tc>
          <w:tcPr>
            <w:tcW w:w="1319" w:type="pct"/>
            <w:gridSpan w:val="2"/>
            <w:vAlign w:val="center"/>
          </w:tcPr>
          <w:p>
            <w:pPr>
              <w:spacing w:line="240" w:lineRule="auto"/>
              <w:ind w:firstLine="0" w:firstLineChars="0"/>
              <w:jc w:val="center"/>
              <w:rPr>
                <w:sz w:val="21"/>
                <w:szCs w:val="21"/>
              </w:rPr>
            </w:pPr>
            <w:r>
              <w:rPr>
                <w:rFonts w:hint="eastAsia"/>
                <w:sz w:val="21"/>
                <w:szCs w:val="21"/>
              </w:rPr>
              <w:t>未出现</w:t>
            </w:r>
          </w:p>
        </w:tc>
        <w:tc>
          <w:tcPr>
            <w:tcW w:w="1227" w:type="pct"/>
            <w:gridSpan w:val="2"/>
            <w:vAlign w:val="center"/>
          </w:tcPr>
          <w:p>
            <w:pPr>
              <w:spacing w:line="240" w:lineRule="auto"/>
              <w:ind w:firstLine="0" w:firstLineChars="0"/>
              <w:jc w:val="center"/>
              <w:rPr>
                <w:sz w:val="21"/>
                <w:szCs w:val="21"/>
              </w:rPr>
            </w:pPr>
            <w:r>
              <w:rPr>
                <w:rFonts w:hint="eastAsia"/>
                <w:sz w:val="21"/>
                <w:szCs w:val="21"/>
              </w:rPr>
              <w:t>未出现</w:t>
            </w:r>
          </w:p>
        </w:tc>
        <w:tc>
          <w:tcPr>
            <w:tcW w:w="1227" w:type="pct"/>
            <w:gridSpan w:val="2"/>
            <w:vAlign w:val="center"/>
          </w:tcPr>
          <w:p>
            <w:pPr>
              <w:spacing w:line="240" w:lineRule="auto"/>
              <w:ind w:firstLine="0" w:firstLineChars="0"/>
              <w:jc w:val="center"/>
              <w:rPr>
                <w:sz w:val="21"/>
                <w:szCs w:val="21"/>
              </w:rPr>
            </w:pPr>
            <w:r>
              <w:rPr>
                <w:rFonts w:hint="eastAsia"/>
                <w:sz w:val="21"/>
                <w:szCs w:val="21"/>
              </w:rPr>
              <w:t>未出现</w:t>
            </w:r>
          </w:p>
        </w:tc>
      </w:tr>
    </w:tbl>
    <w:p>
      <w:pPr>
        <w:pStyle w:val="165"/>
        <w:ind w:firstLine="480"/>
        <w:rPr>
          <w:color w:val="FF0000"/>
          <w:highlight w:val="green"/>
        </w:rPr>
      </w:pPr>
    </w:p>
    <w:p>
      <w:pPr>
        <w:ind w:firstLine="480"/>
        <w:sectPr>
          <w:pgSz w:w="16838" w:h="11906" w:orient="landscape"/>
          <w:pgMar w:top="1797" w:right="1440" w:bottom="1797" w:left="1440" w:header="851" w:footer="992" w:gutter="0"/>
          <w:pgNumType w:fmt="decimal"/>
          <w:cols w:space="425" w:num="1"/>
          <w:docGrid w:linePitch="312" w:charSpace="0"/>
        </w:sectPr>
      </w:pPr>
      <w:r>
        <w:rPr>
          <w:rFonts w:hint="eastAsia"/>
        </w:rPr>
        <w:t>根据上述统计结果可知，本项目现代化高标准羊舍无组织排放源M2排放的氨的</w:t>
      </w:r>
      <w:r>
        <w:rPr>
          <w:rFonts w:hint="eastAsia"/>
          <w:color w:val="000000" w:themeColor="text1"/>
          <w14:textFill>
            <w14:solidFill>
              <w14:schemeClr w14:val="tx1"/>
            </w14:solidFill>
          </w14:textFill>
        </w:rPr>
        <w:t>最大地面空气质量浓度占标率</w:t>
      </w:r>
      <w:r>
        <w:rPr>
          <w:rFonts w:hint="eastAsia"/>
        </w:rPr>
        <w:t>为</w:t>
      </w:r>
      <w:r>
        <w:rPr>
          <w:rFonts w:hint="eastAsia"/>
          <w:lang w:val="en-US" w:eastAsia="zh-CN"/>
        </w:rPr>
        <w:t>6</w:t>
      </w:r>
      <w:r>
        <w:rPr>
          <w:rFonts w:hint="eastAsia"/>
        </w:rPr>
        <w:t>.22</w:t>
      </w:r>
      <w:r>
        <w:t>%</w:t>
      </w:r>
      <w:r>
        <w:rPr>
          <w:rFonts w:hint="eastAsia"/>
        </w:rPr>
        <w:t>，</w:t>
      </w:r>
      <w:r>
        <w:rPr>
          <w:rFonts w:hint="eastAsia"/>
          <w:color w:val="000000" w:themeColor="text1"/>
          <w14:textFill>
            <w14:solidFill>
              <w14:schemeClr w14:val="tx1"/>
            </w14:solidFill>
          </w14:textFill>
        </w:rPr>
        <w:t>污染物最大地面浓度占标率</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Pmax</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w:t>
      </w:r>
      <w:r>
        <w:rPr>
          <w:rFonts w:hint="eastAsia"/>
          <w:color w:val="000000" w:themeColor="text1"/>
          <w14:textFill>
            <w14:solidFill>
              <w14:schemeClr w14:val="tx1"/>
            </w14:solidFill>
          </w14:textFill>
        </w:rPr>
        <w:t>，确定本项目的大气环境评价工作等级为二级</w:t>
      </w:r>
      <w:r>
        <w:rPr>
          <w:rFonts w:hint="eastAsia"/>
        </w:rPr>
        <w:t>。</w:t>
      </w:r>
    </w:p>
    <w:p>
      <w:pPr>
        <w:pStyle w:val="5"/>
      </w:pPr>
      <w:r>
        <w:rPr>
          <w:rFonts w:hint="eastAsia"/>
        </w:rPr>
        <w:t>大气评价范围</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 大气环境》（HJ2.2-2018），评价范围根据建设项目排放污染物的最远影响距离（D10%）确定大气环境影响评价范围，本项目D10%未出现，当D10%小于2.5km时，评价范围边长取5km。因此，本次评价大气环境影响评价范围</w:t>
      </w:r>
      <w:r>
        <w:rPr>
          <w:rFonts w:hint="eastAsia"/>
          <w:color w:val="000000" w:themeColor="text1"/>
          <w:lang w:val="en-US" w:eastAsia="zh-CN"/>
          <w14:textFill>
            <w14:solidFill>
              <w14:schemeClr w14:val="tx1"/>
            </w14:solidFill>
          </w14:textFill>
        </w:rPr>
        <w:t>为项目厂址为中心区域，</w:t>
      </w:r>
      <w:r>
        <w:rPr>
          <w:rFonts w:hint="eastAsia"/>
          <w:color w:val="000000" w:themeColor="text1"/>
          <w14:textFill>
            <w14:solidFill>
              <w14:schemeClr w14:val="tx1"/>
            </w14:solidFill>
          </w14:textFill>
        </w:rPr>
        <w:t>边长取5km的矩形区域。</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项目大气环境评价范围如2.6-1所示。</w:t>
      </w:r>
    </w:p>
    <w:p>
      <w:pPr>
        <w:pStyle w:val="4"/>
        <w:spacing w:before="120" w:after="120"/>
        <w:rPr>
          <w:color w:val="auto"/>
        </w:rPr>
      </w:pPr>
      <w:r>
        <w:rPr>
          <w:rFonts w:hint="eastAsia"/>
          <w:color w:val="auto"/>
        </w:rPr>
        <w:t>地下水环境评价工作等级及评价范围</w:t>
      </w:r>
      <w:bookmarkEnd w:id="117"/>
    </w:p>
    <w:p>
      <w:pPr>
        <w:pStyle w:val="5"/>
        <w:spacing w:before="120" w:after="120"/>
        <w:rPr>
          <w:color w:val="auto"/>
        </w:rPr>
      </w:pPr>
      <w:r>
        <w:rPr>
          <w:rFonts w:hint="eastAsia"/>
          <w:color w:val="auto"/>
        </w:rPr>
        <w:t>地下水环境评价工作等级</w:t>
      </w:r>
    </w:p>
    <w:p>
      <w:pPr>
        <w:ind w:firstLine="480"/>
      </w:pPr>
      <w:r>
        <w:t>（1）项目类别</w:t>
      </w:r>
    </w:p>
    <w:p>
      <w:pPr>
        <w:ind w:firstLine="480"/>
      </w:pPr>
      <w:r>
        <w:rPr>
          <w:rFonts w:hint="eastAsia"/>
        </w:rPr>
        <w:t>本项目年存栏量50万只，年出栏量100万只，根据《畜禽养殖业污染物排放标准》（GB18596-2001）3只羊折算1头猪，本项目折合存栏量16.7万头猪，年出栏33.3万头猪。</w:t>
      </w:r>
    </w:p>
    <w:p>
      <w:pPr>
        <w:ind w:firstLine="480"/>
      </w:pPr>
      <w:r>
        <w:t>根据《环境影响评价技术导则</w:t>
      </w:r>
      <w:r>
        <w:rPr>
          <w:rFonts w:hint="eastAsia"/>
        </w:rPr>
        <w:t xml:space="preserve"> </w:t>
      </w:r>
      <w:r>
        <w:t>地下水环境》（HJ610-2016)）附录A地下水环境影响评价行业分类表</w:t>
      </w:r>
      <w:r>
        <w:rPr>
          <w:rFonts w:hint="eastAsia"/>
        </w:rPr>
        <w:t>“</w:t>
      </w:r>
      <w:r>
        <w:t>B农、林、牧、渔、海洋14、畜禽养殖场、养殖小区中年出栏生猪5000头（其他畜禽种类折合猪的养殖规模）及以上</w:t>
      </w:r>
      <w:r>
        <w:rPr>
          <w:rFonts w:hint="eastAsia"/>
        </w:rPr>
        <w:t>”</w:t>
      </w:r>
      <w:r>
        <w:t>，确定地下水环境影响评价项目分类中的Ⅲ类项目。</w:t>
      </w:r>
    </w:p>
    <w:p>
      <w:pPr>
        <w:ind w:firstLine="480"/>
      </w:pPr>
      <w:r>
        <w:t>（2）地下水环境敏感程度类别</w:t>
      </w:r>
    </w:p>
    <w:p>
      <w:pPr>
        <w:ind w:firstLine="480"/>
      </w:pPr>
      <w:r>
        <w:t>根据《环境影响评价技术导则</w:t>
      </w:r>
      <w:r>
        <w:rPr>
          <w:rFonts w:hint="eastAsia"/>
        </w:rPr>
        <w:t xml:space="preserve"> </w:t>
      </w:r>
      <w:r>
        <w:t>地下水环境》（HJ610-2016），依据表</w:t>
      </w:r>
      <w:r>
        <w:rPr>
          <w:rFonts w:hint="eastAsia"/>
        </w:rPr>
        <w:t>2.5.2-1</w:t>
      </w:r>
      <w:r>
        <w:t>判别本区地下水环境敏感程度。</w:t>
      </w:r>
    </w:p>
    <w:p>
      <w:pPr>
        <w:pStyle w:val="6"/>
      </w:pPr>
      <w:r>
        <w:t>表</w:t>
      </w:r>
      <w:r>
        <w:rPr>
          <w:rFonts w:hint="eastAsia"/>
        </w:rPr>
        <w:t xml:space="preserve">2.5.2-1   </w:t>
      </w:r>
      <w:r>
        <w:t>地下水环境敏感程度分级表</w:t>
      </w:r>
    </w:p>
    <w:tbl>
      <w:tblPr>
        <w:tblStyle w:val="3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7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敏感程度</w:t>
            </w:r>
          </w:p>
        </w:tc>
        <w:tc>
          <w:tcPr>
            <w:tcW w:w="4354"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地下水环境敏感特征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敏感</w:t>
            </w:r>
          </w:p>
        </w:tc>
        <w:tc>
          <w:tcPr>
            <w:tcW w:w="4354"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较敏感</w:t>
            </w:r>
          </w:p>
        </w:tc>
        <w:tc>
          <w:tcPr>
            <w:tcW w:w="4354"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不敏感</w:t>
            </w:r>
          </w:p>
        </w:tc>
        <w:tc>
          <w:tcPr>
            <w:tcW w:w="4354" w:type="pct"/>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上述地区之外其他地区a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pPr>
              <w:overflowPunct w:val="0"/>
              <w:spacing w:line="360" w:lineRule="exact"/>
              <w:ind w:firstLine="0" w:firstLineChars="0"/>
              <w:jc w:val="center"/>
              <w:textAlignment w:val="center"/>
              <w:rPr>
                <w:color w:val="000000" w:themeColor="text1"/>
                <w:sz w:val="21"/>
                <w14:textFill>
                  <w14:solidFill>
                    <w14:schemeClr w14:val="tx1"/>
                  </w14:solidFill>
                </w14:textFill>
              </w:rPr>
            </w:pPr>
            <w:r>
              <w:rPr>
                <w:color w:val="000000" w:themeColor="text1"/>
                <w:sz w:val="21"/>
                <w:szCs w:val="18"/>
                <w14:textFill>
                  <w14:solidFill>
                    <w14:schemeClr w14:val="tx1"/>
                  </w14:solidFill>
                </w14:textFill>
              </w:rPr>
              <w:t>注：a“环境敏感区”是指《建设项目环境影响评价分类管理名录》中所界定的涉及地下水的环境敏感区。</w:t>
            </w:r>
          </w:p>
        </w:tc>
      </w:tr>
    </w:tbl>
    <w:p>
      <w:pPr>
        <w:bidi w:val="0"/>
      </w:pPr>
      <w:r>
        <w:t>拟建项目位于</w:t>
      </w:r>
      <w:r>
        <w:rPr>
          <w:rFonts w:hint="eastAsia"/>
        </w:rPr>
        <w:t>巴彦淖尔市五原县塔尔湖镇胜丰八社</w:t>
      </w:r>
      <w:r>
        <w:t>，</w:t>
      </w:r>
      <w:r>
        <w:rPr>
          <w:rFonts w:hint="eastAsia"/>
        </w:rPr>
        <w:t>本项目区不属于集中式、分散式饮用水源地准保护区、特殊地下水资源保护区、补给径流区和特殊地下水资源保护区，在评价区的村庄近年均已通上了自来水，为集中供水，但部分居民家中仍有分散开采水井，主要用于自家菜地灌溉、牲畜饮水等用途，或者在自来水出现问题时作为备用井，基本无专门的生活饮用水井。</w:t>
      </w:r>
      <w:r>
        <w:t>因此，地下水环境敏感程度为“</w:t>
      </w:r>
      <w:r>
        <w:rPr>
          <w:rFonts w:hint="eastAsia"/>
        </w:rPr>
        <w:t>较</w:t>
      </w:r>
      <w:r>
        <w:t>敏感”。</w:t>
      </w:r>
    </w:p>
    <w:p>
      <w:pPr>
        <w:bidi w:val="0"/>
      </w:pPr>
      <w:r>
        <w:t>（3）评价等级确定</w:t>
      </w:r>
    </w:p>
    <w:p>
      <w:pPr>
        <w:bidi w:val="0"/>
      </w:pPr>
      <w:r>
        <w:t>根据《环境影响评价技术导则</w:t>
      </w:r>
      <w:r>
        <w:rPr>
          <w:rFonts w:hint="eastAsia"/>
        </w:rPr>
        <w:t xml:space="preserve"> </w:t>
      </w:r>
      <w:r>
        <w:t>地下水环境》（HJ610-2016），根据地下水环境敏感程度、项目地下水环境影响评价类别依据</w:t>
      </w:r>
      <w:r>
        <w:rPr>
          <w:rFonts w:hint="eastAsia"/>
        </w:rPr>
        <w:t>下</w:t>
      </w:r>
      <w:r>
        <w:t>表确定评价等级。</w:t>
      </w:r>
    </w:p>
    <w:p>
      <w:pPr>
        <w:pStyle w:val="6"/>
      </w:pPr>
      <w:r>
        <w:t>表</w:t>
      </w:r>
      <w:r>
        <w:rPr>
          <w:rFonts w:hint="eastAsia"/>
        </w:rPr>
        <w:t xml:space="preserve">2.5.2-2   </w:t>
      </w:r>
      <w:r>
        <w:t>地下水评价工作等级分级表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2132"/>
        <w:gridCol w:w="2132"/>
        <w:gridCol w:w="2132"/>
        <w:gridCol w:w="2132"/>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tl2br w:val="single" w:color="auto" w:sz="4" w:space="0"/>
            </w:tcBorders>
            <w:vAlign w:val="center"/>
          </w:tcPr>
          <w:p>
            <w:pPr>
              <w:overflowPunct w:val="0"/>
              <w:spacing w:line="360" w:lineRule="exact"/>
              <w:ind w:firstLine="0" w:firstLineChars="0"/>
              <w:jc w:val="right"/>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项目类别</w:t>
            </w:r>
          </w:p>
          <w:p>
            <w:pPr>
              <w:overflowPunct w:val="0"/>
              <w:spacing w:line="360" w:lineRule="exact"/>
              <w:ind w:firstLine="0" w:firstLineChars="0"/>
              <w:jc w:val="left"/>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环境敏感程度</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1 \* ROMAN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w: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类项目</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2 \* ROMAN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II</w: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类项目</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3 \* ROMAN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III</w: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类项目</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bottom w:val="single" w:color="auto" w:sz="4" w:space="0"/>
            </w:tcBorders>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敏感</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一</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一</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二</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tcBorders>
              <w:top w:val="single" w:color="auto" w:sz="4" w:space="0"/>
            </w:tcBorders>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较敏感</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一</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二</w:t>
            </w:r>
          </w:p>
        </w:tc>
        <w:tc>
          <w:tcPr>
            <w:tcW w:w="1250" w:type="pct"/>
            <w:shd w:val="clear" w:color="auto" w:fill="A5A5A5" w:themeFill="background1" w:themeFillShade="A6"/>
            <w:vAlign w:val="center"/>
          </w:tcPr>
          <w:p>
            <w:pPr>
              <w:pStyle w:val="232"/>
              <w:rPr>
                <w:b/>
                <w:bCs/>
                <w:color w:val="000000" w:themeColor="text1"/>
                <w14:textFill>
                  <w14:solidFill>
                    <w14:schemeClr w14:val="tx1"/>
                  </w14:solidFill>
                </w14:textFill>
              </w:rPr>
            </w:pPr>
            <w:r>
              <w:rPr>
                <w:b/>
                <w:bCs/>
                <w:color w:val="000000" w:themeColor="text1"/>
                <w:lang w:val="en-GB"/>
                <w14:textFill>
                  <w14:solidFill>
                    <w14:schemeClr w14:val="tx1"/>
                  </w14:solidFill>
                </w14:textFill>
              </w:rPr>
              <w:t>三</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不敏感</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二</w:t>
            </w:r>
          </w:p>
        </w:tc>
        <w:tc>
          <w:tcPr>
            <w:tcW w:w="1250" w:type="pct"/>
            <w:vAlign w:val="center"/>
          </w:tcPr>
          <w:p>
            <w:pPr>
              <w:overflowPunct w:val="0"/>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三</w:t>
            </w:r>
          </w:p>
        </w:tc>
        <w:tc>
          <w:tcPr>
            <w:tcW w:w="1250" w:type="pct"/>
            <w:shd w:val="clear" w:color="auto" w:fill="auto"/>
            <w:vAlign w:val="center"/>
          </w:tcPr>
          <w:p>
            <w:pPr>
              <w:pStyle w:val="232"/>
              <w:rPr>
                <w:color w:val="000000" w:themeColor="text1"/>
                <w14:textFill>
                  <w14:solidFill>
                    <w14:schemeClr w14:val="tx1"/>
                  </w14:solidFill>
                </w14:textFill>
              </w:rPr>
            </w:pPr>
            <w:r>
              <w:rPr>
                <w:color w:val="000000" w:themeColor="text1"/>
                <w:lang w:val="en-GB"/>
                <w14:textFill>
                  <w14:solidFill>
                    <w14:schemeClr w14:val="tx1"/>
                  </w14:solidFill>
                </w14:textFill>
              </w:rPr>
              <w:t>三</w:t>
            </w:r>
          </w:p>
        </w:tc>
      </w:tr>
    </w:tbl>
    <w:p>
      <w:pPr>
        <w:overflowPunct w:val="0"/>
        <w:ind w:firstLine="480"/>
        <w:rPr>
          <w:color w:val="000000" w:themeColor="text1"/>
          <w14:textFill>
            <w14:solidFill>
              <w14:schemeClr w14:val="tx1"/>
            </w14:solidFill>
          </w14:textFill>
        </w:rPr>
      </w:pPr>
      <w:r>
        <w:rPr>
          <w:color w:val="000000" w:themeColor="text1"/>
          <w14:textFill>
            <w14:solidFill>
              <w14:schemeClr w14:val="tx1"/>
            </w14:solidFill>
          </w14:textFill>
        </w:rPr>
        <w:t>依据建设项目地下水环境影响评价工作等级划分中的要求，项目为</w:t>
      </w:r>
      <w:r>
        <w:rPr>
          <w:rFonts w:hint="eastAsia" w:ascii="宋体" w:hAnsi="宋体"/>
          <w:color w:val="000000" w:themeColor="text1"/>
          <w14:textFill>
            <w14:solidFill>
              <w14:schemeClr w14:val="tx1"/>
            </w14:solidFill>
          </w14:textFill>
        </w:rPr>
        <w:t>Ⅲ</w:t>
      </w:r>
      <w:r>
        <w:rPr>
          <w:color w:val="000000" w:themeColor="text1"/>
          <w14:textFill>
            <w14:solidFill>
              <w14:schemeClr w14:val="tx1"/>
            </w14:solidFill>
          </w14:textFill>
        </w:rPr>
        <w:t>类项目环境敏感程度</w:t>
      </w:r>
      <w:r>
        <w:rPr>
          <w:rFonts w:asciiTheme="minorEastAsia" w:hAnsiTheme="minorEastAsia" w:eastAsiaTheme="minorEastAsia"/>
          <w:color w:val="000000" w:themeColor="text1"/>
          <w14:textFill>
            <w14:solidFill>
              <w14:schemeClr w14:val="tx1"/>
            </w14:solidFill>
          </w14:textFill>
        </w:rPr>
        <w:t>为“</w:t>
      </w:r>
      <w:r>
        <w:rPr>
          <w:rFonts w:hint="eastAsia" w:asciiTheme="minorEastAsia" w:hAnsiTheme="minorEastAsia" w:eastAsiaTheme="minorEastAsia"/>
          <w:color w:val="000000" w:themeColor="text1"/>
          <w14:textFill>
            <w14:solidFill>
              <w14:schemeClr w14:val="tx1"/>
            </w14:solidFill>
          </w14:textFill>
        </w:rPr>
        <w:t>较</w:t>
      </w:r>
      <w:r>
        <w:rPr>
          <w:rFonts w:asciiTheme="minorEastAsia" w:hAnsiTheme="minorEastAsia" w:eastAsiaTheme="minorEastAsia"/>
          <w:color w:val="000000" w:themeColor="text1"/>
          <w14:textFill>
            <w14:solidFill>
              <w14:schemeClr w14:val="tx1"/>
            </w14:solidFill>
          </w14:textFill>
        </w:rPr>
        <w:t>敏感”</w:t>
      </w:r>
      <w:r>
        <w:rPr>
          <w:color w:val="000000" w:themeColor="text1"/>
          <w14:textFill>
            <w14:solidFill>
              <w14:schemeClr w14:val="tx1"/>
            </w14:solidFill>
          </w14:textFill>
        </w:rPr>
        <w:t>，确定本项目地下水评价工作等级为</w:t>
      </w:r>
      <w:r>
        <w:rPr>
          <w:rFonts w:hint="eastAsia"/>
          <w:color w:val="000000" w:themeColor="text1"/>
          <w14:textFill>
            <w14:solidFill>
              <w14:schemeClr w14:val="tx1"/>
            </w14:solidFill>
          </w14:textFill>
        </w:rPr>
        <w:t>三</w:t>
      </w:r>
      <w:r>
        <w:rPr>
          <w:color w:val="000000" w:themeColor="text1"/>
          <w14:textFill>
            <w14:solidFill>
              <w14:schemeClr w14:val="tx1"/>
            </w14:solidFill>
          </w14:textFill>
        </w:rPr>
        <w:t>级。</w:t>
      </w:r>
    </w:p>
    <w:p>
      <w:pPr>
        <w:pStyle w:val="5"/>
        <w:spacing w:before="120" w:after="120"/>
        <w:rPr>
          <w:color w:val="auto"/>
        </w:rPr>
      </w:pPr>
      <w:r>
        <w:rPr>
          <w:rFonts w:hint="eastAsia"/>
          <w:color w:val="auto"/>
        </w:rPr>
        <w:t>地下水评价范围</w:t>
      </w:r>
    </w:p>
    <w:p>
      <w:pPr>
        <w:ind w:firstLine="480"/>
      </w:pPr>
      <w:r>
        <w:rPr>
          <w:rFonts w:hint="eastAsia"/>
        </w:rPr>
        <w:t>根据《环境影响评价技术导则 地下水环境》（HJ610-2016），建设项目地下水环境影响现状调查评价范围可采用公式法、查表法和自定义法确定。本次评价采用查表法确定地下水评价范围。地下水环境现状调查评价范围参照表见下表。</w:t>
      </w:r>
    </w:p>
    <w:p>
      <w:pPr>
        <w:pStyle w:val="6"/>
      </w:pPr>
      <w:r>
        <w:t>表</w:t>
      </w:r>
      <w:r>
        <w:rPr>
          <w:rFonts w:hint="eastAsia"/>
        </w:rPr>
        <w:t>2.5.2-3</w:t>
      </w:r>
      <w:r>
        <w:t xml:space="preserve">   地下水环境现状调查评价范围参照表</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250"/>
        <w:gridCol w:w="3356"/>
        <w:gridCol w:w="292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评价等级</w:t>
            </w:r>
          </w:p>
        </w:tc>
        <w:tc>
          <w:tcPr>
            <w:tcW w:w="196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调查评价范围（km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p>
        </w:tc>
        <w:tc>
          <w:tcPr>
            <w:tcW w:w="171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一级</w:t>
            </w:r>
          </w:p>
        </w:tc>
        <w:tc>
          <w:tcPr>
            <w:tcW w:w="196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20</w:t>
            </w:r>
          </w:p>
        </w:tc>
        <w:tc>
          <w:tcPr>
            <w:tcW w:w="1713"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应包括重要的地下水环境保护目标，必要时适当扩大范围。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二级</w:t>
            </w:r>
          </w:p>
        </w:tc>
        <w:tc>
          <w:tcPr>
            <w:tcW w:w="196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6~20</w:t>
            </w:r>
          </w:p>
        </w:tc>
        <w:tc>
          <w:tcPr>
            <w:tcW w:w="1713"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三级</w:t>
            </w:r>
          </w:p>
        </w:tc>
        <w:tc>
          <w:tcPr>
            <w:tcW w:w="196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6</w:t>
            </w:r>
          </w:p>
        </w:tc>
        <w:tc>
          <w:tcPr>
            <w:tcW w:w="1713" w:type="pct"/>
            <w:vMerge w:val="continue"/>
            <w:vAlign w:val="center"/>
          </w:tcPr>
          <w:p>
            <w:pPr>
              <w:pStyle w:val="232"/>
              <w:rPr>
                <w:color w:val="000000" w:themeColor="text1"/>
                <w14:textFill>
                  <w14:solidFill>
                    <w14:schemeClr w14:val="tx1"/>
                  </w14:solidFill>
                </w14:textFill>
              </w:rPr>
            </w:pPr>
          </w:p>
        </w:tc>
      </w:tr>
    </w:tbl>
    <w:p>
      <w:pPr>
        <w:ind w:firstLine="480"/>
        <w:rPr>
          <w:color w:val="000000" w:themeColor="text1"/>
          <w14:textFill>
            <w14:solidFill>
              <w14:schemeClr w14:val="tx1"/>
            </w14:solidFill>
          </w14:textFill>
        </w:rPr>
      </w:pPr>
    </w:p>
    <w:p>
      <w:pPr>
        <w:ind w:firstLine="480"/>
      </w:pPr>
      <w:r>
        <w:rPr>
          <w:rFonts w:hint="eastAsia"/>
        </w:rPr>
        <w:t>本项目区下游无集中式地下水源地，由西北向东南流；本次调查评价范围：上游西北侧扩展1.0km为界，侧游西南、东北侧向外扩展1.0km为界，东南至场区下游2.0km为界，面积约为</w:t>
      </w:r>
      <w:r>
        <w:t>6.0</w:t>
      </w:r>
      <w:r>
        <w:rPr>
          <w:rFonts w:hint="eastAsia"/>
        </w:rPr>
        <w:t>km</w:t>
      </w:r>
      <w:r>
        <w:rPr>
          <w:rFonts w:hint="eastAsia"/>
          <w:vertAlign w:val="superscript"/>
        </w:rPr>
        <w:t>2</w:t>
      </w:r>
      <w:r>
        <w:rPr>
          <w:rFonts w:hint="eastAsia"/>
        </w:rPr>
        <w:t>，如图2.6-1所示。</w:t>
      </w:r>
    </w:p>
    <w:p>
      <w:pPr>
        <w:pStyle w:val="4"/>
        <w:rPr>
          <w:color w:val="auto"/>
        </w:rPr>
      </w:pPr>
      <w:bookmarkStart w:id="118" w:name="_Toc24447068"/>
      <w:r>
        <w:rPr>
          <w:rFonts w:hint="eastAsia"/>
          <w:color w:val="auto"/>
        </w:rPr>
        <w:t>地表水环境评价工作等级</w:t>
      </w:r>
      <w:bookmarkEnd w:id="118"/>
    </w:p>
    <w:p>
      <w:pPr>
        <w:ind w:firstLine="480"/>
      </w:pPr>
      <w:r>
        <w:rPr>
          <w:rFonts w:hint="eastAsia"/>
        </w:rPr>
        <w:t>本项目为水污染影响型建设项目，</w:t>
      </w:r>
      <w:r>
        <w:t>无直接外排废水</w:t>
      </w:r>
      <w:r>
        <w:rPr>
          <w:rFonts w:hint="eastAsia"/>
        </w:rPr>
        <w:t>。根据《环境影响评价技术导则 地表水环境》（HJ2.3-2018）进行评价等级判定，见下表。</w:t>
      </w:r>
    </w:p>
    <w:p>
      <w:pPr>
        <w:pStyle w:val="6"/>
      </w:pPr>
      <w:r>
        <w:rPr>
          <w:rFonts w:hint="eastAsia"/>
        </w:rPr>
        <w:t>表2.5.3-1</w:t>
      </w:r>
      <w:r>
        <w:t xml:space="preserve">   </w:t>
      </w:r>
      <w:r>
        <w:rPr>
          <w:rFonts w:hint="eastAsia"/>
        </w:rPr>
        <w:t>水污染影响型建设项目评价等级判定表</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941"/>
        <w:gridCol w:w="1941"/>
        <w:gridCol w:w="464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138" w:type="pct"/>
            <w:vMerge w:val="restar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评级等级</w:t>
            </w:r>
          </w:p>
        </w:tc>
        <w:tc>
          <w:tcPr>
            <w:tcW w:w="3861" w:type="pct"/>
            <w:gridSpan w:val="2"/>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判定依据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138" w:type="pct"/>
            <w:vMerge w:val="continue"/>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p>
        </w:tc>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排放方式</w:t>
            </w:r>
          </w:p>
        </w:tc>
        <w:tc>
          <w:tcPr>
            <w:tcW w:w="2722"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废水排放量Q/（m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水污染物当量W/（量纲一）</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一级</w:t>
            </w:r>
          </w:p>
        </w:tc>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直接排放</w:t>
            </w:r>
          </w:p>
        </w:tc>
        <w:tc>
          <w:tcPr>
            <w:tcW w:w="2722"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Q≥20000或W≥600000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二级</w:t>
            </w:r>
          </w:p>
        </w:tc>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直接排放</w:t>
            </w:r>
          </w:p>
        </w:tc>
        <w:tc>
          <w:tcPr>
            <w:tcW w:w="2722"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三级A</w:t>
            </w:r>
          </w:p>
        </w:tc>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直接排放</w:t>
            </w:r>
          </w:p>
        </w:tc>
        <w:tc>
          <w:tcPr>
            <w:tcW w:w="2722"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Q＜200且W＜6000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三级B</w:t>
            </w:r>
          </w:p>
        </w:tc>
        <w:tc>
          <w:tcPr>
            <w:tcW w:w="1138"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间接排放</w:t>
            </w:r>
          </w:p>
        </w:tc>
        <w:tc>
          <w:tcPr>
            <w:tcW w:w="2722" w:type="pct"/>
            <w:tcBorders>
              <w:top w:val="single" w:color="auto" w:sz="4" w:space="0"/>
              <w:left w:val="single" w:color="auto" w:sz="4" w:space="0"/>
              <w:bottom w:val="single" w:color="auto" w:sz="4" w:space="0"/>
              <w:right w:val="single" w:color="auto" w:sz="4" w:space="0"/>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pPr>
        <w:ind w:firstLine="480"/>
      </w:pPr>
      <w:r>
        <w:rPr>
          <w:rFonts w:hint="eastAsia"/>
        </w:rPr>
        <w:t>项目废水属间接排放，因此项目地表水评价等级为三级B。</w:t>
      </w:r>
    </w:p>
    <w:p>
      <w:pPr>
        <w:pStyle w:val="4"/>
        <w:spacing w:before="120" w:after="120"/>
        <w:rPr>
          <w:color w:val="auto"/>
        </w:rPr>
      </w:pPr>
      <w:bookmarkStart w:id="119" w:name="_Toc24447072"/>
      <w:bookmarkStart w:id="120" w:name="_Toc24447070"/>
      <w:r>
        <w:rPr>
          <w:rFonts w:hint="eastAsia"/>
          <w:color w:val="auto"/>
        </w:rPr>
        <w:t>土壤评价工作等级及评价范围</w:t>
      </w:r>
      <w:bookmarkEnd w:id="119"/>
    </w:p>
    <w:p>
      <w:pPr>
        <w:pStyle w:val="5"/>
        <w:spacing w:before="120" w:after="120"/>
        <w:rPr>
          <w:color w:val="auto"/>
        </w:rPr>
      </w:pPr>
      <w:r>
        <w:rPr>
          <w:rFonts w:hint="eastAsia"/>
          <w:color w:val="auto"/>
        </w:rPr>
        <w:t>土壤评价工作等级</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（1）项目类别</w:t>
      </w:r>
    </w:p>
    <w:p>
      <w:pPr>
        <w:ind w:firstLine="480"/>
      </w:pPr>
      <w:r>
        <w:rPr>
          <w:rFonts w:hint="eastAsia"/>
        </w:rPr>
        <w:t>本项目年存栏量50万只，年出栏量100万只，根据《畜禽养殖业污染物排放标准》（GB18596-2001）3只羊折算1头猪，本项目折合存栏量16.7万头猪，年</w:t>
      </w:r>
      <w:r>
        <w:rPr>
          <w:rFonts w:hint="eastAsia"/>
          <w:color w:val="000000" w:themeColor="text1"/>
          <w14:textFill>
            <w14:solidFill>
              <w14:schemeClr w14:val="tx1"/>
            </w14:solidFill>
          </w14:textFill>
        </w:rPr>
        <w:t>出栏33.3万</w:t>
      </w:r>
      <w:r>
        <w:rPr>
          <w:rFonts w:hint="eastAsia"/>
        </w:rPr>
        <w:t>头猪，</w:t>
      </w:r>
      <w:r>
        <w:t>根据</w:t>
      </w:r>
      <w:r>
        <w:rPr>
          <w:rFonts w:hint="eastAsia"/>
          <w:lang w:val="en-GB"/>
        </w:rPr>
        <w:t>《环境影响评价技术导则 土壤环境（试行）》（HJ964-2018）</w:t>
      </w:r>
      <w:r>
        <w:t>附录A</w:t>
      </w:r>
      <w:r>
        <w:rPr>
          <w:rFonts w:hint="eastAsia"/>
        </w:rPr>
        <w:t>土壤</w:t>
      </w:r>
      <w:r>
        <w:t>环境影响评价行业分类表，</w:t>
      </w:r>
      <w:r>
        <w:rPr>
          <w:rFonts w:hint="eastAsia"/>
        </w:rPr>
        <w:t>属于“农林牧渔业”中“年出栏生猪</w:t>
      </w:r>
      <w:r>
        <w:rPr>
          <w:rFonts w:hint="eastAsia"/>
          <w:lang w:val="en-US" w:eastAsia="zh-CN"/>
        </w:rPr>
        <w:t>10万</w:t>
      </w:r>
      <w:r>
        <w:rPr>
          <w:rFonts w:hint="eastAsia"/>
        </w:rPr>
        <w:t>头（其他畜禽种类折合猪的养殖规模）及以上的畜禽养殖场或养殖小区”，</w:t>
      </w:r>
      <w:r>
        <w:t>确定土壤环境影响评价项目分类中的</w:t>
      </w:r>
      <w:r>
        <w:rPr>
          <w:rFonts w:hint="eastAsia"/>
          <w:lang w:val="en-US" w:eastAsia="zh-CN"/>
        </w:rPr>
        <w:t>II</w:t>
      </w:r>
      <w:r>
        <w:t>类项目。</w:t>
      </w:r>
    </w:p>
    <w:p>
      <w:pPr>
        <w:numPr>
          <w:ilvl w:val="0"/>
          <w:numId w:val="6"/>
        </w:numPr>
        <w:ind w:firstLine="480"/>
        <w:rPr>
          <w:color w:val="000000" w:themeColor="text1"/>
          <w:lang w:val="en-GB"/>
          <w14:textFill>
            <w14:solidFill>
              <w14:schemeClr w14:val="tx1"/>
            </w14:solidFill>
          </w14:textFill>
        </w:rPr>
      </w:pPr>
      <w:r>
        <w:rPr>
          <w:rFonts w:hint="eastAsia"/>
          <w:color w:val="000000" w:themeColor="text1"/>
          <w14:textFill>
            <w14:solidFill>
              <w14:schemeClr w14:val="tx1"/>
            </w14:solidFill>
          </w14:textFill>
        </w:rPr>
        <w:t>占地规模</w:t>
      </w:r>
    </w:p>
    <w:p>
      <w:pPr>
        <w:ind w:firstLine="480"/>
      </w:pPr>
      <w:r>
        <w:rPr>
          <w:rFonts w:hint="eastAsia"/>
        </w:rPr>
        <w:t>项目永久占地面积为1169137.06平方米（折合116.91公顷），占地规模为大型（≥50hm</w:t>
      </w:r>
      <w:r>
        <w:rPr>
          <w:rFonts w:hint="eastAsia"/>
          <w:vertAlign w:val="superscript"/>
        </w:rPr>
        <w:t>2</w:t>
      </w:r>
      <w:r>
        <w:rPr>
          <w:rFonts w:hint="eastAsia"/>
        </w:rPr>
        <w:t>）。</w:t>
      </w:r>
    </w:p>
    <w:p>
      <w:pPr>
        <w:numPr>
          <w:ilvl w:val="0"/>
          <w:numId w:val="6"/>
        </w:numPr>
        <w:ind w:firstLine="480"/>
        <w:rPr>
          <w:color w:val="000000" w:themeColor="text1"/>
          <w:lang w:val="en-GB"/>
          <w14:textFill>
            <w14:solidFill>
              <w14:schemeClr w14:val="tx1"/>
            </w14:solidFill>
          </w14:textFill>
        </w:rPr>
      </w:pPr>
      <w:r>
        <w:rPr>
          <w:rFonts w:hint="eastAsia"/>
          <w:color w:val="000000" w:themeColor="text1"/>
          <w14:textFill>
            <w14:solidFill>
              <w14:schemeClr w14:val="tx1"/>
            </w14:solidFill>
          </w14:textFill>
        </w:rPr>
        <w:t>土壤环境敏感程度</w:t>
      </w:r>
    </w:p>
    <w:p>
      <w:pPr>
        <w:ind w:firstLine="480"/>
        <w:rPr>
          <w:color w:val="000000" w:themeColor="text1"/>
          <w:lang w:val="en-GB"/>
          <w14:textFill>
            <w14:solidFill>
              <w14:schemeClr w14:val="tx1"/>
            </w14:solidFill>
          </w14:textFill>
        </w:rPr>
      </w:pPr>
      <w:r>
        <w:rPr>
          <w:rFonts w:hint="eastAsia"/>
          <w:color w:val="000000" w:themeColor="text1"/>
          <w:lang w:val="en-GB"/>
          <w14:textFill>
            <w14:solidFill>
              <w14:schemeClr w14:val="tx1"/>
            </w14:solidFill>
          </w14:textFill>
        </w:rPr>
        <w:t>依据《环境影响评价技术导则 土壤环境（试行）》（HJ964-2018），建设项目所在地周边的土壤环境敏感程度分为敏感、较敏感、不敏感，判别依据见下表。</w:t>
      </w:r>
    </w:p>
    <w:p>
      <w:pPr>
        <w:pStyle w:val="6"/>
      </w:pPr>
      <w:r>
        <w:t>表</w:t>
      </w:r>
      <w:r>
        <w:rPr>
          <w:rFonts w:hint="eastAsia"/>
        </w:rPr>
        <w:t>2.5.4-1   污染影响型敏感程度分级表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6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blHeader/>
        </w:trPr>
        <w:tc>
          <w:tcPr>
            <w:tcW w:w="100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敏感程度</w:t>
            </w:r>
          </w:p>
        </w:tc>
        <w:tc>
          <w:tcPr>
            <w:tcW w:w="399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判别依据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00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敏感</w:t>
            </w:r>
          </w:p>
        </w:tc>
        <w:tc>
          <w:tcPr>
            <w:tcW w:w="399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建设项目周边存在耕地、园地、牧草地、饮用水水源地或居民区、学校、医院、疗养院、养老院等土壤环境敏感目标的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00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较敏感</w:t>
            </w:r>
          </w:p>
        </w:tc>
        <w:tc>
          <w:tcPr>
            <w:tcW w:w="399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建设项目周边存在其他土壤环境敏感目标的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00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不敏感</w:t>
            </w:r>
          </w:p>
        </w:tc>
        <w:tc>
          <w:tcPr>
            <w:tcW w:w="399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其他情况</w:t>
            </w:r>
          </w:p>
        </w:tc>
      </w:tr>
    </w:tbl>
    <w:p>
      <w:pPr>
        <w:ind w:firstLine="0" w:firstLineChars="0"/>
        <w:rPr>
          <w:color w:val="000000" w:themeColor="text1"/>
          <w:lang w:val="en-GB"/>
          <w14:textFill>
            <w14:solidFill>
              <w14:schemeClr w14:val="tx1"/>
            </w14:solidFill>
          </w14:textFill>
        </w:rPr>
      </w:pPr>
    </w:p>
    <w:p>
      <w:pPr>
        <w:ind w:firstLine="480"/>
        <w:rPr>
          <w:lang w:val="en-GB"/>
        </w:rPr>
      </w:pPr>
      <w:r>
        <w:rPr>
          <w:rFonts w:hint="eastAsia"/>
          <w:lang w:val="en-GB"/>
        </w:rPr>
        <w:t>根据调查项目周边主要为耕地，</w:t>
      </w:r>
      <w:r>
        <w:rPr>
          <w:rFonts w:hint="eastAsia"/>
        </w:rPr>
        <w:t>故</w:t>
      </w:r>
      <w:r>
        <w:rPr>
          <w:rFonts w:hint="eastAsia"/>
          <w:lang w:val="en-GB"/>
        </w:rPr>
        <w:t>敏感程度属于敏感。</w:t>
      </w:r>
    </w:p>
    <w:p>
      <w:pPr>
        <w:numPr>
          <w:ilvl w:val="0"/>
          <w:numId w:val="6"/>
        </w:numPr>
        <w:ind w:firstLine="480"/>
        <w:rPr>
          <w:color w:val="000000" w:themeColor="text1"/>
          <w:lang w:val="en-GB"/>
          <w14:textFill>
            <w14:solidFill>
              <w14:schemeClr w14:val="tx1"/>
            </w14:solidFill>
          </w14:textFill>
        </w:rPr>
      </w:pPr>
      <w:r>
        <w:rPr>
          <w:rFonts w:hint="eastAsia"/>
          <w:color w:val="000000" w:themeColor="text1"/>
          <w:lang w:val="en-GB"/>
          <w14:textFill>
            <w14:solidFill>
              <w14:schemeClr w14:val="tx1"/>
            </w14:solidFill>
          </w14:textFill>
        </w:rPr>
        <w:t>评价等级</w:t>
      </w:r>
    </w:p>
    <w:p>
      <w:pPr>
        <w:ind w:firstLine="480"/>
        <w:rPr>
          <w:color w:val="000000" w:themeColor="text1"/>
          <w:lang w:val="en-GB"/>
          <w14:textFill>
            <w14:solidFill>
              <w14:schemeClr w14:val="tx1"/>
            </w14:solidFill>
          </w14:textFill>
        </w:rPr>
      </w:pPr>
      <w:r>
        <w:rPr>
          <w:rFonts w:hint="eastAsia"/>
          <w:color w:val="000000" w:themeColor="text1"/>
          <w14:textFill>
            <w14:solidFill>
              <w14:schemeClr w14:val="tx1"/>
            </w14:solidFill>
          </w14:textFill>
        </w:rPr>
        <w:t>综上，</w:t>
      </w:r>
      <w:r>
        <w:rPr>
          <w:rFonts w:hint="eastAsia"/>
          <w:color w:val="000000" w:themeColor="text1"/>
          <w:lang w:val="en-GB"/>
          <w14:textFill>
            <w14:solidFill>
              <w14:schemeClr w14:val="tx1"/>
            </w14:solidFill>
          </w14:textFill>
        </w:rPr>
        <w:t>本项目占地规模</w:t>
      </w:r>
      <w:r>
        <w:rPr>
          <w:rFonts w:hint="eastAsia"/>
          <w:color w:val="000000" w:themeColor="text1"/>
          <w14:textFill>
            <w14:solidFill>
              <w14:schemeClr w14:val="tx1"/>
            </w14:solidFill>
          </w14:textFill>
        </w:rPr>
        <w:t>大</w:t>
      </w:r>
      <w:r>
        <w:rPr>
          <w:rFonts w:hint="eastAsia"/>
          <w:color w:val="000000" w:themeColor="text1"/>
          <w:lang w:val="en-GB"/>
          <w14:textFill>
            <w14:solidFill>
              <w14:schemeClr w14:val="tx1"/>
            </w14:solidFill>
          </w14:textFill>
        </w:rPr>
        <w:t>型；项目为污染影响型</w:t>
      </w:r>
      <w:r>
        <w:rPr>
          <w:rFonts w:hint="eastAsia"/>
          <w:color w:val="000000" w:themeColor="text1"/>
          <w14:textFill>
            <w14:solidFill>
              <w14:schemeClr w14:val="tx1"/>
            </w14:solidFill>
          </w14:textFill>
        </w:rPr>
        <w:t>III类项目</w:t>
      </w:r>
      <w:r>
        <w:rPr>
          <w:rFonts w:hint="eastAsia"/>
          <w:color w:val="000000" w:themeColor="text1"/>
          <w:lang w:val="en-GB"/>
          <w14:textFill>
            <w14:solidFill>
              <w14:schemeClr w14:val="tx1"/>
            </w14:solidFill>
          </w14:textFill>
        </w:rPr>
        <w:t>，</w:t>
      </w:r>
      <w:r>
        <w:rPr>
          <w:rFonts w:hint="eastAsia"/>
          <w:color w:val="000000" w:themeColor="text1"/>
          <w14:textFill>
            <w14:solidFill>
              <w14:schemeClr w14:val="tx1"/>
            </w14:solidFill>
          </w14:textFill>
        </w:rPr>
        <w:t>敏感程度为敏感，</w:t>
      </w:r>
      <w:r>
        <w:rPr>
          <w:rFonts w:hint="eastAsia"/>
          <w:color w:val="000000" w:themeColor="text1"/>
          <w:lang w:val="en-GB"/>
          <w14:textFill>
            <w14:solidFill>
              <w14:schemeClr w14:val="tx1"/>
            </w14:solidFill>
          </w14:textFill>
        </w:rPr>
        <w:t>评价工作等级划分见下表。</w:t>
      </w:r>
    </w:p>
    <w:p>
      <w:pPr>
        <w:pStyle w:val="6"/>
        <w:rPr>
          <w:lang w:val="en-GB"/>
        </w:rPr>
      </w:pPr>
      <w:r>
        <w:rPr>
          <w:rFonts w:hint="eastAsia"/>
          <w:lang w:val="en-GB"/>
        </w:rPr>
        <w:t>表</w:t>
      </w:r>
      <w:r>
        <w:rPr>
          <w:rFonts w:hint="eastAsia"/>
        </w:rPr>
        <w:t xml:space="preserve">2.5.4-2   </w:t>
      </w:r>
      <w:r>
        <w:rPr>
          <w:rFonts w:hint="eastAsia"/>
          <w:lang w:val="en-GB"/>
        </w:rPr>
        <w:t>污染影响型评价工作等级划分表</w:t>
      </w: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707"/>
        <w:gridCol w:w="709"/>
        <w:gridCol w:w="710"/>
        <w:gridCol w:w="713"/>
        <w:gridCol w:w="710"/>
        <w:gridCol w:w="711"/>
        <w:gridCol w:w="848"/>
        <w:gridCol w:w="710"/>
        <w:gridCol w:w="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3" w:type="pct"/>
            <w:vMerge w:val="restart"/>
          </w:tcPr>
          <w:p>
            <w:pPr>
              <w:pStyle w:val="184"/>
              <w:spacing w:before="120" w:line="240" w:lineRule="auto"/>
              <w:rPr>
                <w:b w:val="0"/>
                <w:szCs w:val="21"/>
              </w:rPr>
            </w:pPr>
            <w:r>
              <w:rPr>
                <w:rFonts w:hint="eastAsia"/>
                <w:b w:val="0"/>
                <w:szCs w:val="21"/>
              </w:rPr>
              <mc:AlternateContent>
                <mc:Choice Requires="wps">
                  <w:drawing>
                    <wp:anchor distT="0" distB="0" distL="114300" distR="114300" simplePos="0" relativeHeight="251662336" behindDoc="0" locked="0" layoutInCell="1" allowOverlap="1">
                      <wp:simplePos x="0" y="0"/>
                      <wp:positionH relativeFrom="column">
                        <wp:posOffset>297180</wp:posOffset>
                      </wp:positionH>
                      <wp:positionV relativeFrom="paragraph">
                        <wp:posOffset>-10795</wp:posOffset>
                      </wp:positionV>
                      <wp:extent cx="771525" cy="752475"/>
                      <wp:effectExtent l="3175" t="3175" r="6350" b="6350"/>
                      <wp:wrapNone/>
                      <wp:docPr id="227" name="直接连接符 227"/>
                      <wp:cNvGraphicFramePr/>
                      <a:graphic xmlns:a="http://schemas.openxmlformats.org/drawingml/2006/main">
                        <a:graphicData uri="http://schemas.microsoft.com/office/word/2010/wordprocessingShape">
                          <wps:wsp>
                            <wps:cNvCnPr/>
                            <wps:spPr>
                              <a:xfrm flipH="1" flipV="1">
                                <a:off x="0" y="0"/>
                                <a:ext cx="771526" cy="7524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3.4pt;margin-top:-0.85pt;height:59.25pt;width:60.75pt;z-index:251662336;mso-width-relative:page;mso-height-relative:page;" filled="f" stroked="t" coordsize="21600,21600" o:gfxdata="UEsDBAoAAAAAAIdO4kAAAAAAAAAAAAAAAAAEAAAAZHJzL1BLAwQUAAAACACHTuJAvaW+FNMAAAAJ&#10;AQAADwAAAGRycy9kb3ducmV2LnhtbE2PwU7DMBBE70j8g7VI3Fo7gJIoxOmhUj+gBVUc3XiJI+x1&#10;iN2m/D3bE9xmNauZN+3mGry44JzGSBqKtQKB1Ec70qDh/W23qkGkbMgaHwk1/GCCTXd/15rGxoX2&#10;eDnkQXAIpcZocDlPjZSpdxhMWscJib3POAeT+ZwHaWezcHjw8kmpUgYzEjc4M+HWYf91OAcNvlb1&#10;93FbLR97yy27o3dUFVo/PhTqFUTGa/57hhs+o0PHTKd4JpuE1/BSMnnWsCoqEDe/rJ9BnFiwAtm1&#10;8v+C7hdQSwMEFAAAAAgAh07iQOU9rQrqAQAAtgMAAA4AAABkcnMvZTJvRG9jLnhtbK1TzY7TMBC+&#10;I/EOlu80bUQbiJruYauFA4JKwN5dx04s+U8eb9O+BC+AxA1OHLnzNiyPsWMnFFgueyAHazw/38z3&#10;Zby+OBpNDiKAcrahi9mcEmG5a5XtGvr+3dWTZ5RAZLZl2lnR0JMAerF5/Gg9+FqUrne6FYEgiIV6&#10;8A3tY/R1UQDvhWEwc15YDEoXDIt4DV3RBjYgutFFOZ+visGF1gfHBQB6t2OQTojhIYBOSsXF1vEb&#10;I2wcUYPQLCIl6JUHusnTSil4fCMliEh0Q5FpzCc2QXufzmKzZnUXmO8Vn0ZgDxnhHifDlMWmZ6gt&#10;i4zcBPUPlFE8OHAyzrgzxUgkK4IsFvN72rztmReZC0oN/iw6/D9Y/vqwC0S1DS3LihLLDP7y24/f&#10;fnz4/PP7Jzxvv34hKYRCDR5qzL+0uzDdwO9CYn2UwRCplX+JG0WzdZ2sFEOO5JgFP50FF8dIODqr&#10;arEsV5RwDFXL8mm1Sn2KETAV+wDxhXCGJKOhWtmkB6vZ4RXEMfVXSnJbd6W0Rj+rtSVDQ58vyyXC&#10;M9xTifuBpvHIFWxHCdMdPgAeQ0YEp1WbqlMxhG5/qQM5sLQ2+ZsG+ysttd4y6Me8HJrStEUaSa9R&#10;oWTtXXvKwmU//s5MdFq9tC9/3nP17+e2u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9pb4U0wAA&#10;AAkBAAAPAAAAAAAAAAEAIAAAACIAAABkcnMvZG93bnJldi54bWxQSwECFAAUAAAACACHTuJA5T2t&#10;CuoBAAC2AwAADgAAAAAAAAABACAAAAAiAQAAZHJzL2Uyb0RvYy54bWxQSwUGAAAAAAYABgBZAQAA&#10;fgUAAAAA&#10;">
                      <v:fill on="f" focussize="0,0"/>
                      <v:stroke color="#000000 [3213]" joinstyle="round"/>
                      <v:imagedata o:title=""/>
                      <o:lock v:ext="edit" aspectratio="f"/>
                    </v:line>
                  </w:pict>
                </mc:Fallback>
              </mc:AlternateContent>
            </w:r>
            <w:r>
              <w:rPr>
                <w:b w:val="0"/>
                <w:szCs w:val="21"/>
              </w:rPr>
              <w:t xml:space="preserve">        </w:t>
            </w:r>
            <w:r>
              <w:rPr>
                <w:rFonts w:hint="eastAsia"/>
                <w:b w:val="0"/>
                <w:szCs w:val="21"/>
              </w:rPr>
              <w:t>占地规模</w:t>
            </w:r>
          </w:p>
          <w:p>
            <w:pPr>
              <w:pStyle w:val="184"/>
              <w:spacing w:before="120" w:line="240" w:lineRule="auto"/>
              <w:jc w:val="both"/>
              <w:rPr>
                <w:b w:val="0"/>
                <w:szCs w:val="21"/>
              </w:rPr>
            </w:pPr>
            <w:r>
              <w:rPr>
                <w:rFonts w:hint="eastAsia"/>
                <w:b w:val="0"/>
                <w:szCs w:val="21"/>
              </w:rPr>
              <mc:AlternateContent>
                <mc:Choice Requires="wps">
                  <w:drawing>
                    <wp:anchor distT="0" distB="0" distL="114300" distR="114300" simplePos="0" relativeHeight="251661312" behindDoc="0" locked="0" layoutInCell="1" allowOverlap="1">
                      <wp:simplePos x="0" y="0"/>
                      <wp:positionH relativeFrom="column">
                        <wp:posOffset>-55245</wp:posOffset>
                      </wp:positionH>
                      <wp:positionV relativeFrom="paragraph">
                        <wp:posOffset>168910</wp:posOffset>
                      </wp:positionV>
                      <wp:extent cx="1122680" cy="323215"/>
                      <wp:effectExtent l="1270" t="4445" r="19050" b="15240"/>
                      <wp:wrapNone/>
                      <wp:docPr id="1" name="直接连接符 1"/>
                      <wp:cNvGraphicFramePr/>
                      <a:graphic xmlns:a="http://schemas.openxmlformats.org/drawingml/2006/main">
                        <a:graphicData uri="http://schemas.microsoft.com/office/word/2010/wordprocessingShape">
                          <wps:wsp>
                            <wps:cNvCnPr/>
                            <wps:spPr>
                              <a:xfrm flipH="1" flipV="1">
                                <a:off x="0" y="0"/>
                                <a:ext cx="1122680" cy="3232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4.35pt;margin-top:13.3pt;height:25.45pt;width:88.4pt;z-index:251661312;mso-width-relative:page;mso-height-relative:page;" filled="f" stroked="t" coordsize="21600,21600" o:gfxdata="UEsDBAoAAAAAAIdO4kAAAAAAAAAAAAAAAAAEAAAAZHJzL1BLAwQUAAAACACHTuJALeMmYNMAAAAI&#10;AQAADwAAAGRycy9kb3ducmV2LnhtbE2PwU7DMBBE70j8g7VI3Fo7lYitEKeHSv2AFlRxdOMljrDX&#10;IXab8ve4JziOZjTzpt3egmdXnNMYSUO1FsCQ+mhHGjS8v+1XCljKhqzxkVDDDybYdo8PrWlsXOiA&#10;12MeWCmh1BgNLuep4Tz1DoNJ6zghFe8zzsHkIueB29kspTx4vhGi5sGMVBacmXDnsP86XoIGr4T6&#10;Pu3k8nGwZWV/8o5kpfXzUyVegWW85b8w3PELOnSF6RwvZBPzGlZKlqSGTV0Du/u1qoCdNUj5Arxr&#10;+f8D3S9QSwMEFAAAAAgAh07iQAPbQfrnAQAAswMAAA4AAABkcnMvZTJvRG9jLnhtbK1TvY7UMBDu&#10;kXgHyz2bTU57OqLNXnGrgwLBSfz0s46TWPKfPL7N7kvwAkh0UFHS8zYcj8HYCQsczRWksMbz8818&#10;nyfry4PRbC8DKmcbXi6WnEkrXKts3/C3b66fXHCGEWwL2lnZ8KNEfrl5/Gg9+lpWbnC6lYERiMV6&#10;9A0fYvR1UaAYpAFcOC8tBTsXDES6hr5oA4yEbnRRLZfnxehC64MTEpG82ynIZ8TwEEDXdUrIrRO3&#10;Rto4oQapIRIlHJRHvsnTdp0U8VXXoYxMN5yYxnxSE7J36Sw2a6j7AH5QYh4BHjLCPU4GlKWmJ6gt&#10;RGC3Qf0DZZQIDl0XF8KZYiKSFSEW5fKeNq8H8DJzIanRn0TH/wcrXu5vAlMtbQJnFgw9+N2Hr9/f&#10;f/rx7SOdd18+szKJNHqsKffK3oT5hv4mJMaHLhjWaeWfZ4xkvUtWihE/dshiH09iy0NkgpxlWVXn&#10;F/QOgmJn1VlVrlKjYkJM1T5gfCadYclouFY2iQE17F9gnFJ/pSS3dddKa/JDrS0bG/50Va0IHmhJ&#10;O1oOMo0nomh7zkD3tP0ihoyITqs2VadiDP3uSge2h7Qz+ZsH+ysttd4CDlNeDs1p2hKNJNgkUbJ2&#10;rj1m5bKf3jITnfcuLcuf91z9+1/b/A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t4yZg0wAAAAgB&#10;AAAPAAAAAAAAAAEAIAAAACIAAABkcnMvZG93bnJldi54bWxQSwECFAAUAAAACACHTuJAA9tB+ucB&#10;AACzAwAADgAAAAAAAAABACAAAAAiAQAAZHJzL2Uyb0RvYy54bWxQSwUGAAAAAAYABgBZAQAAewUA&#10;AAAA&#10;">
                      <v:fill on="f" focussize="0,0"/>
                      <v:stroke color="#000000 [3213]" joinstyle="round"/>
                      <v:imagedata o:title=""/>
                      <o:lock v:ext="edit" aspectratio="f"/>
                    </v:line>
                  </w:pict>
                </mc:Fallback>
              </mc:AlternateContent>
            </w:r>
            <w:r>
              <w:rPr>
                <w:rFonts w:hint="eastAsia"/>
                <w:b w:val="0"/>
                <w:szCs w:val="21"/>
              </w:rPr>
              <w:t>评价工作等级</w:t>
            </w:r>
          </w:p>
          <w:p>
            <w:pPr>
              <w:pStyle w:val="184"/>
              <w:spacing w:before="120" w:line="240" w:lineRule="auto"/>
              <w:jc w:val="both"/>
              <w:rPr>
                <w:b w:val="0"/>
                <w:szCs w:val="21"/>
              </w:rPr>
            </w:pPr>
            <w:r>
              <w:rPr>
                <w:rFonts w:hint="eastAsia"/>
                <w:b w:val="0"/>
                <w:szCs w:val="21"/>
              </w:rPr>
              <w:t>敏感程度</w:t>
            </w:r>
          </w:p>
        </w:tc>
        <w:tc>
          <w:tcPr>
            <w:tcW w:w="1247" w:type="pct"/>
            <w:gridSpan w:val="3"/>
          </w:tcPr>
          <w:p>
            <w:pPr>
              <w:pStyle w:val="184"/>
              <w:spacing w:before="120" w:line="240" w:lineRule="auto"/>
              <w:rPr>
                <w:b w:val="0"/>
                <w:szCs w:val="21"/>
              </w:rPr>
            </w:pPr>
            <w:r>
              <w:rPr>
                <w:b w:val="0"/>
                <w:szCs w:val="21"/>
              </w:rPr>
              <w:t>I</w:t>
            </w:r>
            <w:r>
              <w:rPr>
                <w:rFonts w:hint="eastAsia"/>
                <w:b w:val="0"/>
                <w:szCs w:val="21"/>
              </w:rPr>
              <w:t>类</w:t>
            </w:r>
          </w:p>
        </w:tc>
        <w:tc>
          <w:tcPr>
            <w:tcW w:w="1251" w:type="pct"/>
            <w:gridSpan w:val="3"/>
          </w:tcPr>
          <w:p>
            <w:pPr>
              <w:pStyle w:val="184"/>
              <w:spacing w:before="120" w:line="240" w:lineRule="auto"/>
              <w:rPr>
                <w:b w:val="0"/>
                <w:szCs w:val="21"/>
              </w:rPr>
            </w:pPr>
            <w:r>
              <w:rPr>
                <w:b/>
                <w:bCs/>
                <w:szCs w:val="21"/>
              </w:rPr>
              <w:t>II</w:t>
            </w:r>
            <w:r>
              <w:rPr>
                <w:rFonts w:hint="eastAsia"/>
                <w:b/>
                <w:bCs/>
                <w:szCs w:val="21"/>
              </w:rPr>
              <w:t>类</w:t>
            </w:r>
          </w:p>
        </w:tc>
        <w:tc>
          <w:tcPr>
            <w:tcW w:w="1357" w:type="pct"/>
            <w:gridSpan w:val="3"/>
          </w:tcPr>
          <w:p>
            <w:pPr>
              <w:pStyle w:val="184"/>
              <w:spacing w:before="120" w:line="240" w:lineRule="auto"/>
              <w:rPr>
                <w:b w:val="0"/>
                <w:bCs w:val="0"/>
                <w:szCs w:val="21"/>
              </w:rPr>
            </w:pPr>
            <w:r>
              <w:rPr>
                <w:b w:val="0"/>
                <w:bCs w:val="0"/>
                <w:szCs w:val="21"/>
              </w:rPr>
              <w:t>III</w:t>
            </w:r>
            <w:r>
              <w:rPr>
                <w:rFonts w:hint="eastAsia"/>
                <w:b w:val="0"/>
                <w:bCs w:val="0"/>
                <w:szCs w:val="21"/>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3" w:type="pct"/>
            <w:vMerge w:val="continue"/>
          </w:tcPr>
          <w:p>
            <w:pPr>
              <w:pStyle w:val="184"/>
              <w:spacing w:before="120" w:line="240" w:lineRule="auto"/>
              <w:rPr>
                <w:b w:val="0"/>
                <w:szCs w:val="21"/>
              </w:rPr>
            </w:pPr>
          </w:p>
        </w:tc>
        <w:tc>
          <w:tcPr>
            <w:tcW w:w="415" w:type="pct"/>
            <w:vAlign w:val="center"/>
          </w:tcPr>
          <w:p>
            <w:pPr>
              <w:pStyle w:val="184"/>
              <w:spacing w:before="120" w:line="240" w:lineRule="auto"/>
              <w:rPr>
                <w:b w:val="0"/>
                <w:szCs w:val="21"/>
              </w:rPr>
            </w:pPr>
            <w:r>
              <w:rPr>
                <w:rFonts w:hint="eastAsia"/>
                <w:b w:val="0"/>
                <w:szCs w:val="21"/>
              </w:rPr>
              <w:t>大</w:t>
            </w:r>
          </w:p>
        </w:tc>
        <w:tc>
          <w:tcPr>
            <w:tcW w:w="416" w:type="pct"/>
            <w:vAlign w:val="center"/>
          </w:tcPr>
          <w:p>
            <w:pPr>
              <w:pStyle w:val="184"/>
              <w:spacing w:before="120" w:line="240" w:lineRule="auto"/>
              <w:rPr>
                <w:b w:val="0"/>
                <w:szCs w:val="21"/>
              </w:rPr>
            </w:pPr>
            <w:r>
              <w:rPr>
                <w:rFonts w:hint="eastAsia"/>
                <w:b w:val="0"/>
                <w:szCs w:val="21"/>
              </w:rPr>
              <w:t>中</w:t>
            </w:r>
          </w:p>
        </w:tc>
        <w:tc>
          <w:tcPr>
            <w:tcW w:w="416" w:type="pct"/>
            <w:vAlign w:val="center"/>
          </w:tcPr>
          <w:p>
            <w:pPr>
              <w:pStyle w:val="184"/>
              <w:spacing w:before="120" w:line="240" w:lineRule="auto"/>
              <w:rPr>
                <w:b w:val="0"/>
                <w:szCs w:val="21"/>
              </w:rPr>
            </w:pPr>
            <w:r>
              <w:rPr>
                <w:rFonts w:hint="eastAsia"/>
                <w:b w:val="0"/>
                <w:szCs w:val="21"/>
              </w:rPr>
              <w:t>小</w:t>
            </w:r>
          </w:p>
        </w:tc>
        <w:tc>
          <w:tcPr>
            <w:tcW w:w="418" w:type="pct"/>
            <w:vAlign w:val="center"/>
          </w:tcPr>
          <w:p>
            <w:pPr>
              <w:pStyle w:val="184"/>
              <w:spacing w:before="120" w:line="240" w:lineRule="auto"/>
              <w:rPr>
                <w:b w:val="0"/>
                <w:szCs w:val="21"/>
              </w:rPr>
            </w:pPr>
            <w:r>
              <w:rPr>
                <w:rFonts w:hint="eastAsia"/>
                <w:b/>
                <w:bCs/>
                <w:szCs w:val="21"/>
              </w:rPr>
              <w:t>大</w:t>
            </w:r>
          </w:p>
        </w:tc>
        <w:tc>
          <w:tcPr>
            <w:tcW w:w="416" w:type="pct"/>
            <w:vAlign w:val="center"/>
          </w:tcPr>
          <w:p>
            <w:pPr>
              <w:pStyle w:val="184"/>
              <w:spacing w:before="120" w:line="240" w:lineRule="auto"/>
              <w:rPr>
                <w:b w:val="0"/>
                <w:szCs w:val="21"/>
              </w:rPr>
            </w:pPr>
            <w:r>
              <w:rPr>
                <w:rFonts w:hint="eastAsia"/>
                <w:b w:val="0"/>
                <w:szCs w:val="21"/>
              </w:rPr>
              <w:t>中</w:t>
            </w:r>
          </w:p>
        </w:tc>
        <w:tc>
          <w:tcPr>
            <w:tcW w:w="416" w:type="pct"/>
            <w:vAlign w:val="center"/>
          </w:tcPr>
          <w:p>
            <w:pPr>
              <w:pStyle w:val="184"/>
              <w:spacing w:before="120" w:line="240" w:lineRule="auto"/>
              <w:rPr>
                <w:b w:val="0"/>
                <w:szCs w:val="21"/>
              </w:rPr>
            </w:pPr>
            <w:r>
              <w:rPr>
                <w:rFonts w:hint="eastAsia"/>
                <w:b w:val="0"/>
                <w:szCs w:val="21"/>
              </w:rPr>
              <w:t>小</w:t>
            </w:r>
          </w:p>
        </w:tc>
        <w:tc>
          <w:tcPr>
            <w:tcW w:w="497" w:type="pct"/>
            <w:vAlign w:val="center"/>
          </w:tcPr>
          <w:p>
            <w:pPr>
              <w:pStyle w:val="184"/>
              <w:spacing w:before="120" w:line="240" w:lineRule="auto"/>
              <w:rPr>
                <w:b w:val="0"/>
                <w:bCs w:val="0"/>
                <w:szCs w:val="21"/>
              </w:rPr>
            </w:pPr>
            <w:r>
              <w:rPr>
                <w:rFonts w:hint="eastAsia"/>
                <w:b w:val="0"/>
                <w:bCs w:val="0"/>
                <w:szCs w:val="21"/>
              </w:rPr>
              <w:t>大</w:t>
            </w:r>
          </w:p>
        </w:tc>
        <w:tc>
          <w:tcPr>
            <w:tcW w:w="416" w:type="pct"/>
            <w:vAlign w:val="center"/>
          </w:tcPr>
          <w:p>
            <w:pPr>
              <w:pStyle w:val="184"/>
              <w:spacing w:before="120" w:line="240" w:lineRule="auto"/>
              <w:rPr>
                <w:b w:val="0"/>
                <w:bCs w:val="0"/>
                <w:szCs w:val="21"/>
              </w:rPr>
            </w:pPr>
            <w:r>
              <w:rPr>
                <w:rFonts w:hint="eastAsia"/>
                <w:b w:val="0"/>
                <w:bCs w:val="0"/>
                <w:szCs w:val="21"/>
              </w:rPr>
              <w:t>中</w:t>
            </w:r>
          </w:p>
        </w:tc>
        <w:tc>
          <w:tcPr>
            <w:tcW w:w="443" w:type="pct"/>
            <w:vAlign w:val="center"/>
          </w:tcPr>
          <w:p>
            <w:pPr>
              <w:pStyle w:val="184"/>
              <w:spacing w:before="120" w:line="240" w:lineRule="auto"/>
              <w:rPr>
                <w:b w:val="0"/>
                <w:bCs w:val="0"/>
                <w:szCs w:val="21"/>
              </w:rPr>
            </w:pPr>
            <w:r>
              <w:rPr>
                <w:rFonts w:hint="eastAsia"/>
                <w:b w:val="0"/>
                <w:bCs w:val="0"/>
                <w:szCs w:val="21"/>
              </w:rPr>
              <w:t>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3" w:type="pct"/>
          </w:tcPr>
          <w:p>
            <w:pPr>
              <w:pStyle w:val="184"/>
              <w:spacing w:before="120" w:line="240" w:lineRule="auto"/>
              <w:rPr>
                <w:bCs/>
                <w:szCs w:val="21"/>
              </w:rPr>
            </w:pPr>
            <w:r>
              <w:rPr>
                <w:rFonts w:hint="eastAsia"/>
                <w:bCs/>
                <w:szCs w:val="21"/>
              </w:rPr>
              <w:t>敏感</w:t>
            </w:r>
          </w:p>
        </w:tc>
        <w:tc>
          <w:tcPr>
            <w:tcW w:w="415" w:type="pct"/>
            <w:vAlign w:val="center"/>
          </w:tcPr>
          <w:p>
            <w:pPr>
              <w:pStyle w:val="184"/>
              <w:spacing w:before="120" w:line="240" w:lineRule="auto"/>
              <w:rPr>
                <w:b w:val="0"/>
                <w:szCs w:val="21"/>
              </w:rPr>
            </w:pPr>
            <w:r>
              <w:rPr>
                <w:rFonts w:hint="eastAsia"/>
                <w:b w:val="0"/>
                <w:szCs w:val="21"/>
              </w:rPr>
              <w:t>一级</w:t>
            </w:r>
          </w:p>
        </w:tc>
        <w:tc>
          <w:tcPr>
            <w:tcW w:w="416" w:type="pct"/>
            <w:vAlign w:val="center"/>
          </w:tcPr>
          <w:p>
            <w:pPr>
              <w:pStyle w:val="184"/>
              <w:spacing w:before="120" w:line="240" w:lineRule="auto"/>
              <w:rPr>
                <w:b w:val="0"/>
                <w:szCs w:val="21"/>
              </w:rPr>
            </w:pPr>
            <w:r>
              <w:rPr>
                <w:rFonts w:hint="eastAsia"/>
                <w:b w:val="0"/>
                <w:szCs w:val="21"/>
              </w:rPr>
              <w:t>一级</w:t>
            </w:r>
          </w:p>
        </w:tc>
        <w:tc>
          <w:tcPr>
            <w:tcW w:w="416" w:type="pct"/>
            <w:vAlign w:val="center"/>
          </w:tcPr>
          <w:p>
            <w:pPr>
              <w:pStyle w:val="184"/>
              <w:spacing w:before="120" w:line="240" w:lineRule="auto"/>
              <w:rPr>
                <w:b w:val="0"/>
                <w:szCs w:val="21"/>
              </w:rPr>
            </w:pPr>
            <w:r>
              <w:rPr>
                <w:rFonts w:hint="eastAsia"/>
                <w:b w:val="0"/>
                <w:szCs w:val="21"/>
              </w:rPr>
              <w:t>一级</w:t>
            </w:r>
          </w:p>
        </w:tc>
        <w:tc>
          <w:tcPr>
            <w:tcW w:w="418" w:type="pct"/>
            <w:vAlign w:val="center"/>
          </w:tcPr>
          <w:p>
            <w:pPr>
              <w:pStyle w:val="184"/>
              <w:spacing w:before="120" w:line="240" w:lineRule="auto"/>
              <w:rPr>
                <w:b w:val="0"/>
                <w:szCs w:val="21"/>
              </w:rPr>
            </w:pPr>
            <w:r>
              <w:rPr>
                <w:rFonts w:hint="eastAsia"/>
                <w:b/>
                <w:bCs/>
                <w:szCs w:val="21"/>
              </w:rPr>
              <w:t>二级</w:t>
            </w:r>
          </w:p>
        </w:tc>
        <w:tc>
          <w:tcPr>
            <w:tcW w:w="416" w:type="pct"/>
            <w:vAlign w:val="center"/>
          </w:tcPr>
          <w:p>
            <w:pPr>
              <w:pStyle w:val="184"/>
              <w:spacing w:before="120" w:line="240" w:lineRule="auto"/>
              <w:rPr>
                <w:b w:val="0"/>
                <w:szCs w:val="21"/>
              </w:rPr>
            </w:pPr>
            <w:r>
              <w:rPr>
                <w:rFonts w:hint="eastAsia"/>
                <w:b w:val="0"/>
                <w:szCs w:val="21"/>
              </w:rPr>
              <w:t>二级</w:t>
            </w:r>
          </w:p>
        </w:tc>
        <w:tc>
          <w:tcPr>
            <w:tcW w:w="416" w:type="pct"/>
            <w:vAlign w:val="center"/>
          </w:tcPr>
          <w:p>
            <w:pPr>
              <w:pStyle w:val="184"/>
              <w:spacing w:before="120" w:line="240" w:lineRule="auto"/>
              <w:rPr>
                <w:b w:val="0"/>
                <w:szCs w:val="21"/>
              </w:rPr>
            </w:pPr>
            <w:r>
              <w:rPr>
                <w:rFonts w:hint="eastAsia"/>
                <w:b w:val="0"/>
                <w:szCs w:val="21"/>
              </w:rPr>
              <w:t>二级</w:t>
            </w:r>
          </w:p>
        </w:tc>
        <w:tc>
          <w:tcPr>
            <w:tcW w:w="497" w:type="pct"/>
            <w:vAlign w:val="center"/>
          </w:tcPr>
          <w:p>
            <w:pPr>
              <w:pStyle w:val="184"/>
              <w:spacing w:before="120" w:line="240" w:lineRule="auto"/>
              <w:rPr>
                <w:b w:val="0"/>
                <w:bCs w:val="0"/>
                <w:szCs w:val="21"/>
              </w:rPr>
            </w:pPr>
            <w:r>
              <w:rPr>
                <w:rFonts w:hint="eastAsia"/>
                <w:b w:val="0"/>
                <w:bCs w:val="0"/>
                <w:szCs w:val="21"/>
              </w:rPr>
              <w:t>三级</w:t>
            </w:r>
          </w:p>
        </w:tc>
        <w:tc>
          <w:tcPr>
            <w:tcW w:w="416" w:type="pct"/>
            <w:vAlign w:val="center"/>
          </w:tcPr>
          <w:p>
            <w:pPr>
              <w:pStyle w:val="184"/>
              <w:spacing w:before="120" w:line="240" w:lineRule="auto"/>
              <w:rPr>
                <w:b w:val="0"/>
                <w:bCs w:val="0"/>
                <w:szCs w:val="21"/>
              </w:rPr>
            </w:pPr>
            <w:r>
              <w:rPr>
                <w:rFonts w:hint="eastAsia"/>
                <w:b w:val="0"/>
                <w:bCs w:val="0"/>
                <w:szCs w:val="21"/>
              </w:rPr>
              <w:t>三级</w:t>
            </w:r>
          </w:p>
        </w:tc>
        <w:tc>
          <w:tcPr>
            <w:tcW w:w="443" w:type="pct"/>
            <w:vAlign w:val="center"/>
          </w:tcPr>
          <w:p>
            <w:pPr>
              <w:pStyle w:val="184"/>
              <w:spacing w:before="120" w:line="240" w:lineRule="auto"/>
              <w:rPr>
                <w:b w:val="0"/>
                <w:bCs w:val="0"/>
                <w:szCs w:val="21"/>
              </w:rPr>
            </w:pPr>
            <w:r>
              <w:rPr>
                <w:rFonts w:hint="eastAsia"/>
                <w:b w:val="0"/>
                <w:bCs w:val="0"/>
                <w:szCs w:val="21"/>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3" w:type="pct"/>
          </w:tcPr>
          <w:p>
            <w:pPr>
              <w:pStyle w:val="184"/>
              <w:spacing w:before="120" w:line="240" w:lineRule="auto"/>
              <w:rPr>
                <w:b w:val="0"/>
                <w:szCs w:val="21"/>
              </w:rPr>
            </w:pPr>
            <w:r>
              <w:rPr>
                <w:rFonts w:hint="eastAsia"/>
                <w:b w:val="0"/>
                <w:szCs w:val="21"/>
              </w:rPr>
              <w:t>较敏感</w:t>
            </w:r>
          </w:p>
        </w:tc>
        <w:tc>
          <w:tcPr>
            <w:tcW w:w="415" w:type="pct"/>
            <w:vAlign w:val="center"/>
          </w:tcPr>
          <w:p>
            <w:pPr>
              <w:pStyle w:val="184"/>
              <w:spacing w:before="120" w:line="240" w:lineRule="auto"/>
              <w:rPr>
                <w:b w:val="0"/>
                <w:szCs w:val="21"/>
              </w:rPr>
            </w:pPr>
            <w:r>
              <w:rPr>
                <w:rFonts w:hint="eastAsia"/>
                <w:b w:val="0"/>
                <w:szCs w:val="21"/>
              </w:rPr>
              <w:t>一级</w:t>
            </w:r>
          </w:p>
        </w:tc>
        <w:tc>
          <w:tcPr>
            <w:tcW w:w="416" w:type="pct"/>
            <w:vAlign w:val="center"/>
          </w:tcPr>
          <w:p>
            <w:pPr>
              <w:pStyle w:val="184"/>
              <w:spacing w:before="120" w:line="240" w:lineRule="auto"/>
              <w:rPr>
                <w:b w:val="0"/>
                <w:szCs w:val="21"/>
              </w:rPr>
            </w:pPr>
            <w:r>
              <w:rPr>
                <w:rFonts w:hint="eastAsia"/>
                <w:b w:val="0"/>
                <w:szCs w:val="21"/>
              </w:rPr>
              <w:t>一级</w:t>
            </w:r>
          </w:p>
        </w:tc>
        <w:tc>
          <w:tcPr>
            <w:tcW w:w="416" w:type="pct"/>
            <w:vAlign w:val="center"/>
          </w:tcPr>
          <w:p>
            <w:pPr>
              <w:pStyle w:val="184"/>
              <w:spacing w:before="120" w:line="240" w:lineRule="auto"/>
              <w:rPr>
                <w:b w:val="0"/>
                <w:szCs w:val="21"/>
              </w:rPr>
            </w:pPr>
            <w:r>
              <w:rPr>
                <w:rFonts w:hint="eastAsia"/>
                <w:b w:val="0"/>
                <w:szCs w:val="21"/>
              </w:rPr>
              <w:t>二级</w:t>
            </w:r>
          </w:p>
        </w:tc>
        <w:tc>
          <w:tcPr>
            <w:tcW w:w="418" w:type="pct"/>
            <w:vAlign w:val="center"/>
          </w:tcPr>
          <w:p>
            <w:pPr>
              <w:pStyle w:val="184"/>
              <w:spacing w:before="120" w:line="240" w:lineRule="auto"/>
              <w:rPr>
                <w:b w:val="0"/>
                <w:szCs w:val="21"/>
              </w:rPr>
            </w:pPr>
            <w:r>
              <w:rPr>
                <w:rFonts w:hint="eastAsia"/>
                <w:b w:val="0"/>
                <w:szCs w:val="21"/>
              </w:rPr>
              <w:t>二级</w:t>
            </w:r>
          </w:p>
        </w:tc>
        <w:tc>
          <w:tcPr>
            <w:tcW w:w="416" w:type="pct"/>
            <w:vAlign w:val="center"/>
          </w:tcPr>
          <w:p>
            <w:pPr>
              <w:pStyle w:val="184"/>
              <w:spacing w:before="120" w:line="240" w:lineRule="auto"/>
              <w:rPr>
                <w:b w:val="0"/>
                <w:szCs w:val="21"/>
              </w:rPr>
            </w:pPr>
            <w:r>
              <w:rPr>
                <w:rFonts w:hint="eastAsia"/>
                <w:b w:val="0"/>
                <w:szCs w:val="21"/>
              </w:rPr>
              <w:t>二级</w:t>
            </w:r>
          </w:p>
        </w:tc>
        <w:tc>
          <w:tcPr>
            <w:tcW w:w="416" w:type="pct"/>
            <w:vAlign w:val="center"/>
          </w:tcPr>
          <w:p>
            <w:pPr>
              <w:pStyle w:val="184"/>
              <w:spacing w:before="120" w:line="240" w:lineRule="auto"/>
              <w:rPr>
                <w:b w:val="0"/>
                <w:szCs w:val="21"/>
              </w:rPr>
            </w:pPr>
            <w:r>
              <w:rPr>
                <w:rFonts w:hint="eastAsia"/>
                <w:b w:val="0"/>
                <w:szCs w:val="21"/>
              </w:rPr>
              <w:t>三级</w:t>
            </w:r>
          </w:p>
        </w:tc>
        <w:tc>
          <w:tcPr>
            <w:tcW w:w="497" w:type="pct"/>
            <w:vAlign w:val="center"/>
          </w:tcPr>
          <w:p>
            <w:pPr>
              <w:pStyle w:val="184"/>
              <w:spacing w:before="120" w:line="240" w:lineRule="auto"/>
              <w:rPr>
                <w:b w:val="0"/>
                <w:bCs w:val="0"/>
                <w:szCs w:val="21"/>
              </w:rPr>
            </w:pPr>
            <w:r>
              <w:rPr>
                <w:rFonts w:hint="eastAsia"/>
                <w:b w:val="0"/>
                <w:bCs w:val="0"/>
                <w:szCs w:val="21"/>
              </w:rPr>
              <w:t>三级</w:t>
            </w:r>
          </w:p>
        </w:tc>
        <w:tc>
          <w:tcPr>
            <w:tcW w:w="416" w:type="pct"/>
            <w:vAlign w:val="center"/>
          </w:tcPr>
          <w:p>
            <w:pPr>
              <w:pStyle w:val="184"/>
              <w:spacing w:before="120" w:line="240" w:lineRule="auto"/>
              <w:rPr>
                <w:b w:val="0"/>
                <w:bCs w:val="0"/>
                <w:szCs w:val="21"/>
              </w:rPr>
            </w:pPr>
            <w:r>
              <w:rPr>
                <w:rFonts w:hint="eastAsia"/>
                <w:b w:val="0"/>
                <w:bCs w:val="0"/>
                <w:szCs w:val="21"/>
              </w:rPr>
              <w:t>三级</w:t>
            </w:r>
          </w:p>
        </w:tc>
        <w:tc>
          <w:tcPr>
            <w:tcW w:w="443" w:type="pct"/>
            <w:vAlign w:val="center"/>
          </w:tcPr>
          <w:p>
            <w:pPr>
              <w:pStyle w:val="184"/>
              <w:spacing w:before="120" w:line="240" w:lineRule="auto"/>
              <w:rPr>
                <w:b w:val="0"/>
                <w:bCs w:val="0"/>
                <w:szCs w:val="21"/>
              </w:rPr>
            </w:pPr>
            <w:r>
              <w:rPr>
                <w:rFonts w:hint="eastAsia"/>
                <w:b w:val="0"/>
                <w:bCs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3" w:type="pct"/>
          </w:tcPr>
          <w:p>
            <w:pPr>
              <w:pStyle w:val="184"/>
              <w:spacing w:before="120" w:line="240" w:lineRule="auto"/>
              <w:rPr>
                <w:b w:val="0"/>
                <w:szCs w:val="21"/>
              </w:rPr>
            </w:pPr>
            <w:r>
              <w:rPr>
                <w:rFonts w:hint="eastAsia"/>
                <w:b w:val="0"/>
                <w:szCs w:val="21"/>
              </w:rPr>
              <w:t>不敏感</w:t>
            </w:r>
          </w:p>
        </w:tc>
        <w:tc>
          <w:tcPr>
            <w:tcW w:w="415" w:type="pct"/>
            <w:vAlign w:val="center"/>
          </w:tcPr>
          <w:p>
            <w:pPr>
              <w:pStyle w:val="184"/>
              <w:spacing w:before="120" w:line="240" w:lineRule="auto"/>
              <w:rPr>
                <w:b w:val="0"/>
                <w:szCs w:val="21"/>
              </w:rPr>
            </w:pPr>
            <w:r>
              <w:rPr>
                <w:rFonts w:hint="eastAsia"/>
                <w:b w:val="0"/>
                <w:szCs w:val="21"/>
              </w:rPr>
              <w:t>一级</w:t>
            </w:r>
          </w:p>
        </w:tc>
        <w:tc>
          <w:tcPr>
            <w:tcW w:w="416" w:type="pct"/>
            <w:vAlign w:val="center"/>
          </w:tcPr>
          <w:p>
            <w:pPr>
              <w:pStyle w:val="184"/>
              <w:spacing w:before="120" w:line="240" w:lineRule="auto"/>
              <w:rPr>
                <w:b w:val="0"/>
                <w:szCs w:val="21"/>
              </w:rPr>
            </w:pPr>
            <w:r>
              <w:rPr>
                <w:rFonts w:hint="eastAsia"/>
                <w:b w:val="0"/>
                <w:szCs w:val="21"/>
              </w:rPr>
              <w:t>二级</w:t>
            </w:r>
          </w:p>
        </w:tc>
        <w:tc>
          <w:tcPr>
            <w:tcW w:w="416" w:type="pct"/>
            <w:vAlign w:val="center"/>
          </w:tcPr>
          <w:p>
            <w:pPr>
              <w:pStyle w:val="184"/>
              <w:spacing w:before="120" w:line="240" w:lineRule="auto"/>
              <w:rPr>
                <w:b w:val="0"/>
                <w:szCs w:val="21"/>
              </w:rPr>
            </w:pPr>
            <w:r>
              <w:rPr>
                <w:rFonts w:hint="eastAsia"/>
                <w:b w:val="0"/>
                <w:szCs w:val="21"/>
              </w:rPr>
              <w:t>二级</w:t>
            </w:r>
          </w:p>
        </w:tc>
        <w:tc>
          <w:tcPr>
            <w:tcW w:w="418" w:type="pct"/>
            <w:vAlign w:val="center"/>
          </w:tcPr>
          <w:p>
            <w:pPr>
              <w:pStyle w:val="184"/>
              <w:spacing w:before="120" w:line="240" w:lineRule="auto"/>
              <w:rPr>
                <w:b w:val="0"/>
                <w:szCs w:val="21"/>
              </w:rPr>
            </w:pPr>
            <w:r>
              <w:rPr>
                <w:rFonts w:hint="eastAsia"/>
                <w:b w:val="0"/>
                <w:szCs w:val="21"/>
              </w:rPr>
              <w:t>二级</w:t>
            </w:r>
          </w:p>
        </w:tc>
        <w:tc>
          <w:tcPr>
            <w:tcW w:w="416" w:type="pct"/>
            <w:vAlign w:val="center"/>
          </w:tcPr>
          <w:p>
            <w:pPr>
              <w:pStyle w:val="184"/>
              <w:spacing w:before="120" w:line="240" w:lineRule="auto"/>
              <w:rPr>
                <w:b w:val="0"/>
                <w:szCs w:val="21"/>
              </w:rPr>
            </w:pPr>
            <w:r>
              <w:rPr>
                <w:rFonts w:hint="eastAsia"/>
                <w:b w:val="0"/>
                <w:szCs w:val="21"/>
              </w:rPr>
              <w:t>三级</w:t>
            </w:r>
          </w:p>
        </w:tc>
        <w:tc>
          <w:tcPr>
            <w:tcW w:w="416" w:type="pct"/>
            <w:vAlign w:val="center"/>
          </w:tcPr>
          <w:p>
            <w:pPr>
              <w:pStyle w:val="184"/>
              <w:spacing w:before="120" w:line="240" w:lineRule="auto"/>
              <w:rPr>
                <w:b w:val="0"/>
                <w:szCs w:val="21"/>
              </w:rPr>
            </w:pPr>
            <w:r>
              <w:rPr>
                <w:rFonts w:hint="eastAsia"/>
                <w:b w:val="0"/>
                <w:szCs w:val="21"/>
              </w:rPr>
              <w:t>三级</w:t>
            </w:r>
          </w:p>
        </w:tc>
        <w:tc>
          <w:tcPr>
            <w:tcW w:w="497" w:type="pct"/>
            <w:vAlign w:val="center"/>
          </w:tcPr>
          <w:p>
            <w:pPr>
              <w:pStyle w:val="184"/>
              <w:spacing w:before="120" w:line="240" w:lineRule="auto"/>
              <w:rPr>
                <w:b w:val="0"/>
                <w:bCs w:val="0"/>
                <w:szCs w:val="21"/>
              </w:rPr>
            </w:pPr>
            <w:r>
              <w:rPr>
                <w:rFonts w:hint="eastAsia"/>
                <w:b w:val="0"/>
                <w:bCs w:val="0"/>
                <w:szCs w:val="21"/>
              </w:rPr>
              <w:t>三级</w:t>
            </w:r>
          </w:p>
        </w:tc>
        <w:tc>
          <w:tcPr>
            <w:tcW w:w="416" w:type="pct"/>
            <w:vAlign w:val="center"/>
          </w:tcPr>
          <w:p>
            <w:pPr>
              <w:pStyle w:val="184"/>
              <w:spacing w:before="120" w:line="240" w:lineRule="auto"/>
              <w:rPr>
                <w:b w:val="0"/>
                <w:bCs w:val="0"/>
                <w:szCs w:val="21"/>
              </w:rPr>
            </w:pPr>
            <w:r>
              <w:rPr>
                <w:rFonts w:hint="eastAsia"/>
                <w:b w:val="0"/>
                <w:bCs w:val="0"/>
                <w:szCs w:val="21"/>
              </w:rPr>
              <w:t>—</w:t>
            </w:r>
          </w:p>
        </w:tc>
        <w:tc>
          <w:tcPr>
            <w:tcW w:w="443" w:type="pct"/>
            <w:vAlign w:val="center"/>
          </w:tcPr>
          <w:p>
            <w:pPr>
              <w:pStyle w:val="184"/>
              <w:spacing w:before="120" w:line="240" w:lineRule="auto"/>
              <w:rPr>
                <w:b w:val="0"/>
                <w:bCs w:val="0"/>
                <w:szCs w:val="21"/>
              </w:rPr>
            </w:pPr>
            <w:r>
              <w:rPr>
                <w:rFonts w:hint="eastAsia"/>
                <w:b w:val="0"/>
                <w:bCs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Pr>
          <w:p>
            <w:pPr>
              <w:pStyle w:val="184"/>
              <w:spacing w:before="120" w:line="240" w:lineRule="auto"/>
              <w:jc w:val="left"/>
              <w:rPr>
                <w:b w:val="0"/>
                <w:szCs w:val="21"/>
              </w:rPr>
            </w:pPr>
            <w:r>
              <w:rPr>
                <w:rFonts w:hint="eastAsia"/>
                <w:b w:val="0"/>
                <w:szCs w:val="21"/>
              </w:rPr>
              <w:t>注：“—”表示可不开展土壤环境影响评价工作</w:t>
            </w:r>
          </w:p>
        </w:tc>
      </w:tr>
    </w:tbl>
    <w:p>
      <w:pPr>
        <w:ind w:firstLine="480"/>
        <w:rPr>
          <w:lang w:val="en-GB"/>
        </w:rPr>
      </w:pPr>
    </w:p>
    <w:p>
      <w:pPr>
        <w:ind w:firstLine="480"/>
        <w:rPr>
          <w:color w:val="000000" w:themeColor="text1"/>
          <w:lang w:val="en-GB"/>
          <w14:textFill>
            <w14:solidFill>
              <w14:schemeClr w14:val="tx1"/>
            </w14:solidFill>
          </w14:textFill>
        </w:rPr>
      </w:pPr>
      <w:r>
        <w:rPr>
          <w:color w:val="000000" w:themeColor="text1"/>
          <w:lang w:val="en-GB"/>
          <w14:textFill>
            <w14:solidFill>
              <w14:schemeClr w14:val="tx1"/>
            </w14:solidFill>
          </w14:textFill>
        </w:rPr>
        <w:t>对照</w:t>
      </w:r>
      <w:r>
        <w:rPr>
          <w:rFonts w:hint="eastAsia"/>
          <w:color w:val="000000" w:themeColor="text1"/>
          <w:lang w:val="en-GB"/>
          <w14:textFill>
            <w14:solidFill>
              <w14:schemeClr w14:val="tx1"/>
            </w14:solidFill>
          </w14:textFill>
        </w:rPr>
        <w:t>上表确定项目土壤评价等级为</w:t>
      </w:r>
      <w:r>
        <w:rPr>
          <w:rFonts w:hint="eastAsia"/>
          <w:color w:val="000000" w:themeColor="text1"/>
          <w:lang w:val="en-US" w:eastAsia="zh-CN"/>
          <w14:textFill>
            <w14:solidFill>
              <w14:schemeClr w14:val="tx1"/>
            </w14:solidFill>
          </w14:textFill>
        </w:rPr>
        <w:t>二</w:t>
      </w:r>
      <w:r>
        <w:rPr>
          <w:rFonts w:hint="eastAsia"/>
          <w:color w:val="000000" w:themeColor="text1"/>
          <w:lang w:val="en-GB"/>
          <w14:textFill>
            <w14:solidFill>
              <w14:schemeClr w14:val="tx1"/>
            </w14:solidFill>
          </w14:textFill>
        </w:rPr>
        <w:t>级。</w:t>
      </w:r>
    </w:p>
    <w:p>
      <w:pPr>
        <w:pStyle w:val="5"/>
        <w:spacing w:before="120" w:after="120"/>
        <w:rPr>
          <w:color w:val="auto"/>
        </w:rPr>
      </w:pPr>
      <w:r>
        <w:rPr>
          <w:rFonts w:hint="eastAsia"/>
          <w:color w:val="auto"/>
        </w:rPr>
        <w:t>土壤环境评价范围</w:t>
      </w:r>
    </w:p>
    <w:p>
      <w:pPr>
        <w:bidi w:val="0"/>
        <w:rPr>
          <w:lang w:val="en-GB"/>
        </w:rPr>
      </w:pPr>
      <w:r>
        <w:rPr>
          <w:rFonts w:hint="eastAsia"/>
          <w:lang w:val="en-GB"/>
        </w:rPr>
        <w:t>依据《环境影响评价技术导则 土壤环境（试行）》（HJ964-2018），项目为污染影响型，确定评价范围为工程占地范围及周边</w:t>
      </w:r>
      <w:r>
        <w:rPr>
          <w:rFonts w:hint="eastAsia"/>
          <w:lang w:val="en-US" w:eastAsia="zh-CN"/>
        </w:rPr>
        <w:t>0.2k</w:t>
      </w:r>
      <w:r>
        <w:rPr>
          <w:rFonts w:hint="eastAsia"/>
          <w:lang w:val="en-GB"/>
        </w:rPr>
        <w:t>m范围内，如图2.</w:t>
      </w:r>
      <w:r>
        <w:rPr>
          <w:rFonts w:hint="eastAsia"/>
        </w:rPr>
        <w:t>6</w:t>
      </w:r>
      <w:r>
        <w:rPr>
          <w:rFonts w:hint="eastAsia"/>
          <w:lang w:val="en-GB"/>
        </w:rPr>
        <w:t>-1所示。</w:t>
      </w:r>
    </w:p>
    <w:p>
      <w:pPr>
        <w:pStyle w:val="4"/>
        <w:spacing w:before="120" w:after="120"/>
        <w:rPr>
          <w:color w:val="auto"/>
        </w:rPr>
      </w:pPr>
      <w:r>
        <w:rPr>
          <w:rFonts w:hint="eastAsia"/>
          <w:color w:val="auto"/>
        </w:rPr>
        <w:t>声环境评价等级及评价范围</w:t>
      </w:r>
      <w:bookmarkEnd w:id="120"/>
    </w:p>
    <w:p>
      <w:pPr>
        <w:pStyle w:val="5"/>
        <w:spacing w:before="120" w:after="120"/>
        <w:rPr>
          <w:color w:val="auto"/>
        </w:rPr>
      </w:pPr>
      <w:r>
        <w:rPr>
          <w:rFonts w:hint="eastAsia"/>
          <w:color w:val="auto"/>
        </w:rPr>
        <w:t>声环境评价等级</w:t>
      </w:r>
    </w:p>
    <w:p>
      <w:pPr>
        <w:bidi w:val="0"/>
        <w:rPr>
          <w:lang w:val="en-GB"/>
        </w:rPr>
      </w:pPr>
      <w:r>
        <w:rPr>
          <w:rFonts w:hint="eastAsia"/>
          <w:lang w:val="en-GB"/>
        </w:rPr>
        <w:t>根据《环境影响评价技术导则 声环境》（HJ2.4-2009）中评价等级的划分，“建设项目所处的声环境功能区为《声环境质量标准》（GB3096-2008）规定的1类、2类地区，或建设项目建设前后评价范围内敏感目标噪声级增高量达3dB（A）~5dB（A）（含5dB（A）），或受噪声影响人口数量增加较多时，按二级评价”。</w:t>
      </w:r>
    </w:p>
    <w:p>
      <w:pPr>
        <w:bidi w:val="0"/>
      </w:pPr>
      <w:r>
        <w:rPr>
          <w:rFonts w:hint="eastAsia"/>
          <w:lang w:val="en-GB"/>
        </w:rPr>
        <w:t>本项目所处区域为（GB3096-2008）规定的</w:t>
      </w:r>
      <w:r>
        <w:rPr>
          <w:lang w:val="en-GB"/>
        </w:rPr>
        <w:t>2</w:t>
      </w:r>
      <w:r>
        <w:rPr>
          <w:rFonts w:hint="eastAsia"/>
          <w:lang w:val="en-GB"/>
        </w:rPr>
        <w:t>类区，项目建成后噪声增加值小于3dB（A），且受项目噪声影响人口数量较小，根据《环境影响评价技术导则 声环境》（HJ2.4-2009）中规定，确定噪声评价等级为二级。</w:t>
      </w:r>
    </w:p>
    <w:p>
      <w:pPr>
        <w:pStyle w:val="5"/>
        <w:spacing w:before="120" w:after="120"/>
        <w:rPr>
          <w:color w:val="auto"/>
        </w:rPr>
      </w:pPr>
      <w:r>
        <w:rPr>
          <w:rFonts w:hint="eastAsia"/>
          <w:color w:val="auto"/>
        </w:rPr>
        <w:t>厂界噪声评价范围</w:t>
      </w:r>
    </w:p>
    <w:p>
      <w:pPr>
        <w:bidi w:val="0"/>
        <w:rPr>
          <w:lang w:val="en-GB"/>
        </w:rPr>
      </w:pPr>
      <w:r>
        <w:rPr>
          <w:rFonts w:hint="eastAsia"/>
          <w:lang w:val="en-GB"/>
        </w:rPr>
        <w:t>根据项目特点，声环境评价范围确定为项目拟建厂边界外200m范围。</w:t>
      </w:r>
    </w:p>
    <w:p>
      <w:pPr>
        <w:bidi w:val="0"/>
      </w:pPr>
      <w:r>
        <w:rPr>
          <w:rFonts w:hint="eastAsia"/>
          <w:lang w:val="en-GB"/>
        </w:rPr>
        <w:t>项目声环境评价范围如图2.</w:t>
      </w:r>
      <w:r>
        <w:rPr>
          <w:rFonts w:hint="eastAsia"/>
        </w:rPr>
        <w:t>6</w:t>
      </w:r>
      <w:r>
        <w:rPr>
          <w:rFonts w:hint="eastAsia"/>
          <w:lang w:val="en-GB"/>
        </w:rPr>
        <w:t>-1所示</w:t>
      </w:r>
      <w:r>
        <w:rPr>
          <w:rFonts w:hint="eastAsia"/>
        </w:rPr>
        <w:t>。</w:t>
      </w:r>
    </w:p>
    <w:p>
      <w:pPr>
        <w:pStyle w:val="4"/>
        <w:spacing w:before="120" w:after="120"/>
        <w:rPr>
          <w:color w:val="auto"/>
        </w:rPr>
      </w:pPr>
      <w:bookmarkStart w:id="121" w:name="_Toc24447073"/>
      <w:bookmarkStart w:id="122" w:name="_Toc24447071"/>
      <w:r>
        <w:rPr>
          <w:rFonts w:hint="eastAsia"/>
          <w:color w:val="auto"/>
        </w:rPr>
        <w:t>风险评价</w:t>
      </w:r>
      <w:bookmarkEnd w:id="121"/>
    </w:p>
    <w:p>
      <w:pPr>
        <w:ind w:firstLine="480"/>
      </w:pPr>
      <w:r>
        <w:rPr>
          <w:rFonts w:hint="eastAsia"/>
        </w:rPr>
        <w:t>项目为规模化养殖项目，根据《建设项目环境风险评价技术导则》（HJ169-2018）附录B.1“突发环境事件风险物质及临界量”，</w:t>
      </w:r>
      <w:r>
        <w:rPr>
          <w:rFonts w:hint="eastAsia"/>
          <w:highlight w:val="green"/>
        </w:rPr>
        <w:t>现代化高标准羊舍</w:t>
      </w:r>
      <w:r>
        <w:rPr>
          <w:rFonts w:hint="eastAsia"/>
        </w:rPr>
        <w:t>、</w:t>
      </w:r>
      <w:r>
        <w:rPr>
          <w:rFonts w:hint="eastAsia"/>
          <w:highlight w:val="green"/>
        </w:rPr>
        <w:t>有机肥堆场</w:t>
      </w:r>
      <w:r>
        <w:rPr>
          <w:rFonts w:hint="eastAsia"/>
        </w:rPr>
        <w:t>及</w:t>
      </w:r>
      <w:r>
        <w:rPr>
          <w:rFonts w:hint="eastAsia"/>
          <w:highlight w:val="green"/>
        </w:rPr>
        <w:t>病死羊及分娩物无害化车间</w:t>
      </w:r>
      <w:r>
        <w:rPr>
          <w:rFonts w:hint="eastAsia"/>
        </w:rPr>
        <w:t>排放的废气NH</w:t>
      </w:r>
      <w:r>
        <w:rPr>
          <w:rFonts w:hint="eastAsia"/>
          <w:vertAlign w:val="subscript"/>
        </w:rPr>
        <w:t>3</w:t>
      </w:r>
      <w:r>
        <w:rPr>
          <w:rFonts w:hint="eastAsia"/>
        </w:rPr>
        <w:t>、H</w:t>
      </w:r>
      <w:r>
        <w:rPr>
          <w:rFonts w:hint="eastAsia"/>
          <w:vertAlign w:val="subscript"/>
        </w:rPr>
        <w:t>2</w:t>
      </w:r>
      <w:r>
        <w:rPr>
          <w:rFonts w:hint="eastAsia"/>
        </w:rPr>
        <w:t>S等为重点关注的突发环境事件风险物质，但本项目均不对上述风险物质进行存储，根据《建设项目环境风险评价技术导则》（HJ2.2-2018)中附录C中规定，当Q&lt;1时，该项目环境风险潜势为</w:t>
      </w:r>
      <w:r>
        <w:t>Ⅰ</w:t>
      </w:r>
      <w:r>
        <w:rPr>
          <w:rFonts w:hint="eastAsia"/>
        </w:rPr>
        <w:t>。</w:t>
      </w:r>
    </w:p>
    <w:p>
      <w:pPr>
        <w:ind w:firstLine="480"/>
      </w:pPr>
      <w:r>
        <w:t>根据《建设项目环境风险评价技术导则》</w:t>
      </w:r>
      <w:r>
        <w:rPr>
          <w:rFonts w:hint="eastAsia"/>
        </w:rPr>
        <w:t>（</w:t>
      </w:r>
      <w:r>
        <w:t>HJ169-2018</w:t>
      </w:r>
      <w:r>
        <w:rPr>
          <w:rFonts w:hint="eastAsia"/>
        </w:rPr>
        <w:t>）</w:t>
      </w:r>
      <w:r>
        <w:t>，环境风险评价工作等级划分为一级、二级、三级</w:t>
      </w:r>
      <w:r>
        <w:rPr>
          <w:rFonts w:hint="eastAsia"/>
        </w:rPr>
        <w:t>、</w:t>
      </w:r>
      <w:r>
        <w:t>简单分析。根据建设项目涉及的物质及工艺系统危险性和所在地的环境敏感性确定环境风险潜势，按照下表确定评价工作等级。</w:t>
      </w:r>
    </w:p>
    <w:p>
      <w:pPr>
        <w:pStyle w:val="6"/>
      </w:pPr>
      <w:r>
        <w:t>表</w:t>
      </w:r>
      <w:r>
        <w:rPr>
          <w:rFonts w:hint="eastAsia"/>
        </w:rPr>
        <w:t xml:space="preserve">2.5.6-1   </w:t>
      </w:r>
      <w:r>
        <w:t>环境风险评价工作等级划分表</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1524"/>
        <w:gridCol w:w="1802"/>
        <w:gridCol w:w="2078"/>
        <w:gridCol w:w="1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833"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环境风险潜势</w:t>
            </w:r>
          </w:p>
        </w:tc>
        <w:tc>
          <w:tcPr>
            <w:tcW w:w="916"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4 \* ROMAN \* MERGEFORMAT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IV</w: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4 \* ROMAN \* MERGEFORMAT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IV</w: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w:t>
            </w:r>
          </w:p>
        </w:tc>
        <w:tc>
          <w:tcPr>
            <w:tcW w:w="1083"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3 \* ROMAN \* MERGEFORMAT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III</w:t>
            </w:r>
            <w:r>
              <w:rPr>
                <w:color w:val="000000" w:themeColor="text1"/>
                <w:sz w:val="21"/>
                <w:szCs w:val="21"/>
                <w14:textFill>
                  <w14:solidFill>
                    <w14:schemeClr w14:val="tx1"/>
                  </w14:solidFill>
                </w14:textFill>
              </w:rPr>
              <w:fldChar w:fldCharType="end"/>
            </w:r>
          </w:p>
        </w:tc>
        <w:tc>
          <w:tcPr>
            <w:tcW w:w="1249"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2 \* ROMAN \* MERGEFORMAT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II</w:t>
            </w:r>
            <w:r>
              <w:rPr>
                <w:color w:val="000000" w:themeColor="text1"/>
                <w:sz w:val="21"/>
                <w:szCs w:val="21"/>
                <w14:textFill>
                  <w14:solidFill>
                    <w14:schemeClr w14:val="tx1"/>
                  </w14:solidFill>
                </w14:textFill>
              </w:rPr>
              <w:fldChar w:fldCharType="end"/>
            </w:r>
          </w:p>
        </w:tc>
        <w:tc>
          <w:tcPr>
            <w:tcW w:w="916"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1 \* ROMAN \* MERGEFORMAT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w:t>
            </w:r>
            <w:r>
              <w:rPr>
                <w:color w:val="000000" w:themeColor="text1"/>
                <w:sz w:val="21"/>
                <w:szCs w:val="21"/>
                <w14:textFill>
                  <w14:solidFill>
                    <w14:schemeClr w14:val="tx1"/>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33"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评价工作等级</w:t>
            </w:r>
          </w:p>
        </w:tc>
        <w:tc>
          <w:tcPr>
            <w:tcW w:w="916"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一</w:t>
            </w:r>
          </w:p>
        </w:tc>
        <w:tc>
          <w:tcPr>
            <w:tcW w:w="1083"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二</w:t>
            </w:r>
          </w:p>
        </w:tc>
        <w:tc>
          <w:tcPr>
            <w:tcW w:w="1249"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三</w:t>
            </w:r>
          </w:p>
        </w:tc>
        <w:tc>
          <w:tcPr>
            <w:tcW w:w="916" w:type="pct"/>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简单分析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5"/>
            <w:tcMar>
              <w:left w:w="0" w:type="dxa"/>
              <w:right w:w="0" w:type="dxa"/>
            </w:tcMar>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简单分析是相对于详细评价工作内容而言，在描述危险物质、环境影响途径、环境危害后果、风险防范措施等方面给出定性的说明</w:t>
            </w:r>
          </w:p>
        </w:tc>
      </w:tr>
    </w:tbl>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由上表可知，本项目环境风险潜势I级，本次环境风险评价等级为简单分析，不设评价范围。</w:t>
      </w:r>
    </w:p>
    <w:p>
      <w:pPr>
        <w:ind w:firstLine="0" w:firstLineChars="0"/>
        <w:sectPr>
          <w:headerReference r:id="rId15" w:type="default"/>
          <w:footerReference r:id="rId16" w:type="default"/>
          <w:pgSz w:w="11906" w:h="16838"/>
          <w:pgMar w:top="1440" w:right="1797" w:bottom="1440" w:left="1797" w:header="851" w:footer="992" w:gutter="0"/>
          <w:pgNumType w:fmt="decimal"/>
          <w:cols w:space="425" w:num="1"/>
          <w:docGrid w:linePitch="312" w:charSpace="0"/>
        </w:sectPr>
      </w:pPr>
    </w:p>
    <w:p>
      <w:pPr>
        <w:pStyle w:val="4"/>
        <w:spacing w:before="120" w:after="120"/>
        <w:rPr>
          <w:color w:val="auto"/>
        </w:rPr>
      </w:pPr>
      <w:r>
        <w:rPr>
          <w:rFonts w:hint="eastAsia"/>
          <w:color w:val="auto"/>
        </w:rPr>
        <w:t>生态环境评价等级</w:t>
      </w:r>
      <w:bookmarkEnd w:id="122"/>
      <w:r>
        <w:rPr>
          <w:rFonts w:hint="eastAsia"/>
          <w:color w:val="auto"/>
        </w:rPr>
        <w:t>及评价范围</w:t>
      </w:r>
    </w:p>
    <w:p>
      <w:pPr>
        <w:pStyle w:val="5"/>
      </w:pPr>
      <w:r>
        <w:rPr>
          <w:rFonts w:hint="eastAsia"/>
        </w:rPr>
        <w:t>生态评价等级</w:t>
      </w:r>
    </w:p>
    <w:p>
      <w:pPr>
        <w:ind w:firstLine="480"/>
      </w:pPr>
      <w:r>
        <w:t>根据《环境影响评价技术导则—生态影响》（HJ19-2022），依据建设项目影响区域的生态敏感性和影响程度，评价等级划分为一级、二级和三级。按以下原则确定评价等级：</w:t>
      </w:r>
    </w:p>
    <w:p>
      <w:pPr>
        <w:ind w:firstLine="480"/>
      </w:pPr>
      <w:r>
        <w:t>a）涉及国家公园、自然保护区、世界自然遗产、重要生境时，评价等级为一级；</w:t>
      </w:r>
    </w:p>
    <w:p>
      <w:pPr>
        <w:ind w:firstLine="480"/>
      </w:pPr>
      <w:r>
        <w:t>b）涉及自然公园时，评价等级为二级；</w:t>
      </w:r>
    </w:p>
    <w:p>
      <w:pPr>
        <w:ind w:firstLine="480"/>
      </w:pPr>
      <w:r>
        <w:t>c）涉及生态保护红线时，评价等级不低于二级；</w:t>
      </w:r>
    </w:p>
    <w:p>
      <w:pPr>
        <w:ind w:firstLine="480"/>
      </w:pPr>
      <w:r>
        <w:t>d）根据HJ2.3判断属于水文要素影响型且地表水评价等级不低于二级的建设项目，生态影响评价等级不低于二级；</w:t>
      </w:r>
    </w:p>
    <w:p>
      <w:pPr>
        <w:ind w:firstLine="480"/>
      </w:pPr>
      <w:r>
        <w:t>e）根据HJ610、HJ964判断地下水水位或土壤影响范围内分布有天然林、公益林、湿地等生态保护目标的建设项目，生态影响评价等级不低于二级；</w:t>
      </w:r>
    </w:p>
    <w:p>
      <w:pPr>
        <w:ind w:firstLine="480"/>
      </w:pPr>
      <w:r>
        <w:t>f）当工程占地规模大于20km</w:t>
      </w:r>
      <w:r>
        <w:rPr>
          <w:vertAlign w:val="superscript"/>
        </w:rPr>
        <w:t>2</w:t>
      </w:r>
      <w:r>
        <w:t>时（包括永久和临时占用陆域和水域），评价等级不低于二级；改扩建项目的占地范围以新增占地（包括陆域和水域）确定；</w:t>
      </w:r>
    </w:p>
    <w:p>
      <w:pPr>
        <w:ind w:firstLine="480"/>
      </w:pPr>
      <w:r>
        <w:t>g）除本条a）、b）、c）、d）、e）、f）以外的情况，评价等级为三级；</w:t>
      </w:r>
    </w:p>
    <w:p>
      <w:pPr>
        <w:ind w:firstLine="480"/>
      </w:pPr>
      <w:r>
        <w:t>h）当评价等级判定同时符合上述多种情况时，应采用其中最高的评价等级。</w:t>
      </w:r>
    </w:p>
    <w:p>
      <w:pPr>
        <w:ind w:firstLine="480"/>
      </w:pPr>
      <w:r>
        <w:t>本项目占地面积合计为</w:t>
      </w:r>
      <w:r>
        <w:rPr>
          <w:rFonts w:hint="eastAsia"/>
        </w:rPr>
        <w:t>1169137.06平方米（折合116.91公顷）</w:t>
      </w:r>
      <w:r>
        <w:t>，占地面积小于</w:t>
      </w:r>
      <w:r>
        <w:rPr>
          <w:rFonts w:hint="eastAsia"/>
        </w:rPr>
        <w:t>1.169</w:t>
      </w:r>
      <w:r>
        <w:t>km</w:t>
      </w:r>
      <w:r>
        <w:rPr>
          <w:vertAlign w:val="superscript"/>
        </w:rPr>
        <w:t>2</w:t>
      </w:r>
      <w:r>
        <w:t>；并且本项目评价区内无自然保护区、世界文化和自然遗产地等特殊生态敏感区；无风景名胜区、森林公园、地质公园、重要湿地、原始天然林、珍稀濒危野生动植物天然集中分布区、重要水生生物的自然产卵场及索饵场、越冬场和洄游通道、天然渔场等重要生态敏感区，因此，本项目属于一般区域</w:t>
      </w:r>
      <w:r>
        <w:rPr>
          <w:rFonts w:hint="eastAsia"/>
        </w:rPr>
        <w:t>。</w:t>
      </w:r>
    </w:p>
    <w:p>
      <w:pPr>
        <w:ind w:firstLine="480"/>
      </w:pPr>
      <w:r>
        <w:t>综上，确定本项目生态影响评价等级为三级。</w:t>
      </w:r>
    </w:p>
    <w:p>
      <w:pPr>
        <w:pStyle w:val="5"/>
      </w:pPr>
      <w:r>
        <w:rPr>
          <w:rFonts w:hint="eastAsia"/>
        </w:rPr>
        <w:t>生态评价范围</w:t>
      </w:r>
    </w:p>
    <w:p>
      <w:pPr>
        <w:ind w:firstLine="480"/>
      </w:pPr>
      <w:r>
        <w:t>项目生态影响评价工作等级为三级，且项目对生态影响较小，生态影响评价范围为项目边界外延500m区域</w:t>
      </w:r>
      <w:r>
        <w:rPr>
          <w:rFonts w:hint="eastAsia"/>
        </w:rPr>
        <w:t>，详见图2.6-1</w:t>
      </w:r>
      <w:r>
        <w:t>。</w:t>
      </w:r>
    </w:p>
    <w:p>
      <w:pPr>
        <w:pStyle w:val="4"/>
      </w:pPr>
      <w:r>
        <w:t>项目等级判定</w:t>
      </w:r>
    </w:p>
    <w:p>
      <w:pPr>
        <w:ind w:firstLine="480"/>
        <w:rPr>
          <w:lang w:bidi="ar"/>
        </w:rPr>
      </w:pPr>
      <w:r>
        <w:rPr>
          <w:lang w:bidi="ar"/>
        </w:rPr>
        <w:t>本项目各环境要素的评价等级及评价范围见下表。</w:t>
      </w:r>
    </w:p>
    <w:p>
      <w:pPr>
        <w:pStyle w:val="6"/>
      </w:pPr>
      <w:r>
        <w:t>表</w:t>
      </w:r>
      <w:r>
        <w:rPr>
          <w:rFonts w:hint="eastAsia"/>
        </w:rPr>
        <w:t>2.5.8-1</w:t>
      </w:r>
      <w:r>
        <w:t xml:space="preserve">  项目评价范围一览表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1227"/>
        <w:gridCol w:w="5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rPr>
                <w:b/>
                <w:bCs w:val="0"/>
              </w:rPr>
            </w:pPr>
            <w:r>
              <w:rPr>
                <w:b/>
                <w:bCs w:val="0"/>
              </w:rPr>
              <w:t>环境要素</w:t>
            </w:r>
          </w:p>
        </w:tc>
        <w:tc>
          <w:tcPr>
            <w:tcW w:w="719" w:type="pct"/>
            <w:vAlign w:val="center"/>
          </w:tcPr>
          <w:p>
            <w:pPr>
              <w:pStyle w:val="28"/>
              <w:rPr>
                <w:b/>
                <w:bCs w:val="0"/>
              </w:rPr>
            </w:pPr>
            <w:r>
              <w:rPr>
                <w:b/>
                <w:bCs w:val="0"/>
              </w:rPr>
              <w:t>等级</w:t>
            </w:r>
          </w:p>
        </w:tc>
        <w:tc>
          <w:tcPr>
            <w:tcW w:w="3465" w:type="pct"/>
            <w:vAlign w:val="center"/>
          </w:tcPr>
          <w:p>
            <w:pPr>
              <w:pStyle w:val="28"/>
              <w:rPr>
                <w:b/>
                <w:bCs w:val="0"/>
              </w:rPr>
            </w:pPr>
            <w:r>
              <w:rPr>
                <w:b/>
                <w:bCs w:val="0"/>
              </w:rPr>
              <w:t>评价范围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pPr>
            <w:r>
              <w:t>环境空气</w:t>
            </w:r>
          </w:p>
        </w:tc>
        <w:tc>
          <w:tcPr>
            <w:tcW w:w="719" w:type="pct"/>
            <w:vAlign w:val="center"/>
          </w:tcPr>
          <w:p>
            <w:pPr>
              <w:pStyle w:val="28"/>
            </w:pPr>
            <w:r>
              <w:t>二级</w:t>
            </w:r>
          </w:p>
        </w:tc>
        <w:tc>
          <w:tcPr>
            <w:tcW w:w="3465" w:type="pct"/>
            <w:vAlign w:val="center"/>
          </w:tcPr>
          <w:p>
            <w:pPr>
              <w:pStyle w:val="28"/>
            </w:pPr>
            <w:r>
              <w:t>本项目大气评价等级为二级，评价范围边长取5km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pPr>
            <w:r>
              <w:t>声环境</w:t>
            </w:r>
          </w:p>
        </w:tc>
        <w:tc>
          <w:tcPr>
            <w:tcW w:w="719" w:type="pct"/>
            <w:vAlign w:val="center"/>
          </w:tcPr>
          <w:p>
            <w:pPr>
              <w:pStyle w:val="28"/>
            </w:pPr>
            <w:r>
              <w:t>二级</w:t>
            </w:r>
          </w:p>
        </w:tc>
        <w:tc>
          <w:tcPr>
            <w:tcW w:w="3465" w:type="pct"/>
            <w:vAlign w:val="center"/>
          </w:tcPr>
          <w:p>
            <w:pPr>
              <w:pStyle w:val="28"/>
            </w:pPr>
            <w:r>
              <w:t>厂界外扩200m</w:t>
            </w:r>
            <w:r>
              <w:rPr>
                <w:lang w:bidi="ar"/>
              </w:rPr>
              <w:t>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pPr>
            <w:r>
              <w:t>土壤</w:t>
            </w:r>
          </w:p>
        </w:tc>
        <w:tc>
          <w:tcPr>
            <w:tcW w:w="719" w:type="pct"/>
            <w:vAlign w:val="center"/>
          </w:tcPr>
          <w:p>
            <w:pPr>
              <w:pStyle w:val="28"/>
            </w:pPr>
            <w:r>
              <w:rPr>
                <w:rFonts w:hint="eastAsia"/>
                <w:lang w:val="en-US" w:eastAsia="zh-CN"/>
              </w:rPr>
              <w:t>二</w:t>
            </w:r>
            <w:r>
              <w:t>级</w:t>
            </w:r>
          </w:p>
        </w:tc>
        <w:tc>
          <w:tcPr>
            <w:tcW w:w="3465" w:type="pct"/>
            <w:vAlign w:val="center"/>
          </w:tcPr>
          <w:p>
            <w:pPr>
              <w:pStyle w:val="28"/>
            </w:pPr>
            <w:r>
              <w:rPr>
                <w:lang w:bidi="ar"/>
              </w:rPr>
              <w:t>场区边界外</w:t>
            </w:r>
            <w:r>
              <w:rPr>
                <w:rFonts w:hint="eastAsia"/>
                <w:lang w:val="en-US" w:eastAsia="zh-CN" w:bidi="ar"/>
              </w:rPr>
              <w:t>0.2k</w:t>
            </w:r>
            <w:r>
              <w:rPr>
                <w:rFonts w:hint="eastAsia"/>
                <w:lang w:bidi="ar"/>
              </w:rPr>
              <w:t>m</w:t>
            </w:r>
            <w:r>
              <w:rPr>
                <w:lang w:bidi="ar"/>
              </w:rPr>
              <w:t>以内的范围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pPr>
            <w:r>
              <w:t>地下水环境</w:t>
            </w:r>
          </w:p>
        </w:tc>
        <w:tc>
          <w:tcPr>
            <w:tcW w:w="719" w:type="pct"/>
            <w:vAlign w:val="center"/>
          </w:tcPr>
          <w:p>
            <w:pPr>
              <w:pStyle w:val="28"/>
            </w:pPr>
            <w:r>
              <w:t>三级</w:t>
            </w:r>
          </w:p>
        </w:tc>
        <w:tc>
          <w:tcPr>
            <w:tcW w:w="3465" w:type="pct"/>
            <w:vAlign w:val="center"/>
          </w:tcPr>
          <w:p>
            <w:pPr>
              <w:pStyle w:val="28"/>
            </w:pPr>
            <w:r>
              <w:t>以项目场区为上下游约6km</w:t>
            </w:r>
            <w:r>
              <w:rPr>
                <w:vertAlign w:val="superscript"/>
              </w:rPr>
              <w:t>2</w:t>
            </w:r>
            <w:r>
              <w:t>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pPr>
            <w:r>
              <w:t>环境风险</w:t>
            </w:r>
          </w:p>
        </w:tc>
        <w:tc>
          <w:tcPr>
            <w:tcW w:w="719" w:type="pct"/>
            <w:vAlign w:val="center"/>
          </w:tcPr>
          <w:p>
            <w:pPr>
              <w:pStyle w:val="28"/>
            </w:pPr>
            <w:r>
              <w:t>简单分析</w:t>
            </w:r>
          </w:p>
        </w:tc>
        <w:tc>
          <w:tcPr>
            <w:tcW w:w="3465" w:type="pct"/>
            <w:vAlign w:val="center"/>
          </w:tcPr>
          <w:p>
            <w:pPr>
              <w:pStyle w:val="28"/>
            </w:pPr>
            <w:r>
              <w:t>不设置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vAlign w:val="center"/>
          </w:tcPr>
          <w:p>
            <w:pPr>
              <w:pStyle w:val="28"/>
            </w:pPr>
            <w:r>
              <w:t>生态</w:t>
            </w:r>
          </w:p>
        </w:tc>
        <w:tc>
          <w:tcPr>
            <w:tcW w:w="719" w:type="pct"/>
            <w:vAlign w:val="center"/>
          </w:tcPr>
          <w:p>
            <w:pPr>
              <w:pStyle w:val="28"/>
            </w:pPr>
            <w:r>
              <w:t>三级</w:t>
            </w:r>
          </w:p>
        </w:tc>
        <w:tc>
          <w:tcPr>
            <w:tcW w:w="3465" w:type="pct"/>
            <w:vAlign w:val="center"/>
          </w:tcPr>
          <w:p>
            <w:pPr>
              <w:pStyle w:val="28"/>
            </w:pPr>
            <w:r>
              <w:t>厂界外扩500m</w:t>
            </w:r>
          </w:p>
        </w:tc>
      </w:tr>
    </w:tbl>
    <w:p>
      <w:pPr>
        <w:pStyle w:val="3"/>
        <w:spacing w:before="120" w:after="120"/>
        <w:rPr>
          <w:color w:val="auto"/>
        </w:rPr>
      </w:pPr>
      <w:bookmarkStart w:id="123" w:name="_Toc24340210"/>
      <w:bookmarkStart w:id="124" w:name="_Toc24447605"/>
      <w:bookmarkStart w:id="125" w:name="_Toc21603"/>
      <w:bookmarkStart w:id="126" w:name="_Toc24447074"/>
      <w:bookmarkStart w:id="127" w:name="_Toc340667060"/>
      <w:bookmarkStart w:id="128" w:name="_Toc330824183"/>
      <w:bookmarkStart w:id="129" w:name="_Toc346012428"/>
      <w:bookmarkStart w:id="130" w:name="_Toc331510731"/>
      <w:r>
        <w:rPr>
          <w:rFonts w:hint="eastAsia"/>
          <w:color w:val="auto"/>
        </w:rPr>
        <w:t>主要环境保护目标</w:t>
      </w:r>
      <w:bookmarkEnd w:id="123"/>
      <w:bookmarkEnd w:id="124"/>
      <w:bookmarkEnd w:id="125"/>
      <w:bookmarkEnd w:id="126"/>
    </w:p>
    <w:p>
      <w:pPr>
        <w:ind w:firstLine="480"/>
        <w:sectPr>
          <w:headerReference r:id="rId17" w:type="default"/>
          <w:footerReference r:id="rId18" w:type="default"/>
          <w:pgSz w:w="11906" w:h="16838"/>
          <w:pgMar w:top="1440" w:right="1797" w:bottom="1440" w:left="1797" w:header="851" w:footer="992" w:gutter="0"/>
          <w:pgNumType w:fmt="decimal"/>
          <w:cols w:space="425" w:num="1"/>
          <w:docGrid w:linePitch="312" w:charSpace="0"/>
        </w:sectPr>
      </w:pPr>
      <w:r>
        <w:rPr>
          <w:rFonts w:hint="eastAsia"/>
        </w:rPr>
        <w:t>经现场踏勘，本项目评价范围内不涉及自然保护区、风景名胜区等环境敏感区。本项目环境保护目标见表</w:t>
      </w:r>
      <w:r>
        <w:t>2.</w:t>
      </w:r>
      <w:r>
        <w:rPr>
          <w:rFonts w:hint="eastAsia"/>
        </w:rPr>
        <w:t>6</w:t>
      </w:r>
      <w:r>
        <w:t>-1</w:t>
      </w:r>
      <w:r>
        <w:rPr>
          <w:rFonts w:hint="eastAsia"/>
        </w:rPr>
        <w:t>及图2.6-1。</w:t>
      </w:r>
    </w:p>
    <w:p>
      <w:pPr>
        <w:pStyle w:val="6"/>
        <w:rPr>
          <w:color w:val="000000" w:themeColor="text1"/>
          <w14:textFill>
            <w14:solidFill>
              <w14:schemeClr w14:val="tx1"/>
            </w14:solidFill>
          </w14:textFill>
        </w:rPr>
      </w:pPr>
      <w:r>
        <w:rPr>
          <w:color w:val="000000" w:themeColor="text1"/>
          <w14:textFill>
            <w14:solidFill>
              <w14:schemeClr w14:val="tx1"/>
            </w14:solidFill>
          </w14:textFill>
        </w:rPr>
        <w:t>表2.</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-1    环境保护目标一览表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1692"/>
        <w:gridCol w:w="1950"/>
        <w:gridCol w:w="1366"/>
        <w:gridCol w:w="859"/>
        <w:gridCol w:w="677"/>
        <w:gridCol w:w="765"/>
        <w:gridCol w:w="1005"/>
        <w:gridCol w:w="1343"/>
        <w:gridCol w:w="3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restart"/>
            <w:vAlign w:val="center"/>
          </w:tcPr>
          <w:p>
            <w:pPr>
              <w:pStyle w:val="232"/>
            </w:pPr>
            <w:r>
              <w:t>环境要素</w:t>
            </w:r>
          </w:p>
        </w:tc>
        <w:tc>
          <w:tcPr>
            <w:tcW w:w="1284" w:type="pct"/>
            <w:gridSpan w:val="2"/>
            <w:vAlign w:val="center"/>
          </w:tcPr>
          <w:p>
            <w:pPr>
              <w:pStyle w:val="232"/>
            </w:pPr>
            <w:r>
              <w:rPr>
                <w:rFonts w:hint="eastAsia"/>
              </w:rPr>
              <w:t>坐标</w:t>
            </w:r>
          </w:p>
        </w:tc>
        <w:tc>
          <w:tcPr>
            <w:tcW w:w="481" w:type="pct"/>
            <w:vMerge w:val="restart"/>
            <w:vAlign w:val="center"/>
          </w:tcPr>
          <w:p>
            <w:pPr>
              <w:pStyle w:val="232"/>
            </w:pPr>
            <w:r>
              <w:rPr>
                <w:rFonts w:hint="eastAsia"/>
              </w:rPr>
              <w:t>保护对象</w:t>
            </w:r>
          </w:p>
        </w:tc>
        <w:tc>
          <w:tcPr>
            <w:tcW w:w="811" w:type="pct"/>
            <w:gridSpan w:val="3"/>
            <w:vAlign w:val="center"/>
          </w:tcPr>
          <w:p>
            <w:pPr>
              <w:pStyle w:val="232"/>
            </w:pPr>
            <w:r>
              <w:rPr>
                <w:rFonts w:hint="eastAsia"/>
              </w:rPr>
              <w:t>保护内容</w:t>
            </w:r>
          </w:p>
        </w:tc>
        <w:tc>
          <w:tcPr>
            <w:tcW w:w="354" w:type="pct"/>
            <w:vMerge w:val="restart"/>
            <w:vAlign w:val="center"/>
          </w:tcPr>
          <w:p>
            <w:pPr>
              <w:pStyle w:val="232"/>
            </w:pPr>
            <w:r>
              <w:rPr>
                <w:rFonts w:hint="eastAsia"/>
              </w:rPr>
              <w:t>相对厂址</w:t>
            </w:r>
            <w:r>
              <w:t>方位</w:t>
            </w:r>
          </w:p>
        </w:tc>
        <w:tc>
          <w:tcPr>
            <w:tcW w:w="473" w:type="pct"/>
            <w:vMerge w:val="restart"/>
            <w:vAlign w:val="center"/>
          </w:tcPr>
          <w:p>
            <w:pPr>
              <w:pStyle w:val="232"/>
            </w:pPr>
            <w:r>
              <w:rPr>
                <w:rFonts w:hint="eastAsia"/>
              </w:rPr>
              <w:t>相对厂界</w:t>
            </w:r>
          </w:p>
          <w:p>
            <w:pPr>
              <w:pStyle w:val="232"/>
            </w:pPr>
            <w:r>
              <w:rPr>
                <w:rFonts w:hint="eastAsia"/>
              </w:rPr>
              <w:t>距离（km）</w:t>
            </w:r>
          </w:p>
        </w:tc>
        <w:tc>
          <w:tcPr>
            <w:tcW w:w="1167" w:type="pct"/>
            <w:vMerge w:val="restart"/>
            <w:vAlign w:val="center"/>
          </w:tcPr>
          <w:p>
            <w:pPr>
              <w:pStyle w:val="232"/>
            </w:pPr>
            <w:r>
              <w:rPr>
                <w:rFonts w:hint="eastAsia"/>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32"/>
            </w:pPr>
            <w:r>
              <w:rPr>
                <w:rFonts w:hint="eastAsia"/>
              </w:rPr>
              <w:t>X</w:t>
            </w:r>
          </w:p>
        </w:tc>
        <w:tc>
          <w:tcPr>
            <w:tcW w:w="687" w:type="pct"/>
            <w:vAlign w:val="center"/>
          </w:tcPr>
          <w:p>
            <w:pPr>
              <w:pStyle w:val="232"/>
            </w:pPr>
            <w:r>
              <w:rPr>
                <w:rFonts w:hint="eastAsia"/>
              </w:rPr>
              <w:t>Y</w:t>
            </w:r>
          </w:p>
        </w:tc>
        <w:tc>
          <w:tcPr>
            <w:tcW w:w="481" w:type="pct"/>
            <w:vMerge w:val="continue"/>
            <w:vAlign w:val="center"/>
          </w:tcPr>
          <w:p>
            <w:pPr>
              <w:pStyle w:val="232"/>
            </w:pPr>
          </w:p>
        </w:tc>
        <w:tc>
          <w:tcPr>
            <w:tcW w:w="303" w:type="pct"/>
            <w:vAlign w:val="center"/>
          </w:tcPr>
          <w:p>
            <w:pPr>
              <w:pStyle w:val="232"/>
            </w:pPr>
            <w:r>
              <w:rPr>
                <w:rFonts w:hint="eastAsia"/>
              </w:rPr>
              <w:t>内容</w:t>
            </w:r>
          </w:p>
        </w:tc>
        <w:tc>
          <w:tcPr>
            <w:tcW w:w="238" w:type="pct"/>
            <w:vAlign w:val="center"/>
          </w:tcPr>
          <w:p>
            <w:pPr>
              <w:pStyle w:val="232"/>
            </w:pPr>
            <w:r>
              <w:rPr>
                <w:rFonts w:hint="eastAsia"/>
              </w:rPr>
              <w:t>户数</w:t>
            </w:r>
          </w:p>
        </w:tc>
        <w:tc>
          <w:tcPr>
            <w:tcW w:w="269" w:type="pct"/>
            <w:vAlign w:val="center"/>
          </w:tcPr>
          <w:p>
            <w:pPr>
              <w:pStyle w:val="232"/>
            </w:pPr>
            <w:r>
              <w:rPr>
                <w:rFonts w:hint="eastAsia"/>
              </w:rPr>
              <w:t>人数</w:t>
            </w:r>
          </w:p>
        </w:tc>
        <w:tc>
          <w:tcPr>
            <w:tcW w:w="354" w:type="pct"/>
            <w:vMerge w:val="continue"/>
            <w:vAlign w:val="center"/>
          </w:tcPr>
          <w:p>
            <w:pPr>
              <w:pStyle w:val="232"/>
            </w:pPr>
          </w:p>
        </w:tc>
        <w:tc>
          <w:tcPr>
            <w:tcW w:w="473" w:type="pct"/>
            <w:vMerge w:val="continue"/>
            <w:vAlign w:val="center"/>
          </w:tcPr>
          <w:p>
            <w:pPr>
              <w:pStyle w:val="232"/>
            </w:pP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restart"/>
            <w:vAlign w:val="center"/>
          </w:tcPr>
          <w:p>
            <w:pPr>
              <w:pStyle w:val="232"/>
            </w:pPr>
            <w:r>
              <w:t>大气环境</w:t>
            </w:r>
          </w:p>
        </w:tc>
        <w:tc>
          <w:tcPr>
            <w:tcW w:w="596" w:type="pct"/>
            <w:vAlign w:val="center"/>
          </w:tcPr>
          <w:p>
            <w:pPr>
              <w:pStyle w:val="28"/>
              <w:spacing w:line="240" w:lineRule="auto"/>
              <w:rPr>
                <w:szCs w:val="21"/>
              </w:rPr>
            </w:pPr>
            <w:r>
              <w:rPr>
                <w:rFonts w:hint="eastAsia"/>
                <w:szCs w:val="21"/>
              </w:rPr>
              <w:t>41°7′18.21″</w:t>
            </w:r>
          </w:p>
        </w:tc>
        <w:tc>
          <w:tcPr>
            <w:tcW w:w="687" w:type="pct"/>
            <w:vAlign w:val="center"/>
          </w:tcPr>
          <w:p>
            <w:pPr>
              <w:pStyle w:val="28"/>
              <w:spacing w:line="240" w:lineRule="auto"/>
              <w:rPr>
                <w:szCs w:val="21"/>
              </w:rPr>
            </w:pPr>
            <w:r>
              <w:rPr>
                <w:rFonts w:hint="eastAsia"/>
                <w:szCs w:val="21"/>
              </w:rPr>
              <w:t>107°46′52.51″</w:t>
            </w:r>
          </w:p>
        </w:tc>
        <w:tc>
          <w:tcPr>
            <w:tcW w:w="481" w:type="pct"/>
            <w:vAlign w:val="center"/>
          </w:tcPr>
          <w:p>
            <w:pPr>
              <w:pStyle w:val="28"/>
              <w:spacing w:line="240" w:lineRule="auto"/>
              <w:rPr>
                <w:szCs w:val="21"/>
              </w:rPr>
            </w:pPr>
            <w:r>
              <w:rPr>
                <w:rFonts w:hint="eastAsia"/>
                <w:szCs w:val="21"/>
              </w:rPr>
              <w:t>刘大沙湾</w:t>
            </w:r>
          </w:p>
        </w:tc>
        <w:tc>
          <w:tcPr>
            <w:tcW w:w="303" w:type="pct"/>
          </w:tcPr>
          <w:p>
            <w:pPr>
              <w:pStyle w:val="232"/>
            </w:pPr>
            <w:r>
              <w:rPr>
                <w:rFonts w:hint="eastAsia"/>
              </w:rPr>
              <w:t>居民</w:t>
            </w:r>
          </w:p>
        </w:tc>
        <w:tc>
          <w:tcPr>
            <w:tcW w:w="238" w:type="pct"/>
            <w:vAlign w:val="center"/>
          </w:tcPr>
          <w:p>
            <w:pPr>
              <w:pStyle w:val="232"/>
            </w:pPr>
            <w:r>
              <w:rPr>
                <w:rFonts w:hint="eastAsia"/>
              </w:rPr>
              <w:t>12</w:t>
            </w:r>
          </w:p>
        </w:tc>
        <w:tc>
          <w:tcPr>
            <w:tcW w:w="269" w:type="pct"/>
            <w:vAlign w:val="center"/>
          </w:tcPr>
          <w:p>
            <w:pPr>
              <w:pStyle w:val="232"/>
            </w:pPr>
            <w:r>
              <w:rPr>
                <w:rFonts w:hint="eastAsia"/>
              </w:rPr>
              <w:t>42</w:t>
            </w:r>
          </w:p>
        </w:tc>
        <w:tc>
          <w:tcPr>
            <w:tcW w:w="354" w:type="pct"/>
            <w:vAlign w:val="center"/>
          </w:tcPr>
          <w:p>
            <w:pPr>
              <w:pStyle w:val="28"/>
              <w:spacing w:line="240" w:lineRule="auto"/>
              <w:rPr>
                <w:szCs w:val="21"/>
              </w:rPr>
            </w:pPr>
            <w:r>
              <w:rPr>
                <w:rFonts w:hint="eastAsia"/>
                <w:szCs w:val="21"/>
              </w:rPr>
              <w:t>NW</w:t>
            </w:r>
          </w:p>
        </w:tc>
        <w:tc>
          <w:tcPr>
            <w:tcW w:w="473" w:type="pct"/>
            <w:vAlign w:val="center"/>
          </w:tcPr>
          <w:p>
            <w:pPr>
              <w:pStyle w:val="28"/>
              <w:spacing w:line="240" w:lineRule="auto"/>
              <w:rPr>
                <w:szCs w:val="21"/>
              </w:rPr>
            </w:pPr>
            <w:r>
              <w:rPr>
                <w:rFonts w:hint="eastAsia"/>
                <w:szCs w:val="21"/>
              </w:rPr>
              <w:t>1.39</w:t>
            </w:r>
          </w:p>
        </w:tc>
        <w:tc>
          <w:tcPr>
            <w:tcW w:w="1167" w:type="pct"/>
            <w:vMerge w:val="restart"/>
            <w:vAlign w:val="center"/>
          </w:tcPr>
          <w:p>
            <w:pPr>
              <w:pStyle w:val="232"/>
            </w:pPr>
            <w:r>
              <w:t>GB3095-2012二类功能区标准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8"/>
              <w:spacing w:line="240" w:lineRule="auto"/>
              <w:rPr>
                <w:szCs w:val="21"/>
              </w:rPr>
            </w:pPr>
            <w:r>
              <w:rPr>
                <w:rFonts w:hint="eastAsia"/>
                <w:szCs w:val="21"/>
              </w:rPr>
              <w:t>41°7′28.71″</w:t>
            </w:r>
          </w:p>
        </w:tc>
        <w:tc>
          <w:tcPr>
            <w:tcW w:w="687" w:type="pct"/>
            <w:vAlign w:val="center"/>
          </w:tcPr>
          <w:p>
            <w:pPr>
              <w:pStyle w:val="28"/>
              <w:spacing w:line="240" w:lineRule="auto"/>
              <w:rPr>
                <w:szCs w:val="21"/>
              </w:rPr>
            </w:pPr>
            <w:r>
              <w:rPr>
                <w:rFonts w:hint="eastAsia"/>
                <w:szCs w:val="21"/>
              </w:rPr>
              <w:t>107°48′34.17″</w:t>
            </w:r>
          </w:p>
        </w:tc>
        <w:tc>
          <w:tcPr>
            <w:tcW w:w="481" w:type="pct"/>
            <w:vAlign w:val="center"/>
          </w:tcPr>
          <w:p>
            <w:pPr>
              <w:pStyle w:val="28"/>
              <w:spacing w:line="240" w:lineRule="auto"/>
              <w:rPr>
                <w:szCs w:val="21"/>
              </w:rPr>
            </w:pPr>
            <w:r>
              <w:rPr>
                <w:rFonts w:hint="eastAsia"/>
                <w:szCs w:val="21"/>
              </w:rPr>
              <w:t>韩徐圪旦</w:t>
            </w:r>
          </w:p>
        </w:tc>
        <w:tc>
          <w:tcPr>
            <w:tcW w:w="303" w:type="pct"/>
            <w:vAlign w:val="center"/>
          </w:tcPr>
          <w:p>
            <w:pPr>
              <w:pStyle w:val="232"/>
            </w:pPr>
            <w:r>
              <w:rPr>
                <w:rFonts w:hint="eastAsia"/>
              </w:rPr>
              <w:t>居民</w:t>
            </w:r>
          </w:p>
        </w:tc>
        <w:tc>
          <w:tcPr>
            <w:tcW w:w="238" w:type="pct"/>
            <w:vAlign w:val="center"/>
          </w:tcPr>
          <w:p>
            <w:pPr>
              <w:pStyle w:val="232"/>
            </w:pPr>
            <w:r>
              <w:rPr>
                <w:rFonts w:hint="eastAsia"/>
              </w:rPr>
              <w:t>46</w:t>
            </w:r>
          </w:p>
        </w:tc>
        <w:tc>
          <w:tcPr>
            <w:tcW w:w="269" w:type="pct"/>
            <w:vAlign w:val="center"/>
          </w:tcPr>
          <w:p>
            <w:pPr>
              <w:pStyle w:val="232"/>
            </w:pPr>
            <w:r>
              <w:rPr>
                <w:rFonts w:hint="eastAsia"/>
              </w:rPr>
              <w:t>161</w:t>
            </w:r>
          </w:p>
        </w:tc>
        <w:tc>
          <w:tcPr>
            <w:tcW w:w="354" w:type="pct"/>
            <w:vAlign w:val="center"/>
          </w:tcPr>
          <w:p>
            <w:pPr>
              <w:pStyle w:val="28"/>
              <w:spacing w:line="240" w:lineRule="auto"/>
              <w:rPr>
                <w:szCs w:val="21"/>
              </w:rPr>
            </w:pPr>
            <w:r>
              <w:rPr>
                <w:rFonts w:hint="eastAsia"/>
                <w:szCs w:val="21"/>
              </w:rPr>
              <w:t>NE</w:t>
            </w:r>
          </w:p>
        </w:tc>
        <w:tc>
          <w:tcPr>
            <w:tcW w:w="473" w:type="pct"/>
            <w:vAlign w:val="center"/>
          </w:tcPr>
          <w:p>
            <w:pPr>
              <w:pStyle w:val="28"/>
              <w:spacing w:line="240" w:lineRule="auto"/>
              <w:rPr>
                <w:szCs w:val="21"/>
              </w:rPr>
            </w:pPr>
            <w:r>
              <w:rPr>
                <w:rFonts w:hint="eastAsia"/>
                <w:szCs w:val="21"/>
              </w:rPr>
              <w:t>1.71</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 w:type="pct"/>
            <w:vMerge w:val="continue"/>
            <w:vAlign w:val="center"/>
          </w:tcPr>
          <w:p>
            <w:pPr>
              <w:pStyle w:val="232"/>
            </w:pPr>
          </w:p>
        </w:tc>
        <w:tc>
          <w:tcPr>
            <w:tcW w:w="596" w:type="pct"/>
            <w:vAlign w:val="center"/>
          </w:tcPr>
          <w:p>
            <w:pPr>
              <w:pStyle w:val="28"/>
              <w:spacing w:line="240" w:lineRule="auto"/>
              <w:rPr>
                <w:szCs w:val="21"/>
              </w:rPr>
            </w:pPr>
            <w:r>
              <w:rPr>
                <w:rFonts w:hint="eastAsia"/>
                <w:szCs w:val="21"/>
              </w:rPr>
              <w:t>41°5′7.81″</w:t>
            </w:r>
          </w:p>
        </w:tc>
        <w:tc>
          <w:tcPr>
            <w:tcW w:w="687" w:type="pct"/>
            <w:vAlign w:val="center"/>
          </w:tcPr>
          <w:p>
            <w:pPr>
              <w:pStyle w:val="28"/>
              <w:spacing w:line="240" w:lineRule="auto"/>
              <w:rPr>
                <w:szCs w:val="21"/>
              </w:rPr>
            </w:pPr>
            <w:r>
              <w:rPr>
                <w:rFonts w:hint="eastAsia"/>
                <w:szCs w:val="21"/>
              </w:rPr>
              <w:t>107°48′4.51″</w:t>
            </w:r>
          </w:p>
        </w:tc>
        <w:tc>
          <w:tcPr>
            <w:tcW w:w="481" w:type="pct"/>
            <w:vAlign w:val="center"/>
          </w:tcPr>
          <w:p>
            <w:pPr>
              <w:pStyle w:val="28"/>
              <w:spacing w:line="240" w:lineRule="auto"/>
              <w:rPr>
                <w:szCs w:val="21"/>
              </w:rPr>
            </w:pPr>
            <w:r>
              <w:rPr>
                <w:rFonts w:hint="eastAsia"/>
                <w:szCs w:val="21"/>
              </w:rPr>
              <w:t>王画匠</w:t>
            </w:r>
          </w:p>
        </w:tc>
        <w:tc>
          <w:tcPr>
            <w:tcW w:w="303" w:type="pct"/>
            <w:vAlign w:val="center"/>
          </w:tcPr>
          <w:p>
            <w:pPr>
              <w:pStyle w:val="232"/>
            </w:pPr>
            <w:r>
              <w:rPr>
                <w:rFonts w:hint="eastAsia" w:cs="宋体"/>
              </w:rPr>
              <w:t>居民</w:t>
            </w:r>
          </w:p>
        </w:tc>
        <w:tc>
          <w:tcPr>
            <w:tcW w:w="238" w:type="pct"/>
            <w:vAlign w:val="center"/>
          </w:tcPr>
          <w:p>
            <w:pPr>
              <w:pStyle w:val="232"/>
            </w:pPr>
            <w:r>
              <w:rPr>
                <w:rFonts w:hint="eastAsia"/>
              </w:rPr>
              <w:t>40</w:t>
            </w:r>
          </w:p>
        </w:tc>
        <w:tc>
          <w:tcPr>
            <w:tcW w:w="269" w:type="pct"/>
            <w:vAlign w:val="center"/>
          </w:tcPr>
          <w:p>
            <w:pPr>
              <w:pStyle w:val="232"/>
            </w:pPr>
            <w:r>
              <w:rPr>
                <w:rFonts w:hint="eastAsia"/>
              </w:rPr>
              <w:t>140</w:t>
            </w:r>
          </w:p>
        </w:tc>
        <w:tc>
          <w:tcPr>
            <w:tcW w:w="354" w:type="pct"/>
            <w:vAlign w:val="center"/>
          </w:tcPr>
          <w:p>
            <w:pPr>
              <w:pStyle w:val="28"/>
              <w:spacing w:line="240" w:lineRule="auto"/>
              <w:rPr>
                <w:szCs w:val="21"/>
              </w:rPr>
            </w:pPr>
            <w:r>
              <w:rPr>
                <w:rFonts w:hint="eastAsia"/>
                <w:szCs w:val="21"/>
              </w:rPr>
              <w:t>SE</w:t>
            </w:r>
          </w:p>
        </w:tc>
        <w:tc>
          <w:tcPr>
            <w:tcW w:w="473" w:type="pct"/>
            <w:vAlign w:val="center"/>
          </w:tcPr>
          <w:p>
            <w:pPr>
              <w:pStyle w:val="28"/>
              <w:spacing w:line="240" w:lineRule="auto"/>
              <w:rPr>
                <w:szCs w:val="21"/>
              </w:rPr>
            </w:pPr>
            <w:r>
              <w:rPr>
                <w:rFonts w:hint="eastAsia"/>
                <w:szCs w:val="21"/>
              </w:rPr>
              <w:t>1.76</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8"/>
              <w:spacing w:line="240" w:lineRule="auto"/>
              <w:rPr>
                <w:szCs w:val="21"/>
              </w:rPr>
            </w:pPr>
            <w:r>
              <w:rPr>
                <w:rFonts w:hint="eastAsia"/>
                <w:szCs w:val="21"/>
              </w:rPr>
              <w:t>41°5′36.86″</w:t>
            </w:r>
          </w:p>
        </w:tc>
        <w:tc>
          <w:tcPr>
            <w:tcW w:w="687" w:type="pct"/>
            <w:vAlign w:val="center"/>
          </w:tcPr>
          <w:p>
            <w:pPr>
              <w:pStyle w:val="28"/>
              <w:spacing w:line="240" w:lineRule="auto"/>
              <w:rPr>
                <w:szCs w:val="21"/>
              </w:rPr>
            </w:pPr>
            <w:r>
              <w:rPr>
                <w:rFonts w:hint="eastAsia"/>
                <w:szCs w:val="21"/>
              </w:rPr>
              <w:t>107°48′3.27″</w:t>
            </w:r>
          </w:p>
        </w:tc>
        <w:tc>
          <w:tcPr>
            <w:tcW w:w="481" w:type="pct"/>
            <w:vAlign w:val="center"/>
          </w:tcPr>
          <w:p>
            <w:pPr>
              <w:pStyle w:val="28"/>
              <w:spacing w:line="240" w:lineRule="auto"/>
              <w:rPr>
                <w:rFonts w:cs="宋体"/>
                <w:szCs w:val="21"/>
              </w:rPr>
            </w:pPr>
            <w:r>
              <w:rPr>
                <w:rFonts w:hint="eastAsia"/>
                <w:szCs w:val="21"/>
              </w:rPr>
              <w:t>色林庆</w:t>
            </w:r>
          </w:p>
        </w:tc>
        <w:tc>
          <w:tcPr>
            <w:tcW w:w="303" w:type="pct"/>
            <w:vAlign w:val="center"/>
          </w:tcPr>
          <w:p>
            <w:pPr>
              <w:pStyle w:val="232"/>
              <w:rPr>
                <w:rFonts w:cs="宋体"/>
              </w:rPr>
            </w:pPr>
            <w:r>
              <w:rPr>
                <w:rFonts w:hint="eastAsia" w:cs="宋体"/>
              </w:rPr>
              <w:t>居民</w:t>
            </w:r>
          </w:p>
        </w:tc>
        <w:tc>
          <w:tcPr>
            <w:tcW w:w="238" w:type="pct"/>
            <w:vAlign w:val="center"/>
          </w:tcPr>
          <w:p>
            <w:pPr>
              <w:pStyle w:val="232"/>
            </w:pPr>
            <w:r>
              <w:rPr>
                <w:rFonts w:hint="eastAsia"/>
              </w:rPr>
              <w:t>32</w:t>
            </w:r>
          </w:p>
        </w:tc>
        <w:tc>
          <w:tcPr>
            <w:tcW w:w="269" w:type="pct"/>
            <w:vAlign w:val="center"/>
          </w:tcPr>
          <w:p>
            <w:pPr>
              <w:pStyle w:val="232"/>
            </w:pPr>
            <w:r>
              <w:rPr>
                <w:rFonts w:hint="eastAsia"/>
              </w:rPr>
              <w:t>112</w:t>
            </w:r>
          </w:p>
        </w:tc>
        <w:tc>
          <w:tcPr>
            <w:tcW w:w="354" w:type="pct"/>
            <w:vAlign w:val="center"/>
          </w:tcPr>
          <w:p>
            <w:pPr>
              <w:pStyle w:val="28"/>
              <w:spacing w:line="240" w:lineRule="auto"/>
              <w:rPr>
                <w:szCs w:val="21"/>
              </w:rPr>
            </w:pPr>
            <w:r>
              <w:rPr>
                <w:rFonts w:hint="eastAsia"/>
                <w:szCs w:val="21"/>
              </w:rPr>
              <w:t>SE</w:t>
            </w:r>
          </w:p>
        </w:tc>
        <w:tc>
          <w:tcPr>
            <w:tcW w:w="473" w:type="pct"/>
            <w:vAlign w:val="center"/>
          </w:tcPr>
          <w:p>
            <w:pPr>
              <w:pStyle w:val="28"/>
              <w:spacing w:line="240" w:lineRule="auto"/>
              <w:rPr>
                <w:szCs w:val="21"/>
              </w:rPr>
            </w:pPr>
            <w:r>
              <w:rPr>
                <w:rFonts w:hint="eastAsia"/>
                <w:szCs w:val="21"/>
              </w:rPr>
              <w:t>0.87</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8"/>
              <w:spacing w:line="240" w:lineRule="auto"/>
              <w:rPr>
                <w:szCs w:val="21"/>
              </w:rPr>
            </w:pPr>
            <w:r>
              <w:rPr>
                <w:szCs w:val="21"/>
              </w:rPr>
              <w:t>41</w:t>
            </w:r>
            <w:r>
              <w:rPr>
                <w:rFonts w:hint="eastAsia"/>
                <w:szCs w:val="21"/>
              </w:rPr>
              <w:t>°</w:t>
            </w:r>
            <w:r>
              <w:rPr>
                <w:szCs w:val="21"/>
              </w:rPr>
              <w:t>6</w:t>
            </w:r>
            <w:r>
              <w:rPr>
                <w:rFonts w:hint="eastAsia"/>
                <w:szCs w:val="21"/>
              </w:rPr>
              <w:t>′</w:t>
            </w:r>
            <w:r>
              <w:rPr>
                <w:szCs w:val="21"/>
              </w:rPr>
              <w:t>33.25</w:t>
            </w:r>
            <w:r>
              <w:rPr>
                <w:rFonts w:hint="eastAsia"/>
                <w:szCs w:val="21"/>
              </w:rPr>
              <w:t>″</w:t>
            </w:r>
          </w:p>
        </w:tc>
        <w:tc>
          <w:tcPr>
            <w:tcW w:w="687" w:type="pct"/>
            <w:vAlign w:val="center"/>
          </w:tcPr>
          <w:p>
            <w:pPr>
              <w:pStyle w:val="28"/>
              <w:spacing w:line="240" w:lineRule="auto"/>
              <w:rPr>
                <w:szCs w:val="21"/>
              </w:rPr>
            </w:pPr>
            <w:r>
              <w:rPr>
                <w:szCs w:val="21"/>
              </w:rPr>
              <w:t>107</w:t>
            </w:r>
            <w:r>
              <w:rPr>
                <w:rFonts w:hint="eastAsia"/>
                <w:szCs w:val="21"/>
              </w:rPr>
              <w:t>°</w:t>
            </w:r>
            <w:r>
              <w:rPr>
                <w:szCs w:val="21"/>
              </w:rPr>
              <w:t>45</w:t>
            </w:r>
            <w:r>
              <w:rPr>
                <w:rFonts w:hint="eastAsia"/>
                <w:szCs w:val="21"/>
              </w:rPr>
              <w:t>′</w:t>
            </w:r>
            <w:r>
              <w:rPr>
                <w:szCs w:val="21"/>
              </w:rPr>
              <w:t>57.98</w:t>
            </w:r>
            <w:r>
              <w:rPr>
                <w:rFonts w:hint="eastAsia"/>
                <w:szCs w:val="21"/>
              </w:rPr>
              <w:t>″</w:t>
            </w:r>
          </w:p>
        </w:tc>
        <w:tc>
          <w:tcPr>
            <w:tcW w:w="481" w:type="pct"/>
            <w:vAlign w:val="center"/>
          </w:tcPr>
          <w:p>
            <w:pPr>
              <w:pStyle w:val="28"/>
              <w:spacing w:line="240" w:lineRule="auto"/>
              <w:rPr>
                <w:szCs w:val="21"/>
              </w:rPr>
            </w:pPr>
            <w:r>
              <w:rPr>
                <w:szCs w:val="21"/>
              </w:rPr>
              <w:t>西仁疙旦</w:t>
            </w:r>
          </w:p>
        </w:tc>
        <w:tc>
          <w:tcPr>
            <w:tcW w:w="303" w:type="pct"/>
            <w:vAlign w:val="center"/>
          </w:tcPr>
          <w:p>
            <w:pPr>
              <w:pStyle w:val="232"/>
            </w:pPr>
            <w:r>
              <w:t>居民</w:t>
            </w:r>
          </w:p>
        </w:tc>
        <w:tc>
          <w:tcPr>
            <w:tcW w:w="238" w:type="pct"/>
            <w:vAlign w:val="center"/>
          </w:tcPr>
          <w:p>
            <w:pPr>
              <w:pStyle w:val="232"/>
            </w:pPr>
            <w:r>
              <w:rPr>
                <w:rFonts w:hint="eastAsia"/>
              </w:rPr>
              <w:t>66</w:t>
            </w:r>
          </w:p>
        </w:tc>
        <w:tc>
          <w:tcPr>
            <w:tcW w:w="269" w:type="pct"/>
            <w:vAlign w:val="center"/>
          </w:tcPr>
          <w:p>
            <w:pPr>
              <w:pStyle w:val="232"/>
            </w:pPr>
            <w:r>
              <w:rPr>
                <w:rFonts w:hint="eastAsia"/>
              </w:rPr>
              <w:t>230</w:t>
            </w:r>
          </w:p>
        </w:tc>
        <w:tc>
          <w:tcPr>
            <w:tcW w:w="354" w:type="pct"/>
            <w:vAlign w:val="center"/>
          </w:tcPr>
          <w:p>
            <w:pPr>
              <w:pStyle w:val="28"/>
              <w:spacing w:line="240" w:lineRule="auto"/>
              <w:rPr>
                <w:szCs w:val="21"/>
              </w:rPr>
            </w:pPr>
            <w:r>
              <w:rPr>
                <w:szCs w:val="21"/>
              </w:rPr>
              <w:t>N</w:t>
            </w:r>
            <w:r>
              <w:rPr>
                <w:rFonts w:hint="eastAsia"/>
                <w:szCs w:val="21"/>
              </w:rPr>
              <w:t>W</w:t>
            </w:r>
          </w:p>
        </w:tc>
        <w:tc>
          <w:tcPr>
            <w:tcW w:w="473" w:type="pct"/>
            <w:vAlign w:val="center"/>
          </w:tcPr>
          <w:p>
            <w:pPr>
              <w:pStyle w:val="28"/>
              <w:spacing w:line="240" w:lineRule="auto"/>
              <w:rPr>
                <w:szCs w:val="21"/>
              </w:rPr>
            </w:pPr>
            <w:r>
              <w:rPr>
                <w:rFonts w:hint="eastAsia"/>
                <w:szCs w:val="21"/>
              </w:rPr>
              <w:t>1.05</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8"/>
              <w:spacing w:line="240" w:lineRule="auto"/>
              <w:rPr>
                <w:szCs w:val="21"/>
              </w:rPr>
            </w:pPr>
            <w:r>
              <w:rPr>
                <w:rFonts w:hint="eastAsia"/>
                <w:szCs w:val="21"/>
              </w:rPr>
              <w:t>41°5′17.70″</w:t>
            </w:r>
          </w:p>
        </w:tc>
        <w:tc>
          <w:tcPr>
            <w:tcW w:w="687" w:type="pct"/>
            <w:vAlign w:val="center"/>
          </w:tcPr>
          <w:p>
            <w:pPr>
              <w:pStyle w:val="28"/>
              <w:spacing w:line="240" w:lineRule="auto"/>
              <w:rPr>
                <w:szCs w:val="21"/>
              </w:rPr>
            </w:pPr>
            <w:r>
              <w:rPr>
                <w:rFonts w:hint="eastAsia"/>
                <w:szCs w:val="21"/>
              </w:rPr>
              <w:t>107°45′44.84″</w:t>
            </w:r>
          </w:p>
        </w:tc>
        <w:tc>
          <w:tcPr>
            <w:tcW w:w="481" w:type="pct"/>
            <w:vAlign w:val="center"/>
          </w:tcPr>
          <w:p>
            <w:pPr>
              <w:pStyle w:val="28"/>
              <w:spacing w:line="240" w:lineRule="auto"/>
              <w:rPr>
                <w:szCs w:val="21"/>
              </w:rPr>
            </w:pPr>
            <w:r>
              <w:rPr>
                <w:rFonts w:hint="eastAsia"/>
                <w:szCs w:val="21"/>
              </w:rPr>
              <w:t>胜丰村</w:t>
            </w:r>
          </w:p>
        </w:tc>
        <w:tc>
          <w:tcPr>
            <w:tcW w:w="303" w:type="pct"/>
            <w:vAlign w:val="center"/>
          </w:tcPr>
          <w:p>
            <w:pPr>
              <w:pStyle w:val="232"/>
            </w:pPr>
            <w:r>
              <w:t>居民</w:t>
            </w:r>
          </w:p>
        </w:tc>
        <w:tc>
          <w:tcPr>
            <w:tcW w:w="238" w:type="pct"/>
            <w:vAlign w:val="center"/>
          </w:tcPr>
          <w:p>
            <w:pPr>
              <w:pStyle w:val="232"/>
            </w:pPr>
            <w:r>
              <w:rPr>
                <w:rFonts w:hint="eastAsia"/>
              </w:rPr>
              <w:t>53</w:t>
            </w:r>
          </w:p>
        </w:tc>
        <w:tc>
          <w:tcPr>
            <w:tcW w:w="269" w:type="pct"/>
            <w:vAlign w:val="center"/>
          </w:tcPr>
          <w:p>
            <w:pPr>
              <w:pStyle w:val="232"/>
            </w:pPr>
            <w:r>
              <w:rPr>
                <w:rFonts w:hint="eastAsia"/>
              </w:rPr>
              <w:t>186</w:t>
            </w:r>
          </w:p>
        </w:tc>
        <w:tc>
          <w:tcPr>
            <w:tcW w:w="354" w:type="pct"/>
            <w:vAlign w:val="center"/>
          </w:tcPr>
          <w:p>
            <w:pPr>
              <w:pStyle w:val="28"/>
              <w:spacing w:line="240" w:lineRule="auto"/>
              <w:rPr>
                <w:szCs w:val="21"/>
              </w:rPr>
            </w:pPr>
            <w:r>
              <w:rPr>
                <w:szCs w:val="21"/>
              </w:rPr>
              <w:t>SW</w:t>
            </w:r>
          </w:p>
        </w:tc>
        <w:tc>
          <w:tcPr>
            <w:tcW w:w="473" w:type="pct"/>
            <w:vAlign w:val="center"/>
          </w:tcPr>
          <w:p>
            <w:pPr>
              <w:pStyle w:val="28"/>
              <w:spacing w:line="240" w:lineRule="auto"/>
              <w:rPr>
                <w:szCs w:val="21"/>
              </w:rPr>
            </w:pPr>
            <w:r>
              <w:rPr>
                <w:rFonts w:hint="eastAsia"/>
                <w:szCs w:val="21"/>
              </w:rPr>
              <w:t>1.45</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exact"/>
          <w:jc w:val="center"/>
        </w:trPr>
        <w:tc>
          <w:tcPr>
            <w:tcW w:w="426" w:type="pct"/>
            <w:vMerge w:val="continue"/>
            <w:vAlign w:val="center"/>
          </w:tcPr>
          <w:p>
            <w:pPr>
              <w:pStyle w:val="232"/>
            </w:pPr>
          </w:p>
        </w:tc>
        <w:tc>
          <w:tcPr>
            <w:tcW w:w="596" w:type="pct"/>
            <w:vAlign w:val="center"/>
          </w:tcPr>
          <w:p>
            <w:pPr>
              <w:pStyle w:val="28"/>
              <w:spacing w:line="240" w:lineRule="auto"/>
              <w:rPr>
                <w:szCs w:val="21"/>
              </w:rPr>
            </w:pPr>
            <w:r>
              <w:rPr>
                <w:rFonts w:hint="eastAsia"/>
                <w:szCs w:val="21"/>
              </w:rPr>
              <w:t>41°4′36.30″</w:t>
            </w:r>
          </w:p>
        </w:tc>
        <w:tc>
          <w:tcPr>
            <w:tcW w:w="687" w:type="pct"/>
            <w:vAlign w:val="center"/>
          </w:tcPr>
          <w:p>
            <w:pPr>
              <w:pStyle w:val="28"/>
              <w:spacing w:line="240" w:lineRule="auto"/>
              <w:rPr>
                <w:szCs w:val="21"/>
              </w:rPr>
            </w:pPr>
            <w:r>
              <w:rPr>
                <w:rFonts w:hint="eastAsia"/>
                <w:szCs w:val="21"/>
              </w:rPr>
              <w:t>107°46′5.85″</w:t>
            </w:r>
          </w:p>
        </w:tc>
        <w:tc>
          <w:tcPr>
            <w:tcW w:w="481" w:type="pct"/>
            <w:vAlign w:val="center"/>
          </w:tcPr>
          <w:p>
            <w:pPr>
              <w:pStyle w:val="28"/>
              <w:spacing w:line="240" w:lineRule="auto"/>
              <w:rPr>
                <w:szCs w:val="21"/>
              </w:rPr>
            </w:pPr>
            <w:r>
              <w:rPr>
                <w:rFonts w:hint="eastAsia"/>
                <w:szCs w:val="21"/>
              </w:rPr>
              <w:t>张满仓</w:t>
            </w:r>
          </w:p>
        </w:tc>
        <w:tc>
          <w:tcPr>
            <w:tcW w:w="303" w:type="pct"/>
            <w:vAlign w:val="center"/>
          </w:tcPr>
          <w:p>
            <w:pPr>
              <w:pStyle w:val="232"/>
            </w:pPr>
            <w:r>
              <w:rPr>
                <w:rFonts w:hint="eastAsia" w:cs="宋体"/>
              </w:rPr>
              <w:t>居民</w:t>
            </w:r>
          </w:p>
        </w:tc>
        <w:tc>
          <w:tcPr>
            <w:tcW w:w="238" w:type="pct"/>
            <w:vAlign w:val="center"/>
          </w:tcPr>
          <w:p>
            <w:pPr>
              <w:pStyle w:val="232"/>
            </w:pPr>
            <w:r>
              <w:rPr>
                <w:rFonts w:hint="eastAsia"/>
              </w:rPr>
              <w:t>12</w:t>
            </w:r>
          </w:p>
        </w:tc>
        <w:tc>
          <w:tcPr>
            <w:tcW w:w="269" w:type="pct"/>
            <w:vAlign w:val="center"/>
          </w:tcPr>
          <w:p>
            <w:pPr>
              <w:pStyle w:val="232"/>
            </w:pPr>
            <w:r>
              <w:rPr>
                <w:rFonts w:hint="eastAsia"/>
              </w:rPr>
              <w:t>42</w:t>
            </w:r>
          </w:p>
        </w:tc>
        <w:tc>
          <w:tcPr>
            <w:tcW w:w="354" w:type="pct"/>
            <w:vAlign w:val="center"/>
          </w:tcPr>
          <w:p>
            <w:pPr>
              <w:pStyle w:val="28"/>
              <w:spacing w:line="240" w:lineRule="auto"/>
              <w:rPr>
                <w:szCs w:val="21"/>
              </w:rPr>
            </w:pPr>
            <w:r>
              <w:rPr>
                <w:rFonts w:hint="eastAsia"/>
                <w:szCs w:val="21"/>
              </w:rPr>
              <w:t>SW</w:t>
            </w:r>
          </w:p>
        </w:tc>
        <w:tc>
          <w:tcPr>
            <w:tcW w:w="473" w:type="pct"/>
            <w:vAlign w:val="center"/>
          </w:tcPr>
          <w:p>
            <w:pPr>
              <w:pStyle w:val="28"/>
              <w:spacing w:line="240" w:lineRule="auto"/>
              <w:rPr>
                <w:szCs w:val="21"/>
              </w:rPr>
            </w:pPr>
            <w:r>
              <w:rPr>
                <w:rFonts w:hint="eastAsia"/>
                <w:szCs w:val="21"/>
              </w:rPr>
              <w:t>1.85</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8"/>
              <w:spacing w:line="240" w:lineRule="auto"/>
              <w:rPr>
                <w:rFonts w:hint="eastAsia"/>
                <w:color w:val="FF0000"/>
                <w:szCs w:val="21"/>
              </w:rPr>
            </w:pPr>
            <w:r>
              <w:rPr>
                <w:rFonts w:hint="eastAsia"/>
                <w:color w:val="FF0000"/>
                <w:szCs w:val="21"/>
              </w:rPr>
              <w:t>41°7′0.88″</w:t>
            </w:r>
          </w:p>
        </w:tc>
        <w:tc>
          <w:tcPr>
            <w:tcW w:w="687" w:type="pct"/>
            <w:vAlign w:val="center"/>
          </w:tcPr>
          <w:p>
            <w:pPr>
              <w:pStyle w:val="28"/>
              <w:spacing w:line="240" w:lineRule="auto"/>
              <w:rPr>
                <w:rFonts w:hint="eastAsia"/>
                <w:color w:val="FF0000"/>
                <w:szCs w:val="21"/>
              </w:rPr>
            </w:pPr>
            <w:r>
              <w:rPr>
                <w:rFonts w:hint="eastAsia"/>
                <w:color w:val="FF0000"/>
                <w:szCs w:val="21"/>
              </w:rPr>
              <w:t>107°48′9.7</w:t>
            </w:r>
            <w:r>
              <w:rPr>
                <w:rFonts w:hint="eastAsia"/>
                <w:color w:val="FF0000"/>
                <w:szCs w:val="21"/>
                <w:lang w:val="en-US" w:eastAsia="zh-CN"/>
              </w:rPr>
              <w:t>5</w:t>
            </w:r>
            <w:r>
              <w:rPr>
                <w:rFonts w:hint="eastAsia"/>
                <w:color w:val="FF0000"/>
                <w:szCs w:val="21"/>
              </w:rPr>
              <w:t>″</w:t>
            </w:r>
          </w:p>
        </w:tc>
        <w:tc>
          <w:tcPr>
            <w:tcW w:w="481" w:type="pct"/>
            <w:vAlign w:val="center"/>
          </w:tcPr>
          <w:p>
            <w:pPr>
              <w:pStyle w:val="28"/>
              <w:spacing w:line="240" w:lineRule="auto"/>
              <w:rPr>
                <w:rFonts w:hint="default" w:eastAsia="宋体"/>
                <w:color w:val="FF0000"/>
                <w:szCs w:val="21"/>
                <w:lang w:val="en-US" w:eastAsia="zh-CN"/>
              </w:rPr>
            </w:pPr>
            <w:r>
              <w:rPr>
                <w:rFonts w:hint="eastAsia"/>
                <w:color w:val="FF0000"/>
                <w:szCs w:val="21"/>
                <w:lang w:val="en-US" w:eastAsia="zh-CN"/>
              </w:rPr>
              <w:t>张四圪旦</w:t>
            </w:r>
          </w:p>
        </w:tc>
        <w:tc>
          <w:tcPr>
            <w:tcW w:w="303" w:type="pct"/>
            <w:vAlign w:val="center"/>
          </w:tcPr>
          <w:p>
            <w:pPr>
              <w:pStyle w:val="232"/>
              <w:rPr>
                <w:rFonts w:hint="eastAsia" w:cs="宋体"/>
                <w:color w:val="FF0000"/>
              </w:rPr>
            </w:pPr>
            <w:r>
              <w:rPr>
                <w:rFonts w:hint="eastAsia" w:cs="宋体"/>
                <w:color w:val="FF0000"/>
              </w:rPr>
              <w:t>居民</w:t>
            </w:r>
          </w:p>
        </w:tc>
        <w:tc>
          <w:tcPr>
            <w:tcW w:w="238" w:type="pct"/>
            <w:vAlign w:val="center"/>
          </w:tcPr>
          <w:p>
            <w:pPr>
              <w:pStyle w:val="232"/>
              <w:rPr>
                <w:rFonts w:hint="default" w:eastAsia="宋体"/>
                <w:color w:val="FF0000"/>
                <w:lang w:val="en-US" w:eastAsia="zh-CN"/>
              </w:rPr>
            </w:pPr>
            <w:r>
              <w:rPr>
                <w:rFonts w:hint="eastAsia"/>
                <w:color w:val="FF0000"/>
                <w:lang w:val="en-US" w:eastAsia="zh-CN"/>
              </w:rPr>
              <w:t>9</w:t>
            </w:r>
          </w:p>
        </w:tc>
        <w:tc>
          <w:tcPr>
            <w:tcW w:w="269" w:type="pct"/>
            <w:vAlign w:val="center"/>
          </w:tcPr>
          <w:p>
            <w:pPr>
              <w:pStyle w:val="232"/>
              <w:rPr>
                <w:rFonts w:hint="default" w:eastAsia="宋体"/>
                <w:color w:val="FF0000"/>
                <w:lang w:val="en-US" w:eastAsia="zh-CN"/>
              </w:rPr>
            </w:pPr>
            <w:r>
              <w:rPr>
                <w:rFonts w:hint="eastAsia"/>
                <w:color w:val="FF0000"/>
                <w:lang w:val="en-US" w:eastAsia="zh-CN"/>
              </w:rPr>
              <w:t>27</w:t>
            </w:r>
          </w:p>
        </w:tc>
        <w:tc>
          <w:tcPr>
            <w:tcW w:w="354" w:type="pct"/>
            <w:vAlign w:val="center"/>
          </w:tcPr>
          <w:p>
            <w:pPr>
              <w:pStyle w:val="28"/>
              <w:spacing w:line="240" w:lineRule="auto"/>
              <w:rPr>
                <w:rFonts w:hint="eastAsia"/>
                <w:color w:val="FF0000"/>
                <w:szCs w:val="21"/>
              </w:rPr>
            </w:pPr>
            <w:r>
              <w:rPr>
                <w:rFonts w:hint="eastAsia"/>
                <w:color w:val="FF0000"/>
                <w:szCs w:val="21"/>
              </w:rPr>
              <w:t>NE</w:t>
            </w:r>
          </w:p>
        </w:tc>
        <w:tc>
          <w:tcPr>
            <w:tcW w:w="473" w:type="pct"/>
            <w:vAlign w:val="center"/>
          </w:tcPr>
          <w:p>
            <w:pPr>
              <w:pStyle w:val="28"/>
              <w:spacing w:line="240" w:lineRule="auto"/>
              <w:rPr>
                <w:rFonts w:hint="default" w:eastAsia="宋体"/>
                <w:color w:val="FF0000"/>
                <w:szCs w:val="21"/>
                <w:lang w:val="en-US" w:eastAsia="zh-CN"/>
              </w:rPr>
            </w:pPr>
            <w:r>
              <w:rPr>
                <w:rFonts w:hint="eastAsia"/>
                <w:color w:val="FF0000"/>
                <w:szCs w:val="21"/>
                <w:lang w:val="en-US" w:eastAsia="zh-CN"/>
              </w:rPr>
              <w:t>0.68</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596" w:type="pct"/>
            <w:vAlign w:val="center"/>
          </w:tcPr>
          <w:p>
            <w:pPr>
              <w:pStyle w:val="28"/>
              <w:spacing w:line="240" w:lineRule="auto"/>
              <w:rPr>
                <w:rFonts w:hint="eastAsia"/>
                <w:color w:val="FF0000"/>
                <w:szCs w:val="21"/>
              </w:rPr>
            </w:pPr>
            <w:r>
              <w:rPr>
                <w:rFonts w:hint="eastAsia"/>
                <w:color w:val="FF0000"/>
                <w:szCs w:val="21"/>
              </w:rPr>
              <w:t>41°6′28.44″</w:t>
            </w:r>
          </w:p>
        </w:tc>
        <w:tc>
          <w:tcPr>
            <w:tcW w:w="687" w:type="pct"/>
            <w:vAlign w:val="center"/>
          </w:tcPr>
          <w:p>
            <w:pPr>
              <w:pStyle w:val="28"/>
              <w:spacing w:line="240" w:lineRule="auto"/>
              <w:rPr>
                <w:rFonts w:hint="eastAsia"/>
                <w:color w:val="FF0000"/>
                <w:szCs w:val="21"/>
              </w:rPr>
            </w:pPr>
            <w:r>
              <w:rPr>
                <w:rFonts w:hint="eastAsia"/>
                <w:color w:val="FF0000"/>
                <w:szCs w:val="21"/>
              </w:rPr>
              <w:t>107°48′15.6</w:t>
            </w:r>
            <w:r>
              <w:rPr>
                <w:rFonts w:hint="eastAsia"/>
                <w:color w:val="FF0000"/>
                <w:szCs w:val="21"/>
                <w:lang w:val="en-US" w:eastAsia="zh-CN"/>
              </w:rPr>
              <w:t>2</w:t>
            </w:r>
            <w:r>
              <w:rPr>
                <w:rFonts w:hint="eastAsia"/>
                <w:color w:val="FF0000"/>
                <w:szCs w:val="21"/>
              </w:rPr>
              <w:t>″</w:t>
            </w:r>
          </w:p>
        </w:tc>
        <w:tc>
          <w:tcPr>
            <w:tcW w:w="481" w:type="pct"/>
            <w:vAlign w:val="center"/>
          </w:tcPr>
          <w:p>
            <w:pPr>
              <w:pStyle w:val="28"/>
              <w:spacing w:line="240" w:lineRule="auto"/>
              <w:rPr>
                <w:rFonts w:hint="default"/>
                <w:color w:val="FF0000"/>
                <w:szCs w:val="21"/>
                <w:lang w:val="en-US" w:eastAsia="zh-CN"/>
              </w:rPr>
            </w:pPr>
            <w:r>
              <w:rPr>
                <w:rFonts w:hint="eastAsia"/>
                <w:color w:val="FF0000"/>
                <w:szCs w:val="21"/>
                <w:lang w:val="en-US" w:eastAsia="zh-CN"/>
              </w:rPr>
              <w:t>烂韩柜圪旦</w:t>
            </w:r>
          </w:p>
        </w:tc>
        <w:tc>
          <w:tcPr>
            <w:tcW w:w="303" w:type="pct"/>
            <w:vAlign w:val="center"/>
          </w:tcPr>
          <w:p>
            <w:pPr>
              <w:pStyle w:val="232"/>
              <w:rPr>
                <w:rFonts w:hint="eastAsia" w:cs="宋体"/>
                <w:color w:val="FF0000"/>
              </w:rPr>
            </w:pPr>
            <w:r>
              <w:rPr>
                <w:rFonts w:hint="eastAsia" w:cs="宋体"/>
                <w:color w:val="FF0000"/>
              </w:rPr>
              <w:t>居民</w:t>
            </w:r>
          </w:p>
        </w:tc>
        <w:tc>
          <w:tcPr>
            <w:tcW w:w="238" w:type="pct"/>
            <w:vAlign w:val="center"/>
          </w:tcPr>
          <w:p>
            <w:pPr>
              <w:pStyle w:val="232"/>
              <w:rPr>
                <w:rFonts w:hint="default"/>
                <w:color w:val="FF0000"/>
                <w:lang w:val="en-US" w:eastAsia="zh-CN"/>
              </w:rPr>
            </w:pPr>
            <w:r>
              <w:rPr>
                <w:rFonts w:hint="eastAsia"/>
                <w:color w:val="FF0000"/>
                <w:lang w:val="en-US" w:eastAsia="zh-CN"/>
              </w:rPr>
              <w:t>20</w:t>
            </w:r>
          </w:p>
        </w:tc>
        <w:tc>
          <w:tcPr>
            <w:tcW w:w="269" w:type="pct"/>
            <w:vAlign w:val="center"/>
          </w:tcPr>
          <w:p>
            <w:pPr>
              <w:pStyle w:val="232"/>
              <w:rPr>
                <w:rFonts w:hint="default"/>
                <w:color w:val="FF0000"/>
                <w:lang w:val="en-US" w:eastAsia="zh-CN"/>
              </w:rPr>
            </w:pPr>
            <w:r>
              <w:rPr>
                <w:rFonts w:hint="eastAsia"/>
                <w:color w:val="FF0000"/>
                <w:lang w:val="en-US" w:eastAsia="zh-CN"/>
              </w:rPr>
              <w:t>58</w:t>
            </w:r>
          </w:p>
        </w:tc>
        <w:tc>
          <w:tcPr>
            <w:tcW w:w="354" w:type="pct"/>
            <w:vAlign w:val="center"/>
          </w:tcPr>
          <w:p>
            <w:pPr>
              <w:pStyle w:val="28"/>
              <w:spacing w:line="240" w:lineRule="auto"/>
              <w:rPr>
                <w:rFonts w:hint="eastAsia" w:eastAsia="宋体"/>
                <w:color w:val="FF0000"/>
                <w:szCs w:val="21"/>
                <w:lang w:val="en-US" w:eastAsia="zh-CN"/>
              </w:rPr>
            </w:pPr>
            <w:r>
              <w:rPr>
                <w:rFonts w:hint="eastAsia"/>
                <w:color w:val="FF0000"/>
                <w:szCs w:val="21"/>
                <w:lang w:val="en-US" w:eastAsia="zh-CN"/>
              </w:rPr>
              <w:t>E</w:t>
            </w:r>
          </w:p>
        </w:tc>
        <w:tc>
          <w:tcPr>
            <w:tcW w:w="473" w:type="pct"/>
            <w:vAlign w:val="center"/>
          </w:tcPr>
          <w:p>
            <w:pPr>
              <w:pStyle w:val="28"/>
              <w:spacing w:line="240" w:lineRule="auto"/>
              <w:rPr>
                <w:rFonts w:hint="default"/>
                <w:color w:val="FF0000"/>
                <w:szCs w:val="21"/>
                <w:lang w:val="en-US" w:eastAsia="zh-CN"/>
              </w:rPr>
            </w:pPr>
            <w:r>
              <w:rPr>
                <w:rFonts w:hint="eastAsia"/>
                <w:color w:val="FF0000"/>
                <w:szCs w:val="21"/>
                <w:lang w:val="en-US" w:eastAsia="zh-CN"/>
              </w:rPr>
              <w:t>0.55</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restart"/>
            <w:vAlign w:val="center"/>
          </w:tcPr>
          <w:p>
            <w:pPr>
              <w:pStyle w:val="232"/>
            </w:pPr>
            <w:r>
              <w:t>地下水</w:t>
            </w:r>
          </w:p>
        </w:tc>
        <w:tc>
          <w:tcPr>
            <w:tcW w:w="3406" w:type="pct"/>
            <w:gridSpan w:val="8"/>
            <w:vAlign w:val="center"/>
          </w:tcPr>
          <w:p>
            <w:pPr>
              <w:pStyle w:val="232"/>
            </w:pPr>
            <w:r>
              <w:t>项目区周边居民饮用水井</w:t>
            </w:r>
          </w:p>
        </w:tc>
        <w:tc>
          <w:tcPr>
            <w:tcW w:w="1167" w:type="pct"/>
            <w:vMerge w:val="restart"/>
            <w:vAlign w:val="center"/>
          </w:tcPr>
          <w:p>
            <w:pPr>
              <w:pStyle w:val="232"/>
            </w:pPr>
            <w:r>
              <w:rPr>
                <w:rFonts w:hint="eastAsia"/>
              </w:rPr>
              <w:t>《地下水质量标准》</w:t>
            </w:r>
          </w:p>
          <w:p>
            <w:pPr>
              <w:pStyle w:val="232"/>
            </w:pPr>
            <w:r>
              <w:rPr>
                <w:rFonts w:hint="eastAsia"/>
              </w:rPr>
              <w:t>（GB/T14848-2017）中Ⅲ类标准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Merge w:val="continue"/>
            <w:vAlign w:val="center"/>
          </w:tcPr>
          <w:p>
            <w:pPr>
              <w:pStyle w:val="232"/>
            </w:pPr>
          </w:p>
        </w:tc>
        <w:tc>
          <w:tcPr>
            <w:tcW w:w="3406" w:type="pct"/>
            <w:gridSpan w:val="8"/>
            <w:vAlign w:val="center"/>
          </w:tcPr>
          <w:p>
            <w:pPr>
              <w:pStyle w:val="232"/>
            </w:pPr>
            <w:r>
              <w:rPr>
                <w:rFonts w:hint="eastAsia"/>
              </w:rPr>
              <w:t>评价区范围内第四系松散岩类孔隙水</w:t>
            </w:r>
          </w:p>
        </w:tc>
        <w:tc>
          <w:tcPr>
            <w:tcW w:w="1167"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 w:hRule="atLeast"/>
          <w:jc w:val="center"/>
        </w:trPr>
        <w:tc>
          <w:tcPr>
            <w:tcW w:w="426" w:type="pct"/>
            <w:vAlign w:val="center"/>
          </w:tcPr>
          <w:p>
            <w:pPr>
              <w:pStyle w:val="232"/>
              <w:rPr>
                <w:rFonts w:hint="eastAsia" w:eastAsia="宋体"/>
                <w:color w:val="FF0000"/>
                <w:lang w:val="en-US" w:eastAsia="zh-CN"/>
              </w:rPr>
            </w:pPr>
            <w:r>
              <w:rPr>
                <w:rFonts w:hint="eastAsia"/>
                <w:color w:val="FF0000"/>
                <w:lang w:val="en-US" w:eastAsia="zh-CN"/>
              </w:rPr>
              <w:t>地表水</w:t>
            </w:r>
          </w:p>
        </w:tc>
        <w:tc>
          <w:tcPr>
            <w:tcW w:w="596" w:type="pct"/>
            <w:vAlign w:val="center"/>
          </w:tcPr>
          <w:p>
            <w:pPr>
              <w:keepNext w:val="0"/>
              <w:keepLines w:val="0"/>
              <w:widowControl/>
              <w:suppressLineNumbers w:val="0"/>
              <w:jc w:val="left"/>
              <w:rPr>
                <w:rFonts w:hint="eastAsia" w:ascii="Times New Roman" w:hAnsi="Times New Roman" w:eastAsia="宋体" w:cs="Times New Roman"/>
                <w:bCs/>
                <w:color w:val="FF0000"/>
                <w:kern w:val="28"/>
                <w:sz w:val="21"/>
                <w:szCs w:val="21"/>
                <w:lang w:val="en-US" w:eastAsia="zh-CN" w:bidi="ar-SA"/>
              </w:rPr>
            </w:pPr>
            <w:r>
              <w:rPr>
                <w:rFonts w:hint="default" w:ascii="Times New Roman" w:hAnsi="Times New Roman" w:eastAsia="宋体" w:cs="Times New Roman"/>
                <w:bCs/>
                <w:color w:val="FF0000"/>
                <w:kern w:val="28"/>
                <w:sz w:val="21"/>
                <w:szCs w:val="21"/>
                <w:lang w:val="en-US" w:eastAsia="zh-CN" w:bidi="ar-SA"/>
              </w:rPr>
              <w:t>41.1188</w:t>
            </w:r>
          </w:p>
        </w:tc>
        <w:tc>
          <w:tcPr>
            <w:tcW w:w="687" w:type="pct"/>
            <w:vAlign w:val="center"/>
          </w:tcPr>
          <w:p>
            <w:pPr>
              <w:keepNext w:val="0"/>
              <w:keepLines w:val="0"/>
              <w:widowControl/>
              <w:suppressLineNumbers w:val="0"/>
              <w:jc w:val="left"/>
              <w:rPr>
                <w:rFonts w:hint="eastAsia" w:ascii="Times New Roman" w:hAnsi="Times New Roman" w:eastAsia="宋体" w:cs="Times New Roman"/>
                <w:bCs/>
                <w:color w:val="FF0000"/>
                <w:kern w:val="28"/>
                <w:sz w:val="21"/>
                <w:szCs w:val="21"/>
                <w:lang w:val="en-US" w:eastAsia="zh-CN" w:bidi="ar-SA"/>
              </w:rPr>
            </w:pPr>
            <w:r>
              <w:rPr>
                <w:rFonts w:hint="default" w:ascii="Times New Roman" w:hAnsi="Times New Roman" w:eastAsia="宋体" w:cs="Times New Roman"/>
                <w:bCs/>
                <w:color w:val="FF0000"/>
                <w:kern w:val="28"/>
                <w:sz w:val="21"/>
                <w:szCs w:val="21"/>
                <w:lang w:val="en-US" w:eastAsia="zh-CN" w:bidi="ar-SA"/>
              </w:rPr>
              <w:t>107.8202</w:t>
            </w:r>
          </w:p>
        </w:tc>
        <w:tc>
          <w:tcPr>
            <w:tcW w:w="1293" w:type="pct"/>
            <w:gridSpan w:val="4"/>
            <w:vAlign w:val="center"/>
          </w:tcPr>
          <w:p>
            <w:pPr>
              <w:pStyle w:val="232"/>
              <w:rPr>
                <w:rFonts w:hint="eastAsia"/>
                <w:color w:val="FF0000"/>
              </w:rPr>
            </w:pPr>
            <w:r>
              <w:rPr>
                <w:rFonts w:hint="eastAsia"/>
                <w:color w:val="FF0000"/>
                <w:lang w:val="en-US" w:eastAsia="zh-CN"/>
              </w:rPr>
              <w:t>联丰海子</w:t>
            </w:r>
          </w:p>
        </w:tc>
        <w:tc>
          <w:tcPr>
            <w:tcW w:w="354" w:type="pct"/>
            <w:vAlign w:val="center"/>
          </w:tcPr>
          <w:p>
            <w:pPr>
              <w:pStyle w:val="232"/>
              <w:rPr>
                <w:rFonts w:hint="eastAsia" w:eastAsia="宋体"/>
                <w:color w:val="FF0000"/>
                <w:lang w:val="en-US" w:eastAsia="zh-CN"/>
              </w:rPr>
            </w:pPr>
            <w:r>
              <w:rPr>
                <w:rFonts w:hint="eastAsia"/>
                <w:color w:val="FF0000"/>
                <w:lang w:val="en-US" w:eastAsia="zh-CN"/>
              </w:rPr>
              <w:t>E</w:t>
            </w:r>
          </w:p>
        </w:tc>
        <w:tc>
          <w:tcPr>
            <w:tcW w:w="473" w:type="pct"/>
            <w:vAlign w:val="center"/>
          </w:tcPr>
          <w:p>
            <w:pPr>
              <w:pStyle w:val="232"/>
              <w:rPr>
                <w:rFonts w:hint="default" w:eastAsia="宋体"/>
                <w:color w:val="FF0000"/>
                <w:lang w:val="en-US" w:eastAsia="zh-CN"/>
              </w:rPr>
            </w:pPr>
            <w:r>
              <w:rPr>
                <w:rFonts w:hint="eastAsia"/>
                <w:color w:val="FF0000"/>
                <w:lang w:val="en-US" w:eastAsia="zh-CN"/>
              </w:rPr>
              <w:t>1240</w:t>
            </w:r>
          </w:p>
        </w:tc>
        <w:tc>
          <w:tcPr>
            <w:tcW w:w="1167" w:type="pct"/>
            <w:vAlign w:val="center"/>
          </w:tcPr>
          <w:p>
            <w:pPr>
              <w:pStyle w:val="232"/>
              <w:rPr>
                <w:rFonts w:hint="eastAsia"/>
                <w:color w:val="FF0000"/>
              </w:rPr>
            </w:pPr>
            <w:r>
              <w:rPr>
                <w:rFonts w:hint="eastAsia"/>
                <w:color w:val="FF0000"/>
              </w:rPr>
              <w:t>《地表水环境质量</w:t>
            </w:r>
          </w:p>
          <w:p>
            <w:pPr>
              <w:pStyle w:val="232"/>
              <w:rPr>
                <w:color w:val="FF0000"/>
              </w:rPr>
            </w:pPr>
            <w:r>
              <w:rPr>
                <w:rFonts w:hint="eastAsia"/>
                <w:color w:val="FF0000"/>
              </w:rPr>
              <w:t>标准》（GB3838-2002）Ⅴ类水体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pPr>
              <w:pStyle w:val="232"/>
            </w:pPr>
            <w:r>
              <w:t>土壤环境</w:t>
            </w:r>
          </w:p>
        </w:tc>
        <w:tc>
          <w:tcPr>
            <w:tcW w:w="3406" w:type="pct"/>
            <w:gridSpan w:val="8"/>
            <w:vAlign w:val="center"/>
          </w:tcPr>
          <w:p>
            <w:pPr>
              <w:pStyle w:val="232"/>
            </w:pPr>
            <w:r>
              <w:rPr>
                <w:rFonts w:hint="eastAsia"/>
              </w:rPr>
              <w:t>周边</w:t>
            </w:r>
            <w:r>
              <w:rPr>
                <w:rFonts w:hint="eastAsia"/>
                <w:lang w:val="en-US" w:eastAsia="zh-CN"/>
              </w:rPr>
              <w:t>200</w:t>
            </w:r>
            <w:r>
              <w:rPr>
                <w:rFonts w:hint="eastAsia"/>
              </w:rPr>
              <w:t>m范围内的耕地</w:t>
            </w:r>
          </w:p>
        </w:tc>
        <w:tc>
          <w:tcPr>
            <w:tcW w:w="1167" w:type="pct"/>
            <w:vAlign w:val="center"/>
          </w:tcPr>
          <w:p>
            <w:pPr>
              <w:pStyle w:val="232"/>
            </w:pPr>
            <w:r>
              <w:rPr>
                <w:rFonts w:hint="eastAsia"/>
              </w:rPr>
              <w:t>GB36600-2018</w:t>
            </w:r>
          </w:p>
          <w:p>
            <w:pPr>
              <w:pStyle w:val="232"/>
            </w:pPr>
            <w:r>
              <w:rPr>
                <w:rFonts w:hint="eastAsia"/>
              </w:rPr>
              <w:t>筛选值—第二类用地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pPr>
              <w:pStyle w:val="232"/>
            </w:pPr>
            <w:r>
              <w:t>生态</w:t>
            </w:r>
          </w:p>
        </w:tc>
        <w:tc>
          <w:tcPr>
            <w:tcW w:w="3406" w:type="pct"/>
            <w:gridSpan w:val="8"/>
            <w:vAlign w:val="center"/>
          </w:tcPr>
          <w:p>
            <w:pPr>
              <w:pStyle w:val="232"/>
            </w:pPr>
            <w:r>
              <w:rPr>
                <w:rFonts w:hint="eastAsia"/>
              </w:rPr>
              <w:t>项目占地范围内的植物、动物</w:t>
            </w:r>
          </w:p>
        </w:tc>
        <w:tc>
          <w:tcPr>
            <w:tcW w:w="1167" w:type="pct"/>
            <w:vAlign w:val="center"/>
          </w:tcPr>
          <w:p>
            <w:pPr>
              <w:pStyle w:val="232"/>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pPr>
              <w:pStyle w:val="232"/>
            </w:pPr>
            <w:r>
              <w:t>声环境</w:t>
            </w:r>
          </w:p>
        </w:tc>
        <w:tc>
          <w:tcPr>
            <w:tcW w:w="3406" w:type="pct"/>
            <w:gridSpan w:val="8"/>
            <w:vAlign w:val="center"/>
          </w:tcPr>
          <w:p>
            <w:pPr>
              <w:pStyle w:val="232"/>
            </w:pPr>
            <w:r>
              <w:rPr>
                <w:rFonts w:hint="eastAsia"/>
              </w:rPr>
              <w:t>项目区周围200m范围内</w:t>
            </w:r>
          </w:p>
        </w:tc>
        <w:tc>
          <w:tcPr>
            <w:tcW w:w="1167" w:type="pct"/>
            <w:vAlign w:val="center"/>
          </w:tcPr>
          <w:p>
            <w:pPr>
              <w:pStyle w:val="232"/>
            </w:pPr>
            <w:r>
              <w:t>GB3096-2008中2类标准</w:t>
            </w:r>
          </w:p>
        </w:tc>
      </w:tr>
    </w:tbl>
    <w:p>
      <w:pPr>
        <w:spacing w:line="500" w:lineRule="exact"/>
        <w:ind w:firstLine="0" w:firstLineChars="0"/>
        <w:rPr>
          <w:rFonts w:hAnsiTheme="majorEastAsia" w:eastAsiaTheme="majorEastAsia"/>
        </w:rPr>
        <w:sectPr>
          <w:pgSz w:w="16838" w:h="11906" w:orient="landscape"/>
          <w:pgMar w:top="1797" w:right="1440" w:bottom="1797" w:left="1440" w:header="851" w:footer="992" w:gutter="0"/>
          <w:pgNumType w:fmt="decimal"/>
          <w:cols w:space="0" w:num="1"/>
          <w:docGrid w:linePitch="312" w:charSpace="0"/>
        </w:sectPr>
      </w:pPr>
    </w:p>
    <w:p>
      <w:pPr>
        <w:pStyle w:val="78"/>
        <w:keepNext w:val="0"/>
        <w:keepLines w:val="0"/>
        <w:pageBreakBefore w:val="0"/>
        <w:widowControl w:val="0"/>
        <w:kinsoku/>
        <w:wordWrap/>
        <w:overflowPunct/>
        <w:topLinePunct w:val="0"/>
        <w:autoSpaceDE/>
        <w:autoSpaceDN/>
        <w:bidi w:val="0"/>
        <w:adjustRightInd/>
        <w:snapToGrid/>
        <w:spacing w:afterLines="0"/>
        <w:ind w:firstLine="0" w:firstLineChars="0"/>
        <w:jc w:val="both"/>
        <w:textAlignment w:val="auto"/>
      </w:pPr>
      <w:r>
        <w:drawing>
          <wp:anchor distT="0" distB="0" distL="114300" distR="114300" simplePos="0" relativeHeight="251663360" behindDoc="0" locked="0" layoutInCell="1" allowOverlap="1">
            <wp:simplePos x="0" y="0"/>
            <wp:positionH relativeFrom="column">
              <wp:posOffset>6660515</wp:posOffset>
            </wp:positionH>
            <wp:positionV relativeFrom="paragraph">
              <wp:posOffset>-125730</wp:posOffset>
            </wp:positionV>
            <wp:extent cx="1746250" cy="1440180"/>
            <wp:effectExtent l="0" t="0" r="6350" b="762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3"/>
                    <a:stretch>
                      <a:fillRect/>
                    </a:stretch>
                  </pic:blipFill>
                  <pic:spPr>
                    <a:xfrm>
                      <a:off x="0" y="0"/>
                      <a:ext cx="1746250" cy="1440180"/>
                    </a:xfrm>
                    <a:prstGeom prst="rect">
                      <a:avLst/>
                    </a:prstGeom>
                    <a:noFill/>
                    <a:ln>
                      <a:noFill/>
                    </a:ln>
                  </pic:spPr>
                </pic:pic>
              </a:graphicData>
            </a:graphic>
          </wp:anchor>
        </w:drawing>
      </w:r>
      <w:r>
        <w:drawing>
          <wp:anchor distT="0" distB="0" distL="114300" distR="114300" simplePos="0" relativeHeight="251688960" behindDoc="1" locked="0" layoutInCell="1" allowOverlap="1">
            <wp:simplePos x="0" y="0"/>
            <wp:positionH relativeFrom="column">
              <wp:posOffset>676910</wp:posOffset>
            </wp:positionH>
            <wp:positionV relativeFrom="paragraph">
              <wp:posOffset>-135890</wp:posOffset>
            </wp:positionV>
            <wp:extent cx="7716520" cy="5796280"/>
            <wp:effectExtent l="0" t="0" r="17780" b="13970"/>
            <wp:wrapNone/>
            <wp:docPr id="79" name="图片 79" descr="环保目标91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环保目标91截图"/>
                    <pic:cNvPicPr>
                      <a:picLocks noChangeAspect="1"/>
                    </pic:cNvPicPr>
                  </pic:nvPicPr>
                  <pic:blipFill>
                    <a:blip r:embed="rId34"/>
                    <a:stretch>
                      <a:fillRect/>
                    </a:stretch>
                  </pic:blipFill>
                  <pic:spPr>
                    <a:xfrm>
                      <a:off x="0" y="0"/>
                      <a:ext cx="7716520" cy="5796280"/>
                    </a:xfrm>
                    <a:prstGeom prst="rect">
                      <a:avLst/>
                    </a:prstGeom>
                  </pic:spPr>
                </pic:pic>
              </a:graphicData>
            </a:graphic>
          </wp:anchor>
        </w:drawing>
      </w:r>
    </w:p>
    <w:p>
      <w:pPr>
        <w:pStyle w:val="78"/>
        <w:spacing w:after="120"/>
        <w:ind w:firstLine="422"/>
        <w:jc w:val="both"/>
      </w:pPr>
    </w:p>
    <w:p>
      <w:pPr>
        <w:pStyle w:val="78"/>
        <w:spacing w:after="120"/>
        <w:ind w:firstLine="422"/>
        <w:jc w:val="both"/>
      </w:pPr>
    </w:p>
    <w:p>
      <w:pPr>
        <w:pStyle w:val="78"/>
        <w:spacing w:after="120"/>
        <w:ind w:firstLine="422"/>
        <w:jc w:val="both"/>
      </w:pPr>
    </w:p>
    <w:p>
      <w:pPr>
        <w:pStyle w:val="78"/>
        <w:spacing w:after="120"/>
        <w:ind w:firstLine="422"/>
        <w:jc w:val="both"/>
      </w:pPr>
      <w:r>
        <w:rPr>
          <w:sz w:val="21"/>
        </w:rPr>
        <mc:AlternateContent>
          <mc:Choice Requires="wps">
            <w:drawing>
              <wp:anchor distT="0" distB="0" distL="114300" distR="114300" simplePos="0" relativeHeight="251698176" behindDoc="0" locked="0" layoutInCell="1" allowOverlap="1">
                <wp:simplePos x="0" y="0"/>
                <wp:positionH relativeFrom="column">
                  <wp:posOffset>5835015</wp:posOffset>
                </wp:positionH>
                <wp:positionV relativeFrom="paragraph">
                  <wp:posOffset>244475</wp:posOffset>
                </wp:positionV>
                <wp:extent cx="1214755" cy="538480"/>
                <wp:effectExtent l="0" t="0" r="0" b="0"/>
                <wp:wrapNone/>
                <wp:docPr id="88" name="文本框 88"/>
                <wp:cNvGraphicFramePr/>
                <a:graphic xmlns:a="http://schemas.openxmlformats.org/drawingml/2006/main">
                  <a:graphicData uri="http://schemas.microsoft.com/office/word/2010/wordprocessingShape">
                    <wps:wsp>
                      <wps:cNvSpPr txBox="1"/>
                      <wps:spPr>
                        <a:xfrm>
                          <a:off x="6840220" y="2719705"/>
                          <a:ext cx="1214755" cy="5384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lang w:val="en-US" w:eastAsia="zh-CN"/>
                              </w:rPr>
                            </w:pPr>
                            <w:r>
                              <w:rPr>
                                <w:rFonts w:hint="eastAsia"/>
                                <w:color w:val="FF0000"/>
                                <w:lang w:val="en-US" w:eastAsia="zh-CN"/>
                              </w:rPr>
                              <w:t>联丰海子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9.45pt;margin-top:19.25pt;height:42.4pt;width:95.65pt;z-index:251698176;mso-width-relative:page;mso-height-relative:page;" filled="f" stroked="f" coordsize="21600,21600" o:gfxdata="UEsDBAoAAAAAAIdO4kAAAAAAAAAAAAAAAAAEAAAAZHJzL1BLAwQUAAAACACHTuJAtJc2itwAAAAL&#10;AQAADwAAAGRycy9kb3ducmV2LnhtbE2Py07DMBBF90j9B2sqsaO2ExWlIU6FIlVICBYt3bBz4mkS&#10;EY9D7D7g63FXdDejObpzbrG+2IGdcPK9IwVyIYAhNc701CrYf2weMmA+aDJ6cIQKftDDupzdFTo3&#10;7kxbPO1Cy2II+Vwr6EIYc85906HVfuFGpHg7uMnqENep5WbS5xhuB54I8cit7il+6PSIVYfN1+5o&#10;FbxWm3e9rROb/Q7Vy9vhefzefy6Vup9L8QQs4CX8w3DVj+pQRqfaHcl4NihYyWwVUQVptgR2BaQU&#10;CbA6TkmaAi8Lftuh/ANQSwMEFAAAAAgAh07iQH49RohKAgAAdAQAAA4AAABkcnMvZTJvRG9jLnht&#10;bK1UwY7aMBC9V+o/WL6XBBYWFhFWdBFVpVV3JVr1bByHRLI9rm1I6Ae0f9BTL733u/iOjp3Aom0P&#10;e+jFGXvGb+a9GWd22yhJ9sK6CnRG+72UEqE55JXeZvTTx9WbCSXOM50zCVpk9CAcvZ2/fjWrzVQM&#10;oASZC0sQRLtpbTJaem+mSeJ4KRRzPTBCo7MAq5jHrd0muWU1oiuZDNL0OqnB5sYCF87h6bJ10g7R&#10;vgQQiqLiYgl8p4T2LaoVknmk5MrKODqP1RaF4P6hKJzwRGYUmfq4YhK0N2FN5jM23Vpmyop3JbCX&#10;lPCMk2KVxqRnqCXzjOxs9ReUqrgFB4XvcVBJSyQqgiz66TNt1iUzInJBqZ05i+7+Hyz/sH+0pMoz&#10;OsG+a6aw48cf348/fx9/fSN4hgLVxk0xbm0w0jdvocGxOZ07PAy8m8Kq8EVGBP3Xk2E6GKDIh4wO&#10;xv2bcTpqpRaNJzwADPrD8WhECceI0dVkOIm9SJ6QjHX+nQBFgpFRi62MCrP9vfNYFYaeQkJiDatK&#10;ythOqUmNJVyN0njh7MEbUuPFwKetO1i+2TQdyQ3kB+RooR0TZ/iqwuT3zPlHZnEukBC+HP+ASyEB&#10;k0BnUVKC/fqv8xCP7UIvJTXOWUbdlx2zghL5XmMjb/rDYRjMuBmOxkE0e+nZXHr0Tt0BjnIf36jh&#10;0QzxXp7MwoL6jA9sEbKii2mOuTPqT+adb6cfHygXi0UMwlE0zN/rteEBupVzsfNQVFHpIFOrTace&#10;DmNsQPdwwrRf7mPU089i/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0lzaK3AAAAAsBAAAPAAAA&#10;AAAAAAEAIAAAACIAAABkcnMvZG93bnJldi54bWxQSwECFAAUAAAACACHTuJAfj1GiEoCAAB0BAAA&#10;DgAAAAAAAAABACAAAAArAQAAZHJzL2Uyb0RvYy54bWxQSwUGAAAAAAYABgBZAQAA5wUAAAAA&#10;">
                <v:fill on="f" focussize="0,0"/>
                <v:stroke on="f" weight="0.5pt"/>
                <v:imagedata o:title=""/>
                <o:lock v:ext="edit" aspectratio="f"/>
                <v:textbox>
                  <w:txbxContent>
                    <w:p>
                      <w:pPr>
                        <w:rPr>
                          <w:rFonts w:hint="eastAsia" w:eastAsia="宋体"/>
                          <w:color w:val="FF0000"/>
                          <w:lang w:val="en-US" w:eastAsia="zh-CN"/>
                        </w:rPr>
                      </w:pPr>
                      <w:r>
                        <w:rPr>
                          <w:rFonts w:hint="eastAsia"/>
                          <w:color w:val="FF0000"/>
                          <w:lang w:val="en-US" w:eastAsia="zh-CN"/>
                        </w:rPr>
                        <w:t>联丰海子</w:t>
                      </w:r>
                    </w:p>
                  </w:txbxContent>
                </v:textbox>
              </v:shape>
            </w:pict>
          </mc:Fallback>
        </mc:AlternateContent>
      </w:r>
    </w:p>
    <w:p>
      <w:pPr>
        <w:pStyle w:val="78"/>
        <w:spacing w:after="120"/>
        <w:ind w:firstLine="422"/>
        <w:jc w:val="both"/>
      </w:pPr>
    </w:p>
    <w:p>
      <w:pPr>
        <w:pStyle w:val="78"/>
        <w:spacing w:after="120"/>
        <w:ind w:firstLine="422"/>
        <w:jc w:val="both"/>
      </w:pPr>
    </w:p>
    <w:p>
      <w:pPr>
        <w:pStyle w:val="78"/>
        <w:spacing w:after="120"/>
        <w:ind w:firstLine="422"/>
        <w:jc w:val="both"/>
      </w:pPr>
    </w:p>
    <w:p>
      <w:pPr>
        <w:pStyle w:val="78"/>
        <w:spacing w:after="120"/>
        <w:ind w:firstLine="422"/>
        <w:jc w:val="both"/>
      </w:pPr>
    </w:p>
    <w:p>
      <w:pPr>
        <w:pStyle w:val="78"/>
        <w:spacing w:after="120"/>
        <w:ind w:firstLine="422"/>
        <w:jc w:val="both"/>
      </w:pPr>
    </w:p>
    <w:p>
      <w:pPr>
        <w:pStyle w:val="78"/>
        <w:spacing w:after="120"/>
        <w:ind w:firstLine="422"/>
        <w:jc w:val="both"/>
      </w:pPr>
    </w:p>
    <w:p>
      <w:pPr>
        <w:pStyle w:val="78"/>
        <w:spacing w:after="120"/>
        <w:ind w:firstLine="422"/>
        <w:jc w:val="both"/>
      </w:pPr>
    </w:p>
    <w:p>
      <w:pPr>
        <w:pStyle w:val="78"/>
        <w:spacing w:after="120"/>
        <w:ind w:firstLine="422"/>
        <w:jc w:val="both"/>
      </w:pPr>
      <w:r>
        <mc:AlternateContent>
          <mc:Choice Requires="wps">
            <w:drawing>
              <wp:anchor distT="0" distB="0" distL="114300" distR="114300" simplePos="0" relativeHeight="251664384" behindDoc="0" locked="0" layoutInCell="1" allowOverlap="1">
                <wp:simplePos x="0" y="0"/>
                <wp:positionH relativeFrom="column">
                  <wp:posOffset>6686550</wp:posOffset>
                </wp:positionH>
                <wp:positionV relativeFrom="paragraph">
                  <wp:posOffset>1270</wp:posOffset>
                </wp:positionV>
                <wp:extent cx="1713230" cy="2063750"/>
                <wp:effectExtent l="0" t="0" r="1270" b="12700"/>
                <wp:wrapNone/>
                <wp:docPr id="5" name="文本框 5"/>
                <wp:cNvGraphicFramePr/>
                <a:graphic xmlns:a="http://schemas.openxmlformats.org/drawingml/2006/main">
                  <a:graphicData uri="http://schemas.microsoft.com/office/word/2010/wordprocessingShape">
                    <wps:wsp>
                      <wps:cNvSpPr txBox="1"/>
                      <wps:spPr>
                        <a:xfrm>
                          <a:off x="7409180" y="3782695"/>
                          <a:ext cx="1713230" cy="2063750"/>
                        </a:xfrm>
                        <a:prstGeom prst="rect">
                          <a:avLst/>
                        </a:prstGeom>
                        <a:solidFill>
                          <a:srgbClr val="D8E3A9"/>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720" w:firstLineChars="300"/>
                            </w:pPr>
                            <w:r>
                              <w:rPr>
                                <w:rFonts w:hint="eastAsia"/>
                              </w:rPr>
                              <w:t>图</w:t>
                            </w:r>
                            <w:r>
                              <w:rPr>
                                <w:rFonts w:hint="eastAsia"/>
                                <w:lang w:val="en-US" w:eastAsia="zh-CN"/>
                              </w:rPr>
                              <w:t xml:space="preserve">  </w:t>
                            </w:r>
                            <w:r>
                              <w:rPr>
                                <w:rFonts w:hint="eastAsia"/>
                              </w:rPr>
                              <w:t>例</w:t>
                            </w:r>
                          </w:p>
                          <w:p>
                            <w:pPr>
                              <w:spacing w:line="288" w:lineRule="auto"/>
                              <w:ind w:firstLine="480"/>
                            </w:pPr>
                            <w:r>
                              <w:rPr>
                                <w:rFonts w:hint="eastAsia"/>
                              </w:rPr>
                              <w:t>本项目位置</w:t>
                            </w:r>
                          </w:p>
                          <w:p>
                            <w:pPr>
                              <w:spacing w:line="288" w:lineRule="auto"/>
                              <w:ind w:firstLine="480"/>
                            </w:pPr>
                            <w:r>
                              <w:rPr>
                                <w:rFonts w:hint="eastAsia"/>
                              </w:rPr>
                              <w:t>环保目标</w:t>
                            </w:r>
                          </w:p>
                          <w:p>
                            <w:pPr>
                              <w:spacing w:line="288" w:lineRule="auto"/>
                              <w:ind w:firstLine="480"/>
                            </w:pPr>
                            <w:r>
                              <w:rPr>
                                <w:rFonts w:hint="eastAsia"/>
                              </w:rPr>
                              <w:t>大气评价范围</w:t>
                            </w:r>
                          </w:p>
                          <w:p>
                            <w:pPr>
                              <w:spacing w:line="288" w:lineRule="auto"/>
                              <w:ind w:firstLine="480"/>
                            </w:pPr>
                            <w:r>
                              <w:rPr>
                                <w:rFonts w:hint="eastAsia"/>
                              </w:rPr>
                              <w:t>生态评价范围</w:t>
                            </w:r>
                          </w:p>
                          <w:p>
                            <w:pPr>
                              <w:spacing w:line="288" w:lineRule="auto"/>
                              <w:ind w:firstLine="480"/>
                            </w:pPr>
                            <w:r>
                              <w:rPr>
                                <w:rFonts w:hint="eastAsia"/>
                              </w:rPr>
                              <w:t>地下水评价范围</w:t>
                            </w:r>
                          </w:p>
                          <w:p>
                            <w:pPr>
                              <w:spacing w:line="288" w:lineRule="auto"/>
                              <w:ind w:firstLine="480"/>
                            </w:pPr>
                            <w:r>
                              <w:rPr>
                                <w:rFonts w:hint="eastAsia"/>
                              </w:rPr>
                              <w:t>声评价范围</w:t>
                            </w:r>
                          </w:p>
                          <w:p>
                            <w:pPr>
                              <w:spacing w:line="288" w:lineRule="auto"/>
                              <w:ind w:firstLine="480"/>
                              <w:rPr>
                                <w:rFonts w:hint="eastAsia"/>
                              </w:rPr>
                            </w:pPr>
                            <w:r>
                              <w:rPr>
                                <w:rFonts w:hint="eastAsia"/>
                              </w:rPr>
                              <w:t>土壤评价范围</w:t>
                            </w:r>
                          </w:p>
                          <w:p>
                            <w:pPr>
                              <w:spacing w:line="288" w:lineRule="auto"/>
                              <w:ind w:firstLine="480"/>
                              <w:rPr>
                                <w:rFonts w:hint="eastAsia"/>
                              </w:rPr>
                            </w:pPr>
                            <w:r>
                              <w:rPr>
                                <w:rFonts w:hint="eastAsia"/>
                              </w:rPr>
                              <w:t>图2.6-1  本项目环境保护目标及各要素评价范围图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6.5pt;margin-top:0.1pt;height:162.5pt;width:134.9pt;z-index:251664384;mso-width-relative:page;mso-height-relative:page;" fillcolor="#D8E3A9" filled="t" stroked="f" coordsize="21600,21600" o:gfxdata="UEsDBAoAAAAAAIdO4kAAAAAAAAAAAAAAAAAEAAAAZHJzL1BLAwQUAAAACACHTuJA1MaX3NYAAAAK&#10;AQAADwAAAGRycy9kb3ducmV2LnhtbE2PwU7DMBBE70j8g7VI3KhdJ0UoxKkACTgiWg4ct/ESR43t&#10;KHbb9O/ZnuA4mtXse/V69oM40pT6GAwsFwoEhTbaPnQGvravdw8gUsZgcYiBDJwpwbq5vqqxsvEU&#10;Pum4yZ3gkZAqNOByHispU+vIY1rEkQJ3P3HymDlOnbQTnnjcD1IrdS899oE/OBzpxVG73xy8gaf9&#10;2/yeB7WlnJ7duS2/P7Asjbm9WapHEJnm/HcMF3xGh4aZdvEQbBIDZ7UqWCYb0CAufaE1u+wMFHql&#10;QTa1/K/Q/AJQSwMEFAAAAAgAh07iQMOtob5gAgAAnAQAAA4AAABkcnMvZTJvRG9jLnhtbK1UzW4T&#10;MRC+I/EOlu908/+nbKrQEIRU0UoFcXa83qwl22NsJ7vhAeANOHHhznPlORh7k7YUDj1w2Yw9n7+Z&#10;+WYm88tGK7IXzkswOe1edCgRhkMhzTanHz+sX00o8YGZgikwIqcH4enl4uWLeW1nogcVqEI4giTG&#10;z2qb0yoEO8syzyuhmb8AKww6S3CaBTy6bVY4ViO7Vlmv0xllNbjCOuDCe7xdtU56YnTPIYSylFys&#10;gO+0MKFldUKxgCX5SlpPFynbshQ83JSlF4GonGKlIX0xCNqb+M0WczbbOmYryU8psOek8KQmzaTB&#10;oPdUKxYY2Tn5F5WW3IGHMlxw0FlbSFIEq+h2nmhzVzErUi0otbf3ovv/R8vf728dkUVOh5QYprHh&#10;x+/fjj9+HX9+JcMoT239DFF3FnGheQ0NDs353uNlrLopnY6/WA9B/3jQmXYnKPEhp/3xpDeaJiY2&#10;E00gPBKMu/1eHwEcEb3OqD8eplZkD1TW+fBWgCbRyKnDTiaB2f7aB0wLoWdIjOxByWItlUoHt91c&#10;KUf2DLu+mrzpL6cxY3zyB0wZUud01MfY8ZWB+L7FKYPwWHlbYbRCs2lOcmygOKAaDtpx8pavJWZ5&#10;zXy4ZQ7nByvDDQs3+CkVYBA4WZRU4L786z7isa3opaTGecyp/7xjTlCi3hls+LQ7GCBtSIfBcNzD&#10;g3vs2Tz2mJ2+Aiy+i7tseTIjPqizWTrQn3ARlzEqupjhGDun4WxehXZLcJG5WC4TCEfWsnBt7iyP&#10;1K1oy12AUqaWRJlabU7q4dAm2U8LFrfi8TmhHv5U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1MaX3NYAAAAKAQAADwAAAAAAAAABACAAAAAiAAAAZHJzL2Rvd25yZXYueG1sUEsBAhQAFAAAAAgA&#10;h07iQMOtob5gAgAAnAQAAA4AAAAAAAAAAQAgAAAAJQEAAGRycy9lMm9Eb2MueG1sUEsFBgAAAAAG&#10;AAYAWQEAAPcFAAAAAA==&#10;">
                <v:fill on="t" focussize="0,0"/>
                <v:stroke on="f" weight="0.5pt"/>
                <v:imagedata o:title=""/>
                <o:lock v:ext="edit" aspectratio="f"/>
                <v:textbox>
                  <w:txbxContent>
                    <w:p>
                      <w:pPr>
                        <w:ind w:firstLine="720" w:firstLineChars="300"/>
                      </w:pPr>
                      <w:r>
                        <w:rPr>
                          <w:rFonts w:hint="eastAsia"/>
                        </w:rPr>
                        <w:t>图</w:t>
                      </w:r>
                      <w:r>
                        <w:rPr>
                          <w:rFonts w:hint="eastAsia"/>
                          <w:lang w:val="en-US" w:eastAsia="zh-CN"/>
                        </w:rPr>
                        <w:t xml:space="preserve">  </w:t>
                      </w:r>
                      <w:r>
                        <w:rPr>
                          <w:rFonts w:hint="eastAsia"/>
                        </w:rPr>
                        <w:t>例</w:t>
                      </w:r>
                    </w:p>
                    <w:p>
                      <w:pPr>
                        <w:spacing w:line="288" w:lineRule="auto"/>
                        <w:ind w:firstLine="480"/>
                      </w:pPr>
                      <w:r>
                        <w:rPr>
                          <w:rFonts w:hint="eastAsia"/>
                        </w:rPr>
                        <w:t>本项目位置</w:t>
                      </w:r>
                    </w:p>
                    <w:p>
                      <w:pPr>
                        <w:spacing w:line="288" w:lineRule="auto"/>
                        <w:ind w:firstLine="480"/>
                      </w:pPr>
                      <w:r>
                        <w:rPr>
                          <w:rFonts w:hint="eastAsia"/>
                        </w:rPr>
                        <w:t>环保目标</w:t>
                      </w:r>
                    </w:p>
                    <w:p>
                      <w:pPr>
                        <w:spacing w:line="288" w:lineRule="auto"/>
                        <w:ind w:firstLine="480"/>
                      </w:pPr>
                      <w:r>
                        <w:rPr>
                          <w:rFonts w:hint="eastAsia"/>
                        </w:rPr>
                        <w:t>大气评价范围</w:t>
                      </w:r>
                    </w:p>
                    <w:p>
                      <w:pPr>
                        <w:spacing w:line="288" w:lineRule="auto"/>
                        <w:ind w:firstLine="480"/>
                      </w:pPr>
                      <w:r>
                        <w:rPr>
                          <w:rFonts w:hint="eastAsia"/>
                        </w:rPr>
                        <w:t>生态评价范围</w:t>
                      </w:r>
                    </w:p>
                    <w:p>
                      <w:pPr>
                        <w:spacing w:line="288" w:lineRule="auto"/>
                        <w:ind w:firstLine="480"/>
                      </w:pPr>
                      <w:r>
                        <w:rPr>
                          <w:rFonts w:hint="eastAsia"/>
                        </w:rPr>
                        <w:t>地下水评价范围</w:t>
                      </w:r>
                    </w:p>
                    <w:p>
                      <w:pPr>
                        <w:spacing w:line="288" w:lineRule="auto"/>
                        <w:ind w:firstLine="480"/>
                      </w:pPr>
                      <w:r>
                        <w:rPr>
                          <w:rFonts w:hint="eastAsia"/>
                        </w:rPr>
                        <w:t>声评价范围</w:t>
                      </w:r>
                    </w:p>
                    <w:p>
                      <w:pPr>
                        <w:spacing w:line="288" w:lineRule="auto"/>
                        <w:ind w:firstLine="480"/>
                        <w:rPr>
                          <w:rFonts w:hint="eastAsia"/>
                        </w:rPr>
                      </w:pPr>
                      <w:r>
                        <w:rPr>
                          <w:rFonts w:hint="eastAsia"/>
                        </w:rPr>
                        <w:t>土壤评价范围</w:t>
                      </w:r>
                    </w:p>
                    <w:p>
                      <w:pPr>
                        <w:spacing w:line="288" w:lineRule="auto"/>
                        <w:ind w:firstLine="480"/>
                        <w:rPr>
                          <w:rFonts w:hint="eastAsia"/>
                        </w:rPr>
                      </w:pPr>
                      <w:r>
                        <w:rPr>
                          <w:rFonts w:hint="eastAsia"/>
                        </w:rPr>
                        <w:t>图2.6-1  本项目环境保护目标及各要素评价范围图</w:t>
                      </w:r>
                    </w:p>
                  </w:txbxContent>
                </v:textbox>
              </v:shape>
            </w:pict>
          </mc:Fallback>
        </mc:AlternateContent>
      </w:r>
    </w:p>
    <w:p>
      <w:pPr>
        <w:pStyle w:val="78"/>
        <w:spacing w:after="120"/>
        <w:ind w:firstLine="422"/>
        <w:jc w:val="both"/>
      </w:pPr>
      <w:r>
        <mc:AlternateContent>
          <mc:Choice Requires="wps">
            <w:drawing>
              <wp:anchor distT="0" distB="0" distL="114300" distR="114300" simplePos="0" relativeHeight="251666432" behindDoc="0" locked="0" layoutInCell="1" allowOverlap="1">
                <wp:simplePos x="0" y="0"/>
                <wp:positionH relativeFrom="column">
                  <wp:posOffset>6790690</wp:posOffset>
                </wp:positionH>
                <wp:positionV relativeFrom="paragraph">
                  <wp:posOffset>88900</wp:posOffset>
                </wp:positionV>
                <wp:extent cx="202565" cy="131445"/>
                <wp:effectExtent l="12700" t="12700" r="13335" b="27305"/>
                <wp:wrapNone/>
                <wp:docPr id="10" name="矩形 10"/>
                <wp:cNvGraphicFramePr/>
                <a:graphic xmlns:a="http://schemas.openxmlformats.org/drawingml/2006/main">
                  <a:graphicData uri="http://schemas.microsoft.com/office/word/2010/wordprocessingShape">
                    <wps:wsp>
                      <wps:cNvSpPr/>
                      <wps:spPr>
                        <a:xfrm>
                          <a:off x="7115175" y="4438650"/>
                          <a:ext cx="202565" cy="131445"/>
                        </a:xfrm>
                        <a:prstGeom prst="rect">
                          <a:avLst/>
                        </a:prstGeom>
                        <a:solidFill>
                          <a:srgbClr val="F43308">
                            <a:alpha val="25000"/>
                          </a:srgbClr>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4.7pt;margin-top:7pt;height:10.35pt;width:15.95pt;z-index:251666432;v-text-anchor:middle;mso-width-relative:page;mso-height-relative:page;" fillcolor="#F43308" filled="t" stroked="t" coordsize="21600,21600" o:gfxdata="UEsDBAoAAAAAAIdO4kAAAAAAAAAAAAAAAAAEAAAAZHJzL1BLAwQUAAAACACHTuJA2YdFGtkAAAAL&#10;AQAADwAAAGRycy9kb3ducmV2LnhtbE2Py07DMBBF90j8gzVI7KgdGjU0xOkCqbBBSC1IwM6Jhziq&#10;H1HsNuHvma7obq7m6D6qzewsO+EY++AlZAsBDH0bdO87CR/v27sHYDEpr5UNHiX8YoRNfX1VqVKH&#10;ye/wtE8dIxMfSyXBpDSUnMfWoFNxEQb09PsJo1OJ5NhxPaqJzJ3l90KsuFO9pwSjBnwy2B72Ryfh&#10;Zfr+jMX6y86H57emEGjm7etOytubTDwCSzinfxjO9ak61NSpCUevI7OkxWqdE0tXTqPORCayJbBG&#10;wjIvgNcVv9xQ/wFQSwMEFAAAAAgAh07iQMbmphKDAgAACwUAAA4AAABkcnMvZTJvRG9jLnhtbK1U&#10;wW7bMAy9D9g/CLqvthO77YI6RdAgw4BiLdANOyuyHBuQJU1S4nQ/M2C3fcQ+Z9hv7El207TboYdd&#10;bFKkHslHUheX+06SnbCu1aqk2UlKiVBcV63alPTTx9Wbc0qcZ6piUitR0nvh6OX89auL3szERDda&#10;VsISgCg3601JG+/NLEkcb0TH3Ik2QsFYa9sxD9VuksqyHuidTCZpepr02lbGai6cw+lyMNIR0b4E&#10;UNd1y8VS820nlB9QrZDMoyTXtMbRecy2rgX3N3XthCeypKjUxy+CQF6HbzK/YLONZaZp+ZgCe0kK&#10;z2rqWKsQ9AC1ZJ6RrW3/gupabrXTtT/hukuGQiIjqCJLn3Fz1zAjYi2g2pkD6e7/wfIPu1tL2gqT&#10;AEoU69Dx399+/Pr5neAA7PTGzeB0Z27tqDmIodR9bbvwRxFkX9KzLCuys4KS+5Lm+fT8tBjZFXtP&#10;OBwm6aQ4hZ3DIZtmeV4E/OQRyFjn3wndkSCU1KJ5kVO2u3Z+cH1wCXGdlm21aqWMit2sr6QlO4ZG&#10;r/LpND0f7krTsOF0UqRpTAkh3eAewz/BkYr0SLXI4Uo4w3zXmCuInQFHTm0oYXKDxeHexgBPbo+w&#10;YxYrxDsEPE42VLFkrhn8IsJIhVRIKVA+kBykta7u0SKrh9l1hq9a3L9mzt8yi2FFolhnf4NPLTWy&#10;16NESaPt13+dB3/MEKyU9Bh+VPZly6ygRL5XmK636A5gfVTy4mwCxR5b1scWte2uNGjP8HAYHsXg&#10;7+WDWFvdfcbWL0JUmJjiiD1wOCpXflhKvBtcLBbRDRtimL9Wd4YH8NBmpRdbr+s2jsMjOyNp2JHY&#10;0XGfwxIe69Hr8Q2b/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Zh0Ua2QAAAAsBAAAPAAAAAAAA&#10;AAEAIAAAACIAAABkcnMvZG93bnJldi54bWxQSwECFAAUAAAACACHTuJAxuamEoMCAAALBQAADgAA&#10;AAAAAAABACAAAAAoAQAAZHJzL2Uyb0RvYy54bWxQSwUGAAAAAAYABgBZAQAAHQYAAAAA&#10;">
                <v:fill on="t" opacity="16384f" focussize="0,0"/>
                <v:stroke weight="2pt" color="#FF0000 [2404]" joinstyle="round"/>
                <v:imagedata o:title=""/>
                <o:lock v:ext="edit" aspectratio="f"/>
              </v:rect>
            </w:pict>
          </mc:Fallback>
        </mc:AlternateContent>
      </w:r>
    </w:p>
    <w:p>
      <w:pPr>
        <w:pStyle w:val="78"/>
        <w:spacing w:after="120"/>
        <w:ind w:firstLine="422"/>
        <w:jc w:val="both"/>
        <w:rPr>
          <w:rFonts w:hint="eastAsia"/>
          <w:lang w:val="en-US" w:eastAsia="zh-CN"/>
        </w:rPr>
      </w:pPr>
      <w:r>
        <mc:AlternateContent>
          <mc:Choice Requires="wps">
            <w:drawing>
              <wp:anchor distT="0" distB="0" distL="114300" distR="114300" simplePos="0" relativeHeight="251691008" behindDoc="0" locked="0" layoutInCell="1" allowOverlap="1">
                <wp:simplePos x="0" y="0"/>
                <wp:positionH relativeFrom="column">
                  <wp:posOffset>6760845</wp:posOffset>
                </wp:positionH>
                <wp:positionV relativeFrom="paragraph">
                  <wp:posOffset>1194435</wp:posOffset>
                </wp:positionV>
                <wp:extent cx="202565" cy="131445"/>
                <wp:effectExtent l="12700" t="12700" r="13335" b="27305"/>
                <wp:wrapNone/>
                <wp:docPr id="35" name="矩形 35"/>
                <wp:cNvGraphicFramePr/>
                <a:graphic xmlns:a="http://schemas.openxmlformats.org/drawingml/2006/main">
                  <a:graphicData uri="http://schemas.microsoft.com/office/word/2010/wordprocessingShape">
                    <wps:wsp>
                      <wps:cNvSpPr/>
                      <wps:spPr>
                        <a:xfrm>
                          <a:off x="0" y="0"/>
                          <a:ext cx="202565" cy="131445"/>
                        </a:xfrm>
                        <a:prstGeom prst="rect">
                          <a:avLst/>
                        </a:prstGeom>
                        <a:no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2.35pt;margin-top:94.05pt;height:10.35pt;width:15.95pt;z-index:251691008;v-text-anchor:middle;mso-width-relative:page;mso-height-relative:page;" filled="f" stroked="t" coordsize="21600,21600" o:gfxdata="UEsDBAoAAAAAAIdO4kAAAAAAAAAAAAAAAAAEAAAAZHJzL1BLAwQUAAAACACHTuJAsUtk99kAAAAN&#10;AQAADwAAAGRycy9kb3ducmV2LnhtbE2PTUvEMBCG74L/IYzgzU26SK216SKiF0EWt6LXbDO21WRS&#10;kvTDf2/2pLd5mYd3nql2qzVsRh8GRxKyjQCG1Do9UCfhrXm6KoCFqEgr4wgl/GCAXX1+VqlSu4Ve&#10;cT7EjqUSCqWS0Mc4lpyHtkerwsaNSGn36bxVMUXfce3Vksqt4Vshcm7VQOlCr0Z86LH9PkxWQpyb&#10;1T3b9/3ji2mGD38/7b+WScrLi0zcAYu4xj8YTvpJHerkdHQT6cBMyiK/vklsmooiA3ZCxG2eAztK&#10;2IqiAF5X/P8X9S9QSwMEFAAAAAgAh07iQMsHaKBdAgAAtQQAAA4AAABkcnMvZTJvRG9jLnhtbK1U&#10;zW4TMRC+I/EOlu90N2lSIOqmihIFIVW0UkCcHa83a8l/2E425WWQuPEQfRzEa/DZu/2hcOiBi3fG&#10;M/5m5puZPb84akUOwgdpTUVHJyUlwnBbS7Or6KeP61dvKAmRmZopa0RFb0SgF/OXL847NxNj21pV&#10;C08AYsKscxVtY3Szogi8FZqFE+uEgbGxXrMI1e+K2rMO6FoV47I8Kzrra+ctFyHgdtUb6YDonwNo&#10;m0ZysbJ8r4WJPaoXikWUFFrpAp3nbJtG8HjVNEFEoiqKSmM+EQTyNp3F/JzNdp65VvIhBfacFJ7U&#10;pJk0CHoPtWKRkb2Xf0Fpyb0Ntokn3OqiLyQzgipG5RNuNi1zItcCqoO7Jz38P1j+4XDtiawrejql&#10;xDCNjv/69uPn7XeCC7DTuTCD08Zd+0ELEFOpx8br9EUR5JgZvblnVBwj4bgcl+PpGYA5TKPT0WSS&#10;MYuHx86H+E5YTZJQUY+GZR7Z4TJEBITrnUuKZexaKpWbpgzpEGA6KdFLzjCJDSYAonaoJpgdJUzt&#10;MOI8+gwZrJJ1ep6Agt9tl8qTA8NgrNfLEih9uD/cUuwVC23vl02DmzJILpHT05Gkra1vQKa3/ZQF&#10;x9cS7y9ZiNfMY6yQKBYvXuFolEX2dpAoaa3/+q/75I9uw0pJhzFFZV/2zAtK1HuDOXgLTtNcZ2Uy&#10;fT2G4h9bto8tZq+XFgWPsOKOZzH5R3UnNt7qz9jPRYoKEzMcsXsOB2UZ+/XBhnOxWGQ3zLJj8dJs&#10;HE/gfacW+2gbmZv4wM5AGqY593bYvLQuj/Xs9fC3mf8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sUtk99kAAAANAQAADwAAAAAAAAABACAAAAAiAAAAZHJzL2Rvd25yZXYueG1sUEsBAhQAFAAAAAgA&#10;h07iQMsHaKBdAgAAtQQAAA4AAAAAAAAAAQAgAAAAKAEAAGRycy9lMm9Eb2MueG1sUEsFBgAAAAAG&#10;AAYAWQEAAPcFAAAAAA==&#10;">
                <v:fill on="f" focussize="0,0"/>
                <v:stroke weight="2pt" color="#FFC000 [2404]" joinstyle="round"/>
                <v:imagedata o:title=""/>
                <o:lock v:ext="edit" aspectratio="f"/>
              </v:rect>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2326005</wp:posOffset>
                </wp:positionH>
                <wp:positionV relativeFrom="paragraph">
                  <wp:posOffset>1130300</wp:posOffset>
                </wp:positionV>
                <wp:extent cx="3905250" cy="333375"/>
                <wp:effectExtent l="0" t="0" r="0" b="9525"/>
                <wp:wrapNone/>
                <wp:docPr id="89" name="文本框 89"/>
                <wp:cNvGraphicFramePr/>
                <a:graphic xmlns:a="http://schemas.openxmlformats.org/drawingml/2006/main">
                  <a:graphicData uri="http://schemas.microsoft.com/office/word/2010/wordprocessingShape">
                    <wps:wsp>
                      <wps:cNvSpPr txBox="1"/>
                      <wps:spPr>
                        <a:xfrm>
                          <a:off x="3221355" y="6501130"/>
                          <a:ext cx="3905250" cy="333375"/>
                        </a:xfrm>
                        <a:prstGeom prst="rect">
                          <a:avLst/>
                        </a:prstGeom>
                        <a:solidFill>
                          <a:srgbClr val="F9FBF8"/>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6"/>
                              <w:bidi w:val="0"/>
                            </w:pPr>
                            <w:r>
                              <w:rPr>
                                <w:rFonts w:hint="eastAsia"/>
                              </w:rPr>
                              <w:t>图2.6-1  本项目环境保护目标及各要素评价范围图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15pt;margin-top:89pt;height:26.25pt;width:307.5pt;z-index:251688960;mso-width-relative:page;mso-height-relative:page;" fillcolor="#F9FBF8" filled="t" stroked="f" coordsize="21600,21600" o:gfxdata="UEsDBAoAAAAAAIdO4kAAAAAAAAAAAAAAAAAEAAAAZHJzL1BLAwQUAAAACACHTuJA64GUF9gAAAAL&#10;AQAADwAAAGRycy9kb3ducmV2LnhtbE2PzU7DMBCE70i8g7VI3KidRg1piFOJSnCG0Kri5sYmjojX&#10;ke3+vT3bUznuzKfZmXp1diM7mhAHjxKymQBmsPN6wF7C5uvtqQQWk0KtRo9GwsVEWDX3d7WqtD/h&#10;pzm2qWcUgrFSEmxKU8V57KxxKs78ZJC8Hx+cSnSGnuugThTuRj4XouBODUgfrJrM2prutz04CYvt&#10;Jmwz8fG6zt/bbpct0X5fdlI+PmTiBVgy53SD4VqfqkNDnfb+gDqyUUJeFDmhZDyXNIqIZZmRspcw&#10;z8UCeFPz/xuaP1BLAwQUAAAACACHTuJAiWYymV4CAACdBAAADgAAAGRycy9lMm9Eb2MueG1srVTB&#10;btswDL0P2D8Iui+Ok7htgjhF2iLDgGItkA07K7IcC5BETVJiZx+w/cFOu+y+7+p3jLKdNut26GE5&#10;OJRIP/I9kp5fNlqRvXBegslpOhhSIgyHQpptTj9+WL25oMQHZgqmwIicHoSnl4vXr+a1nYkRVKAK&#10;4QiCGD+rbU6rEOwsSTyvhGZ+AFYYdJbgNAt4dNukcKxGdK2S0XB4ltTgCuuAC+/x9qZz0h7RvQQQ&#10;ylJycQN8p4UJHaoTigWk5CtpPV201Zal4OGuLL0IROUUmYb2iUnQ3sRnspiz2dYxW0nel8BeUsIz&#10;TppJg0kfoW5YYGTn5F9QWnIHHsow4KCTjkirCLJIh8+0WVfMipYLSu3to+j+/8Hy9/t7R2SR04sp&#10;JYZp7PjD928PP349/PxK8A4Fqq2fYdzaYmRorqDBsTnee7yMvJvS6fiPjAj6x6NROs4ySg45PcuG&#10;aTrupRZNIDwGTIfZKMMucIwY4+88i5DJE5J1PrwVoEk0cuqwla3CbH/rQxd6DImJPShZrKRS7cFt&#10;N9fKkT3Dtq+mq6vVRY/+R5gypMb6xlhHfMtAfL+DVgaLicQ7gtEKzabp1dhAcUAxHHTz5C1fSazy&#10;lvlwzxwOEBLDFQt3+CgVYBLoLUoqcF/+dR/jsa/opaTGgcyp/7xjTlCi3hns+DSdTOIEt4dJdj7C&#10;gzv1bE49ZqevAcmnuMyWt2aMD+polg70J9zEZcyKLmY45s5pOJrXoVsT3GQulss2CGfWsnBr1pZH&#10;6E605S5AKduWRJk6bXr1cGrbpvYbFtfi9NxGPX1V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64GUF9gAAAALAQAADwAAAAAAAAABACAAAAAiAAAAZHJzL2Rvd25yZXYueG1sUEsBAhQAFAAAAAgA&#10;h07iQIlmMpleAgAAnQQAAA4AAAAAAAAAAQAgAAAAJwEAAGRycy9lMm9Eb2MueG1sUEsFBgAAAAAG&#10;AAYAWQEAAPcFAAAAAA==&#10;">
                <v:fill on="t" focussize="0,0"/>
                <v:stroke on="f" weight="0.5pt"/>
                <v:imagedata o:title=""/>
                <o:lock v:ext="edit" aspectratio="f"/>
                <v:textbox>
                  <w:txbxContent>
                    <w:p>
                      <w:pPr>
                        <w:pStyle w:val="6"/>
                        <w:bidi w:val="0"/>
                      </w:pPr>
                      <w:r>
                        <w:rPr>
                          <w:rFonts w:hint="eastAsia"/>
                        </w:rPr>
                        <w:t>图2.6-1  本项目环境保护目标及各要素评价范围图</w:t>
                      </w:r>
                    </w:p>
                  </w:txbxContent>
                </v:textbox>
              </v:shape>
            </w:pict>
          </mc:Fallback>
        </mc:AlternateContent>
      </w:r>
      <w:r>
        <w:drawing>
          <wp:anchor distT="0" distB="0" distL="114300" distR="114300" simplePos="0" relativeHeight="251665408" behindDoc="0" locked="0" layoutInCell="1" allowOverlap="1">
            <wp:simplePos x="0" y="0"/>
            <wp:positionH relativeFrom="column">
              <wp:posOffset>681355</wp:posOffset>
            </wp:positionH>
            <wp:positionV relativeFrom="paragraph">
              <wp:posOffset>979805</wp:posOffset>
            </wp:positionV>
            <wp:extent cx="733425" cy="476250"/>
            <wp:effectExtent l="0" t="0" r="9525" b="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35"/>
                    <a:stretch>
                      <a:fillRect/>
                    </a:stretch>
                  </pic:blipFill>
                  <pic:spPr>
                    <a:xfrm>
                      <a:off x="0" y="0"/>
                      <a:ext cx="733425" cy="476250"/>
                    </a:xfrm>
                    <a:prstGeom prst="rect">
                      <a:avLst/>
                    </a:prstGeom>
                    <a:noFill/>
                    <a:ln>
                      <a:noFill/>
                    </a:ln>
                  </pic:spPr>
                </pic:pic>
              </a:graphicData>
            </a:graphic>
          </wp:anchor>
        </w:drawing>
      </w:r>
      <w:r>
        <mc:AlternateContent>
          <mc:Choice Requires="wps">
            <w:drawing>
              <wp:anchor distT="0" distB="0" distL="114300" distR="114300" simplePos="0" relativeHeight="251668480" behindDoc="0" locked="0" layoutInCell="1" allowOverlap="1">
                <wp:simplePos x="0" y="0"/>
                <wp:positionH relativeFrom="column">
                  <wp:posOffset>6771640</wp:posOffset>
                </wp:positionH>
                <wp:positionV relativeFrom="paragraph">
                  <wp:posOffset>15875</wp:posOffset>
                </wp:positionV>
                <wp:extent cx="202565" cy="131445"/>
                <wp:effectExtent l="12700" t="12700" r="13335" b="27305"/>
                <wp:wrapNone/>
                <wp:docPr id="11" name="矩形 11"/>
                <wp:cNvGraphicFramePr/>
                <a:graphic xmlns:a="http://schemas.openxmlformats.org/drawingml/2006/main">
                  <a:graphicData uri="http://schemas.microsoft.com/office/word/2010/wordprocessingShape">
                    <wps:wsp>
                      <wps:cNvSpPr/>
                      <wps:spPr>
                        <a:xfrm>
                          <a:off x="0" y="0"/>
                          <a:ext cx="202565" cy="131445"/>
                        </a:xfrm>
                        <a:prstGeom prst="rect">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3.2pt;margin-top:1.25pt;height:10.35pt;width:15.95pt;z-index:251668480;v-text-anchor:middle;mso-width-relative:page;mso-height-relative:page;" fillcolor="#FFFF00" filled="t" stroked="t" coordsize="21600,21600" o:gfxdata="UEsDBAoAAAAAAIdO4kAAAAAAAAAAAAAAAAAEAAAAZHJzL1BLAwQUAAAACACHTuJAbWFWudkAAAAK&#10;AQAADwAAAGRycy9kb3ducmV2LnhtbE2PwU7DMAyG70i8Q2QkbixZC1VXmk4CaZMmOMDYxDVrTVPR&#10;OFWTbeXt8U5w/O1Pvz+Xy8n14oRj6DxpmM8UCKTaNx21GnYfq7scRIiGGtN7Qg0/GGBZXV+Vpmj8&#10;md7xtI2t4BIKhdFgYxwKKUNt0Zkw8wMS77786EzkOLayGc2Zy10vE6Uy6UxHfMGaAZ8t1t/bo9Ow&#10;Xtm3Db3mT1062c+d3az300ui9e3NXD2CiDjFPxgu+qwOFTsd/JGaIHrOKsvumdWQPIC4AGqRpyAO&#10;PEgTkFUp/79Q/QJQSwMEFAAAAAgAh07iQFIDf9RcAgAA3gQAAA4AAABkcnMvZTJvRG9jLnhtbK1U&#10;S44TMRDdI3EHy3umk5AMECUZRRMFIY2YkQbE2nHbaUv+YTvpDJdBYsch5jiIa/Ds7vnCIguycKpc&#10;5fq8etWzs4PRZC9CVM7O6fBkQImw3NXKbuf086f1q7eUxMRszbSzYk5vRKRni5cvZq2fipFrnK5F&#10;IAhi47T1c9qk5KdVFXkjDIsnzgsLo3TBsAQ1bKs6sBbRja5Gg8Fp1bpQ++C4iBG3q85I+4jhmIBO&#10;SsXFyvGdETZ1UYPQLKGl2Cgf6aJUK6Xg6VLKKBLRc4pOUzmRBPImn9VixqbbwHyjeF8CO6aEZz0Z&#10;piyS3odascTILqi/QhnFg4tOphPuTNU1UhBBF8PBM2yuG+ZF6QVQR38Pevx/YfnH/VUgqgYThpRY&#10;ZjDx399//rr9QXABdFofp3C69leh1yLE3OpBBpP/0QQ5FERv7hEVh0Q4LkeD0eR0QgmHafh6OB5P&#10;cszq4bEPMb0XzpAszGnAwAqObH8RU+d655JzRadVvVZaFyVsN+c6kD3DcNf4Dco8Ef2Jm7akRSWT&#10;McyEM1BWgioQjUfb0W4pYXqLXeAplNxPXsfjkuQiVyw2XTElQt+ptmg4o9jhlqWNq2+AenAdHaPn&#10;a4X3FyymKxbAPxSKDU2XOKR2qN71EiWNC9/+dZ/9QQtYKWnBZ3T2dceCoER/sCDMO4CfF6Ao48mb&#10;EZTw2LJ5bLE7c+6AKjiB6oqY/ZO+E2Vw5gsWeZmzwsQsR+4Ow145T92e4VPAxXJZ3EB6z9KFvfY8&#10;B89TtG65S06qMu0HdHrQQPvCl35F81491ovXw2dp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t&#10;YVa52QAAAAoBAAAPAAAAAAAAAAEAIAAAACIAAABkcnMvZG93bnJldi54bWxQSwECFAAUAAAACACH&#10;TuJAUgN/1FwCAADeBAAADgAAAAAAAAABACAAAAAoAQAAZHJzL2Uyb0RvYy54bWxQSwUGAAAAAAYA&#10;BgBZAQAA9gUAAAAA&#10;">
                <v:fill on="t" focussize="0,0"/>
                <v:stroke weight="2pt" color="#FFFF00 [2404]" joinstyle="round"/>
                <v:imagedata o:title=""/>
                <o:lock v:ext="edit" aspectratio="f"/>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6772275</wp:posOffset>
                </wp:positionH>
                <wp:positionV relativeFrom="paragraph">
                  <wp:posOffset>252095</wp:posOffset>
                </wp:positionV>
                <wp:extent cx="202565" cy="131445"/>
                <wp:effectExtent l="12700" t="12700" r="13335" b="27305"/>
                <wp:wrapNone/>
                <wp:docPr id="13" name="矩形 13"/>
                <wp:cNvGraphicFramePr/>
                <a:graphic xmlns:a="http://schemas.openxmlformats.org/drawingml/2006/main">
                  <a:graphicData uri="http://schemas.microsoft.com/office/word/2010/wordprocessingShape">
                    <wps:wsp>
                      <wps:cNvSpPr/>
                      <wps:spPr>
                        <a:xfrm>
                          <a:off x="0" y="0"/>
                          <a:ext cx="202565" cy="131445"/>
                        </a:xfrm>
                        <a:prstGeom prst="rect">
                          <a:avLst/>
                        </a:prstGeom>
                        <a:noFill/>
                        <a:ln>
                          <a:solidFill>
                            <a:srgbClr val="00206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3.25pt;margin-top:19.85pt;height:10.35pt;width:15.95pt;z-index:251669504;v-text-anchor:middle;mso-width-relative:page;mso-height-relative:page;" filled="f" stroked="t" coordsize="21600,21600" o:gfxdata="UEsDBAoAAAAAAIdO4kAAAAAAAAAAAAAAAAAEAAAAZHJzL1BLAwQUAAAACACHTuJARirOXdoAAAAL&#10;AQAADwAAAGRycy9kb3ducmV2LnhtbE2PQU8CMRCF7yb8h2ZMvEmL4gLrdklETbwZwUSP3e24W2in&#10;m21hgV9vOenxZb68902xPDrLDtgH40nCZCyAIdVeG2okfG5eb+fAQlSklfWEEk4YYFmOrgqVaz/Q&#10;Bx7WsWGphEKuJLQxdjnnoW7RqTD2HVK6/fjeqZhi33DdqyGVO8vvhMi4U4bSQqs6XLVY79Z7J2H2&#10;dH6pbaiGt+fvzft2ZczXFo2UN9cT8Qgs4jH+wXDRT+pQJqfK70kHZlMWWfaQWAn3ixmwCyEW8ymw&#10;SkImpsDLgv//ofwFUEsDBBQAAAAIAIdO4kCzXbnDXgIAALUEAAAOAAAAZHJzL2Uyb0RvYy54bWyt&#10;VM1uEzEQviPxDpbvdDdpUiBqUkWNipAqWikgzo7XzlryH7aTTXkZJG48RB8H8Rp89m5/KBx64LKZ&#10;8Yxn5vv8TU7PDkaTvQhROTuno6OaEmG5a5Tdzumnjxev3lASE7MN086KOb0RkZ4tXr447fxMjF3r&#10;dCMCQREbZ52f0zYlP6uqyFthWDxyXlgEpQuGJbhhWzWBdahudDWu65Oqc6HxwXERI05XfZAOFcNz&#10;CjopFRcrx3dG2NRXDUKzBEixVT7SRZlWSsHTlZRRJKLnFEhT+aIJ7E3+VotTNtsG5lvFhxHYc0Z4&#10;gskwZdH0vtSKJUZ2Qf1VyigeXHQyHXFnqh5IYQQoRvUTbtYt86JgAdXR35Me/19Z/mF/HYhqoIRj&#10;SiwzePFf3378vP1OcAB2Oh9nSFr76zB4EWaGepDB5F+AIIfC6M09o+KQCMfhuB5PT6aUcIRGx6PJ&#10;ZJprVg+XfYjpnXCGZGNOAx6s8Mj2lzH1qXcpuZd1F0prnLOZtqRDg+mkxltyBiVKKACm8UAT7ZYS&#10;preQOE+hlIxOqyZfz7dj2G7OdSB7loVRj+uTogVM9kda7r1ise3zSmgAoC1wZHJ6OrK1cc0NyAyu&#10;V1n0/ELh/iWL6ZoFyAqDYvHSFT5SO0zvBouS1oWv/zrP+XhtRCnpIFMg+7JjQVCi31vo4C04zbou&#10;zmT6egwnPI5sHkfszpw7AB5hxT0vZs5P+s6UwZnP2M9l7ooQsxy9ew4H5zz164MN52K5LGnQsmfp&#10;0q49z8X7l1rukpOqPOIDOwNpUHORwbB5eV0e+yXr4d9m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GKs5d2gAAAAsBAAAPAAAAAAAAAAEAIAAAACIAAABkcnMvZG93bnJldi54bWxQSwECFAAUAAAA&#10;CACHTuJAs125w14CAAC1BAAADgAAAAAAAAABACAAAAApAQAAZHJzL2Uyb0RvYy54bWxQSwUGAAAA&#10;AAYABgBZAQAA+QUAAAAA&#10;">
                <v:fill on="f" focussize="0,0"/>
                <v:stroke weight="2pt" color="#002060 [2404]" joinstyle="round"/>
                <v:imagedata o:title=""/>
                <o:lock v:ext="edit" aspectratio="f"/>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6781800</wp:posOffset>
                </wp:positionH>
                <wp:positionV relativeFrom="paragraph">
                  <wp:posOffset>491490</wp:posOffset>
                </wp:positionV>
                <wp:extent cx="202565" cy="131445"/>
                <wp:effectExtent l="12700" t="12700" r="13335" b="27305"/>
                <wp:wrapNone/>
                <wp:docPr id="14" name="矩形 14"/>
                <wp:cNvGraphicFramePr/>
                <a:graphic xmlns:a="http://schemas.openxmlformats.org/drawingml/2006/main">
                  <a:graphicData uri="http://schemas.microsoft.com/office/word/2010/wordprocessingShape">
                    <wps:wsp>
                      <wps:cNvSpPr/>
                      <wps:spPr>
                        <a:xfrm>
                          <a:off x="0" y="0"/>
                          <a:ext cx="202565" cy="131445"/>
                        </a:xfrm>
                        <a:prstGeom prst="rect">
                          <a:avLst/>
                        </a:prstGeom>
                        <a:noFill/>
                        <a:ln>
                          <a:solidFill>
                            <a:srgbClr val="7CDB05"/>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4pt;margin-top:38.7pt;height:10.35pt;width:15.95pt;z-index:251670528;v-text-anchor:middle;mso-width-relative:page;mso-height-relative:page;" filled="f" stroked="t" coordsize="21600,21600" o:gfxdata="UEsDBAoAAAAAAIdO4kAAAAAAAAAAAAAAAAAEAAAAZHJzL1BLAwQUAAAACACHTuJA2tFhmtkAAAAL&#10;AQAADwAAAGRycy9kb3ducmV2LnhtbE2Py07DMBRE90j8g3WR2FE7FWoexKmqSqxAoi2txNKJL0nA&#10;vo5s98Hf465gOZrRzJl6ebGGndCH0ZGEbCaAIXVOj9RL2L8/PxTAQlSklXGEEn4wwLK5valVpd2Z&#10;tnjaxZ6lEgqVkjDEOFWch25Aq8LMTUjJ+3Teqpik77n26pzKreFzIRbcqpHSwqAmXA/Yfe+OVsKb&#10;378chFl9ZDm1m8Nq3r6uv3Ip7+8y8QQs4iX+heGKn9ChSUytO5IOzCQtFkU6EyXk+SOwa0KUZQms&#10;lVAWGfCm5v8/NL9QSwMEFAAAAAgAh07iQA/qZvddAgAAtQQAAA4AAABkcnMvZTJvRG9jLnhtbK1U&#10;zW4TMRC+I/EOlu90NyFpIWpShURFSBWtVBBnx2tnLfkP28mmvAwSNx6Cx0G8Bp+92x8Khx64bGY8&#10;45n5Pn+T07OD0WQvQlTOzunoqKZEWO4aZbdz+vHD+YtXlMTEbMO0s2JOb0SkZ4vnz047PxNj1zrd&#10;iEBQxMZZ5+e0TcnPqiryVhgWj5wXFkHpgmEJbthWTWAdqhtdjev6uOpcaHxwXMSI03UfpEPF8JSC&#10;TkrFxdrxnRE29VWD0CwBUmyVj3RRppVS8HQpZRSJ6DkF0lS+aAJ7k7/V4pTNtoH5VvFhBPaUER5h&#10;MkxZNL0rtWaJkV1Qf5UyigcXnUxH3JmqB1IYAYpR/Yib65Z5UbCA6ujvSI//ryx/v78KRDVQwoQS&#10;ywxe/NfX7z9/fCM4ADudjzMkXfurMHgRZoZ6kMHkX4Agh8LozR2j4pAIx+G4Hk+Pp5RwhEYvR5PJ&#10;NNes7i/7ENNb4QzJxpwGPFjhke0vYupTb1NyL+vOldY4ZzNtSYcG00mNt+QMSpRQAEzjgSbaLSVM&#10;byFxnkIpGZ1WTb6eb8ew3ax0IHsGYZys1m/q28n+SMu91yy2fV4JDQC0BY5MTk9HtjauuQGZwfUq&#10;i56fK9y/YDFdsQBZYVAsXrrER2qH6d1gUdK68OVf5zkfr40oJR1kCmSfdywISvQ7Cx28BqdZ18WZ&#10;TE/GcMLDyOZhxO7MygHwCCvueTFzftK3pgzOfMJ+LnNXhJjl6N1zODir1K8PNpyL5bKkQcuepQt7&#10;7Xku3r/UcpecVOUR79kZSIOaiwyGzcvr8tAvWff/No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2tFhmtkAAAALAQAADwAAAAAAAAABACAAAAAiAAAAZHJzL2Rvd25yZXYueG1sUEsBAhQAFAAAAAgA&#10;h07iQA/qZvddAgAAtQQAAA4AAAAAAAAAAQAgAAAAKAEAAGRycy9lMm9Eb2MueG1sUEsFBgAAAAAG&#10;AAYAWQEAAPcFAAAAAA==&#10;">
                <v:fill on="f" focussize="0,0"/>
                <v:stroke weight="2pt" color="#7CDB05 [2404]" joinstyle="round"/>
                <v:imagedata o:title=""/>
                <o:lock v:ext="edit" aspectratio="f"/>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6779895</wp:posOffset>
                </wp:positionH>
                <wp:positionV relativeFrom="paragraph">
                  <wp:posOffset>975360</wp:posOffset>
                </wp:positionV>
                <wp:extent cx="202565" cy="131445"/>
                <wp:effectExtent l="12700" t="12700" r="13335" b="27305"/>
                <wp:wrapNone/>
                <wp:docPr id="16" name="矩形 16"/>
                <wp:cNvGraphicFramePr/>
                <a:graphic xmlns:a="http://schemas.openxmlformats.org/drawingml/2006/main">
                  <a:graphicData uri="http://schemas.microsoft.com/office/word/2010/wordprocessingShape">
                    <wps:wsp>
                      <wps:cNvSpPr/>
                      <wps:spPr>
                        <a:xfrm>
                          <a:off x="0" y="0"/>
                          <a:ext cx="202565" cy="131445"/>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3.85pt;margin-top:76.8pt;height:10.35pt;width:15.95pt;z-index:251672576;v-text-anchor:middle;mso-width-relative:page;mso-height-relative:page;" filled="f" stroked="t" coordsize="21600,21600" o:gfxdata="UEsDBAoAAAAAAIdO4kAAAAAAAAAAAAAAAAAEAAAAZHJzL1BLAwQUAAAACACHTuJAvZ2BQdkAAAAN&#10;AQAADwAAAGRycy9kb3ducmV2LnhtbE2PzU7DMBCE70i8g7VI3KgdEpI2xKlEpR4q9dKWB3DjJYnq&#10;n8h2f+Dp2Z7gNqMdzX7TLG/WsAuGOHonIZsJYOg6r0fXS/g8rF/mwGJSTivjHUr4xgjL9vGhUbX2&#10;V7fDyz71jEpcrJWEIaWp5jx2A1oVZ35CR7cvH6xKZEPPdVBXKreGvwpRcqtGRx8GNeFqwO60P1sJ&#10;k/45rXbbbRFsXphsPd98ZLiR8vkpE+/AEt7SXxju+IQOLTEd/dnpyAx5UVYVZUm95SWwe0QsFqSO&#10;pKoiB942/P+K9hdQSwMEFAAAAAgAh07iQPYSQvFcAgAAtQQAAA4AAABkcnMvZTJvRG9jLnhtbK1U&#10;zW4TMRC+I/EOlu90k5AUiJJUUaIgpIpWKoiz47WzlvyH7WRTXgaJGw/B4yBeg8/ebVoKhx7IwZnx&#10;jGf8ff5mZxdHo8lBhKicndPh2YASYbmrld3N6ccPmxevKYmJ2ZppZ8Wc3opILxbPn81aPxUj1zhd&#10;i0BQxMZp6+e0SclPqyryRhgWz5wXFkHpgmEJbthVdWAtqhtdjQaD86p1ofbBcREjdtddkPYVw1MK&#10;OikVF2vH90bY1FUNQrMESLFRPtJFua2UgqcrKaNIRM8pkKayognsbV6rxYxNd4H5RvH+CuwpV3iE&#10;yTBl0fRUas0SI/ug/iplFA8uOpnOuDNVB6QwAhTDwSNubhrmRcECqqM/kR7/X1n+/nAdiKqhhHNK&#10;LDN48V9fv//88Y1gA+y0Pk6RdOOvQ+9FmBnqUQaT/wGCHAujtydGxTERjs3RYDQ5n1DCERq+HI7H&#10;k1yzuj/sQ0xvhTMkG3Ma8GCFR3a4jKlLvUvJvazbKK2xz6bakhYNJuMB3pIzKFFCATCNB5pod5Qw&#10;vYPEeQqlZHRa1fl4Ph3DbrvSgRwYhLHBD1W6dn+k5d5rFpsur4T6NG2BI5PT0ZGtratvQWZwncqi&#10;5xuF85cspmsWICtcFIOXrrBI7XB711uUNC58+dd+zsdrI0pJC5kC2ec9C4IS/c5CB2/AadZ1ccaT&#10;VyM44WFk+zBi92blAHiIEfe8mDk/6TtTBmc+YT6XuStCzHL07jjsnVXqxgcTzsVyWdKgZc/Spb3x&#10;PBfvXmq5T06q8oj37PSkQc1FBv3k5XF56Jes+6/N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9&#10;nYFB2QAAAA0BAAAPAAAAAAAAAAEAIAAAACIAAABkcnMvZG93bnJldi54bWxQSwECFAAUAAAACACH&#10;TuJA9hJC8VwCAAC1BAAADgAAAAAAAAABACAAAAAoAQAAZHJzL2Uyb0RvYy54bWxQSwUGAAAAAAYA&#10;BgBZAQAA9gUAAAAA&#10;">
                <v:fill on="f" focussize="0,0"/>
                <v:stroke weight="2pt" color="#FFFF00 [2404]" joinstyle="round"/>
                <v:imagedata o:title=""/>
                <o:lock v:ext="edit" aspectratio="f"/>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6771640</wp:posOffset>
                </wp:positionH>
                <wp:positionV relativeFrom="paragraph">
                  <wp:posOffset>716915</wp:posOffset>
                </wp:positionV>
                <wp:extent cx="202565" cy="131445"/>
                <wp:effectExtent l="12700" t="12700" r="13335" b="27305"/>
                <wp:wrapNone/>
                <wp:docPr id="15" name="矩形 15"/>
                <wp:cNvGraphicFramePr/>
                <a:graphic xmlns:a="http://schemas.openxmlformats.org/drawingml/2006/main">
                  <a:graphicData uri="http://schemas.microsoft.com/office/word/2010/wordprocessingShape">
                    <wps:wsp>
                      <wps:cNvSpPr/>
                      <wps:spPr>
                        <a:xfrm>
                          <a:off x="0" y="0"/>
                          <a:ext cx="202565" cy="131445"/>
                        </a:xfrm>
                        <a:prstGeom prst="rect">
                          <a:avLst/>
                        </a:prstGeom>
                        <a:noFill/>
                        <a:ln>
                          <a:solidFill>
                            <a:srgbClr val="0B979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3.2pt;margin-top:56.45pt;height:10.35pt;width:15.95pt;z-index:251671552;v-text-anchor:middle;mso-width-relative:page;mso-height-relative:page;" filled="f" stroked="t" coordsize="21600,21600" o:gfxdata="UEsDBAoAAAAAAIdO4kAAAAAAAAAAAAAAAAAEAAAAZHJzL1BLAwQUAAAACACHTuJAiLU+CdsAAAAN&#10;AQAADwAAAGRycy9kb3ducmV2LnhtbE2PQU/CQBCF7yb+h82QeJPdUtJA6ZaIxhMaFUy8Du3QNnR3&#10;m+5Cy793OOntvcyXN+9l69G04kK9b5zVEE0VCLKFKxtbafjevz4uQPiAtsTWWdJwJQ/r/P4uw7R0&#10;g/2iyy5UgkOsT1FDHUKXSumLmgz6qevI8u3oeoOBbV/JsseBw00rZ0ol0mBj+UONHT3XVJx2Z6Ph&#10;aT6M78Up/LwdNx8v+83ntsHrVuuHSaRWIAKN4Q+GW32uDjl3OrizLb1o2askmTPLKpotQdwQtVzE&#10;IA6s4jgBmWfy/4r8F1BLAwQUAAAACACHTuJAv21fJ14CAAC1BAAADgAAAGRycy9lMm9Eb2MueG1s&#10;rVTNbhMxEL4j8Q6W73STkLQ0SlKFRkVIFa1UEGfHa2ct+Q/byaa8DBK3PgSPg3gNPnu3bSgceuCy&#10;mfGMv/H3zUxmZ3ujyU6EqJyd0+HRgBJhuauV3czpp48Xr95QEhOzNdPOijm9FZGeLV6+mLV+Kkau&#10;cboWgQDExmnr57RJyU+rKvJGGBaPnBcWQemCYQlu2FR1YC3Qja5Gg8Fx1bpQ++C4iBGnqy5Ie8Tw&#10;HEAnpeJi5fjWCJs61CA0S6AUG+UjXZTXSil4upIyikT0nIJpKl8Ugb3O32oxY9NNYL5RvH8Ce84T&#10;nnAyTFkUfYBascTINqi/oIziwUUn0xF3puqIFEXAYjh4os1Nw7woXCB19A+ix/8Hyz/srgNRNSZh&#10;QollBh3/9e3u54/vBAdQp/VxiqQbfx16L8LMVPcymPwLEmRfFL19UFTsE+E4HA1Gk2MAc4SGr4fj&#10;ccGsHi/7ENM74QzJxpwGNKzoyHaXMaEgUu9Tci3rLpTWpWnakhYFJuMBeskZJlFiAmAaDzbRbihh&#10;eoMR5ykUyOi0qvP1DBTDZn2uA9mxPBhvT09OjzNblPsjLddesdh0eSXUp2mL7CxOJ0e21q6+hZjB&#10;dVMWPb9QuH/JYrpmAWOFh2Lx0hU+Uju83vUWJY0LX/91nvPRbUQpaTGmYPZly4KgRL+3mINTaJrn&#10;ujjjyckITjiMrA8jdmvOHQgPseKeFzPnJ31vyuDMZ+znMldFiFmO2p2GvXOeuvXBhnOxXJY0zLJn&#10;6dLeeJ7Bu04tt8lJVZr4qE4vGqa5iN1vXl6XQ79kPf7bL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iLU+CdsAAAANAQAADwAAAAAAAAABACAAAAAiAAAAZHJzL2Rvd25yZXYueG1sUEsBAhQAFAAA&#10;AAgAh07iQL9tXydeAgAAtQQAAA4AAAAAAAAAAQAgAAAAKgEAAGRycy9lMm9Eb2MueG1sUEsFBgAA&#10;AAAGAAYAWQEAAPoFAAAAAA==&#10;">
                <v:fill on="f" focussize="0,0"/>
                <v:stroke weight="2pt" color="#0B9796 [2404]" joinstyle="round"/>
                <v:imagedata o:title=""/>
                <o:lock v:ext="edit" aspectratio="f"/>
              </v:rect>
            </w:pict>
          </mc:Fallback>
        </mc:AlternateContent>
      </w:r>
      <w:r>
        <w:rPr>
          <w:rFonts w:hint="eastAsia"/>
          <w:lang w:val="en-US" w:eastAsia="zh-CN"/>
        </w:rPr>
        <w:t xml:space="preserve"> </w:t>
      </w:r>
    </w:p>
    <w:p>
      <w:pPr>
        <w:pStyle w:val="78"/>
        <w:keepNext w:val="0"/>
        <w:keepLines w:val="0"/>
        <w:pageBreakBefore w:val="0"/>
        <w:widowControl w:val="0"/>
        <w:kinsoku/>
        <w:wordWrap/>
        <w:overflowPunct/>
        <w:topLinePunct w:val="0"/>
        <w:autoSpaceDE/>
        <w:autoSpaceDN/>
        <w:bidi w:val="0"/>
        <w:adjustRightInd/>
        <w:snapToGrid/>
        <w:spacing w:afterLines="0" w:line="240" w:lineRule="auto"/>
        <w:ind w:firstLine="0" w:firstLineChars="0"/>
        <w:jc w:val="center"/>
        <w:textAlignment w:val="auto"/>
        <w:rPr>
          <w:rFonts w:hint="eastAsia" w:eastAsia="宋体"/>
          <w:lang w:eastAsia="zh-CN"/>
        </w:rPr>
      </w:pPr>
      <w:r>
        <mc:AlternateContent>
          <mc:Choice Requires="wps">
            <w:drawing>
              <wp:anchor distT="0" distB="0" distL="114300" distR="114300" simplePos="0" relativeHeight="251673600" behindDoc="0" locked="0" layoutInCell="1" allowOverlap="1">
                <wp:simplePos x="0" y="0"/>
                <wp:positionH relativeFrom="column">
                  <wp:posOffset>5957570</wp:posOffset>
                </wp:positionH>
                <wp:positionV relativeFrom="paragraph">
                  <wp:posOffset>208915</wp:posOffset>
                </wp:positionV>
                <wp:extent cx="202565" cy="131445"/>
                <wp:effectExtent l="12700" t="12700" r="13335" b="27305"/>
                <wp:wrapNone/>
                <wp:docPr id="17" name="矩形 17"/>
                <wp:cNvGraphicFramePr/>
                <a:graphic xmlns:a="http://schemas.openxmlformats.org/drawingml/2006/main">
                  <a:graphicData uri="http://schemas.microsoft.com/office/word/2010/wordprocessingShape">
                    <wps:wsp>
                      <wps:cNvSpPr/>
                      <wps:spPr>
                        <a:xfrm>
                          <a:off x="0" y="0"/>
                          <a:ext cx="202565" cy="131445"/>
                        </a:xfrm>
                        <a:prstGeom prst="rect">
                          <a:avLst/>
                        </a:prstGeom>
                        <a:noFill/>
                        <a:ln>
                          <a:solidFill>
                            <a:schemeClr val="accent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9.1pt;margin-top:16.45pt;height:10.35pt;width:15.95pt;z-index:251673600;v-text-anchor:middle;mso-width-relative:page;mso-height-relative:page;" filled="f" stroked="t" coordsize="21600,21600" o:gfxdata="UEsDBAoAAAAAAIdO4kAAAAAAAAAAAAAAAAAEAAAAZHJzL1BLAwQUAAAACACHTuJA4Sx7FtcAAAAJ&#10;AQAADwAAAGRycy9kb3ducmV2LnhtbE2PQU7DMBBF90jcwRokdtSOQ0oT4nRRwQJWtOUAbjwkEfY4&#10;it2kvT1mBcvRf/r/Tb29OMtmnMLgSUG2EsCQWm8G6hR8Hl8fNsBC1GS09YQKrhhg29ze1LoyfqE9&#10;zofYsVRCodIK+hjHivPQ9uh0WPkRKWVffnI6pnPquJn0ksqd5VKINXd6oLTQ6xF3Pbbfh7NT4B6L&#10;WdOS4/vHVe66l7Y4Svum1P1dJp6BRbzEPxh+9ZM6NMnp5M9kArMKynwjE6oglyWwBJRPIgN2UlDk&#10;a+BNzf9/0PwAUEsDBBQAAAAIAIdO4kD4/ZJuXgIAALUEAAAOAAAAZHJzL2Uyb0RvYy54bWytVM1u&#10;EzEQviPxDpbvdJOQpDRqUkWNgpAqWikgzo7XzlryH7aTTXkZJG48BI+DeA0+e7c/FA49cNnMeMYz&#10;833+JucXR6PJQYSonJ3T4cmAEmG5q5XdzenHD+tXbyiJidmaaWfFnN6KSC8WL1+ct34mRq5xuhaB&#10;oIiNs9bPaZOSn1VV5I0wLJ44LyyC0gXDEtywq+rAWlQ3uhoNBtOqdaH2wXERI05XXZD2FcNzCjop&#10;FRcrx/dG2NRVDUKzBEixUT7SRZlWSsHTtZRRJKLnFEhT+aIJ7G3+VotzNtsF5hvF+xHYc0Z4gskw&#10;ZdH0vtSKJUb2Qf1VyigeXHQynXBnqg5IYQQohoMn3Gwa5kXBAqqjvyc9/r+y/P3hJhBVQwmnlFhm&#10;8OK/vn7/+eMbwQHYaX2cIWnjb0LvRZgZ6lEGk38BghwLo7f3jIpjIhyHo8FoMp1QwhEavh6Ox5Nc&#10;s3q47ENMb4UzJBtzGvBghUd2uIqpS71Lyb2sWyutcc5m2pIWDSbjAd6SMyhRQgEwjQeaaHeUML2D&#10;xHkKpWR0WtX5er4dw257qQM5MAhjfXo2HU/7yf5Iy71XLDZdXgn1adoCRyanoyNbW1ffgszgOpVF&#10;z9cK969YTDcsQFYYFIuXrvGR2mF611uUNC58+dd5zsdrI0pJC5kC2ec9C4IS/c5CB2fgNOu6OOPJ&#10;6QhOeBzZPo7Yvbl0ADzEintezJyf9J0pgzOfsJ/L3BUhZjl6dxz2zmXq1gcbzsVyWdKgZc/Sld14&#10;not3L7XcJydVecQHdnrSoOYig37z8ro89kvWw7/N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h&#10;LHsW1wAAAAkBAAAPAAAAAAAAAAEAIAAAACIAAABkcnMvZG93bnJldi54bWxQSwECFAAUAAAACACH&#10;TuJA+P2Sbl4CAAC1BAAADgAAAAAAAAABACAAAAAmAQAAZHJzL2Uyb0RvYy54bWxQSwUGAAAAAAYA&#10;BgBZAQAA9gUAAAAA&#10;">
                <v:fill on="f" focussize="0,0"/>
                <v:stroke weight="2pt" color="#F79646 [3209]" joinstyle="round"/>
                <v:imagedata o:title=""/>
                <o:lock v:ext="edit" aspectratio="f"/>
              </v:rect>
            </w:pict>
          </mc:Fallback>
        </mc:AlternateContent>
      </w:r>
    </w:p>
    <w:p>
      <w:pPr>
        <w:pStyle w:val="78"/>
        <w:keepNext w:val="0"/>
        <w:keepLines w:val="0"/>
        <w:pageBreakBefore w:val="0"/>
        <w:widowControl w:val="0"/>
        <w:kinsoku/>
        <w:wordWrap/>
        <w:overflowPunct/>
        <w:topLinePunct w:val="0"/>
        <w:autoSpaceDE/>
        <w:autoSpaceDN/>
        <w:bidi w:val="0"/>
        <w:adjustRightInd/>
        <w:snapToGrid/>
        <w:spacing w:afterLines="0" w:line="240" w:lineRule="auto"/>
        <w:ind w:firstLine="0" w:firstLineChars="0"/>
        <w:jc w:val="center"/>
        <w:textAlignment w:val="auto"/>
        <w:rPr>
          <w:rFonts w:hint="eastAsia" w:eastAsia="宋体"/>
          <w:lang w:eastAsia="zh-CN"/>
        </w:rPr>
        <w:sectPr>
          <w:pgSz w:w="16838" w:h="11906" w:orient="landscape"/>
          <w:pgMar w:top="1797" w:right="1440" w:bottom="1797" w:left="1440" w:header="851" w:footer="992" w:gutter="0"/>
          <w:pgNumType w:fmt="decimal"/>
          <w:cols w:space="425" w:num="1"/>
          <w:docGrid w:linePitch="312" w:charSpace="0"/>
        </w:sectPr>
      </w:pPr>
    </w:p>
    <w:bookmarkEnd w:id="127"/>
    <w:bookmarkEnd w:id="128"/>
    <w:bookmarkEnd w:id="129"/>
    <w:bookmarkEnd w:id="130"/>
    <w:p>
      <w:pPr>
        <w:pStyle w:val="2"/>
        <w:spacing w:before="120" w:after="120"/>
        <w:rPr>
          <w:color w:val="auto"/>
        </w:rPr>
      </w:pPr>
      <w:bookmarkStart w:id="131" w:name="_Toc24447078"/>
      <w:bookmarkStart w:id="132" w:name="_Toc24447607"/>
      <w:bookmarkStart w:id="133" w:name="_Toc24340212"/>
      <w:bookmarkStart w:id="134" w:name="_Toc4462"/>
      <w:r>
        <w:rPr>
          <w:rFonts w:hint="eastAsia"/>
          <w:color w:val="auto"/>
        </w:rPr>
        <w:t>工程分析</w:t>
      </w:r>
      <w:bookmarkEnd w:id="131"/>
      <w:bookmarkEnd w:id="132"/>
      <w:bookmarkEnd w:id="133"/>
      <w:bookmarkEnd w:id="134"/>
    </w:p>
    <w:p>
      <w:pPr>
        <w:pStyle w:val="3"/>
        <w:spacing w:before="120" w:after="120"/>
        <w:rPr>
          <w:color w:val="auto"/>
        </w:rPr>
      </w:pPr>
      <w:bookmarkStart w:id="135" w:name="_Toc24447079"/>
      <w:bookmarkStart w:id="136" w:name="_Toc24340213"/>
      <w:bookmarkStart w:id="137" w:name="_Toc24447608"/>
      <w:bookmarkStart w:id="138" w:name="_Toc25878"/>
      <w:r>
        <w:rPr>
          <w:rFonts w:hint="eastAsia"/>
          <w:color w:val="auto"/>
        </w:rPr>
        <w:t>建设项目概况</w:t>
      </w:r>
      <w:bookmarkEnd w:id="135"/>
      <w:bookmarkEnd w:id="136"/>
      <w:bookmarkEnd w:id="137"/>
      <w:bookmarkEnd w:id="138"/>
    </w:p>
    <w:p>
      <w:pPr>
        <w:pStyle w:val="4"/>
        <w:spacing w:before="120" w:after="120"/>
        <w:rPr>
          <w:color w:val="auto"/>
        </w:rPr>
      </w:pPr>
      <w:bookmarkStart w:id="139" w:name="_Toc24447080"/>
      <w:r>
        <w:rPr>
          <w:rFonts w:hint="eastAsia"/>
          <w:color w:val="auto"/>
        </w:rPr>
        <w:t>项目基本情况</w:t>
      </w:r>
      <w:bookmarkEnd w:id="139"/>
    </w:p>
    <w:p>
      <w:pPr>
        <w:ind w:firstLine="480"/>
        <w:rPr>
          <w:rFonts w:hint="eastAsia" w:eastAsia="宋体"/>
          <w:lang w:eastAsia="zh-CN"/>
        </w:rPr>
      </w:pPr>
      <w:r>
        <w:rPr>
          <w:rFonts w:hint="eastAsia"/>
        </w:rPr>
        <w:t>项目名称：内蒙古春园满循环农业科技有限公司肉羊养殖园区项目</w:t>
      </w:r>
      <w:r>
        <w:rPr>
          <w:rFonts w:hint="eastAsia"/>
          <w:lang w:eastAsia="zh-CN"/>
        </w:rPr>
        <w:t>。</w:t>
      </w:r>
    </w:p>
    <w:p>
      <w:pPr>
        <w:ind w:firstLine="480"/>
        <w:rPr>
          <w:rFonts w:hint="eastAsia" w:eastAsia="宋体"/>
          <w:lang w:eastAsia="zh-CN"/>
        </w:rPr>
      </w:pPr>
      <w:r>
        <w:rPr>
          <w:rFonts w:hint="eastAsia"/>
        </w:rPr>
        <w:t>建设性质：新建</w:t>
      </w:r>
      <w:r>
        <w:rPr>
          <w:rFonts w:hint="eastAsia"/>
          <w:lang w:eastAsia="zh-CN"/>
        </w:rPr>
        <w:t>。</w:t>
      </w:r>
    </w:p>
    <w:p>
      <w:pPr>
        <w:ind w:firstLine="480"/>
      </w:pPr>
      <w:r>
        <w:rPr>
          <w:rFonts w:hint="eastAsia"/>
        </w:rPr>
        <w:t>项目投资：总投资88000万元，其中环保投资</w:t>
      </w:r>
      <w:r>
        <w:rPr>
          <w:rFonts w:hint="eastAsia"/>
          <w:lang w:eastAsia="zh-CN"/>
        </w:rPr>
        <w:t>1033</w:t>
      </w:r>
      <w:r>
        <w:rPr>
          <w:rFonts w:hint="eastAsia"/>
        </w:rPr>
        <w:t>万元，约占总投资的</w:t>
      </w:r>
      <w:r>
        <w:rPr>
          <w:rFonts w:hint="eastAsia"/>
          <w:lang w:eastAsia="zh-CN"/>
        </w:rPr>
        <w:t>1.17</w:t>
      </w:r>
      <w:r>
        <w:rPr>
          <w:rFonts w:hint="eastAsia"/>
        </w:rPr>
        <w:t>%</w:t>
      </w:r>
    </w:p>
    <w:p>
      <w:pPr>
        <w:ind w:firstLine="480"/>
        <w:rPr>
          <w:rFonts w:hint="eastAsia" w:eastAsia="宋体"/>
          <w:lang w:eastAsia="zh-CN"/>
        </w:rPr>
      </w:pPr>
      <w:r>
        <w:rPr>
          <w:rFonts w:hint="eastAsia"/>
        </w:rPr>
        <w:t>建设单位：内蒙古春园满循环农业科技有限公司</w:t>
      </w:r>
      <w:r>
        <w:rPr>
          <w:rFonts w:hint="eastAsia"/>
          <w:lang w:eastAsia="zh-CN"/>
        </w:rPr>
        <w:t>。</w:t>
      </w:r>
    </w:p>
    <w:p>
      <w:pPr>
        <w:ind w:firstLine="480"/>
        <w:rPr>
          <w:rFonts w:hint="eastAsia" w:eastAsia="宋体"/>
          <w:highlight w:val="green"/>
          <w:lang w:eastAsia="zh-CN"/>
        </w:rPr>
      </w:pPr>
      <w:r>
        <w:rPr>
          <w:rFonts w:hint="eastAsia"/>
          <w:highlight w:val="green"/>
        </w:rPr>
        <w:t>养殖规模：本项目年存栏量50万只，年出栏量100万只</w:t>
      </w:r>
      <w:r>
        <w:rPr>
          <w:rFonts w:hint="eastAsia"/>
          <w:highlight w:val="green"/>
          <w:lang w:eastAsia="zh-CN"/>
        </w:rPr>
        <w:t>。</w:t>
      </w:r>
    </w:p>
    <w:p>
      <w:pPr>
        <w:ind w:firstLine="480"/>
      </w:pPr>
      <w:r>
        <w:rPr>
          <w:rFonts w:hint="eastAsia"/>
        </w:rPr>
        <w:t>项目占地：项目占地面积为1169137.06平方米（折合116.91公顷），土地利用性质为农业用地。</w:t>
      </w:r>
    </w:p>
    <w:p>
      <w:pPr>
        <w:ind w:firstLine="480"/>
      </w:pPr>
      <w:r>
        <w:rPr>
          <w:rFonts w:hint="eastAsia"/>
        </w:rPr>
        <w:t>劳动组织：本项目劳动定员为450人，年工作365天，采用三班倒制度，每班8小时工作制度。</w:t>
      </w:r>
    </w:p>
    <w:p>
      <w:pPr>
        <w:ind w:firstLine="480"/>
      </w:pPr>
      <w:r>
        <w:rPr>
          <w:rFonts w:hint="eastAsia"/>
        </w:rPr>
        <w:t>建设地点：巴彦淖尔市五原县塔尔湖镇胜丰八社，场址中心地理坐标为北纬41°6′14.55"，东经107°47′9.50″，西侧为泽隆牧场，东、南、北侧均为空地。</w:t>
      </w:r>
    </w:p>
    <w:p>
      <w:pPr>
        <w:ind w:firstLine="480"/>
        <w:sectPr>
          <w:pgSz w:w="11906" w:h="16838"/>
          <w:pgMar w:top="1440" w:right="1797" w:bottom="1440" w:left="1797" w:header="851" w:footer="992" w:gutter="0"/>
          <w:pgNumType w:fmt="decimal"/>
          <w:cols w:space="425" w:num="1"/>
          <w:docGrid w:linePitch="312" w:charSpace="0"/>
        </w:sectPr>
      </w:pPr>
      <w:r>
        <w:rPr>
          <w:rFonts w:hint="eastAsia"/>
        </w:rPr>
        <w:t>本项目地理位置图见图3.1.1-1，与四邻关系图见图3.1.1-2，周边环境情况见图3.1.1-3。</w:t>
      </w:r>
    </w:p>
    <w:p>
      <w:pPr>
        <w:pStyle w:val="6"/>
      </w:pPr>
      <w:r>
        <mc:AlternateContent>
          <mc:Choice Requires="wps">
            <w:drawing>
              <wp:anchor distT="0" distB="0" distL="114300" distR="114300" simplePos="0" relativeHeight="251675648" behindDoc="0" locked="0" layoutInCell="1" allowOverlap="1">
                <wp:simplePos x="0" y="0"/>
                <wp:positionH relativeFrom="column">
                  <wp:posOffset>2087880</wp:posOffset>
                </wp:positionH>
                <wp:positionV relativeFrom="paragraph">
                  <wp:posOffset>-3660775</wp:posOffset>
                </wp:positionV>
                <wp:extent cx="532765" cy="285115"/>
                <wp:effectExtent l="85090" t="0" r="10795" b="114935"/>
                <wp:wrapNone/>
                <wp:docPr id="4" name="矩形标注 4"/>
                <wp:cNvGraphicFramePr/>
                <a:graphic xmlns:a="http://schemas.openxmlformats.org/drawingml/2006/main">
                  <a:graphicData uri="http://schemas.microsoft.com/office/word/2010/wordprocessingShape">
                    <wps:wsp>
                      <wps:cNvSpPr/>
                      <wps:spPr>
                        <a:xfrm>
                          <a:off x="2950210" y="2879090"/>
                          <a:ext cx="532765" cy="285115"/>
                        </a:xfrm>
                        <a:prstGeom prst="wedgeRectCallout">
                          <a:avLst>
                            <a:gd name="adj1" fmla="val -66013"/>
                            <a:gd name="adj2" fmla="val 83853"/>
                          </a:avLst>
                        </a:prstGeom>
                        <a:solidFill>
                          <a:srgbClr val="F9FBFA"/>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spacing w:line="240" w:lineRule="auto"/>
                              <w:ind w:left="-120" w:leftChars="-50" w:firstLine="0" w:firstLineChars="0"/>
                              <w:jc w:val="center"/>
                              <w:rPr>
                                <w:color w:val="FF0000"/>
                                <w:sz w:val="18"/>
                                <w:szCs w:val="18"/>
                                <w14:textOutline w14:w="9525" w14:cap="flat" w14:cmpd="sng" w14:algn="ctr">
                                  <w14:solidFill>
                                    <w14:srgbClr w14:val="FF0000"/>
                                  </w14:solidFill>
                                  <w14:prstDash w14:val="solid"/>
                                  <w14:round/>
                                </w14:textOutline>
                              </w:rPr>
                            </w:pPr>
                            <w:r>
                              <w:rPr>
                                <w:rFonts w:hint="eastAsia"/>
                                <w:color w:val="FF0000"/>
                                <w:sz w:val="18"/>
                                <w:szCs w:val="18"/>
                                <w14:textOutline w14:w="9525" w14:cap="flat" w14:cmpd="sng" w14:algn="ctr">
                                  <w14:solidFill>
                                    <w14:srgbClr w14:val="FF0000"/>
                                  </w14:solidFill>
                                  <w14:prstDash w14:val="solid"/>
                                  <w14:round/>
                                </w14:textOutline>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4.4pt;margin-top:-288.25pt;height:22.45pt;width:41.95pt;z-index:251675648;v-text-anchor:middle;mso-width-relative:page;mso-height-relative:page;" fillcolor="#F9FBFA" filled="t" stroked="f" coordsize="21600,21600" o:gfxdata="UEsDBAoAAAAAAIdO4kAAAAAAAAAAAAAAAAAEAAAAZHJzL1BLAwQUAAAACACHTuJASHSC8twAAAAN&#10;AQAADwAAAGRycy9kb3ducmV2LnhtbE2PwW7CMBBE75X6D9ZW6g2cBAgojcMBtYeqh6oUqT0u8RJH&#10;xOsodoD262tO5bizo5k35fpiO3GiwbeOFaTTBARx7XTLjYLd58tkBcIHZI2dY1LwQx7W1f1diYV2&#10;Z/6g0zY0IoawL1CBCaEvpPS1IYt+6nri+Du4wWKI59BIPeA5httOZkmSS4stxwaDPW0M1cftaBXQ&#10;xr765tlku/fajV+/3/lcvqFSjw9p8gQi0CX8m+GKH9Ghikx7N7L2olMwy1YRPSiYLJb5AkS0zNNs&#10;CWJ/lWZpDrIq5e2K6g9QSwMEFAAAAAgAh07iQEdGZqeoAgAALgUAAA4AAABkcnMvZTJvRG9jLnht&#10;bK1UzW4TMRC+I/EOlu/t/jSbJlE3VUgUhFTRiII4O15vdpH/sJ1sygvwGCBOcObM41Beg7HXbUPh&#10;0AMX78z60zcz38z47HwvONoxY1slS5wdpxgxSVXVyk2J37xeHo0wso7IinAlWYmvmcXn06dPzjo9&#10;YblqFK+YQUAi7aTTJW6c05MksbRhgthjpZmEy1oZQRy4ZpNUhnTALniSp+kw6ZSptFGUWQt/F/0l&#10;jozmMYSqrlvKFopuBZOuZzWMEwcl2abVFk9DtnXNqLusa8sc4iWGSl04IQjYa38m0zMy2Riim5bG&#10;FMhjUnhQkyCthKB3VAviCNqa9i8q0VKjrKrdMVUi6QsJikAVWfpAm6uGaBZqAamtvhPd/j9a+nK3&#10;MqitSjzASBIBDf/16dvPH19uPn+8+f4VDbxCnbYTAF7plYmeBdOXu6+N8F8oBO1LnI+LNM9A22uw&#10;R6fjdBwVZnuHKACKk/x0WGBEA6DIssLzJ/dE2lj3nCmBvFHijlUb9gq6OCecq60LGpPdhXVB7Cqm&#10;TKp3GUa14NC7HeHoaDhMs5PY3ANQfgganYyKgIHwkRKs2wQ8v1W8rZYt58Exm/WcGwT8JV6Ol8+W&#10;s5j7HzAuUQfFF4MUZKAEFqSGwQRTaBDZyg1GhG9g86gzoRqpfIQwhz72gtimjxFoYwguQSXfhl54&#10;b7n9eh+7sVbVNXTRqH68rabLFqguiHUrYkATSAU23l3CUXMF+aloYdQo8+Ff/z0exgxuMepgPyD3&#10;91tiGEb8hYQBHGeDAdC64AyK0xwcc3izPryRWzFXoBt0CbILpsc7fmvWRom38DDMfFS4IpJC7F6l&#10;6Mxdv7fwtFA2mwUYLJEm7kJeaerJfZ+kmm2dqlvnB8sL1asTHVijMG9x5f2eHvoBdf/MT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SHSC8twAAAANAQAADwAAAAAAAAABACAAAAAiAAAAZHJzL2Rv&#10;d25yZXYueG1sUEsBAhQAFAAAAAgAh07iQEdGZqeoAgAALgUAAA4AAAAAAAAAAQAgAAAAKwEAAGRy&#10;cy9lMm9Eb2MueG1sUEsFBgAAAAAGAAYAWQEAAEUGAAAAAA==&#10;" adj="-3459,28912">
                <v:fill on="t" focussize="0,0"/>
                <v:stroke on="f" weight="2pt"/>
                <v:imagedata o:title=""/>
                <o:lock v:ext="edit" aspectratio="f"/>
                <v:textbox>
                  <w:txbxContent>
                    <w:p>
                      <w:pPr>
                        <w:spacing w:line="240" w:lineRule="auto"/>
                        <w:ind w:left="-120" w:leftChars="-50" w:firstLine="0" w:firstLineChars="0"/>
                        <w:jc w:val="center"/>
                        <w:rPr>
                          <w:color w:val="FF0000"/>
                          <w:sz w:val="18"/>
                          <w:szCs w:val="18"/>
                          <w14:textOutline w14:w="9525" w14:cap="flat" w14:cmpd="sng" w14:algn="ctr">
                            <w14:solidFill>
                              <w14:srgbClr w14:val="FF0000"/>
                            </w14:solidFill>
                            <w14:prstDash w14:val="solid"/>
                            <w14:round/>
                          </w14:textOutline>
                        </w:rPr>
                      </w:pPr>
                      <w:r>
                        <w:rPr>
                          <w:rFonts w:hint="eastAsia"/>
                          <w:color w:val="FF0000"/>
                          <w:sz w:val="18"/>
                          <w:szCs w:val="18"/>
                          <w14:textOutline w14:w="9525" w14:cap="flat" w14:cmpd="sng" w14:algn="ctr">
                            <w14:solidFill>
                              <w14:srgbClr w14:val="FF0000"/>
                            </w14:solidFill>
                            <w14:prstDash w14:val="solid"/>
                            <w14:round/>
                          </w14:textOutline>
                        </w:rPr>
                        <w:t>本项目</w:t>
                      </w:r>
                    </w:p>
                  </w:txbxContent>
                </v:textbox>
              </v:shape>
            </w:pict>
          </mc:Fallback>
        </mc:AlternateContent>
      </w:r>
      <w:r>
        <w:drawing>
          <wp:anchor distT="0" distB="0" distL="114300" distR="114300" simplePos="0" relativeHeight="251667456" behindDoc="0" locked="0" layoutInCell="1" allowOverlap="1">
            <wp:simplePos x="0" y="0"/>
            <wp:positionH relativeFrom="column">
              <wp:posOffset>330200</wp:posOffset>
            </wp:positionH>
            <wp:positionV relativeFrom="paragraph">
              <wp:posOffset>-372745</wp:posOffset>
            </wp:positionV>
            <wp:extent cx="7942580" cy="5615940"/>
            <wp:effectExtent l="0" t="0" r="1270" b="38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942580" cy="5615940"/>
                    </a:xfrm>
                    <a:prstGeom prst="rect">
                      <a:avLst/>
                    </a:prstGeom>
                  </pic:spPr>
                </pic:pic>
              </a:graphicData>
            </a:graphic>
          </wp:anchor>
        </w:drawing>
      </w:r>
      <w:r>
        <w:rPr>
          <w:rFonts w:hint="eastAsia"/>
        </w:rPr>
        <w:t>图</w:t>
      </w:r>
      <w:r>
        <w:t>3.</w:t>
      </w:r>
      <w:r>
        <w:rPr>
          <w:rFonts w:hint="eastAsia"/>
        </w:rPr>
        <w:t>1</w:t>
      </w:r>
      <w:r>
        <w:t xml:space="preserve">.1-1  </w:t>
      </w:r>
      <w:r>
        <w:rPr>
          <w:rFonts w:hint="eastAsia"/>
        </w:rPr>
        <w:t>项目地理位置图</w:t>
      </w:r>
    </w:p>
    <w:p>
      <w:pPr>
        <w:pStyle w:val="78"/>
        <w:spacing w:after="120"/>
        <w:ind w:firstLine="422"/>
        <w:jc w:val="both"/>
        <w:sectPr>
          <w:pgSz w:w="16838" w:h="11906" w:orient="landscape"/>
          <w:pgMar w:top="1797" w:right="1440" w:bottom="1797" w:left="1440" w:header="851" w:footer="992" w:gutter="0"/>
          <w:pgNumType w:fmt="decimal"/>
          <w:cols w:space="425" w:num="1"/>
          <w:docGrid w:linePitch="312" w:charSpace="0"/>
        </w:sectPr>
      </w:pPr>
    </w:p>
    <w:p>
      <w:pPr>
        <w:ind w:firstLine="480"/>
      </w:pPr>
      <w:r>
        <w:drawing>
          <wp:anchor distT="0" distB="0" distL="114300" distR="114300" simplePos="0" relativeHeight="251677696" behindDoc="0" locked="0" layoutInCell="1" allowOverlap="1">
            <wp:simplePos x="0" y="0"/>
            <wp:positionH relativeFrom="column">
              <wp:posOffset>6518275</wp:posOffset>
            </wp:positionH>
            <wp:positionV relativeFrom="paragraph">
              <wp:posOffset>-283845</wp:posOffset>
            </wp:positionV>
            <wp:extent cx="1746250" cy="1440180"/>
            <wp:effectExtent l="0" t="0" r="6350" b="762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3"/>
                    <a:stretch>
                      <a:fillRect/>
                    </a:stretch>
                  </pic:blipFill>
                  <pic:spPr>
                    <a:xfrm>
                      <a:off x="0" y="0"/>
                      <a:ext cx="1746250" cy="1440180"/>
                    </a:xfrm>
                    <a:prstGeom prst="rect">
                      <a:avLst/>
                    </a:prstGeom>
                    <a:noFill/>
                    <a:ln>
                      <a:noFill/>
                    </a:ln>
                  </pic:spPr>
                </pic:pic>
              </a:graphicData>
            </a:graphic>
          </wp:anchor>
        </w:drawing>
      </w:r>
      <w:r>
        <w:drawing>
          <wp:anchor distT="0" distB="0" distL="114300" distR="114300" simplePos="0" relativeHeight="251676672" behindDoc="1" locked="0" layoutInCell="1" allowOverlap="1">
            <wp:simplePos x="0" y="0"/>
            <wp:positionH relativeFrom="column">
              <wp:posOffset>447040</wp:posOffset>
            </wp:positionH>
            <wp:positionV relativeFrom="paragraph">
              <wp:posOffset>-273050</wp:posOffset>
            </wp:positionV>
            <wp:extent cx="7811770" cy="5099050"/>
            <wp:effectExtent l="0" t="0" r="17780" b="6350"/>
            <wp:wrapNone/>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37"/>
                    <a:srcRect r="1851"/>
                    <a:stretch>
                      <a:fillRect/>
                    </a:stretch>
                  </pic:blipFill>
                  <pic:spPr>
                    <a:xfrm>
                      <a:off x="0" y="0"/>
                      <a:ext cx="7811770" cy="5099050"/>
                    </a:xfrm>
                    <a:prstGeom prst="rect">
                      <a:avLst/>
                    </a:prstGeom>
                    <a:noFill/>
                    <a:ln>
                      <a:noFill/>
                    </a:ln>
                  </pic:spPr>
                </pic:pic>
              </a:graphicData>
            </a:graphic>
          </wp:anchor>
        </w:drawing>
      </w: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20"/>
      </w:pPr>
      <w:r>
        <w:rPr>
          <w:sz w:val="21"/>
        </w:rPr>
        <mc:AlternateContent>
          <mc:Choice Requires="wps">
            <w:drawing>
              <wp:anchor distT="0" distB="0" distL="114300" distR="114300" simplePos="0" relativeHeight="251678720" behindDoc="0" locked="0" layoutInCell="1" allowOverlap="1">
                <wp:simplePos x="0" y="0"/>
                <wp:positionH relativeFrom="column">
                  <wp:posOffset>6732270</wp:posOffset>
                </wp:positionH>
                <wp:positionV relativeFrom="paragraph">
                  <wp:posOffset>69215</wp:posOffset>
                </wp:positionV>
                <wp:extent cx="1511300" cy="1074420"/>
                <wp:effectExtent l="5080" t="4445" r="7620" b="6985"/>
                <wp:wrapNone/>
                <wp:docPr id="7" name="文本框 7"/>
                <wp:cNvGraphicFramePr/>
                <a:graphic xmlns:a="http://schemas.openxmlformats.org/drawingml/2006/main">
                  <a:graphicData uri="http://schemas.microsoft.com/office/word/2010/wordprocessingShape">
                    <wps:wsp>
                      <wps:cNvSpPr txBox="1"/>
                      <wps:spPr>
                        <a:xfrm>
                          <a:off x="0" y="0"/>
                          <a:ext cx="1511300" cy="1074420"/>
                        </a:xfrm>
                        <a:prstGeom prst="rect">
                          <a:avLst/>
                        </a:prstGeom>
                        <a:solidFill>
                          <a:srgbClr val="D8E3A9"/>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0" w:firstLineChars="0"/>
                              <w:jc w:val="center"/>
                            </w:pPr>
                            <w:r>
                              <w:rPr>
                                <w:rFonts w:hint="eastAsia"/>
                              </w:rPr>
                              <w:t>图例</w:t>
                            </w:r>
                          </w:p>
                          <w:p>
                            <w:pPr>
                              <w:spacing w:line="288" w:lineRule="auto"/>
                              <w:ind w:firstLine="480"/>
                            </w:pPr>
                            <w:r>
                              <w:rPr>
                                <w:rFonts w:hint="eastAsia"/>
                              </w:rPr>
                              <w:t>本项目位置</w:t>
                            </w:r>
                          </w:p>
                          <w:p>
                            <w:pPr>
                              <w:spacing w:line="288" w:lineRule="auto"/>
                              <w:ind w:firstLine="480"/>
                            </w:pPr>
                            <w:r>
                              <w:rPr>
                                <w:rFonts w:hint="eastAsia"/>
                              </w:rPr>
                              <w:t>周边企业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0.1pt;margin-top:5.45pt;height:84.6pt;width:119pt;z-index:251678720;mso-width-relative:page;mso-height-relative:page;" fillcolor="#D8E3A9" filled="t" stroked="t" coordsize="21600,21600" o:gfxdata="UEsDBAoAAAAAAIdO4kAAAAAAAAAAAAAAAAAEAAAAZHJzL1BLAwQUAAAACACHTuJAqJFPxNoAAAAM&#10;AQAADwAAAGRycy9kb3ducmV2LnhtbE2PT0vDQBDF74LfYRnBi7S7ySGkaTYFC0VEPFgL4m2bHZPQ&#10;/RN3t2389k5Oentv5vHmN/VmsoZdMMTBOwnZUgBD13o9uE7C4X23KIHFpJxWxjuU8IMRNs3tTa0q&#10;7a/uDS/71DEqcbFSEvqUxorz2PZoVVz6ER3tvnywKpENHddBXancGp4LUXCrBkcXejXitsf2tD9b&#10;CR/fJr5Mp/DwGOJUvG6fng+76VPK+7tMrIElnNJfGGZ8QoeGmI7+7HRkhrwoRE7ZWa2AzYl8VdLk&#10;SKoUGfCm5v+faH4BUEsDBBQAAAAIAIdO4kAjPfomXgIAALgEAAAOAAAAZHJzL2Uyb0RvYy54bWyt&#10;VMFuEzEQvSPxD5bvdHebtGmjbqrQUIRU0UoFcXa83qyF7TG2k93yAeUPOHHhznflOxh7kzRtOfTA&#10;xTv2Gz/PvJnZs/NOK7ISzkswJS0OckqE4VBJsyjp50+Xb04o8YGZiikwoqR3wtPzyetXZ60di0No&#10;QFXCESQxftzakjYh2HGWed4IzfwBWGEQrMFpFnDrFlnlWIvsWmWHeX6cteAq64AL7/F01oN0w+he&#10;Qgh1LbmYAV9qYULP6oRiAVPyjbSeTlK0dS14uK5rLwJRJcVMQ1rxEbTncc0mZ2y8cMw2km9CYC8J&#10;4UlOmkmDj+6oZiwwsnTyGZWW3IGHOhxw0FmfSFIEsyjyJ9rcNsyKlAtK7e1OdP//aPnH1Y0jsirp&#10;iBLDNBZ8/fPH+tef9e97MorytNaP0evWol/o3kKHTbM993gYs+5qp+MX8yGIo7h3O3FFFwiPl46K&#10;YpAjxBEr8tFweJjkzx6uW+fDewGaRKOkDquXRGWrKx8wFHTdusTXPChZXUql0sYt5hfKkRXDSs9O&#10;3g2mpzFKvPLITRnSlvR4cJQn5kdY5N5RzBXjX58zIJ8ySBtV6bOPVujm3UaqOVR3qJSDvtW85ZcS&#10;ea+YDzfMYW+hAjh94RqXWgEGAxuLkgbc93+dR38sOaKUtNirJfXflswJStQHg81wWgyHSBvSZng0&#10;QmGJ20fm+4hZ6gtAkQqcc8uTGf2D2pq1A/0Fh3QaX0WIGY5vlzRszYvQTxAOORfTaXLCdrYsXJlb&#10;yyN1LImB6TJALVPpoky9Nhv1sKFTeTbDFydmf5+8Hn44k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okU/E2gAAAAwBAAAPAAAAAAAAAAEAIAAAACIAAABkcnMvZG93bnJldi54bWxQSwECFAAUAAAA&#10;CACHTuJAIz36Jl4CAAC4BAAADgAAAAAAAAABACAAAAApAQAAZHJzL2Uyb0RvYy54bWxQSwUGAAAA&#10;AAYABgBZAQAA+QUAAAAA&#10;">
                <v:fill on="t" focussize="0,0"/>
                <v:stroke weight="0.5pt" color="#000000 [3204]" joinstyle="round"/>
                <v:imagedata o:title=""/>
                <o:lock v:ext="edit" aspectratio="f"/>
                <v:textbox>
                  <w:txbxContent>
                    <w:p>
                      <w:pPr>
                        <w:ind w:firstLine="0" w:firstLineChars="0"/>
                        <w:jc w:val="center"/>
                      </w:pPr>
                      <w:r>
                        <w:rPr>
                          <w:rFonts w:hint="eastAsia"/>
                        </w:rPr>
                        <w:t>图例</w:t>
                      </w:r>
                    </w:p>
                    <w:p>
                      <w:pPr>
                        <w:spacing w:line="288" w:lineRule="auto"/>
                        <w:ind w:firstLine="480"/>
                      </w:pPr>
                      <w:r>
                        <w:rPr>
                          <w:rFonts w:hint="eastAsia"/>
                        </w:rPr>
                        <w:t>本项目位置</w:t>
                      </w:r>
                    </w:p>
                    <w:p>
                      <w:pPr>
                        <w:spacing w:line="288" w:lineRule="auto"/>
                        <w:ind w:firstLine="480"/>
                      </w:pPr>
                      <w:r>
                        <w:rPr>
                          <w:rFonts w:hint="eastAsia"/>
                        </w:rPr>
                        <w:t>周边企业</w:t>
                      </w:r>
                    </w:p>
                  </w:txbxContent>
                </v:textbox>
              </v:shape>
            </w:pict>
          </mc:Fallback>
        </mc:AlternateContent>
      </w:r>
      <w:r>
        <w:drawing>
          <wp:anchor distT="0" distB="0" distL="114300" distR="114300" simplePos="0" relativeHeight="251674624" behindDoc="0" locked="0" layoutInCell="1" allowOverlap="1">
            <wp:simplePos x="0" y="0"/>
            <wp:positionH relativeFrom="column">
              <wp:posOffset>453390</wp:posOffset>
            </wp:positionH>
            <wp:positionV relativeFrom="paragraph">
              <wp:posOffset>258445</wp:posOffset>
            </wp:positionV>
            <wp:extent cx="971550" cy="847725"/>
            <wp:effectExtent l="0" t="0" r="0" b="9525"/>
            <wp:wrapNone/>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38"/>
                    <a:stretch>
                      <a:fillRect/>
                    </a:stretch>
                  </pic:blipFill>
                  <pic:spPr>
                    <a:xfrm>
                      <a:off x="0" y="0"/>
                      <a:ext cx="971550" cy="847725"/>
                    </a:xfrm>
                    <a:prstGeom prst="rect">
                      <a:avLst/>
                    </a:prstGeom>
                    <a:noFill/>
                    <a:ln>
                      <a:noFill/>
                    </a:ln>
                  </pic:spPr>
                </pic:pic>
              </a:graphicData>
            </a:graphic>
          </wp:anchor>
        </w:drawing>
      </w:r>
    </w:p>
    <w:p>
      <w:pPr>
        <w:ind w:firstLine="420"/>
      </w:pPr>
      <w:r>
        <w:rPr>
          <w:sz w:val="21"/>
        </w:rPr>
        <mc:AlternateContent>
          <mc:Choice Requires="wps">
            <w:drawing>
              <wp:anchor distT="0" distB="0" distL="114300" distR="114300" simplePos="0" relativeHeight="251679744" behindDoc="0" locked="0" layoutInCell="1" allowOverlap="1">
                <wp:simplePos x="0" y="0"/>
                <wp:positionH relativeFrom="column">
                  <wp:posOffset>6857365</wp:posOffset>
                </wp:positionH>
                <wp:positionV relativeFrom="paragraph">
                  <wp:posOffset>153035</wp:posOffset>
                </wp:positionV>
                <wp:extent cx="202565" cy="131445"/>
                <wp:effectExtent l="12700" t="12700" r="13335" b="27305"/>
                <wp:wrapNone/>
                <wp:docPr id="8" name="矩形 8"/>
                <wp:cNvGraphicFramePr/>
                <a:graphic xmlns:a="http://schemas.openxmlformats.org/drawingml/2006/main">
                  <a:graphicData uri="http://schemas.microsoft.com/office/word/2010/wordprocessingShape">
                    <wps:wsp>
                      <wps:cNvSpPr/>
                      <wps:spPr>
                        <a:xfrm>
                          <a:off x="0" y="0"/>
                          <a:ext cx="202565" cy="131445"/>
                        </a:xfrm>
                        <a:prstGeom prst="rect">
                          <a:avLst/>
                        </a:prstGeom>
                        <a:solidFill>
                          <a:srgbClr val="F43308">
                            <a:alpha val="25000"/>
                          </a:srgbClr>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9.95pt;margin-top:12.05pt;height:10.35pt;width:15.95pt;z-index:251679744;v-text-anchor:middle;mso-width-relative:page;mso-height-relative:page;" fillcolor="#F43308" filled="t" stroked="t" coordsize="21600,21600" o:gfxdata="UEsDBAoAAAAAAIdO4kAAAAAAAAAAAAAAAAAEAAAAZHJzL1BLAwQUAAAACACHTuJAu2eFRNgAAAAL&#10;AQAADwAAAGRycy9kb3ducmV2LnhtbE2PTUvDQBCG74L/YRnBm91NCaaJ2fQgVC8itArqbZMds6H7&#10;EbLbJv57pyed28s8vB/1dnGWnXGKQ/ASspUAhr4LevC9hPe33d0GWEzKa2WDRwk/GGHbXF/VqtJh&#10;9ns8H1LPyMTHSkkwKY0V57Ez6FRchRE9/b7D5FQiOfVcT2omc2f5Woh77tTgKcGoER8NdsfDyUl4&#10;nr8+YlF+2uX49NoWAs2ye9lLeXuTiQdgCZf0B8OlPlWHhjq14eR1ZJa0KMqSWAnrPAN2IehoTSsh&#10;zzfAm5r/39D8AlBLAwQUAAAACACHTuJAUMOPrnUCAAD9BAAADgAAAGRycy9lMm9Eb2MueG1srVTN&#10;bhMxEL4j8Q6W73Q3aVJK1E0VNQpCqqBSQZwdrzdryX/YTjblZZC48RA8DuI1+Ozdpmnh0AOX3RnP&#10;+JuZb2Z8cbnXiuyED9Kaio5OSkqE4baWZlPRTx9Xr84pCZGZmilrREXvRKCX85cvLjo3E2PbWlUL&#10;TwBiwqxzFW1jdLOiCLwVmoUT64SBsbFeswjVb4rasw7oWhXjsjwrOutr5y0XIeB02RvpgOifA2ib&#10;RnKxtHyrhYk9qheKRZQUWukCnedsm0bw+KFpgohEVRSVxvxFEMjr9C3mF2y28cy1kg8psOek8KQm&#10;zaRB0APUkkVGtl7+BaUl9zbYJp5wq4u+kMwIqhiVT7i5bZkTuRZQHdyB9PD/YPn73Y0nsq4o2m6Y&#10;RsN/f/vx6+d3cp646VyYweXW3fhBCxBTofvG6/RHCWSf+bw78Cn2kXAcjsvx9GxKCYdpdDqaTKYJ&#10;s3i47HyIb4XVJAkV9WhXZpHtrkPsXe9dUqxglaxXUqms+M36SnmyY2jtanJ6Wp73d5VrWX86npZl&#10;bjFCht49h3+EowzpkOp0AlfCGSa6wSRB1A6sBLOhhKkNVoVHnwM8uj3ADlmsEO8Q8DjZVMWShbb3&#10;ywgDFcogpURzT2yS1ra+Q1O87ac1OL6SuH/NQrxhHuOJRLHA8QM+jbLI3g4SJa31X/91nvwxNbBS&#10;0mHcUdmXLfOCEvXOYJ7eoDtpP7Iymb4eQ/HHlvWxxWz1lQXtIzwVjmcx+Ud1Lzbe6s/Y80WKChMz&#10;HLF7DgflKvZriJeCi8Uiu2EnHIvX5tbxBJ7abOxiG20j8zg8sDOQhq3IHR02OK3dsZ69Hl6t+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7Z4VE2AAAAAsBAAAPAAAAAAAAAAEAIAAAACIAAABkcnMv&#10;ZG93bnJldi54bWxQSwECFAAUAAAACACHTuJAUMOPrnUCAAD9BAAADgAAAAAAAAABACAAAAAnAQAA&#10;ZHJzL2Uyb0RvYy54bWxQSwUGAAAAAAYABgBZAQAADgYAAAAA&#10;">
                <v:fill on="t" opacity="16384f" focussize="0,0"/>
                <v:stroke weight="2pt" color="#FF0000 [2404]" joinstyle="round"/>
                <v:imagedata o:title=""/>
                <o:lock v:ext="edit" aspectratio="f"/>
              </v:rect>
            </w:pict>
          </mc:Fallback>
        </mc:AlternateContent>
      </w:r>
    </w:p>
    <w:p>
      <w:pPr>
        <w:ind w:firstLine="420"/>
      </w:pPr>
      <w:r>
        <w:rPr>
          <w:sz w:val="21"/>
        </w:rPr>
        <mc:AlternateContent>
          <mc:Choice Requires="wps">
            <w:drawing>
              <wp:anchor distT="0" distB="0" distL="114300" distR="114300" simplePos="0" relativeHeight="251680768" behindDoc="0" locked="0" layoutInCell="1" allowOverlap="1">
                <wp:simplePos x="0" y="0"/>
                <wp:positionH relativeFrom="column">
                  <wp:posOffset>6868160</wp:posOffset>
                </wp:positionH>
                <wp:positionV relativeFrom="paragraph">
                  <wp:posOffset>137795</wp:posOffset>
                </wp:positionV>
                <wp:extent cx="202565" cy="131445"/>
                <wp:effectExtent l="12700" t="12700" r="13335" b="27305"/>
                <wp:wrapNone/>
                <wp:docPr id="19" name="矩形 19"/>
                <wp:cNvGraphicFramePr/>
                <a:graphic xmlns:a="http://schemas.openxmlformats.org/drawingml/2006/main">
                  <a:graphicData uri="http://schemas.microsoft.com/office/word/2010/wordprocessingShape">
                    <wps:wsp>
                      <wps:cNvSpPr/>
                      <wps:spPr>
                        <a:xfrm>
                          <a:off x="0" y="0"/>
                          <a:ext cx="202565" cy="131445"/>
                        </a:xfrm>
                        <a:prstGeom prst="rect">
                          <a:avLst/>
                        </a:prstGeom>
                        <a:solidFill>
                          <a:srgbClr val="0B5FD1">
                            <a:alpha val="25000"/>
                          </a:srgbClr>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0.8pt;margin-top:10.85pt;height:10.35pt;width:15.95pt;z-index:251680768;v-text-anchor:middle;mso-width-relative:page;mso-height-relative:page;" fillcolor="#0B5FD1" filled="t" stroked="t" coordsize="21600,21600" o:gfxdata="UEsDBAoAAAAAAIdO4kAAAAAAAAAAAAAAAAAEAAAAZHJzL1BLAwQUAAAACACHTuJAqSmE49oAAAAL&#10;AQAADwAAAGRycy9kb3ducmV2LnhtbE2Py07DMBBF90j9B2sqsUGt7aQ0UYjTBQiJBZu2qIKdGw9J&#10;1Hicxu6Dv8ddwfJqju49U66utmdnHH3nSIGcC2BItTMdNQo+tq+zHJgPmozuHaGCH/SwqiZ3pS6M&#10;u9Aaz5vQsFhCvtAK2hCGgnNft2i1n7sBKd6+3Wh1iHFsuBn1JZbbnidCLLnVHcWFVg/43GJ92Jys&#10;Avu+zvBlmx7TjL66t13uMDx8KnU/leIJWMBr+IPhph/VoYpOe3ci41kfs8jlMrIKEpkBuxFSpo/A&#10;9goWyQJ4VfL/P1S/UEsDBBQAAAAIAIdO4kBD6m6udgIAAP8EAAAOAAAAZHJzL2Uyb0RvYy54bWyt&#10;VM1uEzEQviPxDpbvdDchCzRqUoVGQUgVrVQQZ8frza7kP2wnm/IySNx4CB4H8Rp8trdpWjj0wGV3&#10;xjP+ZuabGZ+d75UkO+F8Z/SMjk5KSoTmpu70ZkY/fVy9eEOJD0zXTBotZvRWeHo+f/7srLdTMTat&#10;kbVwBCDaT3s7o20IdloUnrdCMX9irNAwNsYpFqC6TVE71gNdyWJclq+K3rjaOsOF9zhdZiMdEN1T&#10;AE3TdFwsDd8qoUNGdUKygJJ821lP5ynbphE8XDWNF4HIGUWlIX0RBPI6fov5GZtuHLNtx4cU2FNS&#10;eFSTYp1G0APUkgVGtq77C0p13BlvmnDCjSpyIYkRVDEqH3Fz0zIrUi2g2tsD6f7/wfIPu2tHuhqT&#10;cEqJZgod//3tx6+f3wkOwE5v/RRON/baDZqHGEvdN07FP4og+8To7YFRsQ+E43BcjqtXFSUcptHL&#10;0WRSRczi/rJ1PrwTRpEozKhDwxKPbHfpQ3a9c4mxvJFdveqkTIrbrC+kIzsWm/u2Wi1H+a60Lcun&#10;46osU5MR0mf3FP4BjtSkR6rVBK6EM8x0g1mCqCx48XpDCZMbLAsPLgV4cHuAzfFWK8Q7BDxONlax&#10;ZL7NfglhoEJqpBRpzsRGaW3qW7TFmTyv3vJVh/uXzIdr5jCgSBQrHK7waaRB9maQKGmN+/qv8+iP&#10;uYGVkh4Dj8q+bJkTlMj3GhN1iu7EDUnKpHo9huKOLetji96qCwPaR3gsLE9i9A/yTmycUZ+x6YsY&#10;FSamOWJnDgflIuRFxFvBxWKR3LAVloVLfWN5BI9t1maxDabp0jjcszOQhr1IHR12OC7esZ687t+t&#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pKYTj2gAAAAsBAAAPAAAAAAAAAAEAIAAAACIAAABk&#10;cnMvZG93bnJldi54bWxQSwECFAAUAAAACACHTuJAQ+purnYCAAD/BAAADgAAAAAAAAABACAAAAAp&#10;AQAAZHJzL2Uyb0RvYy54bWxQSwUGAAAAAAYABgBZAQAAEQYAAAAA&#10;">
                <v:fill on="t" opacity="16384f" focussize="0,0"/>
                <v:stroke weight="2pt" color="#FF0000 [2404]" joinstyle="round"/>
                <v:imagedata o:title=""/>
                <o:lock v:ext="edit" aspectratio="f"/>
              </v:rect>
            </w:pict>
          </mc:Fallback>
        </mc:AlternateContent>
      </w:r>
    </w:p>
    <w:p>
      <w:pPr>
        <w:ind w:firstLine="480"/>
      </w:pPr>
    </w:p>
    <w:p>
      <w:pPr>
        <w:ind w:firstLine="480"/>
      </w:pPr>
    </w:p>
    <w:p>
      <w:pPr>
        <w:pStyle w:val="6"/>
        <w:sectPr>
          <w:pgSz w:w="16838" w:h="11906" w:orient="landscape"/>
          <w:pgMar w:top="1797" w:right="1440" w:bottom="1797" w:left="1440" w:header="851" w:footer="992" w:gutter="0"/>
          <w:pgNumType w:fmt="decimal"/>
          <w:cols w:space="425" w:num="1"/>
          <w:docGrid w:linePitch="312" w:charSpace="0"/>
        </w:sectPr>
      </w:pPr>
      <w:r>
        <w:rPr>
          <w:rFonts w:hint="eastAsia"/>
        </w:rPr>
        <w:t>图</w:t>
      </w:r>
      <w:r>
        <w:t>3.</w:t>
      </w:r>
      <w:r>
        <w:rPr>
          <w:rFonts w:hint="eastAsia"/>
        </w:rPr>
        <w:t>1</w:t>
      </w:r>
      <w:r>
        <w:t xml:space="preserve">.1-2 </w:t>
      </w:r>
      <w:r>
        <w:rPr>
          <w:rFonts w:hint="eastAsia"/>
        </w:rPr>
        <w:t>四邻关系图</w:t>
      </w:r>
    </w:p>
    <w:tbl>
      <w:tblPr>
        <w:tblStyle w:val="3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77"/>
        <w:gridCol w:w="72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427" w:type="pct"/>
            <w:vAlign w:val="center"/>
          </w:tcPr>
          <w:p>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sz w:val="21"/>
                <w:szCs w:val="21"/>
              </w:rPr>
            </w:pPr>
            <w:r>
              <w:rPr>
                <w:rFonts w:hint="eastAsia"/>
                <w:sz w:val="21"/>
                <w:szCs w:val="21"/>
              </w:rPr>
              <w:drawing>
                <wp:anchor distT="0" distB="0" distL="114300" distR="114300" simplePos="0" relativeHeight="251681792" behindDoc="0" locked="0" layoutInCell="1" allowOverlap="1">
                  <wp:simplePos x="0" y="0"/>
                  <wp:positionH relativeFrom="column">
                    <wp:posOffset>709930</wp:posOffset>
                  </wp:positionH>
                  <wp:positionV relativeFrom="paragraph">
                    <wp:posOffset>-12065</wp:posOffset>
                  </wp:positionV>
                  <wp:extent cx="2879725" cy="2160270"/>
                  <wp:effectExtent l="0" t="0" r="6350" b="1905"/>
                  <wp:wrapSquare wrapText="bothSides"/>
                  <wp:docPr id="23" name="图片 23" descr="北"/>
                  <wp:cNvGraphicFramePr/>
                  <a:graphic xmlns:a="http://schemas.openxmlformats.org/drawingml/2006/main">
                    <a:graphicData uri="http://schemas.openxmlformats.org/drawingml/2006/picture">
                      <pic:pic xmlns:pic="http://schemas.openxmlformats.org/drawingml/2006/picture">
                        <pic:nvPicPr>
                          <pic:cNvPr id="23" name="图片 23" descr="北"/>
                          <pic:cNvPicPr/>
                        </pic:nvPicPr>
                        <pic:blipFill>
                          <a:blip r:embed="rId39"/>
                          <a:stretch>
                            <a:fillRect/>
                          </a:stretch>
                        </pic:blipFill>
                        <pic:spPr>
                          <a:xfrm>
                            <a:off x="0" y="0"/>
                            <a:ext cx="2879725" cy="2160270"/>
                          </a:xfrm>
                          <a:prstGeom prst="rect">
                            <a:avLst/>
                          </a:prstGeom>
                        </pic:spPr>
                      </pic:pic>
                    </a:graphicData>
                  </a:graphic>
                </wp:anchor>
              </w:drawing>
            </w:r>
          </w:p>
          <w:p>
            <w:pPr>
              <w:keepLines/>
              <w:spacing w:line="240" w:lineRule="auto"/>
              <w:ind w:left="-120" w:leftChars="-50" w:firstLine="42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left="-120" w:leftChars="-50" w:firstLine="0" w:firstLineChars="0"/>
              <w:jc w:val="center"/>
              <w:rPr>
                <w:sz w:val="21"/>
                <w:szCs w:val="21"/>
              </w:rPr>
            </w:pPr>
          </w:p>
          <w:p>
            <w:pPr>
              <w:keepLines/>
              <w:spacing w:line="240" w:lineRule="auto"/>
              <w:ind w:firstLine="0" w:firstLineChars="0"/>
              <w:jc w:val="center"/>
              <w:rPr>
                <w:sz w:val="21"/>
                <w:szCs w:val="21"/>
              </w:rPr>
            </w:pPr>
            <w:r>
              <w:rPr>
                <w:rFonts w:hint="eastAsia"/>
                <w:sz w:val="21"/>
                <w:szCs w:val="21"/>
              </w:rPr>
              <w:t>北侧</w:t>
            </w:r>
          </w:p>
        </w:tc>
        <w:tc>
          <w:tcPr>
            <w:tcW w:w="2572" w:type="pct"/>
            <w:vAlign w:val="center"/>
          </w:tcPr>
          <w:p>
            <w:pPr>
              <w:keepLines/>
              <w:spacing w:line="240" w:lineRule="auto"/>
              <w:ind w:left="-120" w:leftChars="-50" w:firstLine="0" w:firstLineChars="0"/>
              <w:jc w:val="center"/>
              <w:rPr>
                <w:rFonts w:hint="eastAsia" w:eastAsia="宋体"/>
                <w:lang w:eastAsia="zh-CN"/>
              </w:rPr>
            </w:pPr>
            <w:r>
              <w:rPr>
                <w:rFonts w:hint="eastAsia" w:eastAsia="宋体"/>
                <w:lang w:eastAsia="zh-CN"/>
              </w:rPr>
              <w:drawing>
                <wp:anchor distT="0" distB="0" distL="114300" distR="114300" simplePos="0" relativeHeight="251689984" behindDoc="0" locked="0" layoutInCell="1" allowOverlap="1">
                  <wp:simplePos x="0" y="0"/>
                  <wp:positionH relativeFrom="column">
                    <wp:posOffset>769620</wp:posOffset>
                  </wp:positionH>
                  <wp:positionV relativeFrom="paragraph">
                    <wp:posOffset>31750</wp:posOffset>
                  </wp:positionV>
                  <wp:extent cx="2878455" cy="2160270"/>
                  <wp:effectExtent l="0" t="0" r="17145" b="11430"/>
                  <wp:wrapSquare wrapText="bothSides"/>
                  <wp:docPr id="92" name="图片 92" descr="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东"/>
                          <pic:cNvPicPr>
                            <a:picLocks noChangeAspect="1"/>
                          </pic:cNvPicPr>
                        </pic:nvPicPr>
                        <pic:blipFill>
                          <a:blip r:embed="rId40"/>
                          <a:stretch>
                            <a:fillRect/>
                          </a:stretch>
                        </pic:blipFill>
                        <pic:spPr>
                          <a:xfrm>
                            <a:off x="0" y="0"/>
                            <a:ext cx="2878455" cy="2160270"/>
                          </a:xfrm>
                          <a:prstGeom prst="rect">
                            <a:avLst/>
                          </a:prstGeom>
                        </pic:spPr>
                      </pic:pic>
                    </a:graphicData>
                  </a:graphic>
                </wp:anchor>
              </w:drawing>
            </w:r>
          </w:p>
          <w:p>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left="-120" w:leftChars="-50" w:firstLine="0" w:firstLineChars="0"/>
              <w:jc w:val="center"/>
            </w:pPr>
          </w:p>
          <w:p>
            <w:pPr>
              <w:keepLines/>
              <w:spacing w:line="240" w:lineRule="auto"/>
              <w:ind w:firstLine="0" w:firstLineChars="0"/>
              <w:jc w:val="center"/>
              <w:rPr>
                <w:sz w:val="21"/>
                <w:szCs w:val="21"/>
              </w:rPr>
            </w:pPr>
          </w:p>
          <w:p>
            <w:pPr>
              <w:keepLines/>
              <w:spacing w:line="240" w:lineRule="auto"/>
              <w:ind w:firstLine="0" w:firstLineChars="0"/>
              <w:jc w:val="center"/>
            </w:pPr>
            <w:r>
              <w:rPr>
                <w:rFonts w:hint="eastAsia"/>
                <w:color w:val="FF0000"/>
                <w:sz w:val="21"/>
                <w:szCs w:val="21"/>
              </w:rPr>
              <w:t>东侧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2427" w:type="pct"/>
            <w:vAlign w:val="center"/>
          </w:tcPr>
          <w:p>
            <w:pPr>
              <w:keepLines/>
              <w:spacing w:line="240" w:lineRule="auto"/>
              <w:ind w:left="-120" w:leftChars="-50" w:firstLine="0" w:firstLineChars="0"/>
              <w:jc w:val="center"/>
              <w:rPr>
                <w:rFonts w:hint="eastAsia"/>
                <w:sz w:val="21"/>
                <w:szCs w:val="21"/>
              </w:rPr>
            </w:pPr>
            <w:r>
              <w:rPr>
                <w:rFonts w:hint="eastAsia"/>
                <w:sz w:val="21"/>
                <w:szCs w:val="21"/>
              </w:rPr>
              <w:drawing>
                <wp:anchor distT="0" distB="0" distL="114300" distR="114300" simplePos="0" relativeHeight="251695104" behindDoc="0" locked="0" layoutInCell="1" allowOverlap="1">
                  <wp:simplePos x="0" y="0"/>
                  <wp:positionH relativeFrom="column">
                    <wp:posOffset>760095</wp:posOffset>
                  </wp:positionH>
                  <wp:positionV relativeFrom="paragraph">
                    <wp:posOffset>41910</wp:posOffset>
                  </wp:positionV>
                  <wp:extent cx="2879725" cy="2160270"/>
                  <wp:effectExtent l="0" t="0" r="6350" b="1905"/>
                  <wp:wrapSquare wrapText="bothSides"/>
                  <wp:docPr id="25" name="图片 25" descr="南"/>
                  <wp:cNvGraphicFramePr/>
                  <a:graphic xmlns:a="http://schemas.openxmlformats.org/drawingml/2006/main">
                    <a:graphicData uri="http://schemas.openxmlformats.org/drawingml/2006/picture">
                      <pic:pic xmlns:pic="http://schemas.openxmlformats.org/drawingml/2006/picture">
                        <pic:nvPicPr>
                          <pic:cNvPr id="25" name="图片 25" descr="南"/>
                          <pic:cNvPicPr/>
                        </pic:nvPicPr>
                        <pic:blipFill>
                          <a:blip r:embed="rId41"/>
                          <a:stretch>
                            <a:fillRect/>
                          </a:stretch>
                        </pic:blipFill>
                        <pic:spPr>
                          <a:xfrm>
                            <a:off x="0" y="0"/>
                            <a:ext cx="2879725" cy="2160270"/>
                          </a:xfrm>
                          <a:prstGeom prst="rect">
                            <a:avLst/>
                          </a:prstGeom>
                        </pic:spPr>
                      </pic:pic>
                    </a:graphicData>
                  </a:graphic>
                </wp:anchor>
              </w:drawing>
            </w:r>
          </w:p>
          <w:p>
            <w:pPr>
              <w:keepLines/>
              <w:spacing w:line="240" w:lineRule="auto"/>
              <w:ind w:left="-120" w:leftChars="-50" w:firstLine="0" w:firstLineChars="0"/>
              <w:jc w:val="center"/>
              <w:rPr>
                <w:rFonts w:hint="eastAsia"/>
                <w:sz w:val="21"/>
                <w:szCs w:val="21"/>
              </w:rPr>
            </w:pPr>
          </w:p>
          <w:p>
            <w:pPr>
              <w:keepLines/>
              <w:spacing w:line="240" w:lineRule="auto"/>
              <w:ind w:left="-120" w:leftChars="-50" w:firstLine="0" w:firstLineChars="0"/>
              <w:jc w:val="center"/>
              <w:rPr>
                <w:rFonts w:hint="eastAsia"/>
                <w:sz w:val="21"/>
                <w:szCs w:val="21"/>
              </w:rPr>
            </w:pPr>
          </w:p>
          <w:p>
            <w:pPr>
              <w:bidi w:val="0"/>
              <w:rPr>
                <w:rFonts w:hint="eastAsia" w:ascii="Times New Roman" w:hAnsi="Times New Roman" w:eastAsia="宋体" w:cs="Times New Roman"/>
                <w:kern w:val="2"/>
                <w:sz w:val="24"/>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5998"/>
              </w:tabs>
              <w:bidi w:val="0"/>
              <w:jc w:val="left"/>
              <w:rPr>
                <w:rFonts w:hint="eastAsia"/>
                <w:lang w:val="en-US" w:eastAsia="zh-CN"/>
              </w:rPr>
            </w:pPr>
            <w:r>
              <w:rPr>
                <w:rFonts w:hint="eastAsia"/>
                <w:lang w:val="en-US" w:eastAsia="zh-CN"/>
              </w:rPr>
              <w:tab/>
            </w:r>
          </w:p>
          <w:p>
            <w:pPr>
              <w:tabs>
                <w:tab w:val="left" w:pos="5998"/>
              </w:tabs>
              <w:bidi w:val="0"/>
              <w:jc w:val="center"/>
              <w:rPr>
                <w:rFonts w:hint="eastAsia"/>
                <w:lang w:val="en-US" w:eastAsia="zh-CN"/>
              </w:rPr>
            </w:pPr>
            <w:r>
              <w:rPr>
                <w:rFonts w:hint="eastAsia"/>
                <w:sz w:val="21"/>
                <w:szCs w:val="21"/>
              </w:rPr>
              <w:t>南侧</w:t>
            </w:r>
          </w:p>
        </w:tc>
        <w:tc>
          <w:tcPr>
            <w:tcW w:w="2572" w:type="pct"/>
            <w:vAlign w:val="center"/>
          </w:tcPr>
          <w:p>
            <w:pPr>
              <w:keepLines/>
              <w:spacing w:line="240" w:lineRule="auto"/>
              <w:ind w:firstLine="0" w:firstLineChars="0"/>
              <w:jc w:val="center"/>
              <w:rPr>
                <w:rFonts w:hint="eastAsia"/>
                <w:sz w:val="21"/>
                <w:szCs w:val="21"/>
              </w:rPr>
            </w:pPr>
            <w:r>
              <w:rPr>
                <w:rFonts w:hint="eastAsia"/>
                <w:sz w:val="21"/>
                <w:szCs w:val="21"/>
              </w:rPr>
              <w:drawing>
                <wp:anchor distT="0" distB="0" distL="114300" distR="114300" simplePos="0" relativeHeight="251696128" behindDoc="0" locked="0" layoutInCell="1" allowOverlap="1">
                  <wp:simplePos x="0" y="0"/>
                  <wp:positionH relativeFrom="column">
                    <wp:posOffset>756920</wp:posOffset>
                  </wp:positionH>
                  <wp:positionV relativeFrom="paragraph">
                    <wp:posOffset>41910</wp:posOffset>
                  </wp:positionV>
                  <wp:extent cx="2879725" cy="2160270"/>
                  <wp:effectExtent l="0" t="0" r="6350" b="1905"/>
                  <wp:wrapSquare wrapText="bothSides"/>
                  <wp:docPr id="27" name="图片 27" descr="西"/>
                  <wp:cNvGraphicFramePr/>
                  <a:graphic xmlns:a="http://schemas.openxmlformats.org/drawingml/2006/main">
                    <a:graphicData uri="http://schemas.openxmlformats.org/drawingml/2006/picture">
                      <pic:pic xmlns:pic="http://schemas.openxmlformats.org/drawingml/2006/picture">
                        <pic:nvPicPr>
                          <pic:cNvPr id="27" name="图片 27" descr="西"/>
                          <pic:cNvPicPr/>
                        </pic:nvPicPr>
                        <pic:blipFill>
                          <a:blip r:embed="rId42"/>
                          <a:stretch>
                            <a:fillRect/>
                          </a:stretch>
                        </pic:blipFill>
                        <pic:spPr>
                          <a:xfrm>
                            <a:off x="0" y="0"/>
                            <a:ext cx="2879725" cy="2160270"/>
                          </a:xfrm>
                          <a:prstGeom prst="rect">
                            <a:avLst/>
                          </a:prstGeom>
                        </pic:spPr>
                      </pic:pic>
                    </a:graphicData>
                  </a:graphic>
                </wp:anchor>
              </w:drawing>
            </w:r>
          </w:p>
          <w:p>
            <w:pPr>
              <w:keepLines/>
              <w:spacing w:line="240" w:lineRule="auto"/>
              <w:ind w:firstLine="0" w:firstLineChars="0"/>
              <w:jc w:val="center"/>
              <w:rPr>
                <w:rFonts w:hint="eastAsia"/>
                <w:sz w:val="21"/>
                <w:szCs w:val="21"/>
              </w:rPr>
            </w:pPr>
          </w:p>
          <w:p>
            <w:pPr>
              <w:bidi w:val="0"/>
              <w:rPr>
                <w:rFonts w:hint="eastAsia" w:ascii="Times New Roman" w:hAnsi="Times New Roman" w:eastAsia="宋体" w:cs="Times New Roman"/>
                <w:kern w:val="2"/>
                <w:sz w:val="24"/>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6081"/>
              </w:tabs>
              <w:bidi w:val="0"/>
              <w:ind w:left="0" w:leftChars="0" w:firstLine="0" w:firstLineChars="0"/>
              <w:jc w:val="left"/>
              <w:rPr>
                <w:rFonts w:hint="eastAsia"/>
                <w:sz w:val="21"/>
                <w:szCs w:val="21"/>
                <w:lang w:eastAsia="zh-CN"/>
              </w:rPr>
            </w:pPr>
          </w:p>
          <w:p>
            <w:pPr>
              <w:tabs>
                <w:tab w:val="left" w:pos="6081"/>
              </w:tabs>
              <w:bidi w:val="0"/>
              <w:ind w:left="0" w:leftChars="0" w:firstLine="0" w:firstLineChars="0"/>
              <w:jc w:val="left"/>
              <w:rPr>
                <w:rFonts w:hint="eastAsia"/>
                <w:sz w:val="21"/>
                <w:szCs w:val="21"/>
                <w:lang w:eastAsia="zh-CN"/>
              </w:rPr>
            </w:pPr>
            <w:r>
              <w:rPr>
                <w:rFonts w:hint="eastAsia"/>
                <w:sz w:val="21"/>
                <w:szCs w:val="21"/>
                <w:lang w:eastAsia="zh-CN"/>
              </w:rPr>
              <w:tab/>
            </w:r>
          </w:p>
          <w:p>
            <w:pPr>
              <w:tabs>
                <w:tab w:val="left" w:pos="6081"/>
              </w:tabs>
              <w:bidi w:val="0"/>
              <w:jc w:val="center"/>
              <w:rPr>
                <w:rFonts w:hint="eastAsia"/>
                <w:sz w:val="21"/>
                <w:szCs w:val="21"/>
                <w:lang w:val="en-US" w:eastAsia="zh-CN"/>
              </w:rPr>
            </w:pPr>
            <w:r>
              <w:rPr>
                <w:rFonts w:hint="eastAsia"/>
                <w:sz w:val="21"/>
                <w:szCs w:val="21"/>
              </w:rPr>
              <w:t>西侧</w:t>
            </w:r>
          </w:p>
        </w:tc>
      </w:tr>
    </w:tbl>
    <w:p>
      <w:pPr>
        <w:pStyle w:val="6"/>
      </w:pPr>
      <w:r>
        <w:rPr>
          <w:rFonts w:hint="eastAsia"/>
        </w:rPr>
        <w:t>图</w:t>
      </w:r>
      <w:r>
        <w:t>3.</w:t>
      </w:r>
      <w:r>
        <w:rPr>
          <w:rFonts w:hint="eastAsia"/>
        </w:rPr>
        <w:t>1</w:t>
      </w:r>
      <w:r>
        <w:t xml:space="preserve">.1-3  </w:t>
      </w:r>
      <w:r>
        <w:rPr>
          <w:rFonts w:hint="eastAsia"/>
        </w:rPr>
        <w:t>项目四邻关系图</w:t>
      </w:r>
    </w:p>
    <w:p>
      <w:pPr>
        <w:ind w:firstLine="0" w:firstLineChars="0"/>
        <w:jc w:val="center"/>
        <w:sectPr>
          <w:pgSz w:w="16838" w:h="11906" w:orient="landscape"/>
          <w:pgMar w:top="1797" w:right="1440" w:bottom="1797" w:left="1440" w:header="851" w:footer="992" w:gutter="0"/>
          <w:pgNumType w:fmt="decimal"/>
          <w:cols w:space="425" w:num="1"/>
          <w:docGrid w:linePitch="312" w:charSpace="0"/>
        </w:sectPr>
      </w:pPr>
    </w:p>
    <w:p>
      <w:pPr>
        <w:pStyle w:val="4"/>
        <w:spacing w:before="120" w:after="120"/>
        <w:rPr>
          <w:color w:val="auto"/>
        </w:rPr>
      </w:pPr>
      <w:bookmarkStart w:id="140" w:name="_Toc24447081"/>
      <w:r>
        <w:rPr>
          <w:rFonts w:hint="eastAsia"/>
          <w:color w:val="auto"/>
        </w:rPr>
        <w:t>项目建设内容及项目组成</w:t>
      </w:r>
      <w:bookmarkEnd w:id="140"/>
    </w:p>
    <w:p>
      <w:pPr>
        <w:pStyle w:val="165"/>
        <w:ind w:firstLine="480"/>
      </w:pPr>
      <w:bookmarkStart w:id="141" w:name="_Toc519692366"/>
      <w:bookmarkStart w:id="142" w:name="_Toc519036222"/>
      <w:bookmarkStart w:id="143" w:name="_Toc518997388"/>
      <w:r>
        <w:rPr>
          <w:rFonts w:hint="eastAsia"/>
          <w:color w:val="000000" w:themeColor="text1"/>
          <w14:textFill>
            <w14:solidFill>
              <w14:schemeClr w14:val="tx1"/>
            </w14:solidFill>
          </w14:textFill>
        </w:rPr>
        <w:t>本项目为肉羊养殖，主要建设内容是</w:t>
      </w:r>
      <w:r>
        <w:rPr>
          <w:rFonts w:hint="eastAsia"/>
        </w:rPr>
        <w:t>500栋现代化高标准羊舍（1200m</w:t>
      </w:r>
      <w:r>
        <w:rPr>
          <w:rFonts w:hint="eastAsia"/>
          <w:vertAlign w:val="superscript"/>
        </w:rPr>
        <w:t>2</w:t>
      </w:r>
      <w:r>
        <w:rPr>
          <w:rFonts w:hint="eastAsia"/>
        </w:rPr>
        <w:t>/栋）及其配套设施等，具体建设内容详见表</w:t>
      </w:r>
      <w:r>
        <w:t>3.</w:t>
      </w:r>
      <w:r>
        <w:rPr>
          <w:rFonts w:hint="eastAsia"/>
        </w:rPr>
        <w:t>1</w:t>
      </w:r>
      <w:r>
        <w:t>.2-1</w:t>
      </w:r>
      <w:r>
        <w:rPr>
          <w:rFonts w:hint="eastAsia"/>
        </w:rPr>
        <w:t>。</w:t>
      </w:r>
    </w:p>
    <w:p>
      <w:pPr>
        <w:pStyle w:val="6"/>
      </w:pPr>
      <w:r>
        <w:rPr>
          <w:rFonts w:hint="eastAsia"/>
        </w:rPr>
        <w:t>表</w:t>
      </w:r>
      <w:r>
        <w:t>3.</w:t>
      </w:r>
      <w:r>
        <w:rPr>
          <w:rFonts w:hint="eastAsia"/>
        </w:rPr>
        <w:t>1</w:t>
      </w:r>
      <w:r>
        <w:t xml:space="preserve">.2-1   </w:t>
      </w:r>
      <w:r>
        <w:rPr>
          <w:rFonts w:hint="eastAsia"/>
        </w:rPr>
        <w:t>本项目主要建设内容表</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420"/>
        <w:gridCol w:w="555"/>
        <w:gridCol w:w="88"/>
        <w:gridCol w:w="471"/>
        <w:gridCol w:w="6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blHeader/>
          <w:jc w:val="center"/>
        </w:trPr>
        <w:tc>
          <w:tcPr>
            <w:tcW w:w="1180" w:type="pct"/>
            <w:gridSpan w:val="5"/>
            <w:vAlign w:val="center"/>
          </w:tcPr>
          <w:p>
            <w:pPr>
              <w:pStyle w:val="173"/>
              <w:rPr>
                <w:rFonts w:ascii="Times New Roman" w:eastAsia="宋体"/>
                <w:color w:val="auto"/>
                <w:szCs w:val="21"/>
              </w:rPr>
            </w:pPr>
            <w:r>
              <w:rPr>
                <w:rFonts w:hint="eastAsia" w:ascii="Times New Roman" w:eastAsia="宋体"/>
                <w:color w:val="auto"/>
                <w:szCs w:val="21"/>
              </w:rPr>
              <w:t>项目名称</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atLeast"/>
          <w:jc w:val="center"/>
        </w:trPr>
        <w:tc>
          <w:tcPr>
            <w:tcW w:w="280" w:type="pct"/>
            <w:vAlign w:val="center"/>
          </w:tcPr>
          <w:p>
            <w:pPr>
              <w:pStyle w:val="173"/>
              <w:rPr>
                <w:rFonts w:ascii="Times New Roman" w:eastAsia="宋体"/>
                <w:color w:val="auto"/>
                <w:szCs w:val="21"/>
              </w:rPr>
            </w:pPr>
            <w:r>
              <w:rPr>
                <w:rFonts w:hint="eastAsia" w:ascii="Times New Roman" w:eastAsia="宋体"/>
                <w:color w:val="auto"/>
                <w:szCs w:val="21"/>
              </w:rPr>
              <w:t>主体工程</w:t>
            </w:r>
          </w:p>
        </w:tc>
        <w:tc>
          <w:tcPr>
            <w:tcW w:w="899" w:type="pct"/>
            <w:gridSpan w:val="4"/>
            <w:vAlign w:val="center"/>
          </w:tcPr>
          <w:p>
            <w:pPr>
              <w:pStyle w:val="173"/>
              <w:rPr>
                <w:rFonts w:ascii="Times New Roman" w:eastAsia="宋体"/>
                <w:color w:val="auto"/>
                <w:szCs w:val="21"/>
                <w:lang w:val="zh-CN"/>
              </w:rPr>
            </w:pPr>
            <w:r>
              <w:rPr>
                <w:rFonts w:hint="eastAsia" w:ascii="Times New Roman" w:eastAsia="宋体"/>
                <w:color w:val="auto"/>
                <w:szCs w:val="21"/>
                <w:lang w:val="zh-CN"/>
              </w:rPr>
              <w:t>现代化高标准羊舍</w:t>
            </w:r>
          </w:p>
        </w:tc>
        <w:tc>
          <w:tcPr>
            <w:tcW w:w="3819" w:type="pct"/>
            <w:vAlign w:val="center"/>
          </w:tcPr>
          <w:p>
            <w:pPr>
              <w:widowControl/>
              <w:spacing w:line="240" w:lineRule="auto"/>
              <w:ind w:firstLine="0" w:firstLineChars="0"/>
              <w:jc w:val="center"/>
              <w:rPr>
                <w:rFonts w:hint="eastAsia" w:eastAsia="宋体"/>
                <w:sz w:val="21"/>
                <w:szCs w:val="21"/>
                <w:lang w:eastAsia="zh-CN"/>
              </w:rPr>
            </w:pPr>
            <w:r>
              <w:rPr>
                <w:rFonts w:hint="eastAsia"/>
                <w:sz w:val="21"/>
                <w:szCs w:val="21"/>
              </w:rPr>
              <w:t>新建</w:t>
            </w:r>
            <w:r>
              <w:rPr>
                <w:rFonts w:hint="eastAsia"/>
                <w:sz w:val="21"/>
                <w:szCs w:val="21"/>
                <w:lang w:val="zh-CN"/>
              </w:rPr>
              <w:t>现代化高标准羊舍</w:t>
            </w:r>
            <w:r>
              <w:rPr>
                <w:rFonts w:hint="eastAsia" w:cs="宋体"/>
                <w:kern w:val="0"/>
                <w:sz w:val="21"/>
                <w:szCs w:val="21"/>
                <w:lang w:bidi="ar"/>
              </w:rPr>
              <w:t>500栋（1200m</w:t>
            </w:r>
            <w:r>
              <w:rPr>
                <w:rFonts w:hint="eastAsia" w:cs="宋体"/>
                <w:kern w:val="0"/>
                <w:sz w:val="21"/>
                <w:szCs w:val="21"/>
                <w:vertAlign w:val="superscript"/>
                <w:lang w:bidi="ar"/>
              </w:rPr>
              <w:t>2</w:t>
            </w:r>
            <w:r>
              <w:rPr>
                <w:rFonts w:hint="eastAsia" w:cs="宋体"/>
                <w:kern w:val="0"/>
                <w:sz w:val="21"/>
                <w:szCs w:val="21"/>
                <w:lang w:bidi="ar"/>
              </w:rPr>
              <w:t>/栋</w:t>
            </w:r>
            <w:r>
              <w:rPr>
                <w:rFonts w:hint="eastAsia" w:cs="宋体"/>
                <w:kern w:val="0"/>
                <w:sz w:val="21"/>
                <w:szCs w:val="21"/>
                <w:lang w:eastAsia="zh-CN" w:bidi="ar"/>
              </w:rPr>
              <w:t>，</w:t>
            </w:r>
            <w:r>
              <w:rPr>
                <w:rFonts w:hint="eastAsia" w:cs="宋体"/>
                <w:kern w:val="0"/>
                <w:sz w:val="21"/>
                <w:szCs w:val="21"/>
                <w:lang w:val="en-US" w:eastAsia="zh-CN" w:bidi="ar"/>
              </w:rPr>
              <w:t>总层高6m</w:t>
            </w:r>
            <w:r>
              <w:rPr>
                <w:rFonts w:hint="eastAsia" w:cs="宋体"/>
                <w:kern w:val="0"/>
                <w:sz w:val="21"/>
                <w:szCs w:val="21"/>
                <w:lang w:bidi="ar"/>
              </w:rPr>
              <w:t>），每栋羊舍内部的羊床排列方式为双排式，</w:t>
            </w:r>
            <w:r>
              <w:rPr>
                <w:rFonts w:hint="eastAsia" w:cs="宋体"/>
                <w:kern w:val="0"/>
                <w:sz w:val="21"/>
                <w:szCs w:val="21"/>
                <w:lang w:val="en-US" w:eastAsia="zh-CN" w:bidi="ar"/>
              </w:rPr>
              <w:t>墙体为砖混结构，顶棚为钢结构+保温板</w:t>
            </w:r>
            <w:r>
              <w:rPr>
                <w:rFonts w:hint="eastAsia" w:cs="宋体"/>
                <w:kern w:val="0"/>
                <w:sz w:val="21"/>
                <w:szCs w:val="21"/>
                <w:lang w:bidi="ar"/>
              </w:rPr>
              <w:t>，羊舍分上下两层，地面铺设地板+漏缝地板，</w:t>
            </w:r>
            <w:r>
              <w:rPr>
                <w:rFonts w:hint="eastAsia" w:cs="宋体"/>
                <w:kern w:val="0"/>
                <w:sz w:val="21"/>
                <w:szCs w:val="21"/>
                <w:lang w:val="en-US" w:eastAsia="zh-CN" w:bidi="ar"/>
              </w:rPr>
              <w:t>上层</w:t>
            </w:r>
            <w:r>
              <w:rPr>
                <w:rFonts w:hint="eastAsia" w:cs="宋体"/>
                <w:kern w:val="0"/>
                <w:sz w:val="21"/>
                <w:szCs w:val="21"/>
                <w:lang w:bidi="ar"/>
              </w:rPr>
              <w:t>为饲养栏位，内设1条饲料通道</w:t>
            </w:r>
            <w:r>
              <w:rPr>
                <w:rFonts w:hint="eastAsia" w:cs="宋体"/>
                <w:kern w:val="0"/>
                <w:sz w:val="21"/>
                <w:szCs w:val="21"/>
                <w:lang w:eastAsia="zh-CN" w:bidi="ar"/>
              </w:rPr>
              <w:t>，</w:t>
            </w:r>
            <w:r>
              <w:rPr>
                <w:rFonts w:hint="eastAsia" w:cs="宋体"/>
                <w:kern w:val="0"/>
                <w:sz w:val="21"/>
                <w:szCs w:val="21"/>
                <w:lang w:bidi="ar"/>
              </w:rPr>
              <w:t>下层为粪污通道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restart"/>
            <w:vAlign w:val="center"/>
          </w:tcPr>
          <w:p>
            <w:pPr>
              <w:pStyle w:val="173"/>
              <w:rPr>
                <w:rFonts w:ascii="Times New Roman" w:eastAsia="宋体"/>
                <w:color w:val="auto"/>
                <w:szCs w:val="21"/>
                <w:lang w:val="zh-CN"/>
              </w:rPr>
            </w:pPr>
            <w:r>
              <w:rPr>
                <w:rFonts w:hint="eastAsia" w:ascii="Times New Roman" w:eastAsia="宋体"/>
                <w:color w:val="auto"/>
                <w:szCs w:val="21"/>
              </w:rPr>
              <w:t>储运工程</w:t>
            </w:r>
          </w:p>
        </w:tc>
        <w:tc>
          <w:tcPr>
            <w:tcW w:w="899" w:type="pct"/>
            <w:gridSpan w:val="4"/>
            <w:vAlign w:val="center"/>
          </w:tcPr>
          <w:p>
            <w:pPr>
              <w:widowControl/>
              <w:spacing w:line="240" w:lineRule="auto"/>
              <w:ind w:firstLine="0" w:firstLineChars="0"/>
              <w:jc w:val="center"/>
              <w:rPr>
                <w:sz w:val="21"/>
                <w:szCs w:val="21"/>
                <w:lang w:val="zh-CN"/>
              </w:rPr>
            </w:pPr>
            <w:r>
              <w:rPr>
                <w:rFonts w:hint="eastAsia" w:cs="宋体"/>
                <w:kern w:val="0"/>
                <w:sz w:val="21"/>
                <w:szCs w:val="21"/>
                <w:lang w:bidi="ar"/>
              </w:rPr>
              <w:t>库房</w:t>
            </w:r>
          </w:p>
        </w:tc>
        <w:tc>
          <w:tcPr>
            <w:tcW w:w="3819" w:type="pct"/>
            <w:vAlign w:val="center"/>
          </w:tcPr>
          <w:p>
            <w:pPr>
              <w:widowControl/>
              <w:spacing w:line="240" w:lineRule="auto"/>
              <w:ind w:firstLine="0" w:firstLineChars="0"/>
              <w:jc w:val="center"/>
              <w:rPr>
                <w:sz w:val="21"/>
                <w:szCs w:val="21"/>
              </w:rPr>
            </w:pPr>
            <w:r>
              <w:rPr>
                <w:rFonts w:hint="eastAsia"/>
                <w:sz w:val="21"/>
                <w:szCs w:val="21"/>
              </w:rPr>
              <w:t>1座钢结构，占地面积18730m</w:t>
            </w:r>
            <w:r>
              <w:rPr>
                <w:rFonts w:hint="eastAsia"/>
                <w:sz w:val="21"/>
                <w:szCs w:val="21"/>
                <w:vertAlign w:val="superscript"/>
              </w:rPr>
              <w:t>2</w:t>
            </w:r>
            <w:r>
              <w:rPr>
                <w:rFonts w:hint="eastAsia"/>
                <w:sz w:val="21"/>
                <w:szCs w:val="21"/>
              </w:rPr>
              <w:t>（178.07m×105.17m）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lang w:val="zh-CN"/>
              </w:rPr>
            </w:pPr>
          </w:p>
        </w:tc>
        <w:tc>
          <w:tcPr>
            <w:tcW w:w="899" w:type="pct"/>
            <w:gridSpan w:val="4"/>
            <w:vAlign w:val="center"/>
          </w:tcPr>
          <w:p>
            <w:pPr>
              <w:widowControl/>
              <w:spacing w:line="240" w:lineRule="auto"/>
              <w:ind w:firstLine="0" w:firstLineChars="0"/>
              <w:jc w:val="center"/>
              <w:rPr>
                <w:sz w:val="21"/>
                <w:szCs w:val="21"/>
                <w:lang w:val="zh-CN"/>
              </w:rPr>
            </w:pPr>
            <w:r>
              <w:rPr>
                <w:rFonts w:hint="eastAsia" w:cs="宋体"/>
                <w:kern w:val="0"/>
                <w:sz w:val="21"/>
                <w:szCs w:val="21"/>
                <w:lang w:bidi="ar"/>
              </w:rPr>
              <w:t>草料库</w:t>
            </w:r>
          </w:p>
        </w:tc>
        <w:tc>
          <w:tcPr>
            <w:tcW w:w="3819" w:type="pct"/>
            <w:vAlign w:val="center"/>
          </w:tcPr>
          <w:p>
            <w:pPr>
              <w:widowControl/>
              <w:spacing w:line="240" w:lineRule="auto"/>
              <w:ind w:firstLine="0" w:firstLineChars="0"/>
              <w:jc w:val="center"/>
              <w:rPr>
                <w:sz w:val="21"/>
                <w:szCs w:val="21"/>
              </w:rPr>
            </w:pPr>
            <w:r>
              <w:rPr>
                <w:rFonts w:hint="eastAsia"/>
                <w:sz w:val="21"/>
                <w:szCs w:val="21"/>
              </w:rPr>
              <w:t>1座钢结构，占地面积9960m</w:t>
            </w:r>
            <w:r>
              <w:rPr>
                <w:rFonts w:hint="eastAsia"/>
                <w:sz w:val="21"/>
                <w:szCs w:val="21"/>
                <w:vertAlign w:val="superscript"/>
              </w:rPr>
              <w:t>2</w:t>
            </w:r>
            <w:r>
              <w:rPr>
                <w:rFonts w:hint="eastAsia"/>
                <w:sz w:val="21"/>
                <w:szCs w:val="21"/>
              </w:rPr>
              <w:t>（161.49m×61.66m）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lang w:val="zh-CN"/>
              </w:rPr>
            </w:pPr>
          </w:p>
        </w:tc>
        <w:tc>
          <w:tcPr>
            <w:tcW w:w="899" w:type="pct"/>
            <w:gridSpan w:val="4"/>
            <w:vAlign w:val="center"/>
          </w:tcPr>
          <w:p>
            <w:pPr>
              <w:pStyle w:val="173"/>
              <w:rPr>
                <w:rFonts w:ascii="Times New Roman" w:eastAsia="宋体"/>
                <w:color w:val="auto"/>
                <w:szCs w:val="21"/>
                <w:lang w:val="zh-CN"/>
              </w:rPr>
            </w:pPr>
            <w:r>
              <w:rPr>
                <w:rFonts w:hint="eastAsia" w:ascii="Times New Roman" w:eastAsia="宋体"/>
                <w:color w:val="auto"/>
                <w:szCs w:val="21"/>
                <w:lang w:val="zh-CN"/>
              </w:rPr>
              <w:t>青贮池</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1座占地面积</w:t>
            </w:r>
            <w:r>
              <w:rPr>
                <w:rFonts w:hint="eastAsia" w:ascii="Times New Roman" w:eastAsia="宋体" w:cs="宋体"/>
                <w:color w:val="auto"/>
                <w:kern w:val="0"/>
                <w:szCs w:val="21"/>
                <w:lang w:bidi="ar"/>
              </w:rPr>
              <w:t>14030m</w:t>
            </w:r>
            <w:r>
              <w:rPr>
                <w:rFonts w:hint="eastAsia" w:ascii="Times New Roman" w:eastAsia="宋体" w:cs="宋体"/>
                <w:color w:val="auto"/>
                <w:kern w:val="0"/>
                <w:szCs w:val="21"/>
                <w:vertAlign w:val="superscript"/>
                <w:lang w:bidi="ar"/>
              </w:rPr>
              <w:t>2</w:t>
            </w:r>
            <w:r>
              <w:rPr>
                <w:rFonts w:hint="eastAsia" w:ascii="Times New Roman" w:eastAsia="宋体" w:cs="宋体"/>
                <w:color w:val="auto"/>
                <w:kern w:val="0"/>
                <w:szCs w:val="21"/>
                <w:lang w:bidi="ar"/>
              </w:rPr>
              <w:t>（186.3m×75.32m）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olor w:val="auto"/>
                <w:szCs w:val="21"/>
                <w:lang w:val="zh-CN"/>
              </w:rPr>
            </w:pPr>
            <w:r>
              <w:rPr>
                <w:rFonts w:hint="eastAsia" w:ascii="Times New Roman" w:eastAsia="宋体"/>
                <w:color w:val="auto"/>
                <w:szCs w:val="21"/>
                <w:lang w:val="zh-CN"/>
              </w:rPr>
              <w:t>饲草混合加工车间</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lang w:val="en-US" w:eastAsia="zh-CN"/>
              </w:rPr>
              <w:t>1座</w:t>
            </w:r>
            <w:r>
              <w:rPr>
                <w:rFonts w:hint="eastAsia" w:ascii="Times New Roman" w:eastAsia="宋体"/>
                <w:color w:val="auto"/>
                <w:szCs w:val="21"/>
              </w:rPr>
              <w:t>钢结构，占地7</w:t>
            </w:r>
            <w:r>
              <w:rPr>
                <w:rFonts w:hint="eastAsia" w:ascii="Times New Roman" w:eastAsia="宋体"/>
                <w:color w:val="auto"/>
                <w:szCs w:val="21"/>
                <w:lang w:val="en-US" w:eastAsia="zh-CN"/>
              </w:rPr>
              <w:t>2</w:t>
            </w:r>
            <w:r>
              <w:rPr>
                <w:rFonts w:hint="eastAsia" w:ascii="Times New Roman" w:eastAsia="宋体"/>
                <w:color w:val="auto"/>
                <w:szCs w:val="21"/>
              </w:rPr>
              <w:t>00m</w:t>
            </w:r>
            <w:r>
              <w:rPr>
                <w:rFonts w:hint="eastAsia" w:ascii="Times New Roman" w:eastAsia="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jc w:val="center"/>
        </w:trPr>
        <w:tc>
          <w:tcPr>
            <w:tcW w:w="280" w:type="pct"/>
            <w:vMerge w:val="restart"/>
            <w:vAlign w:val="center"/>
          </w:tcPr>
          <w:p>
            <w:pPr>
              <w:pStyle w:val="173"/>
              <w:rPr>
                <w:rFonts w:ascii="Times New Roman" w:eastAsia="宋体"/>
                <w:color w:val="auto"/>
                <w:szCs w:val="21"/>
                <w:lang w:val="zh-CN"/>
              </w:rPr>
            </w:pPr>
            <w:r>
              <w:rPr>
                <w:rFonts w:hint="eastAsia" w:ascii="Times New Roman" w:eastAsia="宋体"/>
                <w:color w:val="auto"/>
                <w:szCs w:val="21"/>
              </w:rPr>
              <w:t>辅助工程</w:t>
            </w:r>
          </w:p>
        </w:tc>
        <w:tc>
          <w:tcPr>
            <w:tcW w:w="899" w:type="pct"/>
            <w:gridSpan w:val="4"/>
            <w:vAlign w:val="center"/>
          </w:tcPr>
          <w:p>
            <w:pPr>
              <w:pStyle w:val="173"/>
              <w:rPr>
                <w:rFonts w:ascii="Times New Roman" w:eastAsia="宋体"/>
                <w:color w:val="auto"/>
                <w:szCs w:val="21"/>
                <w:lang w:val="zh-CN"/>
              </w:rPr>
            </w:pPr>
            <w:r>
              <w:rPr>
                <w:rFonts w:hint="eastAsia" w:ascii="Times New Roman" w:eastAsia="宋体"/>
                <w:color w:val="auto"/>
                <w:szCs w:val="21"/>
              </w:rPr>
              <w:t>办公区</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1座2500m</w:t>
            </w:r>
            <w:r>
              <w:rPr>
                <w:rFonts w:hint="eastAsia" w:ascii="Times New Roman" w:eastAsia="宋体"/>
                <w:color w:val="auto"/>
                <w:szCs w:val="21"/>
                <w:vertAlign w:val="superscript"/>
              </w:rPr>
              <w:t>2</w:t>
            </w:r>
            <w:r>
              <w:rPr>
                <w:rFonts w:hint="eastAsia" w:ascii="Times New Roman" w:eastAsia="宋体"/>
                <w:color w:val="auto"/>
                <w:szCs w:val="21"/>
              </w:rPr>
              <w:t>砖混结构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s="宋体"/>
                <w:color w:val="auto"/>
                <w:kern w:val="0"/>
                <w:szCs w:val="21"/>
                <w:lang w:val="zh-CN" w:bidi="ar"/>
              </w:rPr>
            </w:pPr>
            <w:r>
              <w:rPr>
                <w:rFonts w:hint="eastAsia" w:ascii="Times New Roman" w:eastAsia="宋体" w:cs="宋体"/>
                <w:color w:val="auto"/>
                <w:kern w:val="0"/>
                <w:szCs w:val="21"/>
                <w:lang w:val="zh-CN" w:bidi="ar"/>
              </w:rPr>
              <w:t>生活区</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1座</w:t>
            </w:r>
            <w:r>
              <w:rPr>
                <w:rFonts w:hint="eastAsia" w:ascii="Times New Roman" w:eastAsia="宋体" w:cs="宋体"/>
                <w:color w:val="auto"/>
                <w:kern w:val="0"/>
                <w:szCs w:val="21"/>
                <w:lang w:val="zh-CN" w:bidi="ar"/>
              </w:rPr>
              <w:t>4000</w:t>
            </w:r>
            <w:r>
              <w:rPr>
                <w:rFonts w:hint="eastAsia" w:ascii="Times New Roman" w:eastAsia="宋体"/>
                <w:color w:val="auto"/>
                <w:szCs w:val="21"/>
              </w:rPr>
              <w:t>m</w:t>
            </w:r>
            <w:r>
              <w:rPr>
                <w:rFonts w:hint="eastAsia" w:ascii="Times New Roman" w:eastAsia="宋体"/>
                <w:color w:val="auto"/>
                <w:szCs w:val="21"/>
                <w:vertAlign w:val="superscript"/>
              </w:rPr>
              <w:t>2</w:t>
            </w:r>
            <w:r>
              <w:rPr>
                <w:rFonts w:hint="eastAsia" w:ascii="Times New Roman" w:eastAsia="宋体"/>
                <w:color w:val="auto"/>
                <w:szCs w:val="21"/>
              </w:rPr>
              <w:t>砖混结构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hint="eastAsia" w:ascii="Times New Roman" w:eastAsia="宋体" w:cs="宋体"/>
                <w:color w:val="auto"/>
                <w:kern w:val="0"/>
                <w:szCs w:val="21"/>
                <w:lang w:val="en-US" w:eastAsia="zh-CN" w:bidi="ar"/>
              </w:rPr>
            </w:pPr>
            <w:r>
              <w:rPr>
                <w:rFonts w:hint="eastAsia" w:ascii="Times New Roman" w:eastAsia="宋体" w:cs="宋体"/>
                <w:color w:val="FF0000"/>
                <w:kern w:val="0"/>
                <w:szCs w:val="21"/>
                <w:lang w:val="en-US" w:eastAsia="zh-CN" w:bidi="ar"/>
              </w:rPr>
              <w:t>实验室</w:t>
            </w:r>
          </w:p>
        </w:tc>
        <w:tc>
          <w:tcPr>
            <w:tcW w:w="3819" w:type="pct"/>
            <w:vAlign w:val="center"/>
          </w:tcPr>
          <w:p>
            <w:pPr>
              <w:pStyle w:val="173"/>
              <w:rPr>
                <w:rFonts w:hint="default" w:ascii="Times New Roman" w:eastAsia="宋体"/>
                <w:color w:val="auto"/>
                <w:szCs w:val="21"/>
                <w:lang w:val="en-US" w:eastAsia="zh-CN"/>
              </w:rPr>
            </w:pPr>
            <w:r>
              <w:rPr>
                <w:rFonts w:hint="eastAsia" w:ascii="Times New Roman" w:eastAsia="宋体"/>
                <w:color w:val="auto"/>
                <w:szCs w:val="21"/>
                <w:lang w:val="en-US" w:eastAsia="zh-CN"/>
              </w:rPr>
              <w:t>1座占地面积250m</w:t>
            </w:r>
            <w:r>
              <w:rPr>
                <w:rFonts w:hint="eastAsia" w:ascii="Times New Roman" w:eastAsia="宋体"/>
                <w:color w:val="auto"/>
                <w:szCs w:val="21"/>
                <w:vertAlign w:val="superscript"/>
                <w:lang w:val="en-US" w:eastAsia="zh-CN"/>
              </w:rPr>
              <w:t>2</w:t>
            </w:r>
            <w:r>
              <w:rPr>
                <w:rFonts w:hint="eastAsia" w:ascii="Times New Roman" w:eastAsia="宋体"/>
                <w:color w:val="auto"/>
                <w:szCs w:val="21"/>
                <w:lang w:val="en-US" w:eastAsia="zh-CN"/>
              </w:rPr>
              <w:t>砖混结构，用于羊饲料的检验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s="宋体"/>
                <w:color w:val="auto"/>
                <w:kern w:val="0"/>
                <w:szCs w:val="21"/>
                <w:lang w:bidi="ar"/>
              </w:rPr>
            </w:pPr>
            <w:r>
              <w:rPr>
                <w:rFonts w:hint="eastAsia" w:ascii="Times New Roman" w:eastAsia="宋体" w:cs="宋体"/>
                <w:color w:val="FF0000"/>
                <w:kern w:val="0"/>
                <w:szCs w:val="21"/>
                <w:lang w:bidi="ar"/>
              </w:rPr>
              <w:t>厂内道路</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场内新建硬化道路8000m，道路宽度15m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280" w:type="pct"/>
            <w:vMerge w:val="restart"/>
            <w:vAlign w:val="center"/>
          </w:tcPr>
          <w:p>
            <w:pPr>
              <w:pStyle w:val="173"/>
              <w:rPr>
                <w:rFonts w:ascii="Times New Roman" w:eastAsia="宋体"/>
                <w:color w:val="auto"/>
                <w:szCs w:val="21"/>
              </w:rPr>
            </w:pPr>
            <w:r>
              <w:rPr>
                <w:rFonts w:hint="eastAsia" w:ascii="Times New Roman" w:eastAsia="宋体"/>
                <w:color w:val="auto"/>
                <w:szCs w:val="21"/>
              </w:rPr>
              <w:t>公用工程</w:t>
            </w:r>
          </w:p>
        </w:tc>
        <w:tc>
          <w:tcPr>
            <w:tcW w:w="899" w:type="pct"/>
            <w:gridSpan w:val="4"/>
            <w:vAlign w:val="center"/>
          </w:tcPr>
          <w:p>
            <w:pPr>
              <w:pStyle w:val="173"/>
              <w:rPr>
                <w:rFonts w:ascii="Times New Roman" w:eastAsia="宋体"/>
                <w:color w:val="auto"/>
                <w:szCs w:val="21"/>
              </w:rPr>
            </w:pPr>
            <w:r>
              <w:rPr>
                <w:rFonts w:hint="eastAsia" w:ascii="Times New Roman" w:eastAsia="宋体"/>
                <w:color w:val="auto"/>
                <w:szCs w:val="21"/>
              </w:rPr>
              <w:t>供电</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当地供电网络提供电源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olor w:val="auto"/>
                <w:szCs w:val="21"/>
              </w:rPr>
            </w:pPr>
            <w:r>
              <w:rPr>
                <w:rFonts w:hint="eastAsia" w:ascii="Times New Roman" w:eastAsia="宋体"/>
                <w:color w:val="auto"/>
                <w:szCs w:val="21"/>
              </w:rPr>
              <w:t>给水</w:t>
            </w:r>
          </w:p>
        </w:tc>
        <w:tc>
          <w:tcPr>
            <w:tcW w:w="3819" w:type="pct"/>
            <w:vAlign w:val="center"/>
          </w:tcPr>
          <w:p>
            <w:pPr>
              <w:pStyle w:val="173"/>
              <w:rPr>
                <w:rFonts w:ascii="Times New Roman" w:eastAsia="宋体"/>
                <w:color w:val="auto"/>
                <w:szCs w:val="21"/>
              </w:rPr>
            </w:pPr>
            <w:r>
              <w:rPr>
                <w:rFonts w:ascii="Times New Roman" w:eastAsia="宋体"/>
                <w:color w:val="auto"/>
                <w:szCs w:val="21"/>
              </w:rPr>
              <w:t>由</w:t>
            </w:r>
            <w:r>
              <w:rPr>
                <w:rFonts w:hint="eastAsia" w:ascii="Times New Roman" w:eastAsia="宋体"/>
                <w:color w:val="auto"/>
                <w:szCs w:val="21"/>
              </w:rPr>
              <w:t>自备</w:t>
            </w:r>
            <w:r>
              <w:rPr>
                <w:rFonts w:ascii="Times New Roman" w:eastAsia="宋体"/>
                <w:color w:val="auto"/>
                <w:szCs w:val="21"/>
              </w:rPr>
              <w:t>水井供给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olor w:val="auto"/>
                <w:szCs w:val="21"/>
              </w:rPr>
            </w:pPr>
            <w:r>
              <w:rPr>
                <w:rFonts w:hint="eastAsia" w:ascii="Times New Roman" w:eastAsia="宋体"/>
                <w:color w:val="auto"/>
                <w:szCs w:val="21"/>
              </w:rPr>
              <w:t>排水</w:t>
            </w:r>
          </w:p>
        </w:tc>
        <w:tc>
          <w:tcPr>
            <w:tcW w:w="3819" w:type="pct"/>
            <w:vAlign w:val="center"/>
          </w:tcPr>
          <w:p>
            <w:pPr>
              <w:pStyle w:val="173"/>
              <w:rPr>
                <w:rFonts w:hint="default" w:ascii="Times New Roman" w:eastAsia="宋体"/>
                <w:color w:val="auto"/>
                <w:szCs w:val="21"/>
                <w:lang w:val="en-US" w:eastAsia="zh-CN"/>
              </w:rPr>
            </w:pPr>
            <w:r>
              <w:rPr>
                <w:rFonts w:hint="eastAsia" w:ascii="Times New Roman" w:eastAsia="宋体"/>
                <w:color w:val="FF0000"/>
                <w:szCs w:val="21"/>
                <w:lang w:val="zh-CN"/>
              </w:rPr>
              <w:t>项目采取雨污分流设计，生活污水经化粪池处理后定期委托</w:t>
            </w:r>
            <w:r>
              <w:rPr>
                <w:rFonts w:hint="eastAsia" w:ascii="Times New Roman" w:eastAsia="宋体"/>
                <w:color w:val="FF0000"/>
                <w:szCs w:val="21"/>
                <w:highlight w:val="green"/>
                <w:lang w:val="zh-CN"/>
              </w:rPr>
              <w:t>五原县塔尔湖污水处理厂</w:t>
            </w:r>
            <w:r>
              <w:rPr>
                <w:rFonts w:hint="eastAsia" w:ascii="Times New Roman" w:eastAsia="宋体"/>
                <w:color w:val="FF0000"/>
                <w:szCs w:val="21"/>
                <w:lang w:val="zh-CN"/>
              </w:rPr>
              <w:t>采用罐车清运处理；羊尿</w:t>
            </w:r>
            <w:r>
              <w:rPr>
                <w:rFonts w:hint="eastAsia" w:ascii="Times New Roman" w:eastAsia="宋体"/>
                <w:color w:val="FF0000"/>
                <w:szCs w:val="21"/>
                <w:lang w:val="en-US" w:eastAsia="zh-CN"/>
              </w:rPr>
              <w:t>部分蒸发，少部分随羊粪铲出，不进行羊尿的单独收集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olor w:val="auto"/>
                <w:szCs w:val="21"/>
              </w:rPr>
            </w:pPr>
            <w:r>
              <w:rPr>
                <w:rFonts w:hint="eastAsia" w:ascii="Times New Roman" w:eastAsia="宋体"/>
                <w:color w:val="auto"/>
                <w:szCs w:val="21"/>
              </w:rPr>
              <w:t>供暖</w:t>
            </w:r>
          </w:p>
        </w:tc>
        <w:tc>
          <w:tcPr>
            <w:tcW w:w="3819" w:type="pct"/>
            <w:vAlign w:val="center"/>
          </w:tcPr>
          <w:p>
            <w:pPr>
              <w:pStyle w:val="173"/>
              <w:rPr>
                <w:rFonts w:ascii="Times New Roman" w:eastAsia="宋体"/>
                <w:color w:val="auto"/>
                <w:szCs w:val="21"/>
                <w:lang w:val="zh-CN"/>
              </w:rPr>
            </w:pPr>
            <w:r>
              <w:rPr>
                <w:rFonts w:ascii="Times New Roman" w:eastAsia="宋体"/>
                <w:color w:val="auto"/>
                <w:szCs w:val="21"/>
              </w:rPr>
              <w:t>项目羊舍冬季不供暖，办公及生活区冬季供暖由空气能电暖气提供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80" w:type="pct"/>
            <w:vMerge w:val="restart"/>
            <w:vAlign w:val="center"/>
          </w:tcPr>
          <w:p>
            <w:pPr>
              <w:pStyle w:val="173"/>
              <w:rPr>
                <w:rFonts w:ascii="Times New Roman" w:eastAsia="宋体"/>
                <w:color w:val="auto"/>
                <w:szCs w:val="21"/>
                <w:highlight w:val="yellow"/>
              </w:rPr>
            </w:pPr>
            <w:r>
              <w:rPr>
                <w:rFonts w:hint="eastAsia" w:ascii="Times New Roman" w:eastAsia="宋体"/>
                <w:color w:val="auto"/>
                <w:szCs w:val="21"/>
              </w:rPr>
              <w:t>环保工程</w:t>
            </w:r>
          </w:p>
        </w:tc>
        <w:tc>
          <w:tcPr>
            <w:tcW w:w="246" w:type="pct"/>
            <w:vMerge w:val="restart"/>
            <w:vAlign w:val="center"/>
          </w:tcPr>
          <w:p>
            <w:pPr>
              <w:pStyle w:val="173"/>
              <w:rPr>
                <w:rFonts w:ascii="Times New Roman" w:eastAsia="宋体"/>
                <w:color w:val="auto"/>
                <w:szCs w:val="21"/>
              </w:rPr>
            </w:pPr>
            <w:r>
              <w:rPr>
                <w:rFonts w:hint="eastAsia" w:ascii="Times New Roman" w:eastAsia="宋体"/>
                <w:color w:val="auto"/>
                <w:szCs w:val="21"/>
              </w:rPr>
              <w:t>废气治理</w:t>
            </w:r>
          </w:p>
        </w:tc>
        <w:tc>
          <w:tcPr>
            <w:tcW w:w="377" w:type="pct"/>
            <w:gridSpan w:val="2"/>
            <w:vMerge w:val="restart"/>
            <w:vAlign w:val="center"/>
          </w:tcPr>
          <w:p>
            <w:pPr>
              <w:pStyle w:val="232"/>
              <w:rPr>
                <w:rFonts w:hint="eastAsia" w:eastAsia="宋体"/>
                <w:lang w:eastAsia="zh-CN"/>
              </w:rPr>
            </w:pPr>
            <w:r>
              <w:rPr>
                <w:rFonts w:hint="eastAsia"/>
                <w:lang w:val="en-US" w:eastAsia="zh-CN"/>
              </w:rPr>
              <w:t>恶臭</w:t>
            </w:r>
          </w:p>
        </w:tc>
        <w:tc>
          <w:tcPr>
            <w:tcW w:w="276" w:type="pct"/>
            <w:vAlign w:val="center"/>
          </w:tcPr>
          <w:p>
            <w:pPr>
              <w:pStyle w:val="232"/>
              <w:rPr>
                <w:rFonts w:hint="default"/>
                <w:highlight w:val="green"/>
                <w:lang w:val="en-US" w:eastAsia="zh-CN"/>
              </w:rPr>
            </w:pPr>
            <w:r>
              <w:rPr>
                <w:rFonts w:hint="eastAsia" w:ascii="Times New Roman" w:eastAsia="宋体"/>
                <w:color w:val="auto"/>
                <w:szCs w:val="21"/>
                <w:highlight w:val="green"/>
                <w:lang w:val="zh-CN"/>
              </w:rPr>
              <w:t>羊舍</w:t>
            </w:r>
          </w:p>
        </w:tc>
        <w:tc>
          <w:tcPr>
            <w:tcW w:w="3819" w:type="pct"/>
            <w:vAlign w:val="center"/>
          </w:tcPr>
          <w:p>
            <w:pPr>
              <w:pStyle w:val="232"/>
              <w:rPr>
                <w:highlight w:val="yellow"/>
              </w:rPr>
            </w:pPr>
            <w:r>
              <w:t>科学喂养，</w:t>
            </w:r>
            <w:r>
              <w:rPr>
                <w:rFonts w:hint="eastAsia"/>
                <w:lang w:val="en-US" w:eastAsia="zh-CN"/>
              </w:rPr>
              <w:t>合理配比饲料，羊舍采用</w:t>
            </w:r>
            <w:r>
              <w:t>干清粪、粪污</w:t>
            </w:r>
            <w:r>
              <w:rPr>
                <w:rFonts w:hint="eastAsia"/>
                <w:lang w:val="en-US" w:eastAsia="zh-CN"/>
              </w:rPr>
              <w:t>定期清理</w:t>
            </w:r>
            <w:r>
              <w:t>、加强</w:t>
            </w:r>
            <w:r>
              <w:rPr>
                <w:rFonts w:hint="eastAsia"/>
              </w:rPr>
              <w:t>羊</w:t>
            </w:r>
            <w:r>
              <w:t>舍通风、喷洒除臭剂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pStyle w:val="173"/>
              <w:rPr>
                <w:rFonts w:ascii="Times New Roman" w:eastAsia="宋体"/>
                <w:color w:val="auto"/>
                <w:szCs w:val="21"/>
              </w:rPr>
            </w:pPr>
          </w:p>
        </w:tc>
        <w:tc>
          <w:tcPr>
            <w:tcW w:w="377" w:type="pct"/>
            <w:gridSpan w:val="2"/>
            <w:vMerge w:val="continue"/>
            <w:vAlign w:val="center"/>
          </w:tcPr>
          <w:p>
            <w:pPr>
              <w:pStyle w:val="232"/>
            </w:pPr>
          </w:p>
        </w:tc>
        <w:tc>
          <w:tcPr>
            <w:tcW w:w="276" w:type="pct"/>
            <w:vAlign w:val="center"/>
          </w:tcPr>
          <w:p>
            <w:pPr>
              <w:pStyle w:val="232"/>
              <w:rPr>
                <w:rFonts w:hint="eastAsia" w:eastAsia="宋体"/>
                <w:color w:val="FF0000"/>
                <w:highlight w:val="green"/>
                <w:lang w:val="en-US" w:eastAsia="zh-CN"/>
              </w:rPr>
            </w:pPr>
            <w:r>
              <w:rPr>
                <w:rFonts w:hint="eastAsia" w:eastAsia="宋体"/>
                <w:color w:val="FF0000"/>
                <w:highlight w:val="green"/>
                <w:lang w:val="en-US" w:eastAsia="zh-CN"/>
              </w:rPr>
              <w:t>有机肥堆场</w:t>
            </w:r>
          </w:p>
        </w:tc>
        <w:tc>
          <w:tcPr>
            <w:tcW w:w="3819" w:type="pct"/>
            <w:vAlign w:val="center"/>
          </w:tcPr>
          <w:p>
            <w:pPr>
              <w:pStyle w:val="232"/>
              <w:rPr>
                <w:bCs/>
                <w:color w:val="FF0000"/>
              </w:rPr>
            </w:pPr>
            <w:r>
              <w:rPr>
                <w:rFonts w:hint="eastAsia"/>
                <w:color w:val="FF0000"/>
              </w:rPr>
              <w:t>合理配制日粮，</w:t>
            </w:r>
            <w:r>
              <w:rPr>
                <w:rFonts w:hint="eastAsia"/>
                <w:color w:val="FF0000"/>
                <w:lang w:val="en-US" w:eastAsia="zh-CN"/>
              </w:rPr>
              <w:t>从源头</w:t>
            </w:r>
            <w:r>
              <w:rPr>
                <w:rFonts w:hint="eastAsia"/>
                <w:color w:val="FF0000"/>
              </w:rPr>
              <w:t>减少恶臭物质的产生；堆肥采用好氧堆肥方式，投加减少氨释放和保氮的复合发酵剂，有效减少氨气等臭气的排放；在堆肥的过程中及时翻堆，以保证其具有足够的疏松性，可保证氧气的充足供应，避免厌氧过程产生的臭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pStyle w:val="173"/>
              <w:rPr>
                <w:rFonts w:ascii="Times New Roman" w:eastAsia="宋体"/>
                <w:color w:val="auto"/>
                <w:szCs w:val="21"/>
              </w:rPr>
            </w:pPr>
          </w:p>
        </w:tc>
        <w:tc>
          <w:tcPr>
            <w:tcW w:w="653" w:type="pct"/>
            <w:gridSpan w:val="3"/>
            <w:vAlign w:val="center"/>
          </w:tcPr>
          <w:p>
            <w:pPr>
              <w:pStyle w:val="173"/>
              <w:rPr>
                <w:rFonts w:ascii="Times New Roman" w:eastAsia="宋体"/>
                <w:color w:val="auto"/>
                <w:szCs w:val="21"/>
              </w:rPr>
            </w:pPr>
            <w:r>
              <w:rPr>
                <w:rFonts w:hint="eastAsia" w:ascii="Times New Roman" w:eastAsia="宋体"/>
                <w:color w:val="auto"/>
                <w:szCs w:val="21"/>
                <w:highlight w:val="green"/>
              </w:rPr>
              <w:t>病死羊及分娩物无害化车间</w:t>
            </w:r>
          </w:p>
        </w:tc>
        <w:tc>
          <w:tcPr>
            <w:tcW w:w="3819" w:type="pct"/>
            <w:vAlign w:val="center"/>
          </w:tcPr>
          <w:p>
            <w:pPr>
              <w:pStyle w:val="232"/>
            </w:pPr>
            <w:r>
              <w:rPr>
                <w:rFonts w:hint="eastAsia"/>
                <w:color w:val="FF0000"/>
              </w:rPr>
              <w:t>无害化处理车间采取封闭措施，</w:t>
            </w:r>
            <w:r>
              <w:rPr>
                <w:rFonts w:hint="eastAsia"/>
                <w:color w:val="FF0000"/>
                <w:lang w:val="en-US" w:eastAsia="zh-CN"/>
              </w:rPr>
              <w:t>针对生产过程产生的废气</w:t>
            </w:r>
            <w:r>
              <w:rPr>
                <w:rFonts w:hint="eastAsia"/>
                <w:color w:val="FF0000"/>
              </w:rPr>
              <w:t>，经</w:t>
            </w:r>
            <w:r>
              <w:rPr>
                <w:rFonts w:hint="eastAsia"/>
                <w:color w:val="FF0000"/>
                <w:lang w:val="en-US" w:eastAsia="zh-CN"/>
              </w:rPr>
              <w:t>尾气处理设施（生物除臭塔）</w:t>
            </w:r>
            <w:r>
              <w:rPr>
                <w:rFonts w:hint="eastAsia"/>
                <w:color w:val="FF0000"/>
              </w:rPr>
              <w:t>处理经车间排气筒DA001</w:t>
            </w:r>
            <w:r>
              <w:rPr>
                <w:rFonts w:hint="eastAsia"/>
                <w:color w:val="FF0000"/>
                <w:lang w:eastAsia="zh-CN"/>
              </w:rPr>
              <w:t>（</w:t>
            </w:r>
            <w:r>
              <w:rPr>
                <w:rFonts w:hint="eastAsia"/>
                <w:color w:val="FF0000"/>
                <w:lang w:val="en-US" w:eastAsia="zh-CN"/>
              </w:rPr>
              <w:t>15m高</w:t>
            </w:r>
            <w:r>
              <w:rPr>
                <w:rFonts w:hint="eastAsia"/>
                <w:color w:val="FF0000"/>
                <w:lang w:eastAsia="zh-CN"/>
              </w:rPr>
              <w:t>）</w:t>
            </w:r>
            <w:r>
              <w:rPr>
                <w:rFonts w:hint="eastAsia"/>
                <w:color w:val="FF0000"/>
              </w:rPr>
              <w:t>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restart"/>
            <w:vAlign w:val="center"/>
          </w:tcPr>
          <w:p>
            <w:pPr>
              <w:pStyle w:val="173"/>
              <w:rPr>
                <w:rFonts w:ascii="Times New Roman" w:eastAsia="宋体"/>
                <w:color w:val="auto"/>
                <w:szCs w:val="21"/>
              </w:rPr>
            </w:pPr>
            <w:r>
              <w:rPr>
                <w:rFonts w:hint="eastAsia" w:ascii="Times New Roman" w:eastAsia="宋体"/>
                <w:color w:val="auto"/>
                <w:szCs w:val="21"/>
              </w:rPr>
              <w:t>废水治理</w:t>
            </w:r>
          </w:p>
        </w:tc>
        <w:tc>
          <w:tcPr>
            <w:tcW w:w="653" w:type="pct"/>
            <w:gridSpan w:val="3"/>
            <w:vAlign w:val="center"/>
          </w:tcPr>
          <w:p>
            <w:pPr>
              <w:pStyle w:val="232"/>
            </w:pPr>
            <w:r>
              <w:t>羊尿</w:t>
            </w:r>
          </w:p>
        </w:tc>
        <w:tc>
          <w:tcPr>
            <w:tcW w:w="3819" w:type="pct"/>
            <w:vAlign w:val="center"/>
          </w:tcPr>
          <w:p>
            <w:pPr>
              <w:pStyle w:val="232"/>
            </w:pPr>
            <w:r>
              <w:rPr>
                <w:rFonts w:hint="eastAsia" w:ascii="Times New Roman" w:eastAsia="宋体"/>
                <w:color w:val="FF0000"/>
                <w:szCs w:val="21"/>
                <w:lang w:val="zh-CN"/>
              </w:rPr>
              <w:t>羊尿</w:t>
            </w:r>
            <w:r>
              <w:rPr>
                <w:rFonts w:hint="eastAsia" w:ascii="Times New Roman" w:eastAsia="宋体"/>
                <w:color w:val="FF0000"/>
                <w:szCs w:val="21"/>
                <w:lang w:val="en-US" w:eastAsia="zh-CN"/>
              </w:rPr>
              <w:t>部分蒸发，少部分随羊粪铲出，不进行羊尿的单独收集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pStyle w:val="173"/>
              <w:rPr>
                <w:rFonts w:ascii="Times New Roman" w:eastAsia="宋体"/>
                <w:color w:val="auto"/>
                <w:szCs w:val="21"/>
              </w:rPr>
            </w:pPr>
          </w:p>
        </w:tc>
        <w:tc>
          <w:tcPr>
            <w:tcW w:w="653" w:type="pct"/>
            <w:gridSpan w:val="3"/>
            <w:vAlign w:val="center"/>
          </w:tcPr>
          <w:p>
            <w:pPr>
              <w:pStyle w:val="232"/>
            </w:pPr>
            <w:r>
              <w:t>生活污水</w:t>
            </w:r>
          </w:p>
        </w:tc>
        <w:tc>
          <w:tcPr>
            <w:tcW w:w="3819" w:type="pct"/>
            <w:vAlign w:val="center"/>
          </w:tcPr>
          <w:p>
            <w:pPr>
              <w:pStyle w:val="232"/>
            </w:pPr>
            <w:r>
              <w:rPr>
                <w:rFonts w:hint="eastAsia" w:ascii="Times New Roman" w:eastAsia="宋体"/>
                <w:color w:val="FF0000"/>
                <w:szCs w:val="21"/>
                <w:lang w:val="zh-CN"/>
              </w:rPr>
              <w:t>项目采取雨污分流设计，生活污水经化粪池处理后定期委托</w:t>
            </w:r>
            <w:r>
              <w:rPr>
                <w:rFonts w:hint="eastAsia"/>
                <w:color w:val="92D050"/>
                <w:lang w:val="zh-CN"/>
              </w:rPr>
              <w:t>五原县</w:t>
            </w:r>
            <w:r>
              <w:rPr>
                <w:rFonts w:hint="eastAsia"/>
                <w:color w:val="92D050"/>
                <w:lang w:val="en-US" w:eastAsia="zh-CN"/>
              </w:rPr>
              <w:t>塔尔湖</w:t>
            </w:r>
            <w:r>
              <w:rPr>
                <w:rFonts w:hint="eastAsia"/>
                <w:color w:val="92D050"/>
                <w:lang w:val="zh-CN"/>
              </w:rPr>
              <w:t>污水处理厂</w:t>
            </w:r>
            <w:r>
              <w:rPr>
                <w:rFonts w:hint="eastAsia" w:ascii="Times New Roman" w:eastAsia="宋体"/>
                <w:color w:val="FF0000"/>
                <w:szCs w:val="21"/>
                <w:lang w:val="zh-CN"/>
              </w:rPr>
              <w:t>采用罐车清运处理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pStyle w:val="173"/>
              <w:rPr>
                <w:rFonts w:ascii="Times New Roman" w:eastAsia="宋体"/>
                <w:color w:val="auto"/>
                <w:szCs w:val="21"/>
              </w:rPr>
            </w:pPr>
          </w:p>
        </w:tc>
        <w:tc>
          <w:tcPr>
            <w:tcW w:w="653" w:type="pct"/>
            <w:gridSpan w:val="3"/>
            <w:vAlign w:val="center"/>
          </w:tcPr>
          <w:p>
            <w:pPr>
              <w:pStyle w:val="232"/>
              <w:rPr>
                <w:color w:val="FF0000"/>
              </w:rPr>
            </w:pPr>
            <w:r>
              <w:rPr>
                <w:color w:val="FF0000"/>
              </w:rPr>
              <w:t>无害化冷凝水</w:t>
            </w:r>
          </w:p>
        </w:tc>
        <w:tc>
          <w:tcPr>
            <w:tcW w:w="3819" w:type="pct"/>
            <w:vAlign w:val="center"/>
          </w:tcPr>
          <w:p>
            <w:pPr>
              <w:pStyle w:val="232"/>
              <w:rPr>
                <w:color w:val="FF0000"/>
              </w:rPr>
            </w:pPr>
            <w:r>
              <w:rPr>
                <w:rFonts w:hint="eastAsia"/>
                <w:color w:val="FF0000"/>
              </w:rPr>
              <w:t>用于有机肥生产补水，不外排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highlight w:val="yellow"/>
              </w:rPr>
            </w:pPr>
          </w:p>
        </w:tc>
        <w:tc>
          <w:tcPr>
            <w:tcW w:w="899" w:type="pct"/>
            <w:gridSpan w:val="4"/>
            <w:vAlign w:val="center"/>
          </w:tcPr>
          <w:p>
            <w:pPr>
              <w:pStyle w:val="173"/>
              <w:rPr>
                <w:rFonts w:ascii="Times New Roman" w:eastAsia="宋体"/>
                <w:color w:val="auto"/>
                <w:szCs w:val="21"/>
              </w:rPr>
            </w:pPr>
            <w:r>
              <w:rPr>
                <w:rFonts w:hint="eastAsia" w:ascii="Times New Roman" w:eastAsia="宋体"/>
                <w:color w:val="auto"/>
                <w:szCs w:val="21"/>
              </w:rPr>
              <w:t>噪声治理</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选用低噪声设备、减振基础、墙体隔声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restart"/>
            <w:vAlign w:val="center"/>
          </w:tcPr>
          <w:p>
            <w:pPr>
              <w:pStyle w:val="173"/>
              <w:rPr>
                <w:rFonts w:ascii="Times New Roman" w:eastAsia="宋体"/>
                <w:color w:val="auto"/>
                <w:szCs w:val="21"/>
              </w:rPr>
            </w:pPr>
            <w:r>
              <w:rPr>
                <w:rFonts w:hint="eastAsia" w:ascii="Times New Roman" w:eastAsia="宋体"/>
                <w:color w:val="auto"/>
                <w:szCs w:val="21"/>
              </w:rPr>
              <w:t>固废</w:t>
            </w:r>
          </w:p>
        </w:tc>
        <w:tc>
          <w:tcPr>
            <w:tcW w:w="653" w:type="pct"/>
            <w:gridSpan w:val="3"/>
            <w:vAlign w:val="center"/>
          </w:tcPr>
          <w:p>
            <w:pPr>
              <w:pStyle w:val="173"/>
              <w:rPr>
                <w:rFonts w:hint="default" w:ascii="Times New Roman" w:eastAsia="宋体"/>
                <w:color w:val="auto"/>
                <w:szCs w:val="21"/>
                <w:lang w:val="en-US" w:eastAsia="zh-CN"/>
              </w:rPr>
            </w:pPr>
            <w:r>
              <w:rPr>
                <w:rFonts w:hint="eastAsia" w:ascii="Times New Roman" w:eastAsia="宋体"/>
                <w:color w:val="FF0000"/>
                <w:szCs w:val="21"/>
                <w:lang w:val="en-US" w:eastAsia="zh-CN"/>
              </w:rPr>
              <w:t>医疗废物</w:t>
            </w:r>
          </w:p>
        </w:tc>
        <w:tc>
          <w:tcPr>
            <w:tcW w:w="3819" w:type="pct"/>
            <w:vAlign w:val="center"/>
          </w:tcPr>
          <w:p>
            <w:pPr>
              <w:pStyle w:val="173"/>
              <w:rPr>
                <w:rFonts w:ascii="Times New Roman" w:eastAsia="宋体"/>
                <w:color w:val="auto"/>
                <w:szCs w:val="21"/>
              </w:rPr>
            </w:pPr>
            <w:r>
              <w:rPr>
                <w:rFonts w:hint="eastAsia" w:ascii="Times New Roman" w:eastAsia="宋体"/>
                <w:color w:val="FF0000"/>
                <w:szCs w:val="21"/>
                <w:lang w:val="en-US" w:eastAsia="zh-CN"/>
              </w:rPr>
              <w:t>医疗废物暂存间</w:t>
            </w:r>
            <w:r>
              <w:rPr>
                <w:rFonts w:hint="eastAsia" w:ascii="Times New Roman" w:eastAsia="宋体"/>
                <w:color w:val="auto"/>
                <w:szCs w:val="21"/>
              </w:rPr>
              <w:t>占地面积115.92m</w:t>
            </w:r>
            <w:r>
              <w:rPr>
                <w:rFonts w:hint="eastAsia" w:ascii="Times New Roman" w:eastAsia="宋体"/>
                <w:color w:val="auto"/>
                <w:szCs w:val="21"/>
                <w:vertAlign w:val="superscript"/>
              </w:rPr>
              <w:t>2</w:t>
            </w:r>
            <w:r>
              <w:rPr>
                <w:rFonts w:hint="eastAsia" w:ascii="Times New Roman" w:eastAsia="宋体"/>
                <w:color w:val="auto"/>
                <w:szCs w:val="21"/>
              </w:rPr>
              <w:t>，16.8m×6.9m×6.3m，1层钢排架结构</w:t>
            </w:r>
            <w:r>
              <w:rPr>
                <w:rFonts w:hint="eastAsia" w:ascii="Times New Roman" w:eastAsia="宋体"/>
                <w:color w:val="auto"/>
                <w:szCs w:val="21"/>
                <w:lang w:eastAsia="zh-CN"/>
              </w:rPr>
              <w:t>，</w:t>
            </w:r>
            <w:r>
              <w:rPr>
                <w:rFonts w:hint="eastAsia" w:ascii="Times New Roman" w:eastAsia="宋体"/>
                <w:color w:val="auto"/>
                <w:szCs w:val="21"/>
                <w:lang w:val="en-US" w:eastAsia="zh-CN"/>
              </w:rPr>
              <w:t>由危废间暂存后委托</w:t>
            </w:r>
            <w:r>
              <w:rPr>
                <w:rFonts w:hint="eastAsia" w:ascii="Times New Roman" w:eastAsia="宋体"/>
                <w:color w:val="auto"/>
                <w:szCs w:val="21"/>
                <w:highlight w:val="green"/>
                <w:lang w:val="en-US" w:eastAsia="zh-CN"/>
              </w:rPr>
              <w:t>巴彦淖尔市维康环保有限公司</w:t>
            </w:r>
            <w:r>
              <w:rPr>
                <w:rFonts w:hint="eastAsia" w:ascii="Times New Roman" w:eastAsia="宋体"/>
                <w:color w:val="auto"/>
                <w:szCs w:val="21"/>
                <w:lang w:val="en-US" w:eastAsia="zh-CN"/>
              </w:rPr>
              <w:t>处置</w:t>
            </w:r>
            <w:r>
              <w:rPr>
                <w:rFonts w:hint="eastAsia" w:ascii="Times New Roman" w:eastAsia="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widowControl/>
              <w:spacing w:line="240" w:lineRule="auto"/>
              <w:ind w:firstLine="0" w:firstLineChars="0"/>
              <w:jc w:val="center"/>
              <w:rPr>
                <w:sz w:val="21"/>
                <w:szCs w:val="21"/>
              </w:rPr>
            </w:pPr>
          </w:p>
        </w:tc>
        <w:tc>
          <w:tcPr>
            <w:tcW w:w="653" w:type="pct"/>
            <w:gridSpan w:val="3"/>
            <w:vAlign w:val="center"/>
          </w:tcPr>
          <w:p>
            <w:pPr>
              <w:widowControl/>
              <w:spacing w:line="240" w:lineRule="auto"/>
              <w:ind w:firstLine="0" w:firstLineChars="0"/>
              <w:jc w:val="center"/>
              <w:rPr>
                <w:sz w:val="21"/>
                <w:szCs w:val="21"/>
              </w:rPr>
            </w:pPr>
            <w:r>
              <w:rPr>
                <w:rFonts w:hint="eastAsia"/>
                <w:sz w:val="21"/>
                <w:szCs w:val="21"/>
              </w:rPr>
              <w:t>动物粪便</w:t>
            </w:r>
          </w:p>
        </w:tc>
        <w:tc>
          <w:tcPr>
            <w:tcW w:w="3819" w:type="pct"/>
            <w:vAlign w:val="center"/>
          </w:tcPr>
          <w:p>
            <w:pPr>
              <w:pStyle w:val="173"/>
              <w:rPr>
                <w:rFonts w:hint="default" w:ascii="Times New Roman" w:eastAsia="宋体"/>
                <w:color w:val="auto"/>
                <w:szCs w:val="21"/>
                <w:lang w:val="en-US" w:eastAsia="zh-CN"/>
              </w:rPr>
            </w:pPr>
            <w:r>
              <w:rPr>
                <w:rFonts w:ascii="Times New Roman" w:eastAsia="宋体"/>
                <w:color w:val="auto"/>
                <w:szCs w:val="21"/>
              </w:rPr>
              <w:t>清粪方式采用干清粪工艺，通过羊舍下方的粪污通道采用机械刮板</w:t>
            </w:r>
            <w:r>
              <w:rPr>
                <w:rFonts w:hint="eastAsia" w:ascii="Times New Roman" w:eastAsia="宋体"/>
                <w:color w:val="auto"/>
                <w:szCs w:val="21"/>
                <w:lang w:eastAsia="zh-CN"/>
              </w:rPr>
              <w:t>（</w:t>
            </w:r>
            <w:r>
              <w:rPr>
                <w:rFonts w:hint="eastAsia" w:ascii="Times New Roman" w:eastAsia="宋体"/>
                <w:color w:val="0000FF"/>
                <w:szCs w:val="21"/>
                <w:lang w:val="en-US" w:eastAsia="zh-CN"/>
              </w:rPr>
              <w:t>机械清理</w:t>
            </w:r>
            <w:r>
              <w:rPr>
                <w:rFonts w:hint="eastAsia" w:ascii="Times New Roman" w:eastAsia="宋体"/>
                <w:color w:val="auto"/>
                <w:szCs w:val="21"/>
                <w:lang w:eastAsia="zh-CN"/>
              </w:rPr>
              <w:t>）</w:t>
            </w:r>
            <w:r>
              <w:rPr>
                <w:rFonts w:ascii="Times New Roman" w:eastAsia="宋体"/>
                <w:color w:val="auto"/>
                <w:szCs w:val="21"/>
              </w:rPr>
              <w:t>，集中收集到羊舍外</w:t>
            </w:r>
            <w:r>
              <w:rPr>
                <w:rFonts w:ascii="Times New Roman" w:eastAsia="宋体"/>
                <w:color w:val="0000FF"/>
                <w:szCs w:val="21"/>
              </w:rPr>
              <w:t>的集粪池</w:t>
            </w:r>
            <w:r>
              <w:rPr>
                <w:rFonts w:hint="eastAsia" w:ascii="Times New Roman" w:eastAsia="宋体"/>
                <w:color w:val="0000FF"/>
                <w:szCs w:val="21"/>
                <w:lang w:eastAsia="zh-CN"/>
              </w:rPr>
              <w:t>（</w:t>
            </w:r>
            <w:r>
              <w:rPr>
                <w:rFonts w:hint="eastAsia" w:ascii="Times New Roman" w:eastAsia="宋体"/>
                <w:color w:val="0000FF"/>
                <w:szCs w:val="21"/>
                <w:lang w:val="en-US" w:eastAsia="zh-CN"/>
              </w:rPr>
              <w:t>没有集粪池</w:t>
            </w:r>
            <w:r>
              <w:rPr>
                <w:rFonts w:hint="eastAsia" w:ascii="Times New Roman" w:eastAsia="宋体"/>
                <w:color w:val="0000FF"/>
                <w:szCs w:val="21"/>
                <w:lang w:eastAsia="zh-CN"/>
              </w:rPr>
              <w:t>）</w:t>
            </w:r>
            <w:r>
              <w:rPr>
                <w:rFonts w:ascii="Times New Roman" w:eastAsia="宋体"/>
                <w:color w:val="auto"/>
                <w:szCs w:val="21"/>
              </w:rPr>
              <w:t>；</w:t>
            </w:r>
            <w:r>
              <w:rPr>
                <w:rFonts w:hint="eastAsia" w:ascii="Times New Roman" w:eastAsia="宋体"/>
                <w:color w:val="0000FF"/>
                <w:szCs w:val="21"/>
                <w:lang w:val="en-US" w:eastAsia="zh-CN"/>
              </w:rPr>
              <w:t>直接装车拉运，</w:t>
            </w:r>
            <w:r>
              <w:rPr>
                <w:rFonts w:ascii="Times New Roman" w:eastAsia="宋体"/>
                <w:color w:val="0000FF"/>
                <w:szCs w:val="21"/>
              </w:rPr>
              <w:t>通过车辆运输至有机肥</w:t>
            </w:r>
            <w:r>
              <w:rPr>
                <w:rFonts w:hint="eastAsia" w:ascii="Times New Roman" w:eastAsia="宋体"/>
                <w:color w:val="0000FF"/>
                <w:szCs w:val="21"/>
                <w:lang w:val="en-US" w:eastAsia="zh-CN"/>
              </w:rPr>
              <w:t>堆场，进行有机肥制作。制作的有机肥由公司上游企业进行二次加工和产品销售</w:t>
            </w:r>
            <w:r>
              <w:rPr>
                <w:rFonts w:hint="eastAsia" w:ascii="Times New Roman" w:eastAsia="宋体"/>
                <w:color w:val="auto"/>
                <w:szCs w:val="21"/>
                <w:lang w:val="en-US" w:eastAsia="zh-CN"/>
              </w:rPr>
              <w:t>，项目设有一座</w:t>
            </w:r>
            <w:r>
              <w:rPr>
                <w:rFonts w:hint="eastAsia" w:ascii="Times New Roman" w:eastAsia="宋体"/>
                <w:color w:val="FF0000"/>
                <w:szCs w:val="21"/>
              </w:rPr>
              <w:t>占地面积7200m</w:t>
            </w:r>
            <w:r>
              <w:rPr>
                <w:rFonts w:hint="eastAsia" w:ascii="Times New Roman" w:eastAsia="宋体"/>
                <w:color w:val="FF0000"/>
                <w:szCs w:val="21"/>
                <w:vertAlign w:val="superscript"/>
              </w:rPr>
              <w:t>2</w:t>
            </w:r>
            <w:r>
              <w:rPr>
                <w:rFonts w:hint="eastAsia" w:ascii="Times New Roman" w:eastAsia="宋体"/>
                <w:color w:val="FF0000"/>
                <w:szCs w:val="21"/>
              </w:rPr>
              <w:t>（120m×60m）</w:t>
            </w:r>
            <w:r>
              <w:rPr>
                <w:rFonts w:hint="eastAsia" w:ascii="Times New Roman" w:eastAsia="宋体"/>
                <w:color w:val="FF0000"/>
                <w:szCs w:val="21"/>
                <w:lang w:val="en-US" w:eastAsia="zh-CN"/>
              </w:rPr>
              <w:t>的有机肥堆场</w:t>
            </w:r>
            <w:r>
              <w:rPr>
                <w:rFonts w:hint="eastAsia" w:ascii="Times New Roman" w:eastAsia="宋体"/>
                <w:color w:val="FF0000"/>
                <w:szCs w:val="21"/>
              </w:rPr>
              <w:t>，</w:t>
            </w:r>
            <w:r>
              <w:rPr>
                <w:rFonts w:hint="eastAsia" w:ascii="Times New Roman" w:eastAsia="宋体"/>
                <w:color w:val="FF0000"/>
                <w:szCs w:val="21"/>
                <w:lang w:val="en-US" w:eastAsia="zh-CN"/>
              </w:rPr>
              <w:t>地上轻钢结构，区域四周用砖、石、预制板修砌。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widowControl/>
              <w:spacing w:line="240" w:lineRule="auto"/>
              <w:ind w:firstLine="0" w:firstLineChars="0"/>
              <w:jc w:val="center"/>
              <w:rPr>
                <w:sz w:val="21"/>
                <w:szCs w:val="21"/>
              </w:rPr>
            </w:pPr>
          </w:p>
        </w:tc>
        <w:tc>
          <w:tcPr>
            <w:tcW w:w="653" w:type="pct"/>
            <w:gridSpan w:val="3"/>
            <w:vAlign w:val="center"/>
          </w:tcPr>
          <w:p>
            <w:pPr>
              <w:widowControl/>
              <w:spacing w:line="240" w:lineRule="auto"/>
              <w:ind w:firstLine="0" w:firstLineChars="0"/>
              <w:jc w:val="center"/>
              <w:rPr>
                <w:rFonts w:hint="default" w:eastAsia="宋体"/>
                <w:sz w:val="21"/>
                <w:szCs w:val="21"/>
                <w:lang w:val="en-US" w:eastAsia="zh-CN"/>
              </w:rPr>
            </w:pPr>
            <w:r>
              <w:rPr>
                <w:rFonts w:hint="eastAsia"/>
                <w:sz w:val="21"/>
                <w:szCs w:val="21"/>
                <w:highlight w:val="green"/>
                <w:lang w:val="en-US" w:eastAsia="zh-CN"/>
              </w:rPr>
              <w:t>病死羊及分娩物无害化车间</w:t>
            </w:r>
          </w:p>
        </w:tc>
        <w:tc>
          <w:tcPr>
            <w:tcW w:w="3819" w:type="pct"/>
            <w:vAlign w:val="center"/>
          </w:tcPr>
          <w:p>
            <w:pPr>
              <w:pStyle w:val="173"/>
              <w:rPr>
                <w:rFonts w:hint="default" w:ascii="Times New Roman" w:eastAsia="宋体"/>
                <w:color w:val="auto"/>
                <w:szCs w:val="21"/>
                <w:lang w:val="en-US" w:eastAsia="zh-CN"/>
              </w:rPr>
            </w:pPr>
            <w:r>
              <w:rPr>
                <w:rFonts w:hint="eastAsia" w:ascii="Times New Roman" w:eastAsia="宋体"/>
                <w:color w:val="auto"/>
                <w:szCs w:val="21"/>
              </w:rPr>
              <w:t>1座钢结构</w:t>
            </w:r>
            <w:r>
              <w:rPr>
                <w:rFonts w:hint="eastAsia" w:ascii="Times New Roman" w:eastAsia="宋体"/>
                <w:color w:val="auto"/>
                <w:szCs w:val="21"/>
                <w:lang w:val="en-US" w:eastAsia="zh-CN"/>
              </w:rPr>
              <w:t>车间</w:t>
            </w:r>
            <w:r>
              <w:rPr>
                <w:rFonts w:hint="eastAsia" w:ascii="Times New Roman" w:eastAsia="宋体"/>
                <w:color w:val="auto"/>
                <w:szCs w:val="21"/>
              </w:rPr>
              <w:t>，</w:t>
            </w:r>
            <w:r>
              <w:rPr>
                <w:rFonts w:hint="eastAsia" w:ascii="Times New Roman" w:eastAsia="宋体"/>
                <w:color w:val="auto"/>
                <w:szCs w:val="21"/>
                <w:lang w:val="en-US" w:eastAsia="zh-CN"/>
              </w:rPr>
              <w:t>内置一台</w:t>
            </w:r>
            <w:r>
              <w:rPr>
                <w:rFonts w:hint="eastAsia" w:ascii="Times New Roman" w:eastAsia="宋体"/>
                <w:color w:val="auto"/>
                <w:szCs w:val="21"/>
                <w:vertAlign w:val="baseline"/>
                <w:lang w:val="en-US" w:eastAsia="zh-CN"/>
              </w:rPr>
              <w:t>电加热</w:t>
            </w:r>
            <w:r>
              <w:rPr>
                <w:rFonts w:hint="eastAsia" w:ascii="Times New Roman" w:eastAsia="宋体"/>
                <w:color w:val="auto"/>
                <w:szCs w:val="21"/>
              </w:rPr>
              <w:t>高温干化化制法</w:t>
            </w:r>
            <w:r>
              <w:rPr>
                <w:rFonts w:hint="eastAsia" w:ascii="Times New Roman" w:eastAsia="宋体"/>
                <w:color w:val="auto"/>
                <w:szCs w:val="21"/>
                <w:lang w:val="en-US" w:eastAsia="zh-CN"/>
              </w:rPr>
              <w:t>进行无害化处理，处理后的残渣运至有机肥堆场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restart"/>
            <w:vAlign w:val="center"/>
          </w:tcPr>
          <w:p>
            <w:pPr>
              <w:pStyle w:val="173"/>
              <w:rPr>
                <w:rFonts w:ascii="Times New Roman" w:eastAsia="宋体"/>
                <w:color w:val="auto"/>
                <w:szCs w:val="21"/>
              </w:rPr>
            </w:pPr>
            <w:r>
              <w:rPr>
                <w:rFonts w:hint="eastAsia" w:ascii="Times New Roman" w:eastAsia="宋体"/>
                <w:color w:val="auto"/>
                <w:szCs w:val="21"/>
              </w:rPr>
              <w:t>地下水</w:t>
            </w:r>
          </w:p>
        </w:tc>
        <w:tc>
          <w:tcPr>
            <w:tcW w:w="653" w:type="pct"/>
            <w:gridSpan w:val="3"/>
            <w:vAlign w:val="center"/>
          </w:tcPr>
          <w:p>
            <w:pPr>
              <w:spacing w:line="240" w:lineRule="auto"/>
              <w:ind w:firstLine="0" w:firstLineChars="0"/>
              <w:jc w:val="center"/>
              <w:rPr>
                <w:sz w:val="21"/>
                <w:szCs w:val="21"/>
              </w:rPr>
            </w:pPr>
            <w:r>
              <w:rPr>
                <w:rFonts w:hint="eastAsia"/>
                <w:sz w:val="21"/>
                <w:szCs w:val="21"/>
              </w:rPr>
              <w:t>地基垫层</w:t>
            </w:r>
          </w:p>
        </w:tc>
        <w:tc>
          <w:tcPr>
            <w:tcW w:w="3819" w:type="pct"/>
            <w:vAlign w:val="center"/>
          </w:tcPr>
          <w:p>
            <w:pPr>
              <w:pStyle w:val="246"/>
              <w:rPr>
                <w:szCs w:val="21"/>
              </w:rPr>
            </w:pPr>
            <w:r>
              <w:rPr>
                <w:rFonts w:hint="eastAsia"/>
                <w:szCs w:val="21"/>
              </w:rPr>
              <w:t>粉煤灰作建筑地基垫层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jc w:val="center"/>
        </w:trPr>
        <w:tc>
          <w:tcPr>
            <w:tcW w:w="280" w:type="pct"/>
            <w:vMerge w:val="continue"/>
            <w:vAlign w:val="center"/>
          </w:tcPr>
          <w:p>
            <w:pPr>
              <w:pStyle w:val="173"/>
              <w:rPr>
                <w:rFonts w:ascii="Times New Roman" w:eastAsia="宋体"/>
                <w:color w:val="auto"/>
                <w:szCs w:val="21"/>
                <w:highlight w:val="yellow"/>
              </w:rPr>
            </w:pPr>
          </w:p>
        </w:tc>
        <w:tc>
          <w:tcPr>
            <w:tcW w:w="246" w:type="pct"/>
            <w:vMerge w:val="continue"/>
            <w:vAlign w:val="center"/>
          </w:tcPr>
          <w:p>
            <w:pPr>
              <w:pStyle w:val="173"/>
              <w:rPr>
                <w:rFonts w:ascii="Times New Roman" w:eastAsia="宋体"/>
                <w:color w:val="auto"/>
                <w:szCs w:val="21"/>
              </w:rPr>
            </w:pPr>
          </w:p>
        </w:tc>
        <w:tc>
          <w:tcPr>
            <w:tcW w:w="325" w:type="pct"/>
            <w:vMerge w:val="restart"/>
            <w:vAlign w:val="center"/>
          </w:tcPr>
          <w:p>
            <w:pPr>
              <w:spacing w:line="240" w:lineRule="auto"/>
              <w:ind w:firstLine="0" w:firstLineChars="0"/>
              <w:jc w:val="center"/>
              <w:rPr>
                <w:sz w:val="21"/>
                <w:szCs w:val="21"/>
              </w:rPr>
            </w:pPr>
            <w:r>
              <w:rPr>
                <w:rFonts w:hint="eastAsia"/>
                <w:sz w:val="21"/>
                <w:szCs w:val="21"/>
              </w:rPr>
              <w:t>分区防渗</w:t>
            </w:r>
          </w:p>
        </w:tc>
        <w:tc>
          <w:tcPr>
            <w:tcW w:w="327" w:type="pct"/>
            <w:gridSpan w:val="2"/>
            <w:vAlign w:val="center"/>
          </w:tcPr>
          <w:p>
            <w:pPr>
              <w:spacing w:line="240" w:lineRule="auto"/>
              <w:ind w:firstLine="0" w:firstLineChars="0"/>
              <w:jc w:val="center"/>
              <w:rPr>
                <w:sz w:val="21"/>
                <w:szCs w:val="21"/>
              </w:rPr>
            </w:pPr>
            <w:r>
              <w:rPr>
                <w:sz w:val="21"/>
                <w:szCs w:val="21"/>
              </w:rPr>
              <w:t>重点防渗区</w:t>
            </w:r>
          </w:p>
        </w:tc>
        <w:tc>
          <w:tcPr>
            <w:tcW w:w="3819" w:type="pct"/>
            <w:vAlign w:val="center"/>
          </w:tcPr>
          <w:p>
            <w:pPr>
              <w:spacing w:line="240" w:lineRule="auto"/>
              <w:ind w:firstLine="0" w:firstLineChars="0"/>
              <w:jc w:val="center"/>
              <w:rPr>
                <w:sz w:val="21"/>
                <w:szCs w:val="21"/>
              </w:rPr>
            </w:pPr>
            <w:r>
              <w:rPr>
                <w:rFonts w:hint="eastAsia"/>
                <w:sz w:val="21"/>
                <w:szCs w:val="21"/>
                <w:lang w:val="en-US" w:eastAsia="zh-CN"/>
              </w:rPr>
              <w:t>医疗废物暂存间</w:t>
            </w:r>
            <w:r>
              <w:rPr>
                <w:rFonts w:hint="eastAsia"/>
                <w:sz w:val="21"/>
                <w:szCs w:val="21"/>
              </w:rPr>
              <w:t>、堆肥平台等</w:t>
            </w:r>
            <w:r>
              <w:rPr>
                <w:sz w:val="21"/>
                <w:szCs w:val="21"/>
              </w:rPr>
              <w:t>防渗要求：2mm厚高密度聚乙烯或其他人工材料，渗透系数不大于10</w:t>
            </w:r>
            <w:r>
              <w:rPr>
                <w:sz w:val="21"/>
                <w:szCs w:val="21"/>
                <w:vertAlign w:val="superscript"/>
              </w:rPr>
              <w:t>-10</w:t>
            </w:r>
            <w:r>
              <w:rPr>
                <w:sz w:val="21"/>
                <w:szCs w:val="21"/>
              </w:rPr>
              <w:t>cm/s。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jc w:val="center"/>
        </w:trPr>
        <w:tc>
          <w:tcPr>
            <w:tcW w:w="280" w:type="pct"/>
            <w:vMerge w:val="continue"/>
            <w:vAlign w:val="center"/>
          </w:tcPr>
          <w:p>
            <w:pPr>
              <w:pStyle w:val="173"/>
              <w:rPr>
                <w:rFonts w:ascii="Times New Roman" w:eastAsia="宋体"/>
                <w:color w:val="auto"/>
                <w:szCs w:val="21"/>
              </w:rPr>
            </w:pPr>
          </w:p>
        </w:tc>
        <w:tc>
          <w:tcPr>
            <w:tcW w:w="246" w:type="pct"/>
            <w:vMerge w:val="continue"/>
            <w:vAlign w:val="center"/>
          </w:tcPr>
          <w:p>
            <w:pPr>
              <w:pStyle w:val="173"/>
              <w:rPr>
                <w:rFonts w:ascii="Times New Roman" w:eastAsia="宋体"/>
                <w:color w:val="auto"/>
                <w:szCs w:val="21"/>
              </w:rPr>
            </w:pPr>
          </w:p>
        </w:tc>
        <w:tc>
          <w:tcPr>
            <w:tcW w:w="325" w:type="pct"/>
            <w:vMerge w:val="continue"/>
            <w:vAlign w:val="center"/>
          </w:tcPr>
          <w:p>
            <w:pPr>
              <w:pStyle w:val="173"/>
              <w:rPr>
                <w:rFonts w:ascii="Times New Roman" w:eastAsia="宋体"/>
                <w:color w:val="auto"/>
                <w:szCs w:val="21"/>
              </w:rPr>
            </w:pPr>
          </w:p>
        </w:tc>
        <w:tc>
          <w:tcPr>
            <w:tcW w:w="327" w:type="pct"/>
            <w:gridSpan w:val="2"/>
            <w:vAlign w:val="center"/>
          </w:tcPr>
          <w:p>
            <w:pPr>
              <w:pStyle w:val="246"/>
              <w:rPr>
                <w:rFonts w:ascii="Times New Roman" w:eastAsia="宋体"/>
                <w:color w:val="auto"/>
                <w:szCs w:val="21"/>
              </w:rPr>
            </w:pPr>
            <w:r>
              <w:rPr>
                <w:szCs w:val="21"/>
              </w:rPr>
              <w:t>一般防渗区</w:t>
            </w:r>
          </w:p>
        </w:tc>
        <w:tc>
          <w:tcPr>
            <w:tcW w:w="3819" w:type="pct"/>
            <w:vAlign w:val="center"/>
          </w:tcPr>
          <w:p>
            <w:pPr>
              <w:pStyle w:val="246"/>
              <w:rPr>
                <w:szCs w:val="21"/>
              </w:rPr>
            </w:pPr>
            <w:r>
              <w:rPr>
                <w:szCs w:val="21"/>
              </w:rPr>
              <w:t>羊舍、</w:t>
            </w:r>
            <w:r>
              <w:rPr>
                <w:rFonts w:hint="eastAsia"/>
                <w:szCs w:val="21"/>
              </w:rPr>
              <w:t>青贮窖</w:t>
            </w:r>
            <w:r>
              <w:rPr>
                <w:rFonts w:hint="eastAsia"/>
                <w:szCs w:val="21"/>
                <w:lang w:val="en-US" w:eastAsia="zh-CN"/>
              </w:rPr>
              <w:t>等</w:t>
            </w:r>
            <w:r>
              <w:rPr>
                <w:szCs w:val="21"/>
              </w:rPr>
              <w:t>防渗区要求等效黏土防渗层 Mb≥1.5m，K≤1×10</w:t>
            </w:r>
            <w:r>
              <w:rPr>
                <w:szCs w:val="21"/>
                <w:vertAlign w:val="superscript"/>
              </w:rPr>
              <w:t>-7</w:t>
            </w:r>
            <w:r>
              <w:rPr>
                <w:szCs w:val="21"/>
              </w:rPr>
              <w:t>cm/s。</w:t>
            </w:r>
          </w:p>
          <w:p>
            <w:pPr>
              <w:pStyle w:val="173"/>
              <w:rPr>
                <w:rFonts w:ascii="Times New Roman" w:eastAsia="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jc w:val="center"/>
        </w:trPr>
        <w:tc>
          <w:tcPr>
            <w:tcW w:w="280" w:type="pct"/>
            <w:vMerge w:val="continue"/>
            <w:vAlign w:val="center"/>
          </w:tcPr>
          <w:p>
            <w:pPr>
              <w:pStyle w:val="173"/>
              <w:rPr>
                <w:rFonts w:ascii="Times New Roman" w:eastAsia="宋体"/>
                <w:color w:val="auto"/>
                <w:szCs w:val="21"/>
              </w:rPr>
            </w:pPr>
          </w:p>
        </w:tc>
        <w:tc>
          <w:tcPr>
            <w:tcW w:w="246" w:type="pct"/>
            <w:vMerge w:val="continue"/>
            <w:vAlign w:val="center"/>
          </w:tcPr>
          <w:p>
            <w:pPr>
              <w:pStyle w:val="173"/>
              <w:rPr>
                <w:rFonts w:ascii="Times New Roman" w:eastAsia="宋体"/>
                <w:color w:val="auto"/>
                <w:szCs w:val="21"/>
              </w:rPr>
            </w:pPr>
          </w:p>
        </w:tc>
        <w:tc>
          <w:tcPr>
            <w:tcW w:w="325" w:type="pct"/>
            <w:vMerge w:val="continue"/>
            <w:vAlign w:val="center"/>
          </w:tcPr>
          <w:p>
            <w:pPr>
              <w:pStyle w:val="173"/>
              <w:rPr>
                <w:rFonts w:ascii="Times New Roman" w:eastAsia="宋体"/>
                <w:color w:val="auto"/>
                <w:szCs w:val="21"/>
              </w:rPr>
            </w:pPr>
          </w:p>
        </w:tc>
        <w:tc>
          <w:tcPr>
            <w:tcW w:w="327" w:type="pct"/>
            <w:gridSpan w:val="2"/>
            <w:vAlign w:val="center"/>
          </w:tcPr>
          <w:p>
            <w:pPr>
              <w:pStyle w:val="173"/>
              <w:rPr>
                <w:rFonts w:ascii="Times New Roman" w:eastAsia="宋体"/>
                <w:color w:val="auto"/>
                <w:szCs w:val="21"/>
              </w:rPr>
            </w:pPr>
            <w:r>
              <w:rPr>
                <w:rFonts w:ascii="Times New Roman" w:eastAsia="宋体"/>
                <w:color w:val="auto"/>
                <w:szCs w:val="21"/>
              </w:rPr>
              <w:t>简单防渗区</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生活区、办公区</w:t>
            </w:r>
            <w:r>
              <w:rPr>
                <w:rFonts w:ascii="Times New Roman" w:eastAsia="宋体"/>
                <w:color w:val="auto"/>
                <w:szCs w:val="21"/>
              </w:rPr>
              <w:t>、</w:t>
            </w:r>
            <w:r>
              <w:rPr>
                <w:rFonts w:hint="eastAsia" w:ascii="Times New Roman" w:eastAsia="宋体"/>
                <w:color w:val="auto"/>
                <w:szCs w:val="21"/>
              </w:rPr>
              <w:t>草料库</w:t>
            </w:r>
            <w:r>
              <w:rPr>
                <w:rFonts w:ascii="Times New Roman" w:eastAsia="宋体"/>
                <w:color w:val="auto"/>
                <w:szCs w:val="21"/>
              </w:rPr>
              <w:t>、库房、饲料加工车间等采用水泥硬化。</w:t>
            </w:r>
            <w:r>
              <w:rPr>
                <w:rFonts w:hint="eastAsia" w:ascii="Times New Roman" w:eastAsia="宋体"/>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jc w:val="center"/>
        </w:trPr>
        <w:tc>
          <w:tcPr>
            <w:tcW w:w="280" w:type="pct"/>
            <w:vMerge w:val="continue"/>
            <w:vAlign w:val="center"/>
          </w:tcPr>
          <w:p>
            <w:pPr>
              <w:pStyle w:val="173"/>
              <w:rPr>
                <w:rFonts w:ascii="Times New Roman" w:eastAsia="宋体"/>
                <w:color w:val="auto"/>
                <w:szCs w:val="21"/>
              </w:rPr>
            </w:pPr>
          </w:p>
        </w:tc>
        <w:tc>
          <w:tcPr>
            <w:tcW w:w="246" w:type="pct"/>
            <w:vMerge w:val="continue"/>
            <w:vAlign w:val="center"/>
          </w:tcPr>
          <w:p>
            <w:pPr>
              <w:pStyle w:val="173"/>
              <w:rPr>
                <w:rFonts w:ascii="Times New Roman" w:eastAsia="宋体" w:cs="宋体"/>
                <w:color w:val="auto"/>
                <w:kern w:val="0"/>
                <w:szCs w:val="21"/>
                <w:lang w:bidi="ar"/>
              </w:rPr>
            </w:pPr>
          </w:p>
        </w:tc>
        <w:tc>
          <w:tcPr>
            <w:tcW w:w="653" w:type="pct"/>
            <w:gridSpan w:val="3"/>
            <w:vAlign w:val="center"/>
          </w:tcPr>
          <w:p>
            <w:pPr>
              <w:pStyle w:val="173"/>
              <w:rPr>
                <w:rFonts w:ascii="Times New Roman" w:eastAsia="宋体" w:cs="宋体"/>
                <w:color w:val="auto"/>
                <w:kern w:val="0"/>
                <w:szCs w:val="21"/>
                <w:lang w:bidi="ar"/>
              </w:rPr>
            </w:pPr>
            <w:r>
              <w:rPr>
                <w:rFonts w:hint="eastAsia" w:ascii="Times New Roman" w:eastAsia="宋体" w:cs="宋体"/>
                <w:color w:val="auto"/>
                <w:kern w:val="0"/>
                <w:szCs w:val="21"/>
                <w:lang w:bidi="ar"/>
              </w:rPr>
              <w:t>地下水监控井</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地下水监控井1眼，位于场区地下水下游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atLeast"/>
          <w:jc w:val="center"/>
        </w:trPr>
        <w:tc>
          <w:tcPr>
            <w:tcW w:w="280" w:type="pct"/>
            <w:vMerge w:val="continue"/>
            <w:vAlign w:val="center"/>
          </w:tcPr>
          <w:p>
            <w:pPr>
              <w:pStyle w:val="173"/>
              <w:rPr>
                <w:rFonts w:ascii="Times New Roman" w:eastAsia="宋体"/>
                <w:color w:val="auto"/>
                <w:szCs w:val="21"/>
              </w:rPr>
            </w:pPr>
          </w:p>
        </w:tc>
        <w:tc>
          <w:tcPr>
            <w:tcW w:w="899" w:type="pct"/>
            <w:gridSpan w:val="4"/>
            <w:vAlign w:val="center"/>
          </w:tcPr>
          <w:p>
            <w:pPr>
              <w:pStyle w:val="173"/>
              <w:rPr>
                <w:rFonts w:ascii="Times New Roman" w:eastAsia="宋体"/>
                <w:color w:val="auto"/>
                <w:szCs w:val="21"/>
              </w:rPr>
            </w:pPr>
            <w:r>
              <w:rPr>
                <w:rFonts w:hint="eastAsia" w:ascii="Times New Roman" w:eastAsia="宋体" w:cs="宋体"/>
                <w:color w:val="auto"/>
                <w:kern w:val="0"/>
                <w:szCs w:val="21"/>
                <w:lang w:bidi="ar"/>
              </w:rPr>
              <w:t>生态</w:t>
            </w:r>
          </w:p>
        </w:tc>
        <w:tc>
          <w:tcPr>
            <w:tcW w:w="3819" w:type="pct"/>
            <w:vAlign w:val="center"/>
          </w:tcPr>
          <w:p>
            <w:pPr>
              <w:pStyle w:val="173"/>
              <w:rPr>
                <w:rFonts w:ascii="Times New Roman" w:eastAsia="宋体"/>
                <w:color w:val="auto"/>
                <w:szCs w:val="21"/>
              </w:rPr>
            </w:pPr>
            <w:r>
              <w:rPr>
                <w:rFonts w:hint="eastAsia" w:ascii="Times New Roman" w:eastAsia="宋体"/>
                <w:color w:val="auto"/>
                <w:szCs w:val="21"/>
              </w:rPr>
              <w:t>绿化面积12500m</w:t>
            </w:r>
            <w:r>
              <w:rPr>
                <w:rFonts w:hint="eastAsia" w:ascii="Times New Roman" w:eastAsia="宋体"/>
                <w:color w:val="auto"/>
                <w:szCs w:val="21"/>
                <w:vertAlign w:val="superscript"/>
              </w:rPr>
              <w:t>2</w:t>
            </w:r>
            <w:r>
              <w:rPr>
                <w:rFonts w:hint="eastAsia" w:ascii="Times New Roman" w:eastAsia="宋体"/>
                <w:color w:val="auto"/>
                <w:szCs w:val="21"/>
              </w:rPr>
              <w:t>，占用地总面积的3.41%</w:t>
            </w:r>
          </w:p>
        </w:tc>
      </w:tr>
    </w:tbl>
    <w:p>
      <w:pPr>
        <w:pStyle w:val="184"/>
        <w:spacing w:before="120"/>
      </w:pPr>
    </w:p>
    <w:bookmarkEnd w:id="141"/>
    <w:bookmarkEnd w:id="142"/>
    <w:bookmarkEnd w:id="143"/>
    <w:p>
      <w:pPr>
        <w:pStyle w:val="4"/>
        <w:spacing w:before="120" w:after="120"/>
      </w:pPr>
      <w:bookmarkStart w:id="144" w:name="_Toc24447082"/>
      <w:r>
        <w:rPr>
          <w:rFonts w:hint="eastAsia"/>
          <w:color w:val="auto"/>
        </w:rPr>
        <w:t>产品方案及</w:t>
      </w:r>
      <w:bookmarkEnd w:id="144"/>
      <w:r>
        <w:rPr>
          <w:rFonts w:hint="eastAsia"/>
          <w:color w:val="auto"/>
        </w:rPr>
        <w:t>技术指标</w:t>
      </w:r>
    </w:p>
    <w:p>
      <w:pPr>
        <w:pStyle w:val="5"/>
      </w:pPr>
      <w:r>
        <w:rPr>
          <w:rFonts w:hint="eastAsia"/>
        </w:rPr>
        <w:t>产品方案</w:t>
      </w:r>
    </w:p>
    <w:p>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产品方案见</w:t>
      </w:r>
      <w:r>
        <w:rPr>
          <w:rFonts w:hint="eastAsia"/>
          <w:color w:val="000000" w:themeColor="text1"/>
          <w14:textFill>
            <w14:solidFill>
              <w14:schemeClr w14:val="tx1"/>
            </w14:solidFill>
          </w14:textFill>
        </w:rPr>
        <w:t>下表</w:t>
      </w:r>
      <w:r>
        <w:rPr>
          <w:color w:val="000000" w:themeColor="text1"/>
          <w14:textFill>
            <w14:solidFill>
              <w14:schemeClr w14:val="tx1"/>
            </w14:solidFill>
          </w14:textFill>
        </w:rPr>
        <w:t>。</w:t>
      </w:r>
    </w:p>
    <w:p>
      <w:pPr>
        <w:pStyle w:val="6"/>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 xml:space="preserve">3.1.3-1    </w:t>
      </w:r>
      <w:r>
        <w:rPr>
          <w:color w:val="000000" w:themeColor="text1"/>
          <w14:textFill>
            <w14:solidFill>
              <w14:schemeClr w14:val="tx1"/>
            </w14:solidFill>
          </w14:textFill>
        </w:rPr>
        <w:t>项目产品方案一览表</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1312"/>
        <w:gridCol w:w="1109"/>
        <w:gridCol w:w="1649"/>
        <w:gridCol w:w="1428"/>
        <w:gridCol w:w="2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blHeader/>
          <w:jc w:val="center"/>
        </w:trPr>
        <w:tc>
          <w:tcPr>
            <w:tcW w:w="548" w:type="pct"/>
            <w:vAlign w:val="center"/>
          </w:tcPr>
          <w:p>
            <w:pPr>
              <w:pStyle w:val="232"/>
            </w:pPr>
            <w:r>
              <w:t>序号</w:t>
            </w:r>
          </w:p>
        </w:tc>
        <w:tc>
          <w:tcPr>
            <w:tcW w:w="769" w:type="pct"/>
            <w:vAlign w:val="center"/>
          </w:tcPr>
          <w:p>
            <w:pPr>
              <w:pStyle w:val="232"/>
            </w:pPr>
            <w:r>
              <w:t>产品名称</w:t>
            </w:r>
          </w:p>
        </w:tc>
        <w:tc>
          <w:tcPr>
            <w:tcW w:w="650" w:type="pct"/>
            <w:vAlign w:val="center"/>
          </w:tcPr>
          <w:p>
            <w:pPr>
              <w:pStyle w:val="232"/>
            </w:pPr>
            <w:r>
              <w:t>单位</w:t>
            </w:r>
          </w:p>
        </w:tc>
        <w:tc>
          <w:tcPr>
            <w:tcW w:w="1804" w:type="pct"/>
            <w:gridSpan w:val="2"/>
            <w:vAlign w:val="center"/>
          </w:tcPr>
          <w:p>
            <w:pPr>
              <w:pStyle w:val="232"/>
            </w:pPr>
            <w:r>
              <w:t>产量</w:t>
            </w:r>
          </w:p>
        </w:tc>
        <w:tc>
          <w:tcPr>
            <w:tcW w:w="1227" w:type="pct"/>
            <w:vAlign w:val="center"/>
          </w:tcPr>
          <w:p>
            <w:pPr>
              <w:pStyle w:val="232"/>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jc w:val="center"/>
        </w:trPr>
        <w:tc>
          <w:tcPr>
            <w:tcW w:w="548" w:type="pct"/>
            <w:vMerge w:val="restart"/>
            <w:vAlign w:val="center"/>
          </w:tcPr>
          <w:p>
            <w:pPr>
              <w:pStyle w:val="232"/>
            </w:pPr>
            <w:r>
              <w:t>1</w:t>
            </w:r>
          </w:p>
        </w:tc>
        <w:tc>
          <w:tcPr>
            <w:tcW w:w="769" w:type="pct"/>
            <w:vMerge w:val="restart"/>
            <w:vAlign w:val="center"/>
          </w:tcPr>
          <w:p>
            <w:pPr>
              <w:pStyle w:val="232"/>
            </w:pPr>
            <w:r>
              <w:rPr>
                <w:rFonts w:hint="eastAsia"/>
              </w:rPr>
              <w:t>羊</w:t>
            </w:r>
          </w:p>
        </w:tc>
        <w:tc>
          <w:tcPr>
            <w:tcW w:w="650" w:type="pct"/>
            <w:vMerge w:val="restart"/>
            <w:vAlign w:val="center"/>
          </w:tcPr>
          <w:p>
            <w:pPr>
              <w:pStyle w:val="232"/>
            </w:pPr>
            <w:r>
              <w:rPr>
                <w:rFonts w:hint="eastAsia"/>
              </w:rPr>
              <w:t>头</w:t>
            </w:r>
          </w:p>
        </w:tc>
        <w:tc>
          <w:tcPr>
            <w:tcW w:w="967" w:type="pct"/>
            <w:vAlign w:val="center"/>
          </w:tcPr>
          <w:p>
            <w:pPr>
              <w:pStyle w:val="232"/>
            </w:pPr>
            <w:r>
              <w:rPr>
                <w:rFonts w:hint="eastAsia"/>
              </w:rPr>
              <w:t>存栏</w:t>
            </w:r>
          </w:p>
        </w:tc>
        <w:tc>
          <w:tcPr>
            <w:tcW w:w="836" w:type="pct"/>
            <w:vAlign w:val="center"/>
          </w:tcPr>
          <w:p>
            <w:pPr>
              <w:pStyle w:val="232"/>
            </w:pPr>
            <w:r>
              <w:rPr>
                <w:rFonts w:hint="eastAsia"/>
              </w:rPr>
              <w:t>出栏</w:t>
            </w:r>
          </w:p>
        </w:tc>
        <w:tc>
          <w:tcPr>
            <w:tcW w:w="1227" w:type="pct"/>
            <w:vMerge w:val="restart"/>
            <w:vAlign w:val="center"/>
          </w:tcPr>
          <w:p>
            <w:pPr>
              <w:pStyle w:val="232"/>
            </w:pPr>
            <w:r>
              <w:t>外售</w:t>
            </w:r>
            <w:r>
              <w:rPr>
                <w:rFonts w:hint="eastAsia"/>
              </w:rPr>
              <w:t>，每年出栏3茬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jc w:val="center"/>
        </w:trPr>
        <w:tc>
          <w:tcPr>
            <w:tcW w:w="548" w:type="pct"/>
            <w:vMerge w:val="continue"/>
            <w:vAlign w:val="center"/>
          </w:tcPr>
          <w:p>
            <w:pPr>
              <w:pStyle w:val="232"/>
            </w:pPr>
          </w:p>
        </w:tc>
        <w:tc>
          <w:tcPr>
            <w:tcW w:w="769" w:type="pct"/>
            <w:vMerge w:val="continue"/>
            <w:vAlign w:val="center"/>
          </w:tcPr>
          <w:p>
            <w:pPr>
              <w:pStyle w:val="232"/>
            </w:pPr>
          </w:p>
        </w:tc>
        <w:tc>
          <w:tcPr>
            <w:tcW w:w="650" w:type="pct"/>
            <w:vMerge w:val="continue"/>
            <w:vAlign w:val="center"/>
          </w:tcPr>
          <w:p>
            <w:pPr>
              <w:pStyle w:val="232"/>
            </w:pPr>
          </w:p>
        </w:tc>
        <w:tc>
          <w:tcPr>
            <w:tcW w:w="967" w:type="pct"/>
            <w:vAlign w:val="center"/>
          </w:tcPr>
          <w:p>
            <w:pPr>
              <w:pStyle w:val="232"/>
            </w:pPr>
            <w:r>
              <w:rPr>
                <w:rFonts w:hint="eastAsia"/>
              </w:rPr>
              <w:t>50万只</w:t>
            </w:r>
          </w:p>
        </w:tc>
        <w:tc>
          <w:tcPr>
            <w:tcW w:w="836" w:type="pct"/>
            <w:vAlign w:val="center"/>
          </w:tcPr>
          <w:p>
            <w:pPr>
              <w:pStyle w:val="232"/>
            </w:pPr>
            <w:r>
              <w:rPr>
                <w:rFonts w:hint="eastAsia"/>
              </w:rPr>
              <w:t>100万只</w:t>
            </w:r>
          </w:p>
        </w:tc>
        <w:tc>
          <w:tcPr>
            <w:tcW w:w="1227" w:type="pct"/>
            <w:vMerge w:val="continue"/>
            <w:vAlign w:val="center"/>
          </w:tcPr>
          <w:p>
            <w:pPr>
              <w:pStyle w:val="232"/>
            </w:pPr>
          </w:p>
        </w:tc>
      </w:tr>
    </w:tbl>
    <w:p>
      <w:pPr>
        <w:ind w:firstLine="480"/>
      </w:pPr>
    </w:p>
    <w:p>
      <w:pPr>
        <w:pStyle w:val="4"/>
      </w:pPr>
      <w:r>
        <w:t>主要原辅料</w:t>
      </w:r>
      <w:r>
        <w:rPr>
          <w:rFonts w:hint="eastAsia"/>
        </w:rPr>
        <w:t>、能源消耗</w:t>
      </w:r>
    </w:p>
    <w:p>
      <w:pPr>
        <w:pStyle w:val="5"/>
      </w:pPr>
      <w:r>
        <w:rPr>
          <w:rFonts w:hint="eastAsia"/>
        </w:rPr>
        <w:t>主要原辅材料</w:t>
      </w:r>
    </w:p>
    <w:p>
      <w:pPr>
        <w:ind w:firstLine="480"/>
      </w:pPr>
      <w:r>
        <w:rPr>
          <w:rFonts w:hint="eastAsia"/>
        </w:rPr>
        <w:t>本项目精饲料、粗饲料均购买已经粉碎加工完成，成袋包装的成品饲料，无需粉碎加工。把青贮饲料、粗饲料、精饲料混合按合理的比例及要求搭配后作为饲喂配方。养殖过程中需饲料总量为14600t/a（平均0.8kg/只·d），饲料分为精饲料、粗饲料、青贮饲料</w:t>
      </w:r>
      <w:r>
        <w:rPr>
          <w:rFonts w:hint="eastAsia"/>
          <w:color w:val="FF0000"/>
        </w:rPr>
        <w:t>（精：青贮：粗=</w:t>
      </w:r>
      <w:r>
        <w:rPr>
          <w:rFonts w:hint="eastAsia"/>
          <w:color w:val="FF0000"/>
          <w:lang w:val="en-US" w:eastAsia="zh-CN"/>
        </w:rPr>
        <w:t>3</w:t>
      </w:r>
      <w:r>
        <w:rPr>
          <w:rFonts w:hint="eastAsia"/>
          <w:color w:val="FF0000"/>
        </w:rPr>
        <w:t>：</w:t>
      </w:r>
      <w:r>
        <w:rPr>
          <w:rFonts w:hint="eastAsia"/>
          <w:color w:val="FF0000"/>
          <w:lang w:val="en-US" w:eastAsia="zh-CN"/>
        </w:rPr>
        <w:t>2</w:t>
      </w:r>
      <w:r>
        <w:rPr>
          <w:rFonts w:hint="eastAsia"/>
          <w:color w:val="FF0000"/>
        </w:rPr>
        <w:t>：</w:t>
      </w:r>
      <w:r>
        <w:rPr>
          <w:rFonts w:hint="eastAsia"/>
          <w:color w:val="FF0000"/>
          <w:lang w:val="en-US" w:eastAsia="zh-CN"/>
        </w:rPr>
        <w:t>5</w:t>
      </w:r>
      <w:r>
        <w:rPr>
          <w:rFonts w:hint="eastAsia"/>
          <w:color w:val="FF0000"/>
        </w:rPr>
        <w:t>）</w:t>
      </w:r>
      <w:r>
        <w:rPr>
          <w:rFonts w:hint="eastAsia"/>
        </w:rPr>
        <w:t>，喂养时将粗饲料、精饲料、青贮饲料按比例搭配好后，装入过TMR日粮混合机，通过TMR日粮混合机进行混合拌匀，在羊棚饲喂通道内铺洒喂养。粗、精饲料来源主要从专业公司购买，青贮饲料从当地农户耕地内购买破碎成2～3厘米长的小段，不在项目现场进行破碎。</w:t>
      </w:r>
    </w:p>
    <w:p>
      <w:pPr>
        <w:ind w:firstLine="480"/>
      </w:pPr>
      <w:r>
        <w:rPr>
          <w:rFonts w:hint="eastAsia"/>
        </w:rPr>
        <w:t>本项目的原辅料消耗见下表。</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表3.</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.4-1    本项目原辅材料消耗一览表（单位：t/a）</w:t>
      </w:r>
    </w:p>
    <w:tbl>
      <w:tblPr>
        <w:tblStyle w:val="3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30"/>
        <w:gridCol w:w="1160"/>
        <w:gridCol w:w="824"/>
        <w:gridCol w:w="1095"/>
        <w:gridCol w:w="3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原辅材料</w:t>
            </w:r>
          </w:p>
        </w:tc>
        <w:tc>
          <w:tcPr>
            <w:tcW w:w="68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消耗量</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来源</w:t>
            </w:r>
          </w:p>
        </w:tc>
        <w:tc>
          <w:tcPr>
            <w:tcW w:w="642" w:type="pct"/>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存储位置</w:t>
            </w:r>
          </w:p>
        </w:tc>
        <w:tc>
          <w:tcPr>
            <w:tcW w:w="200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粗料</w:t>
            </w:r>
          </w:p>
        </w:tc>
        <w:tc>
          <w:tcPr>
            <w:tcW w:w="680" w:type="pct"/>
            <w:shd w:val="clear" w:color="auto" w:fill="auto"/>
            <w:vAlign w:val="bottom"/>
          </w:tcPr>
          <w:p>
            <w:pPr>
              <w:pStyle w:val="232"/>
              <w:rPr>
                <w:rFonts w:hint="default" w:eastAsia="宋体"/>
                <w:color w:val="FF0000"/>
                <w:lang w:val="en-US" w:eastAsia="zh-CN"/>
              </w:rPr>
            </w:pPr>
            <w:r>
              <w:rPr>
                <w:rFonts w:hint="eastAsia"/>
                <w:color w:val="FF0000"/>
                <w:lang w:val="en-US" w:eastAsia="zh-CN"/>
              </w:rPr>
              <w:t>4380</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外购</w:t>
            </w:r>
          </w:p>
        </w:tc>
        <w:tc>
          <w:tcPr>
            <w:tcW w:w="642" w:type="pct"/>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草料库</w:t>
            </w:r>
          </w:p>
        </w:tc>
        <w:tc>
          <w:tcPr>
            <w:tcW w:w="2003"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饲料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精料</w:t>
            </w:r>
          </w:p>
        </w:tc>
        <w:tc>
          <w:tcPr>
            <w:tcW w:w="680" w:type="pct"/>
            <w:shd w:val="clear" w:color="auto" w:fill="auto"/>
            <w:vAlign w:val="bottom"/>
          </w:tcPr>
          <w:p>
            <w:pPr>
              <w:pStyle w:val="232"/>
              <w:rPr>
                <w:rFonts w:hint="default" w:eastAsia="宋体"/>
                <w:color w:val="FF0000"/>
                <w:lang w:val="en-US" w:eastAsia="zh-CN"/>
              </w:rPr>
            </w:pPr>
            <w:r>
              <w:rPr>
                <w:rFonts w:hint="eastAsia"/>
                <w:color w:val="FF0000"/>
                <w:lang w:val="en-US" w:eastAsia="zh-CN"/>
              </w:rPr>
              <w:t>2920</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外购</w:t>
            </w:r>
          </w:p>
        </w:tc>
        <w:tc>
          <w:tcPr>
            <w:tcW w:w="642" w:type="pct"/>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草料库</w:t>
            </w:r>
          </w:p>
        </w:tc>
        <w:tc>
          <w:tcPr>
            <w:tcW w:w="2003" w:type="pct"/>
            <w:vMerge w:val="continue"/>
            <w:vAlign w:val="center"/>
          </w:tcPr>
          <w:p>
            <w:pPr>
              <w:pStyle w:val="232"/>
              <w:rPr>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青贮料</w:t>
            </w:r>
          </w:p>
        </w:tc>
        <w:tc>
          <w:tcPr>
            <w:tcW w:w="680" w:type="pct"/>
            <w:shd w:val="clear" w:color="auto" w:fill="auto"/>
            <w:vAlign w:val="bottom"/>
          </w:tcPr>
          <w:p>
            <w:pPr>
              <w:pStyle w:val="232"/>
              <w:rPr>
                <w:rFonts w:hint="default" w:eastAsia="宋体"/>
                <w:color w:val="FF0000"/>
                <w:lang w:val="en-US" w:eastAsia="zh-CN"/>
              </w:rPr>
            </w:pPr>
            <w:r>
              <w:rPr>
                <w:rFonts w:hint="eastAsia"/>
                <w:color w:val="FF0000"/>
                <w:lang w:val="en-US" w:eastAsia="zh-CN"/>
              </w:rPr>
              <w:t>7300</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外购</w:t>
            </w:r>
          </w:p>
        </w:tc>
        <w:tc>
          <w:tcPr>
            <w:tcW w:w="642" w:type="pct"/>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青贮池</w:t>
            </w:r>
          </w:p>
        </w:tc>
        <w:tc>
          <w:tcPr>
            <w:tcW w:w="2003" w:type="pct"/>
            <w:vMerge w:val="continue"/>
            <w:vAlign w:val="center"/>
          </w:tcPr>
          <w:p>
            <w:pPr>
              <w:pStyle w:val="232"/>
              <w:rPr>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rFonts w:hint="eastAsia" w:eastAsia="宋体"/>
                <w:color w:val="000000" w:themeColor="text1"/>
                <w:szCs w:val="22"/>
                <w:lang w:eastAsia="zh-CN"/>
                <w14:textFill>
                  <w14:solidFill>
                    <w14:schemeClr w14:val="tx1"/>
                  </w14:solidFill>
                </w14:textFill>
              </w:rPr>
            </w:pPr>
            <w:r>
              <w:rPr>
                <w:rFonts w:hint="eastAsia"/>
                <w:color w:val="000000" w:themeColor="text1"/>
                <w14:textFill>
                  <w14:solidFill>
                    <w14:schemeClr w14:val="tx1"/>
                  </w14:solidFill>
                </w14:textFill>
              </w:rPr>
              <w:t>消毒剂</w:t>
            </w:r>
          </w:p>
        </w:tc>
        <w:tc>
          <w:tcPr>
            <w:tcW w:w="68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150L</w:t>
            </w:r>
            <w:r>
              <w:rPr>
                <w:rFonts w:hint="eastAsia"/>
                <w:color w:val="000000" w:themeColor="text1"/>
                <w14:textFill>
                  <w14:solidFill>
                    <w14:schemeClr w14:val="tx1"/>
                  </w14:solidFill>
                </w14:textFill>
              </w:rPr>
              <w:t xml:space="preserve"> </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外购</w:t>
            </w:r>
          </w:p>
        </w:tc>
        <w:tc>
          <w:tcPr>
            <w:tcW w:w="642"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库房</w:t>
            </w:r>
          </w:p>
        </w:tc>
        <w:tc>
          <w:tcPr>
            <w:tcW w:w="2003" w:type="pct"/>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新洁尔灭、来苏尔、沃尔醛消毒液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植物除臭剂</w:t>
            </w:r>
          </w:p>
        </w:tc>
        <w:tc>
          <w:tcPr>
            <w:tcW w:w="68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8.33 </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外购</w:t>
            </w:r>
          </w:p>
        </w:tc>
        <w:tc>
          <w:tcPr>
            <w:tcW w:w="642" w:type="pct"/>
            <w:vMerge w:val="continue"/>
          </w:tcPr>
          <w:p>
            <w:pPr>
              <w:pStyle w:val="232"/>
              <w:rPr>
                <w:color w:val="000000" w:themeColor="text1"/>
                <w14:textFill>
                  <w14:solidFill>
                    <w14:schemeClr w14:val="tx1"/>
                  </w14:solidFill>
                </w14:textFill>
              </w:rPr>
            </w:pPr>
          </w:p>
        </w:tc>
        <w:tc>
          <w:tcPr>
            <w:tcW w:w="2003" w:type="pct"/>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用于养殖区、</w:t>
            </w:r>
            <w:r>
              <w:rPr>
                <w:rFonts w:hint="eastAsia"/>
                <w:color w:val="92D050"/>
                <w:lang w:eastAsia="zh-CN"/>
              </w:rPr>
              <w:t>有机肥堆场</w:t>
            </w:r>
            <w:r>
              <w:rPr>
                <w:rFonts w:hint="eastAsia"/>
                <w:color w:val="000000" w:themeColor="text1"/>
                <w14:textFill>
                  <w14:solidFill>
                    <w14:schemeClr w14:val="tx1"/>
                  </w14:solidFill>
                </w14:textFill>
              </w:rPr>
              <w:t>除臭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90" w:type="pct"/>
            <w:shd w:val="clear" w:color="auto" w:fill="auto"/>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EM复合微生物制剂</w:t>
            </w:r>
          </w:p>
        </w:tc>
        <w:tc>
          <w:tcPr>
            <w:tcW w:w="68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2000.00 </w:t>
            </w:r>
          </w:p>
        </w:tc>
        <w:tc>
          <w:tcPr>
            <w:tcW w:w="48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外购</w:t>
            </w:r>
          </w:p>
        </w:tc>
        <w:tc>
          <w:tcPr>
            <w:tcW w:w="642" w:type="pct"/>
            <w:vMerge w:val="continue"/>
          </w:tcPr>
          <w:p>
            <w:pPr>
              <w:pStyle w:val="232"/>
              <w:rPr>
                <w:color w:val="000000" w:themeColor="text1"/>
                <w14:textFill>
                  <w14:solidFill>
                    <w14:schemeClr w14:val="tx1"/>
                  </w14:solidFill>
                </w14:textFill>
              </w:rPr>
            </w:pPr>
          </w:p>
        </w:tc>
        <w:tc>
          <w:tcPr>
            <w:tcW w:w="200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饲料添加EM复合微生物制剂</w:t>
            </w:r>
          </w:p>
        </w:tc>
      </w:tr>
    </w:tbl>
    <w:p>
      <w:pPr>
        <w:ind w:firstLine="480"/>
      </w:pPr>
      <w:r>
        <w:rPr>
          <w:rFonts w:hint="eastAsia"/>
        </w:rPr>
        <w:t>（1）消毒剂</w:t>
      </w:r>
    </w:p>
    <w:p>
      <w:pPr>
        <w:ind w:firstLine="480"/>
      </w:pPr>
      <w:r>
        <w:rPr>
          <w:rFonts w:hint="eastAsia"/>
        </w:rPr>
        <w:t>①新洁尔灭：别名苯扎溴铵、溴化苄烷铵，化学名十二烷基二甲基苄基溴化铵，分子量384.44，常温下为白色或淡黄色胶状体或粉末，低温时可能逐渐形成蜡状固体，带有芳香气味，尝味极苦。易溶于水、乙醇，微溶于丙酮，不溶于乙醚、苯，水溶液呈碱性反应。水溶液振荡时产生多量泡沫，具有耐热性，可贮存较长时间而效果不减。</w:t>
      </w:r>
    </w:p>
    <w:p>
      <w:pPr>
        <w:ind w:firstLine="480"/>
      </w:pPr>
      <w:r>
        <w:rPr>
          <w:rFonts w:hint="eastAsia"/>
        </w:rPr>
        <w:t>新洁尔灭兼有杀菌和去垢效力，作用强而快，对金属无腐蚀作用，不污染衣服，性质稳定，易于保存，属消毒防腐类药。稀释液可用于外科手术前洗手(0.05~0.1%，浸泡5min)、皮肤消毒和霉菌感染(0.1%)、黏膜消毒(0.01~0.05%)、器械消毒(置于0.1%的溶液中煮沸15min后再浸泡30min)。忌与肥皂、盐类或其他合成洗涤剂同时使用，避免使用铝制容器，消毒金属器械需加0.5%亚硝酸钠防锈，不宜用于膀胱镜、眼科器械及合成橡胶的消毒。对革兰氏阴性杆菌及肠道病毒作用弱，对结核杆菌及芽孢无效。</w:t>
      </w:r>
    </w:p>
    <w:p>
      <w:pPr>
        <w:ind w:firstLine="480"/>
      </w:pPr>
      <w:r>
        <w:rPr>
          <w:rFonts w:hint="eastAsia"/>
        </w:rPr>
        <w:t>②来苏尔：来苏尔（Lysol）为甲酚、植物油、氢氧化钠的皂化液（含甲酚50%）。无色或黄色液体。使用方法和范围：1~2%溶液用于手消毒（也可用于处理染菌桌面），3~5%溶液用于器械物品消毒，5~10%溶液用于环境、排泄物的消毒。对一般致病菌包括抗酸菌杀菌效果确实，对芽孢则需高浓度长时间才有杀菌作用。</w:t>
      </w:r>
    </w:p>
    <w:p>
      <w:pPr>
        <w:ind w:firstLine="480"/>
      </w:pPr>
      <w:r>
        <w:rPr>
          <w:rFonts w:hint="eastAsia"/>
        </w:rPr>
        <w:t>③沃尔醛消毒液是一种新型、高效、低毒的中性强化消毒液，可杀灭细菌繁殖体、细菌芽孢、肝炎病毒等病原微生物。</w:t>
      </w:r>
    </w:p>
    <w:p>
      <w:pPr>
        <w:ind w:firstLine="480"/>
      </w:pPr>
      <w:r>
        <w:rPr>
          <w:rFonts w:hint="eastAsia"/>
        </w:rPr>
        <w:t>（2）植物型除臭剂</w:t>
      </w:r>
    </w:p>
    <w:p>
      <w:pPr>
        <w:ind w:firstLine="480"/>
      </w:pPr>
      <w:r>
        <w:rPr>
          <w:rFonts w:hint="eastAsia"/>
        </w:rPr>
        <w:t>植物型除臭剂是指以天然植物萃取液或者天然植物提取物为主要原料加工而成的除臭剂，对人体和动物是无害的、无毒的，对土壤、植物均无损害，且无燃烧性和爆炸性，不含氟利昂和臭氧，使用安全。从天然植物中分离提取的天然成分，具有抑菌、杀菌和除臭功效，对氨、硫化氢等无机物和低分子脂肪酸、胺类、醛类、酮类、醚类、卤代烃等有机物等恶臭有吸附、遮盖、良好的分解，或者与异味分子发生碰撞， 进行反应，促使异味分子发生改变原有分子结构，使之失去臭味，达到去除臭味的效果。</w:t>
      </w:r>
    </w:p>
    <w:p>
      <w:pPr>
        <w:pStyle w:val="5"/>
      </w:pPr>
      <w:r>
        <w:rPr>
          <w:rFonts w:hint="eastAsia"/>
        </w:rPr>
        <w:t>主要动力消耗</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本项目能源消耗主要为水、电，消耗情况见表3.1.4-3。</w:t>
      </w:r>
    </w:p>
    <w:p>
      <w:pPr>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表3.1.4-3    本项目原辅材料消耗一览表（单位：t/a）</w:t>
      </w:r>
    </w:p>
    <w:tbl>
      <w:tblPr>
        <w:tblStyle w:val="3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28"/>
        <w:gridCol w:w="1162"/>
        <w:gridCol w:w="2246"/>
        <w:gridCol w:w="30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89" w:type="pct"/>
            <w:shd w:val="clear" w:color="auto" w:fill="auto"/>
            <w:vAlign w:val="center"/>
          </w:tcPr>
          <w:p>
            <w:pPr>
              <w:pStyle w:val="232"/>
            </w:pPr>
            <w:r>
              <w:rPr>
                <w:rFonts w:hint="eastAsia"/>
              </w:rPr>
              <w:t>能源</w:t>
            </w:r>
          </w:p>
        </w:tc>
        <w:tc>
          <w:tcPr>
            <w:tcW w:w="681" w:type="pct"/>
            <w:shd w:val="clear" w:color="auto" w:fill="auto"/>
            <w:vAlign w:val="center"/>
          </w:tcPr>
          <w:p>
            <w:pPr>
              <w:pStyle w:val="232"/>
            </w:pPr>
            <w:r>
              <w:rPr>
                <w:rFonts w:hint="eastAsia"/>
              </w:rPr>
              <w:t>消耗量</w:t>
            </w:r>
          </w:p>
        </w:tc>
        <w:tc>
          <w:tcPr>
            <w:tcW w:w="1317" w:type="pct"/>
            <w:shd w:val="clear" w:color="auto" w:fill="auto"/>
            <w:vAlign w:val="center"/>
          </w:tcPr>
          <w:p>
            <w:pPr>
              <w:pStyle w:val="232"/>
            </w:pPr>
            <w:r>
              <w:rPr>
                <w:rFonts w:hint="eastAsia"/>
              </w:rPr>
              <w:t>来源</w:t>
            </w:r>
          </w:p>
        </w:tc>
        <w:tc>
          <w:tcPr>
            <w:tcW w:w="1811" w:type="pct"/>
            <w:vAlign w:val="center"/>
          </w:tcPr>
          <w:p>
            <w:pPr>
              <w:pStyle w:val="232"/>
            </w:pPr>
            <w:r>
              <w:rPr>
                <w:rFonts w:hint="eastAsia"/>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89" w:type="pct"/>
            <w:shd w:val="clear" w:color="auto" w:fill="auto"/>
            <w:vAlign w:val="center"/>
          </w:tcPr>
          <w:p>
            <w:pPr>
              <w:pStyle w:val="232"/>
            </w:pPr>
            <w:r>
              <w:rPr>
                <w:rFonts w:hint="eastAsia"/>
              </w:rPr>
              <w:t>新鲜水</w:t>
            </w:r>
          </w:p>
        </w:tc>
        <w:tc>
          <w:tcPr>
            <w:tcW w:w="681" w:type="pct"/>
            <w:shd w:val="clear" w:color="auto" w:fill="auto"/>
            <w:vAlign w:val="center"/>
          </w:tcPr>
          <w:p>
            <w:pPr>
              <w:pStyle w:val="232"/>
            </w:pPr>
            <w:r>
              <w:rPr>
                <w:rFonts w:hint="eastAsia"/>
              </w:rPr>
              <w:t>1</w:t>
            </w:r>
            <w:r>
              <w:rPr>
                <w:rFonts w:hint="eastAsia"/>
                <w:lang w:val="en-US" w:eastAsia="zh-CN"/>
              </w:rPr>
              <w:t>80</w:t>
            </w:r>
            <w:r>
              <w:rPr>
                <w:rFonts w:hint="eastAsia"/>
              </w:rPr>
              <w:t>万m</w:t>
            </w:r>
            <w:r>
              <w:rPr>
                <w:rFonts w:hint="eastAsia"/>
                <w:vertAlign w:val="superscript"/>
              </w:rPr>
              <w:t>3</w:t>
            </w:r>
            <w:r>
              <w:t>/a</w:t>
            </w:r>
          </w:p>
        </w:tc>
        <w:tc>
          <w:tcPr>
            <w:tcW w:w="1317" w:type="pct"/>
            <w:shd w:val="clear" w:color="auto" w:fill="auto"/>
            <w:vAlign w:val="center"/>
          </w:tcPr>
          <w:p>
            <w:pPr>
              <w:pStyle w:val="232"/>
            </w:pPr>
            <w:r>
              <w:rPr>
                <w:rFonts w:hint="eastAsia"/>
              </w:rPr>
              <w:t>自备井</w:t>
            </w:r>
          </w:p>
        </w:tc>
        <w:tc>
          <w:tcPr>
            <w:tcW w:w="1811" w:type="pct"/>
            <w:vAlign w:val="center"/>
          </w:tcPr>
          <w:p>
            <w:pPr>
              <w:pStyle w:val="232"/>
            </w:pPr>
            <w:r>
              <w:rPr>
                <w:rFonts w:hint="eastAsi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189" w:type="pct"/>
            <w:shd w:val="clear" w:color="auto" w:fill="auto"/>
            <w:vAlign w:val="center"/>
          </w:tcPr>
          <w:p>
            <w:pPr>
              <w:pStyle w:val="232"/>
            </w:pPr>
            <w:r>
              <w:rPr>
                <w:rFonts w:hint="eastAsia"/>
              </w:rPr>
              <w:t>电</w:t>
            </w:r>
          </w:p>
        </w:tc>
        <w:tc>
          <w:tcPr>
            <w:tcW w:w="681" w:type="pct"/>
            <w:shd w:val="clear" w:color="auto" w:fill="auto"/>
            <w:vAlign w:val="center"/>
          </w:tcPr>
          <w:p>
            <w:pPr>
              <w:pStyle w:val="232"/>
            </w:pPr>
            <w:r>
              <w:rPr>
                <w:rFonts w:hint="eastAsia"/>
              </w:rPr>
              <w:t>40kwh/a</w:t>
            </w:r>
          </w:p>
        </w:tc>
        <w:tc>
          <w:tcPr>
            <w:tcW w:w="1317" w:type="pct"/>
            <w:shd w:val="clear" w:color="auto" w:fill="auto"/>
            <w:vAlign w:val="center"/>
          </w:tcPr>
          <w:p>
            <w:pPr>
              <w:pStyle w:val="232"/>
            </w:pPr>
            <w:r>
              <w:rPr>
                <w:rFonts w:hint="eastAsia"/>
              </w:rPr>
              <w:t>外供</w:t>
            </w:r>
          </w:p>
        </w:tc>
        <w:tc>
          <w:tcPr>
            <w:tcW w:w="1811" w:type="pct"/>
            <w:vAlign w:val="center"/>
          </w:tcPr>
          <w:p>
            <w:pPr>
              <w:pStyle w:val="232"/>
            </w:pPr>
            <w:r>
              <w:rPr>
                <w:rFonts w:hint="eastAsia"/>
              </w:rPr>
              <w:t>项目区周边的电网引接</w:t>
            </w:r>
          </w:p>
        </w:tc>
      </w:tr>
    </w:tbl>
    <w:p>
      <w:pPr>
        <w:pStyle w:val="4"/>
      </w:pPr>
      <w:r>
        <w:rPr>
          <w:rFonts w:hint="eastAsia"/>
        </w:rPr>
        <w:t>主要设备</w:t>
      </w:r>
    </w:p>
    <w:p>
      <w:pPr>
        <w:ind w:firstLine="480"/>
      </w:pPr>
      <w:r>
        <w:rPr>
          <w:rFonts w:hint="eastAsia"/>
        </w:rPr>
        <w:t>项目主要生产设备、设施见下表。</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1.5</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 xml:space="preserve">   主要生产设备、设施一览表</w:t>
      </w:r>
    </w:p>
    <w:tbl>
      <w:tblPr>
        <w:tblStyle w:val="38"/>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3"/>
        <w:gridCol w:w="1233"/>
        <w:gridCol w:w="2559"/>
        <w:gridCol w:w="3317"/>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Header/>
        </w:trPr>
        <w:tc>
          <w:tcPr>
            <w:tcW w:w="25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74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tc>
          <w:tcPr>
            <w:tcW w:w="153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设备名称</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规格型号</w:t>
            </w:r>
          </w:p>
        </w:tc>
        <w:tc>
          <w:tcPr>
            <w:tcW w:w="47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数量</w:t>
            </w:r>
          </w:p>
          <w:p>
            <w:pPr>
              <w:pStyle w:val="232"/>
              <w:rPr>
                <w:color w:val="000000" w:themeColor="text1"/>
                <w14:textFill>
                  <w14:solidFill>
                    <w14:schemeClr w14:val="tx1"/>
                  </w14:solidFill>
                </w14:textFill>
              </w:rPr>
            </w:pPr>
            <w:r>
              <w:rPr>
                <w:color w:val="000000" w:themeColor="text1"/>
                <w14:textFill>
                  <w14:solidFill>
                    <w14:schemeClr w14:val="tx1"/>
                  </w14:solidFill>
                </w14:textFill>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740"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办公区</w:t>
            </w: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育种场信息化管理软件</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pPr>
            <w:r>
              <w:t>电暖气</w:t>
            </w:r>
          </w:p>
        </w:tc>
        <w:tc>
          <w:tcPr>
            <w:tcW w:w="1990" w:type="pct"/>
            <w:vAlign w:val="center"/>
          </w:tcPr>
          <w:p>
            <w:pPr>
              <w:pStyle w:val="232"/>
            </w:pPr>
            <w:r>
              <w:rPr>
                <w:rFonts w:hint="eastAsia"/>
              </w:rPr>
              <w:t>/</w:t>
            </w:r>
          </w:p>
        </w:tc>
        <w:tc>
          <w:tcPr>
            <w:tcW w:w="478" w:type="pct"/>
            <w:vAlign w:val="center"/>
          </w:tcPr>
          <w:p>
            <w:pPr>
              <w:pStyle w:val="232"/>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740" w:type="pct"/>
            <w:vMerge w:val="restart"/>
            <w:vAlign w:val="center"/>
          </w:tcPr>
          <w:p>
            <w:pPr>
              <w:pStyle w:val="232"/>
              <w:rPr>
                <w:color w:val="000000" w:themeColor="text1"/>
                <w14:textFill>
                  <w14:solidFill>
                    <w14:schemeClr w14:val="tx1"/>
                  </w14:solidFill>
                </w14:textFill>
              </w:rPr>
            </w:pPr>
            <w:r>
              <w:rPr>
                <w:rFonts w:hint="eastAsia" w:ascii="Times New Roman" w:eastAsia="宋体"/>
                <w:color w:val="auto"/>
                <w:szCs w:val="21"/>
                <w:highlight w:val="green"/>
                <w:lang w:val="zh-CN"/>
              </w:rPr>
              <w:t>饲草混合加工车间</w:t>
            </w: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龙工装载机</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30型</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龙工叉车</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3.8T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TMR饲料混合搅拌机</w:t>
            </w:r>
          </w:p>
        </w:tc>
        <w:tc>
          <w:tcPr>
            <w:tcW w:w="1990" w:type="pct"/>
            <w:vAlign w:val="center"/>
          </w:tcPr>
          <w:p>
            <w:pPr>
              <w:pStyle w:val="232"/>
              <w:rPr>
                <w:color w:val="000000" w:themeColor="text1"/>
                <w14:textFill>
                  <w14:solidFill>
                    <w14:schemeClr w14:val="tx1"/>
                  </w14:solidFill>
                </w14:textFill>
              </w:rPr>
            </w:pPr>
            <w:r>
              <w:t>25m³</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饲料运输车辆</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农用车</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t>青贮取料机</w:t>
            </w:r>
          </w:p>
        </w:tc>
        <w:tc>
          <w:tcPr>
            <w:tcW w:w="1990" w:type="pct"/>
            <w:vAlign w:val="center"/>
          </w:tcPr>
          <w:p>
            <w:pPr>
              <w:pStyle w:val="232"/>
            </w:pPr>
            <w:r>
              <w:rPr>
                <w:rFonts w:hint="eastAsia"/>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c>
          <w:tcPr>
            <w:tcW w:w="740" w:type="pct"/>
            <w:vMerge w:val="restart"/>
            <w:vAlign w:val="center"/>
          </w:tcPr>
          <w:p>
            <w:pPr>
              <w:pStyle w:val="232"/>
              <w:rPr>
                <w:color w:val="000000" w:themeColor="text1"/>
                <w14:textFill>
                  <w14:solidFill>
                    <w14:schemeClr w14:val="tx1"/>
                  </w14:solidFill>
                </w14:textFill>
              </w:rPr>
            </w:pPr>
            <w:r>
              <w:rPr>
                <w:rFonts w:hint="eastAsia"/>
                <w:color w:val="000000" w:themeColor="text1"/>
                <w:highlight w:val="green"/>
                <w14:textFill>
                  <w14:solidFill>
                    <w14:schemeClr w14:val="tx1"/>
                  </w14:solidFill>
                </w14:textFill>
              </w:rPr>
              <w:t>现代化高标准羊舍</w:t>
            </w: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粪便运输车</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2</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配种及兽医用具</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3</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自动刮粪系统及传输皮带</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4</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场内运输车</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5</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供水设备</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6</w:t>
            </w:r>
          </w:p>
        </w:tc>
        <w:tc>
          <w:tcPr>
            <w:tcW w:w="740" w:type="pct"/>
            <w:vMerge w:val="restart"/>
            <w:vAlign w:val="center"/>
          </w:tcPr>
          <w:p>
            <w:pPr>
              <w:pStyle w:val="232"/>
              <w:rPr>
                <w:rFonts w:hint="eastAsia" w:eastAsia="宋体"/>
                <w:color w:val="000000" w:themeColor="text1"/>
                <w:lang w:eastAsia="zh-CN"/>
                <w14:textFill>
                  <w14:solidFill>
                    <w14:schemeClr w14:val="tx1"/>
                  </w14:solidFill>
                </w14:textFill>
              </w:rPr>
            </w:pPr>
            <w:r>
              <w:rPr>
                <w:rFonts w:hint="eastAsia"/>
                <w:color w:val="92D050"/>
                <w:lang w:eastAsia="zh-CN"/>
              </w:rPr>
              <w:t>有机肥堆场</w:t>
            </w: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混合搅拌机</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20t/h</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7</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布料机</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kw</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8</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链板式翻抛机</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5-6m跨</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Merge w:val="restar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19</w:t>
            </w:r>
          </w:p>
        </w:tc>
        <w:tc>
          <w:tcPr>
            <w:tcW w:w="740" w:type="pct"/>
            <w:vMerge w:val="restart"/>
            <w:vAlign w:val="center"/>
          </w:tcPr>
          <w:p>
            <w:pPr>
              <w:pStyle w:val="232"/>
              <w:rPr>
                <w:color w:val="000000" w:themeColor="text1"/>
                <w14:textFill>
                  <w14:solidFill>
                    <w14:schemeClr w14:val="tx1"/>
                  </w14:solidFill>
                </w14:textFill>
              </w:rPr>
            </w:pPr>
            <w:r>
              <w:rPr>
                <w:rFonts w:hint="eastAsia" w:ascii="Times New Roman" w:eastAsia="宋体"/>
                <w:color w:val="auto"/>
                <w:szCs w:val="21"/>
                <w:highlight w:val="green"/>
              </w:rPr>
              <w:t>病死羊及分娩物无害化车间</w:t>
            </w:r>
          </w:p>
        </w:tc>
        <w:tc>
          <w:tcPr>
            <w:tcW w:w="1535"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无害化处理设备</w:t>
            </w:r>
          </w:p>
        </w:tc>
        <w:tc>
          <w:tcPr>
            <w:tcW w:w="1990" w:type="pct"/>
            <w:vMerge w:val="restart"/>
            <w:vAlign w:val="center"/>
          </w:tcPr>
          <w:p>
            <w:pPr>
              <w:pStyle w:val="232"/>
              <w:rPr>
                <w:color w:val="000000" w:themeColor="text1"/>
                <w14:textFill>
                  <w14:solidFill>
                    <w14:schemeClr w14:val="tx1"/>
                  </w14:solidFill>
                </w14:textFill>
              </w:rPr>
            </w:pPr>
            <w:r>
              <w:rPr>
                <w:rFonts w:hint="eastAsia"/>
                <w:color w:val="FF0000"/>
                <w:vertAlign w:val="baseline"/>
                <w:lang w:val="en-US" w:eastAsia="zh-CN"/>
              </w:rPr>
              <w:t>电加热</w:t>
            </w:r>
            <w:r>
              <w:rPr>
                <w:rFonts w:hint="eastAsia"/>
                <w:color w:val="FF0000"/>
              </w:rPr>
              <w:t>高温干化化制，</w:t>
            </w:r>
            <w:r>
              <w:rPr>
                <w:rFonts w:hint="eastAsia"/>
                <w:color w:val="FF0000"/>
                <w:lang w:val="en-US" w:eastAsia="zh-CN"/>
              </w:rPr>
              <w:t>单次最大</w:t>
            </w:r>
            <w:r>
              <w:rPr>
                <w:rFonts w:hint="eastAsia"/>
                <w:color w:val="FF0000"/>
              </w:rPr>
              <w:t>处理能力</w:t>
            </w:r>
            <w:r>
              <w:rPr>
                <w:rFonts w:hint="eastAsia"/>
                <w:color w:val="FF0000"/>
                <w:lang w:val="en-US" w:eastAsia="zh-CN"/>
              </w:rPr>
              <w:t>0.8</w:t>
            </w:r>
            <w:r>
              <w:rPr>
                <w:rFonts w:hint="eastAsia"/>
                <w:color w:val="FF0000"/>
              </w:rPr>
              <w:t>t/次</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54" w:type="pct"/>
            <w:vMerge w:val="continue"/>
            <w:vAlign w:val="center"/>
          </w:tcPr>
          <w:p>
            <w:pPr>
              <w:pStyle w:val="232"/>
              <w:rPr>
                <w:rFonts w:hint="default" w:eastAsia="宋体"/>
                <w:color w:val="000000" w:themeColor="text1"/>
                <w:lang w:val="en-US" w:eastAsia="zh-CN"/>
                <w14:textFill>
                  <w14:solidFill>
                    <w14:schemeClr w14:val="tx1"/>
                  </w14:solidFill>
                </w14:textFill>
              </w:rPr>
            </w:pPr>
          </w:p>
        </w:tc>
        <w:tc>
          <w:tcPr>
            <w:tcW w:w="740" w:type="pct"/>
            <w:vMerge w:val="continue"/>
            <w:vAlign w:val="center"/>
          </w:tcPr>
          <w:p>
            <w:pPr>
              <w:pStyle w:val="232"/>
              <w:rPr>
                <w:color w:val="000000" w:themeColor="text1"/>
                <w14:textFill>
                  <w14:solidFill>
                    <w14:schemeClr w14:val="tx1"/>
                  </w14:solidFill>
                </w14:textFill>
              </w:rPr>
            </w:pPr>
          </w:p>
        </w:tc>
        <w:tc>
          <w:tcPr>
            <w:tcW w:w="1535" w:type="pct"/>
            <w:vMerge w:val="continue"/>
            <w:vAlign w:val="center"/>
          </w:tcPr>
          <w:p>
            <w:pPr>
              <w:pStyle w:val="232"/>
              <w:rPr>
                <w:color w:val="000000" w:themeColor="text1"/>
                <w14:textFill>
                  <w14:solidFill>
                    <w14:schemeClr w14:val="tx1"/>
                  </w14:solidFill>
                </w14:textFill>
              </w:rPr>
            </w:pPr>
          </w:p>
        </w:tc>
        <w:tc>
          <w:tcPr>
            <w:tcW w:w="1990" w:type="pct"/>
            <w:vMerge w:val="continue"/>
            <w:vAlign w:val="center"/>
          </w:tcPr>
          <w:p>
            <w:pPr>
              <w:pStyle w:val="232"/>
              <w:rPr>
                <w:color w:val="000000" w:themeColor="text1"/>
                <w14:textFill>
                  <w14:solidFill>
                    <w14:schemeClr w14:val="tx1"/>
                  </w14:solidFill>
                </w14:textFill>
              </w:rPr>
            </w:pP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254"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w:t>
            </w:r>
          </w:p>
        </w:tc>
        <w:tc>
          <w:tcPr>
            <w:tcW w:w="740" w:type="pct"/>
            <w:vMerge w:val="continue"/>
            <w:vAlign w:val="center"/>
          </w:tcPr>
          <w:p>
            <w:pPr>
              <w:pStyle w:val="232"/>
              <w:rPr>
                <w:color w:val="000000" w:themeColor="text1"/>
                <w14:textFill>
                  <w14:solidFill>
                    <w14:schemeClr w14:val="tx1"/>
                  </w14:solidFill>
                </w14:textFill>
              </w:rPr>
            </w:pPr>
          </w:p>
        </w:tc>
        <w:tc>
          <w:tcPr>
            <w:tcW w:w="1535"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生物</w:t>
            </w:r>
            <w:r>
              <w:rPr>
                <w:rFonts w:hint="eastAsia"/>
                <w:color w:val="000000" w:themeColor="text1"/>
                <w:lang w:val="en-US" w:eastAsia="zh-CN"/>
                <w14:textFill>
                  <w14:solidFill>
                    <w14:schemeClr w14:val="tx1"/>
                  </w14:solidFill>
                </w14:textFill>
              </w:rPr>
              <w:t>除臭塔</w:t>
            </w:r>
          </w:p>
        </w:tc>
        <w:tc>
          <w:tcPr>
            <w:tcW w:w="199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r>
    </w:tbl>
    <w:p>
      <w:pPr>
        <w:ind w:firstLine="480"/>
      </w:pPr>
    </w:p>
    <w:p>
      <w:pPr>
        <w:pStyle w:val="4"/>
      </w:pPr>
      <w:r>
        <w:rPr>
          <w:rFonts w:hint="eastAsia"/>
        </w:rPr>
        <w:t>公用工程</w:t>
      </w:r>
    </w:p>
    <w:p>
      <w:pPr>
        <w:pStyle w:val="5"/>
      </w:pPr>
      <w:r>
        <w:rPr>
          <w:rFonts w:hint="eastAsia"/>
        </w:rPr>
        <w:t>供电</w:t>
      </w:r>
    </w:p>
    <w:p>
      <w:pPr>
        <w:ind w:firstLine="480"/>
      </w:pPr>
      <w:r>
        <w:rPr>
          <w:rFonts w:hint="eastAsia"/>
        </w:rPr>
        <w:t>本项目用电由当地供电网络提供电源，本项目设变配电室1座，安装容量为315KVA变压器1台，年用电量为35万KW·h。</w:t>
      </w:r>
    </w:p>
    <w:p>
      <w:pPr>
        <w:ind w:firstLine="480"/>
      </w:pPr>
      <w:r>
        <w:rPr>
          <w:rFonts w:hint="eastAsia"/>
        </w:rPr>
        <w:t>配电线路采用放射式方式敷设。场区内的电缆采用电缆架空、穿管埋地敷设和直埋敷设相结合的方式。照明导线敷设方式为穿阻燃</w:t>
      </w:r>
      <w:r>
        <w:t>PVC</w:t>
      </w:r>
      <w:r>
        <w:rPr>
          <w:rFonts w:hint="eastAsia"/>
        </w:rPr>
        <w:t>管暗配或明配。</w:t>
      </w:r>
    </w:p>
    <w:p>
      <w:pPr>
        <w:pStyle w:val="5"/>
      </w:pPr>
      <w:r>
        <w:rPr>
          <w:rFonts w:hint="eastAsia"/>
        </w:rPr>
        <w:t>供排水</w:t>
      </w:r>
    </w:p>
    <w:p>
      <w:pPr>
        <w:numPr>
          <w:ilvl w:val="0"/>
          <w:numId w:val="7"/>
        </w:numPr>
        <w:ind w:firstLine="480"/>
      </w:pPr>
      <w:r>
        <w:rPr>
          <w:rFonts w:hint="eastAsia"/>
        </w:rPr>
        <w:t>水源</w:t>
      </w:r>
    </w:p>
    <w:p>
      <w:pPr>
        <w:ind w:firstLine="480"/>
      </w:pPr>
      <w:r>
        <w:rPr>
          <w:rFonts w:hint="eastAsia"/>
        </w:rPr>
        <w:t>生活、生产用水采用地下水供水，</w:t>
      </w:r>
      <w:r>
        <w:rPr>
          <w:rFonts w:hint="eastAsia"/>
          <w:color w:val="FF0000"/>
          <w:lang w:val="en-US" w:eastAsia="zh-CN"/>
        </w:rPr>
        <w:t>根据章节4.2.3厂区内水井</w:t>
      </w:r>
      <w:r>
        <w:rPr>
          <w:rFonts w:hint="eastAsia"/>
          <w:color w:val="FF0000"/>
        </w:rPr>
        <w:t>水质</w:t>
      </w:r>
      <w:r>
        <w:rPr>
          <w:rFonts w:hint="eastAsia"/>
          <w:color w:val="FF0000"/>
          <w:lang w:val="en-US" w:eastAsia="zh-CN"/>
        </w:rPr>
        <w:t>监测结果可知，项目水质满足</w:t>
      </w:r>
      <w:r>
        <w:rPr>
          <w:rFonts w:hint="eastAsia"/>
          <w:color w:val="FF0000"/>
        </w:rPr>
        <w:t>《地下水质量标准》（</w:t>
      </w:r>
      <w:r>
        <w:rPr>
          <w:color w:val="FF0000"/>
        </w:rPr>
        <w:t>GB/T14848-</w:t>
      </w:r>
      <w:r>
        <w:rPr>
          <w:rFonts w:hint="eastAsia"/>
          <w:color w:val="FF0000"/>
        </w:rPr>
        <w:t>2017）</w:t>
      </w:r>
      <w:r>
        <w:rPr>
          <w:color w:val="FF0000"/>
        </w:rPr>
        <w:t>III</w:t>
      </w:r>
      <w:r>
        <w:rPr>
          <w:rFonts w:hint="eastAsia"/>
          <w:color w:val="FF0000"/>
        </w:rPr>
        <w:t>类标准</w:t>
      </w:r>
      <w:r>
        <w:rPr>
          <w:rFonts w:hint="eastAsia"/>
          <w:color w:val="FF0000"/>
          <w:lang w:val="en-US" w:eastAsia="zh-CN"/>
        </w:rPr>
        <w:t>和《无公害食品  畜禽饮用水水质》（NY 5027-2008）中畜饮用水标准值，故地下水</w:t>
      </w:r>
      <w:r>
        <w:rPr>
          <w:rFonts w:hint="eastAsia"/>
          <w:color w:val="FF0000"/>
        </w:rPr>
        <w:t>可满足肉羊饮用水需求。</w:t>
      </w:r>
    </w:p>
    <w:p>
      <w:pPr>
        <w:numPr>
          <w:ilvl w:val="0"/>
          <w:numId w:val="7"/>
        </w:numPr>
        <w:ind w:firstLine="480"/>
      </w:pPr>
      <w:r>
        <w:rPr>
          <w:rFonts w:hint="eastAsia"/>
        </w:rPr>
        <w:t>水平衡分析</w:t>
      </w:r>
    </w:p>
    <w:p>
      <w:pPr>
        <w:ind w:firstLine="480"/>
      </w:pPr>
      <w:r>
        <w:rPr>
          <w:rFonts w:hint="eastAsia"/>
        </w:rPr>
        <w:t>①员工生活用水</w:t>
      </w:r>
    </w:p>
    <w:p>
      <w:pPr>
        <w:ind w:firstLine="480"/>
        <w:rPr>
          <w:color w:val="FF0000"/>
        </w:rPr>
      </w:pPr>
      <w:r>
        <w:rPr>
          <w:color w:val="FF0000"/>
        </w:rPr>
        <w:t>本项目劳动定员</w:t>
      </w:r>
      <w:r>
        <w:rPr>
          <w:rFonts w:hint="eastAsia"/>
          <w:color w:val="FF0000"/>
        </w:rPr>
        <w:t>450</w:t>
      </w:r>
      <w:r>
        <w:rPr>
          <w:color w:val="FF0000"/>
        </w:rPr>
        <w:t>人</w:t>
      </w:r>
      <w:r>
        <w:rPr>
          <w:rFonts w:hint="eastAsia"/>
          <w:color w:val="FF0000"/>
        </w:rPr>
        <w:t>，参照《内蒙古行业用水定额（DB15/T385-2020）》集体宿舍用水定额，员工生活用水按60L/床•d计，生活用水27m</w:t>
      </w:r>
      <w:r>
        <w:rPr>
          <w:rFonts w:hint="eastAsia"/>
          <w:color w:val="FF0000"/>
          <w:vertAlign w:val="superscript"/>
        </w:rPr>
        <w:t>3</w:t>
      </w:r>
      <w:r>
        <w:rPr>
          <w:rFonts w:hint="eastAsia"/>
          <w:color w:val="FF0000"/>
        </w:rPr>
        <w:t>/d（9855m</w:t>
      </w:r>
      <w:r>
        <w:rPr>
          <w:rFonts w:hint="eastAsia"/>
          <w:color w:val="FF0000"/>
          <w:vertAlign w:val="superscript"/>
        </w:rPr>
        <w:t>3</w:t>
      </w:r>
      <w:r>
        <w:rPr>
          <w:rFonts w:hint="eastAsia"/>
          <w:color w:val="FF0000"/>
        </w:rPr>
        <w:t>/a）。</w:t>
      </w:r>
    </w:p>
    <w:p>
      <w:pPr>
        <w:ind w:firstLine="480"/>
        <w:rPr>
          <w:color w:val="FF0000"/>
        </w:rPr>
      </w:pPr>
      <w:r>
        <w:rPr>
          <w:rFonts w:hint="eastAsia"/>
          <w:color w:val="FF0000"/>
        </w:rPr>
        <w:t>②养殖用水</w:t>
      </w:r>
    </w:p>
    <w:p>
      <w:pPr>
        <w:ind w:firstLine="480"/>
        <w:rPr>
          <w:rFonts w:hint="eastAsia"/>
          <w:color w:val="FF0000"/>
        </w:rPr>
      </w:pPr>
      <w:r>
        <w:rPr>
          <w:rFonts w:hint="eastAsia"/>
          <w:color w:val="FF0000"/>
        </w:rPr>
        <w:t>依据《内蒙古自治区行业用水定额标准》（DB15/T385-20</w:t>
      </w:r>
      <w:r>
        <w:rPr>
          <w:color w:val="FF0000"/>
        </w:rPr>
        <w:t>20</w:t>
      </w:r>
      <w:r>
        <w:rPr>
          <w:rFonts w:hint="eastAsia"/>
          <w:color w:val="FF0000"/>
        </w:rPr>
        <w:t>），工厂集约化羊的养殖，用水定额为</w:t>
      </w:r>
      <w:r>
        <w:rPr>
          <w:rFonts w:hint="eastAsia"/>
          <w:color w:val="FF0000"/>
          <w:lang w:val="en-US" w:eastAsia="zh-CN"/>
        </w:rPr>
        <w:t>夏季为</w:t>
      </w:r>
      <w:r>
        <w:rPr>
          <w:color w:val="FF0000"/>
        </w:rPr>
        <w:t>10</w:t>
      </w:r>
      <w:r>
        <w:rPr>
          <w:rFonts w:hint="eastAsia"/>
          <w:color w:val="FF0000"/>
        </w:rPr>
        <w:t>L/只·d</w:t>
      </w:r>
      <w:r>
        <w:rPr>
          <w:rFonts w:hint="eastAsia"/>
          <w:color w:val="FF0000"/>
          <w:lang w:eastAsia="zh-CN"/>
        </w:rPr>
        <w:t>（</w:t>
      </w:r>
      <w:r>
        <w:rPr>
          <w:rFonts w:hint="eastAsia"/>
          <w:color w:val="FF0000"/>
          <w:lang w:val="en-US" w:eastAsia="zh-CN"/>
        </w:rPr>
        <w:t>冬季为8</w:t>
      </w:r>
      <w:r>
        <w:rPr>
          <w:rFonts w:hint="eastAsia"/>
          <w:color w:val="FF0000"/>
        </w:rPr>
        <w:t>L/只·d</w:t>
      </w:r>
      <w:r>
        <w:rPr>
          <w:rFonts w:hint="eastAsia"/>
          <w:color w:val="FF0000"/>
          <w:lang w:eastAsia="zh-CN"/>
        </w:rPr>
        <w:t>）</w:t>
      </w:r>
      <w:r>
        <w:rPr>
          <w:rFonts w:hint="eastAsia"/>
          <w:color w:val="FF0000"/>
        </w:rPr>
        <w:t>，本项目存栏量为50万只，参考其他同规模实际养殖经验</w:t>
      </w:r>
      <w:r>
        <w:rPr>
          <w:rFonts w:hint="eastAsia"/>
          <w:color w:val="FF0000"/>
          <w:lang w:eastAsia="zh-CN"/>
        </w:rPr>
        <w:t>，</w:t>
      </w:r>
      <w:r>
        <w:rPr>
          <w:rFonts w:hint="eastAsia"/>
          <w:color w:val="FF0000"/>
          <w:lang w:val="en-US" w:eastAsia="zh-CN"/>
        </w:rPr>
        <w:t>项目建成后养殖饮用水消耗量和饲料带入水见下表</w:t>
      </w:r>
      <w:r>
        <w:rPr>
          <w:rFonts w:hint="eastAsia"/>
          <w:color w:val="FF0000"/>
        </w:rPr>
        <w:t>。</w:t>
      </w:r>
    </w:p>
    <w:p>
      <w:pPr>
        <w:pStyle w:val="6"/>
        <w:bidi w:val="0"/>
        <w:rPr>
          <w:rStyle w:val="92"/>
          <w:rFonts w:hint="eastAsia"/>
          <w:bCs/>
          <w:color w:val="FF0000"/>
          <w:lang w:val="en-US" w:eastAsia="zh-CN"/>
        </w:rPr>
      </w:pPr>
      <w:r>
        <w:rPr>
          <w:rFonts w:hint="eastAsia"/>
          <w:color w:val="FF0000"/>
          <w:lang w:eastAsia="zh-CN"/>
        </w:rPr>
        <w:tab/>
      </w:r>
      <w:r>
        <w:rPr>
          <w:rStyle w:val="92"/>
          <w:rFonts w:hint="eastAsia"/>
          <w:bCs/>
          <w:color w:val="FF0000"/>
          <w:lang w:val="en-US" w:eastAsia="zh-CN"/>
        </w:rPr>
        <w:t>表3.1.6-1  羊养殖用水定额</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773"/>
        <w:gridCol w:w="1697"/>
        <w:gridCol w:w="1440"/>
        <w:gridCol w:w="1065"/>
        <w:gridCol w:w="1169"/>
        <w:gridCol w:w="1384"/>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040" w:type="pct"/>
            <w:vMerge w:val="restart"/>
            <w:vAlign w:val="center"/>
          </w:tcPr>
          <w:p>
            <w:pPr>
              <w:pStyle w:val="232"/>
              <w:rPr>
                <w:color w:val="FF0000"/>
              </w:rPr>
            </w:pPr>
            <w:r>
              <w:rPr>
                <w:rFonts w:hint="eastAsia"/>
                <w:color w:val="FF0000"/>
              </w:rPr>
              <w:t>牛群种类</w:t>
            </w:r>
          </w:p>
        </w:tc>
        <w:tc>
          <w:tcPr>
            <w:tcW w:w="995" w:type="pct"/>
            <w:vMerge w:val="restart"/>
            <w:shd w:val="clear" w:color="auto" w:fill="auto"/>
            <w:vAlign w:val="center"/>
          </w:tcPr>
          <w:p>
            <w:pPr>
              <w:pStyle w:val="232"/>
              <w:rPr>
                <w:color w:val="FF0000"/>
              </w:rPr>
            </w:pPr>
            <w:r>
              <w:rPr>
                <w:rFonts w:hint="eastAsia"/>
                <w:color w:val="FF0000"/>
              </w:rPr>
              <w:t>数目</w:t>
            </w:r>
          </w:p>
        </w:tc>
        <w:tc>
          <w:tcPr>
            <w:tcW w:w="1468" w:type="pct"/>
            <w:gridSpan w:val="2"/>
            <w:shd w:val="clear" w:color="auto" w:fill="auto"/>
            <w:vAlign w:val="center"/>
          </w:tcPr>
          <w:p>
            <w:pPr>
              <w:pStyle w:val="232"/>
              <w:rPr>
                <w:color w:val="FF0000"/>
              </w:rPr>
            </w:pPr>
            <w:r>
              <w:rPr>
                <w:rFonts w:hint="eastAsia"/>
                <w:color w:val="FF0000"/>
              </w:rPr>
              <w:t>夏季（180天计）</w:t>
            </w:r>
          </w:p>
        </w:tc>
        <w:tc>
          <w:tcPr>
            <w:tcW w:w="1495" w:type="pct"/>
            <w:gridSpan w:val="2"/>
            <w:shd w:val="clear" w:color="auto" w:fill="auto"/>
            <w:vAlign w:val="center"/>
          </w:tcPr>
          <w:p>
            <w:pPr>
              <w:pStyle w:val="232"/>
              <w:rPr>
                <w:color w:val="FF0000"/>
              </w:rPr>
            </w:pPr>
            <w:r>
              <w:rPr>
                <w:rFonts w:hint="eastAsia"/>
                <w:color w:val="FF0000"/>
              </w:rPr>
              <w:t>冬季（185天计）</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040" w:type="pct"/>
            <w:vMerge w:val="continue"/>
            <w:vAlign w:val="center"/>
          </w:tcPr>
          <w:p>
            <w:pPr>
              <w:pStyle w:val="232"/>
              <w:rPr>
                <w:color w:val="FF0000"/>
              </w:rPr>
            </w:pPr>
          </w:p>
        </w:tc>
        <w:tc>
          <w:tcPr>
            <w:tcW w:w="995" w:type="pct"/>
            <w:vMerge w:val="continue"/>
            <w:vAlign w:val="center"/>
          </w:tcPr>
          <w:p>
            <w:pPr>
              <w:pStyle w:val="232"/>
              <w:rPr>
                <w:color w:val="FF0000"/>
              </w:rPr>
            </w:pPr>
          </w:p>
        </w:tc>
        <w:tc>
          <w:tcPr>
            <w:tcW w:w="844" w:type="pct"/>
            <w:shd w:val="clear" w:color="auto" w:fill="auto"/>
            <w:vAlign w:val="center"/>
          </w:tcPr>
          <w:p>
            <w:pPr>
              <w:pStyle w:val="232"/>
              <w:rPr>
                <w:color w:val="FF0000"/>
              </w:rPr>
            </w:pPr>
            <w:r>
              <w:rPr>
                <w:rFonts w:hint="eastAsia"/>
                <w:color w:val="FF0000"/>
              </w:rPr>
              <w:t>L/只·d</w:t>
            </w:r>
          </w:p>
        </w:tc>
        <w:tc>
          <w:tcPr>
            <w:tcW w:w="624" w:type="pct"/>
            <w:shd w:val="clear" w:color="auto" w:fill="auto"/>
            <w:vAlign w:val="center"/>
          </w:tcPr>
          <w:p>
            <w:pPr>
              <w:pStyle w:val="232"/>
              <w:rPr>
                <w:color w:val="FF0000"/>
              </w:rPr>
            </w:pPr>
            <w:r>
              <w:rPr>
                <w:rFonts w:hint="eastAsia"/>
                <w:color w:val="FF0000"/>
              </w:rPr>
              <w:t>t/d</w:t>
            </w:r>
          </w:p>
        </w:tc>
        <w:tc>
          <w:tcPr>
            <w:tcW w:w="685" w:type="pct"/>
            <w:shd w:val="clear" w:color="auto" w:fill="auto"/>
            <w:vAlign w:val="center"/>
          </w:tcPr>
          <w:p>
            <w:pPr>
              <w:pStyle w:val="232"/>
              <w:rPr>
                <w:color w:val="FF0000"/>
              </w:rPr>
            </w:pPr>
            <w:r>
              <w:rPr>
                <w:rFonts w:hint="eastAsia"/>
                <w:color w:val="FF0000"/>
              </w:rPr>
              <w:t>L/只·d</w:t>
            </w:r>
          </w:p>
        </w:tc>
        <w:tc>
          <w:tcPr>
            <w:tcW w:w="809" w:type="pct"/>
            <w:shd w:val="clear" w:color="auto" w:fill="auto"/>
            <w:vAlign w:val="center"/>
          </w:tcPr>
          <w:p>
            <w:pPr>
              <w:pStyle w:val="232"/>
              <w:rPr>
                <w:color w:val="FF0000"/>
              </w:rPr>
            </w:pPr>
            <w:r>
              <w:rPr>
                <w:rFonts w:hint="eastAsia"/>
                <w:color w:val="FF0000"/>
              </w:rPr>
              <w:t>t/d</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040" w:type="pct"/>
            <w:vAlign w:val="center"/>
          </w:tcPr>
          <w:p>
            <w:pPr>
              <w:pStyle w:val="232"/>
              <w:rPr>
                <w:color w:val="FF0000"/>
              </w:rPr>
            </w:pPr>
            <w:r>
              <w:rPr>
                <w:rFonts w:hint="eastAsia"/>
                <w:color w:val="FF0000"/>
                <w:lang w:val="en-US" w:eastAsia="zh-CN"/>
              </w:rPr>
              <w:t>肉羊</w:t>
            </w:r>
          </w:p>
        </w:tc>
        <w:tc>
          <w:tcPr>
            <w:tcW w:w="995" w:type="pct"/>
            <w:shd w:val="clear" w:color="auto" w:fill="auto"/>
            <w:vAlign w:val="center"/>
          </w:tcPr>
          <w:p>
            <w:pPr>
              <w:pStyle w:val="232"/>
              <w:rPr>
                <w:rFonts w:hint="default" w:eastAsia="宋体"/>
                <w:color w:val="FF0000"/>
                <w:lang w:val="en-US" w:eastAsia="zh-CN"/>
              </w:rPr>
            </w:pPr>
            <w:r>
              <w:rPr>
                <w:rFonts w:hint="eastAsia"/>
                <w:color w:val="FF0000"/>
                <w:lang w:val="en-US" w:eastAsia="zh-CN"/>
              </w:rPr>
              <w:t>50万只</w:t>
            </w:r>
          </w:p>
        </w:tc>
        <w:tc>
          <w:tcPr>
            <w:tcW w:w="844" w:type="pct"/>
            <w:shd w:val="clear" w:color="auto" w:fill="auto"/>
            <w:vAlign w:val="center"/>
          </w:tcPr>
          <w:p>
            <w:pPr>
              <w:pStyle w:val="232"/>
              <w:rPr>
                <w:rFonts w:hint="default" w:eastAsia="宋体"/>
                <w:color w:val="FF0000"/>
                <w:lang w:val="en-US" w:eastAsia="zh-CN"/>
              </w:rPr>
            </w:pPr>
            <w:r>
              <w:rPr>
                <w:rFonts w:hint="eastAsia"/>
                <w:color w:val="FF0000"/>
                <w:lang w:val="en-US" w:eastAsia="zh-CN"/>
              </w:rPr>
              <w:t>10</w:t>
            </w:r>
          </w:p>
        </w:tc>
        <w:tc>
          <w:tcPr>
            <w:tcW w:w="624" w:type="pct"/>
            <w:shd w:val="clear" w:color="auto" w:fill="auto"/>
            <w:vAlign w:val="center"/>
          </w:tcPr>
          <w:p>
            <w:pPr>
              <w:pStyle w:val="232"/>
              <w:rPr>
                <w:color w:val="FF0000"/>
              </w:rPr>
            </w:pPr>
            <w:r>
              <w:rPr>
                <w:rFonts w:hint="eastAsia"/>
                <w:color w:val="FF0000"/>
              </w:rPr>
              <w:t>50</w:t>
            </w:r>
            <w:r>
              <w:rPr>
                <w:color w:val="FF0000"/>
              </w:rPr>
              <w:t>00</w:t>
            </w:r>
          </w:p>
        </w:tc>
        <w:tc>
          <w:tcPr>
            <w:tcW w:w="685" w:type="pct"/>
            <w:shd w:val="clear" w:color="auto" w:fill="auto"/>
            <w:vAlign w:val="center"/>
          </w:tcPr>
          <w:p>
            <w:pPr>
              <w:pStyle w:val="232"/>
              <w:rPr>
                <w:color w:val="FF0000"/>
              </w:rPr>
            </w:pPr>
            <w:r>
              <w:rPr>
                <w:rFonts w:hint="eastAsia"/>
                <w:color w:val="FF0000"/>
                <w:lang w:val="en-US" w:eastAsia="zh-CN"/>
              </w:rPr>
              <w:t>8</w:t>
            </w:r>
          </w:p>
        </w:tc>
        <w:tc>
          <w:tcPr>
            <w:tcW w:w="809" w:type="pct"/>
            <w:shd w:val="clear" w:color="auto" w:fill="auto"/>
            <w:vAlign w:val="center"/>
          </w:tcPr>
          <w:p>
            <w:pPr>
              <w:pStyle w:val="232"/>
              <w:rPr>
                <w:rFonts w:hint="default" w:eastAsia="宋体"/>
                <w:color w:val="FF0000"/>
                <w:lang w:val="en-US" w:eastAsia="zh-CN"/>
              </w:rPr>
            </w:pPr>
            <w:r>
              <w:rPr>
                <w:rFonts w:hint="eastAsia"/>
                <w:color w:val="FF0000"/>
                <w:lang w:val="en-US" w:eastAsia="zh-CN"/>
              </w:rPr>
              <w:t>4000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35" w:type="pct"/>
            <w:gridSpan w:val="2"/>
            <w:vAlign w:val="center"/>
          </w:tcPr>
          <w:p>
            <w:pPr>
              <w:pStyle w:val="232"/>
              <w:rPr>
                <w:rFonts w:hint="eastAsia" w:eastAsia="宋体"/>
                <w:color w:val="FF0000"/>
                <w:lang w:eastAsia="zh-CN"/>
              </w:rPr>
            </w:pPr>
            <w:r>
              <w:rPr>
                <w:rFonts w:hint="eastAsia"/>
                <w:color w:val="FF0000"/>
                <w:lang w:val="en-US" w:eastAsia="zh-CN"/>
              </w:rPr>
              <w:t>年</w:t>
            </w:r>
            <w:r>
              <w:rPr>
                <w:rFonts w:hint="eastAsia"/>
                <w:color w:val="FF0000"/>
              </w:rPr>
              <w:t>饮用水量m</w:t>
            </w:r>
            <w:r>
              <w:rPr>
                <w:rFonts w:hint="eastAsia"/>
                <w:color w:val="FF0000"/>
                <w:vertAlign w:val="superscript"/>
              </w:rPr>
              <w:t>3</w:t>
            </w:r>
            <w:r>
              <w:rPr>
                <w:rFonts w:hint="eastAsia"/>
                <w:color w:val="FF0000"/>
              </w:rPr>
              <w:t>/</w:t>
            </w:r>
            <w:r>
              <w:rPr>
                <w:rFonts w:hint="eastAsia"/>
                <w:color w:val="FF0000"/>
                <w:lang w:val="en-US" w:eastAsia="zh-CN"/>
              </w:rPr>
              <w:t>a</w:t>
            </w:r>
          </w:p>
        </w:tc>
        <w:tc>
          <w:tcPr>
            <w:tcW w:w="2964" w:type="pct"/>
            <w:gridSpan w:val="4"/>
            <w:shd w:val="clear" w:color="auto" w:fill="auto"/>
            <w:vAlign w:val="center"/>
          </w:tcPr>
          <w:p>
            <w:pPr>
              <w:pStyle w:val="232"/>
              <w:rPr>
                <w:rFonts w:hint="default" w:eastAsia="宋体"/>
                <w:color w:val="FF0000"/>
                <w:lang w:val="en-US" w:eastAsia="zh-CN"/>
              </w:rPr>
            </w:pPr>
            <w:r>
              <w:rPr>
                <w:rFonts w:hint="eastAsia"/>
                <w:color w:val="FF0000"/>
                <w:lang w:val="en-US" w:eastAsia="zh-CN"/>
              </w:rPr>
              <w:t>164万</w:t>
            </w:r>
          </w:p>
        </w:tc>
      </w:tr>
    </w:tbl>
    <w:p>
      <w:pPr>
        <w:pStyle w:val="6"/>
        <w:bidi w:val="0"/>
        <w:rPr>
          <w:rStyle w:val="92"/>
          <w:rFonts w:hint="eastAsia"/>
          <w:bCs/>
          <w:color w:val="FF0000"/>
          <w:lang w:val="en-US" w:eastAsia="zh-CN"/>
        </w:rPr>
      </w:pPr>
      <w:r>
        <w:rPr>
          <w:rStyle w:val="92"/>
          <w:rFonts w:hint="eastAsia"/>
          <w:bCs/>
          <w:color w:val="FF0000"/>
          <w:lang w:val="en-US" w:eastAsia="zh-CN"/>
        </w:rPr>
        <w:t>表3.1.6-2  羊养殖饲料含水量明细表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1705"/>
        <w:gridCol w:w="1706"/>
        <w:gridCol w:w="170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Merge w:val="restart"/>
            <w:shd w:val="clear" w:color="auto" w:fill="auto"/>
            <w:vAlign w:val="center"/>
          </w:tcPr>
          <w:p>
            <w:pPr>
              <w:pStyle w:val="232"/>
              <w:rPr>
                <w:color w:val="FF0000"/>
              </w:rPr>
            </w:pPr>
            <w:r>
              <w:rPr>
                <w:rFonts w:hint="eastAsia"/>
                <w:color w:val="FF0000"/>
              </w:rPr>
              <w:t>项目</w:t>
            </w:r>
          </w:p>
        </w:tc>
        <w:tc>
          <w:tcPr>
            <w:tcW w:w="3000" w:type="pct"/>
            <w:gridSpan w:val="3"/>
            <w:shd w:val="clear" w:color="auto" w:fill="auto"/>
            <w:vAlign w:val="center"/>
          </w:tcPr>
          <w:p>
            <w:pPr>
              <w:pStyle w:val="232"/>
              <w:rPr>
                <w:color w:val="FF0000"/>
              </w:rPr>
            </w:pPr>
            <w:r>
              <w:rPr>
                <w:rFonts w:hint="eastAsia"/>
                <w:color w:val="FF0000"/>
              </w:rPr>
              <w:t>饲料种类</w:t>
            </w:r>
          </w:p>
        </w:tc>
        <w:tc>
          <w:tcPr>
            <w:tcW w:w="1000" w:type="pct"/>
            <w:vMerge w:val="restart"/>
            <w:shd w:val="clear" w:color="auto" w:fill="auto"/>
            <w:vAlign w:val="center"/>
          </w:tcPr>
          <w:p>
            <w:pPr>
              <w:pStyle w:val="232"/>
              <w:rPr>
                <w:color w:val="FF0000"/>
              </w:rPr>
            </w:pPr>
            <w:r>
              <w:rPr>
                <w:rFonts w:hint="eastAsia"/>
                <w:color w:val="FF000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Merge w:val="continue"/>
            <w:vAlign w:val="center"/>
          </w:tcPr>
          <w:p>
            <w:pPr>
              <w:pStyle w:val="232"/>
              <w:rPr>
                <w:color w:val="FF0000"/>
              </w:rPr>
            </w:pPr>
          </w:p>
        </w:tc>
        <w:tc>
          <w:tcPr>
            <w:tcW w:w="1000" w:type="pct"/>
            <w:shd w:val="clear" w:color="auto" w:fill="auto"/>
            <w:vAlign w:val="center"/>
          </w:tcPr>
          <w:p>
            <w:pPr>
              <w:pStyle w:val="232"/>
              <w:rPr>
                <w:color w:val="FF0000"/>
              </w:rPr>
            </w:pPr>
            <w:r>
              <w:rPr>
                <w:rFonts w:hint="eastAsia"/>
                <w:color w:val="FF0000"/>
              </w:rPr>
              <w:t>精饲料</w:t>
            </w:r>
          </w:p>
        </w:tc>
        <w:tc>
          <w:tcPr>
            <w:tcW w:w="1000" w:type="pct"/>
            <w:shd w:val="clear" w:color="auto" w:fill="auto"/>
            <w:vAlign w:val="center"/>
          </w:tcPr>
          <w:p>
            <w:pPr>
              <w:pStyle w:val="232"/>
              <w:rPr>
                <w:rFonts w:hint="eastAsia" w:eastAsia="宋体"/>
                <w:color w:val="FF0000"/>
                <w:lang w:eastAsia="zh-CN"/>
              </w:rPr>
            </w:pPr>
            <w:r>
              <w:rPr>
                <w:rFonts w:hint="eastAsia"/>
                <w:color w:val="FF0000"/>
                <w:lang w:val="en-US" w:eastAsia="zh-CN"/>
              </w:rPr>
              <w:t>粗料</w:t>
            </w:r>
          </w:p>
        </w:tc>
        <w:tc>
          <w:tcPr>
            <w:tcW w:w="1000" w:type="pct"/>
            <w:shd w:val="clear" w:color="auto" w:fill="auto"/>
            <w:vAlign w:val="center"/>
          </w:tcPr>
          <w:p>
            <w:pPr>
              <w:pStyle w:val="232"/>
              <w:rPr>
                <w:color w:val="FF0000"/>
              </w:rPr>
            </w:pPr>
            <w:r>
              <w:rPr>
                <w:rFonts w:hint="eastAsia"/>
                <w:color w:val="FF0000"/>
              </w:rPr>
              <w:t>青贮</w:t>
            </w:r>
          </w:p>
        </w:tc>
        <w:tc>
          <w:tcPr>
            <w:tcW w:w="1000" w:type="pct"/>
            <w:vMerge w:val="continue"/>
            <w:vAlign w:val="center"/>
          </w:tcPr>
          <w:p>
            <w:pPr>
              <w:pStyle w:val="232"/>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shd w:val="clear" w:color="auto" w:fill="auto"/>
            <w:vAlign w:val="center"/>
          </w:tcPr>
          <w:p>
            <w:pPr>
              <w:pStyle w:val="232"/>
              <w:rPr>
                <w:color w:val="FF0000"/>
              </w:rPr>
            </w:pPr>
            <w:r>
              <w:rPr>
                <w:rFonts w:hint="eastAsia"/>
                <w:color w:val="FF0000"/>
              </w:rPr>
              <w:t>用量（</w:t>
            </w:r>
            <w:r>
              <w:rPr>
                <w:color w:val="FF0000"/>
              </w:rPr>
              <w:t>t/a</w:t>
            </w:r>
            <w:r>
              <w:rPr>
                <w:rFonts w:hint="eastAsia"/>
                <w:color w:val="FF0000"/>
              </w:rPr>
              <w:t>）</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2920</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4380</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7300</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14600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shd w:val="clear" w:color="auto" w:fill="auto"/>
            <w:vAlign w:val="center"/>
          </w:tcPr>
          <w:p>
            <w:pPr>
              <w:pStyle w:val="232"/>
              <w:rPr>
                <w:color w:val="FF0000"/>
              </w:rPr>
            </w:pPr>
            <w:r>
              <w:rPr>
                <w:rFonts w:hint="eastAsia"/>
                <w:color w:val="FF0000"/>
              </w:rPr>
              <w:t>含水率（</w:t>
            </w:r>
            <w:r>
              <w:rPr>
                <w:color w:val="FF0000"/>
              </w:rPr>
              <w:t>%</w:t>
            </w:r>
            <w:r>
              <w:rPr>
                <w:rFonts w:hint="eastAsia"/>
                <w:color w:val="FF0000"/>
              </w:rPr>
              <w:t>）</w:t>
            </w:r>
          </w:p>
        </w:tc>
        <w:tc>
          <w:tcPr>
            <w:tcW w:w="1000" w:type="pct"/>
            <w:shd w:val="clear" w:color="auto" w:fill="auto"/>
            <w:vAlign w:val="center"/>
          </w:tcPr>
          <w:p>
            <w:pPr>
              <w:pStyle w:val="232"/>
              <w:rPr>
                <w:color w:val="FF0000"/>
              </w:rPr>
            </w:pPr>
            <w:r>
              <w:rPr>
                <w:color w:val="FF0000"/>
              </w:rPr>
              <w:t>10</w:t>
            </w:r>
          </w:p>
        </w:tc>
        <w:tc>
          <w:tcPr>
            <w:tcW w:w="1000" w:type="pct"/>
            <w:shd w:val="clear" w:color="auto" w:fill="auto"/>
            <w:vAlign w:val="center"/>
          </w:tcPr>
          <w:p>
            <w:pPr>
              <w:pStyle w:val="232"/>
              <w:rPr>
                <w:color w:val="FF0000"/>
              </w:rPr>
            </w:pPr>
            <w:r>
              <w:rPr>
                <w:color w:val="FF0000"/>
              </w:rPr>
              <w:t>25</w:t>
            </w:r>
          </w:p>
        </w:tc>
        <w:tc>
          <w:tcPr>
            <w:tcW w:w="1000" w:type="pct"/>
            <w:shd w:val="clear" w:color="auto" w:fill="auto"/>
            <w:vAlign w:val="center"/>
          </w:tcPr>
          <w:p>
            <w:pPr>
              <w:pStyle w:val="232"/>
              <w:rPr>
                <w:color w:val="FF0000"/>
              </w:rPr>
            </w:pPr>
            <w:r>
              <w:rPr>
                <w:color w:val="FF0000"/>
              </w:rPr>
              <w:t>35</w:t>
            </w:r>
          </w:p>
        </w:tc>
        <w:tc>
          <w:tcPr>
            <w:tcW w:w="1000" w:type="pct"/>
            <w:shd w:val="clear" w:color="auto" w:fill="auto"/>
            <w:vAlign w:val="center"/>
          </w:tcPr>
          <w:p>
            <w:pPr>
              <w:pStyle w:val="232"/>
              <w:rPr>
                <w:color w:val="FF0000"/>
              </w:rPr>
            </w:pPr>
            <w:r>
              <w:rPr>
                <w:color w:val="FF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shd w:val="clear" w:color="auto" w:fill="auto"/>
            <w:vAlign w:val="center"/>
          </w:tcPr>
          <w:p>
            <w:pPr>
              <w:pStyle w:val="232"/>
              <w:rPr>
                <w:color w:val="FF0000"/>
              </w:rPr>
            </w:pPr>
            <w:r>
              <w:rPr>
                <w:rFonts w:hint="eastAsia"/>
                <w:color w:val="FF0000"/>
              </w:rPr>
              <w:t>含水量（</w:t>
            </w:r>
            <w:r>
              <w:rPr>
                <w:color w:val="FF0000"/>
              </w:rPr>
              <w:t>t/a</w:t>
            </w:r>
            <w:r>
              <w:rPr>
                <w:rFonts w:hint="eastAsia"/>
                <w:color w:val="FF0000"/>
              </w:rPr>
              <w:t>）</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292</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1095</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2555</w:t>
            </w:r>
          </w:p>
        </w:tc>
        <w:tc>
          <w:tcPr>
            <w:tcW w:w="1000" w:type="pct"/>
            <w:shd w:val="clear" w:color="auto" w:fill="auto"/>
            <w:vAlign w:val="center"/>
          </w:tcPr>
          <w:p>
            <w:pPr>
              <w:pStyle w:val="232"/>
              <w:rPr>
                <w:rFonts w:hint="default" w:eastAsia="宋体"/>
                <w:color w:val="FF0000"/>
                <w:lang w:val="en-US" w:eastAsia="zh-CN"/>
              </w:rPr>
            </w:pPr>
            <w:r>
              <w:rPr>
                <w:rFonts w:hint="eastAsia"/>
                <w:color w:val="FF0000"/>
                <w:lang w:val="en-US" w:eastAsia="zh-CN"/>
              </w:rPr>
              <w:t>3942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shd w:val="clear" w:color="auto" w:fill="auto"/>
            <w:vAlign w:val="center"/>
          </w:tcPr>
          <w:p>
            <w:pPr>
              <w:pStyle w:val="232"/>
              <w:jc w:val="left"/>
              <w:rPr>
                <w:color w:val="FF0000"/>
              </w:rPr>
            </w:pPr>
            <w:r>
              <w:rPr>
                <w:rFonts w:hint="eastAsia"/>
                <w:color w:val="FF0000"/>
              </w:rPr>
              <w:t>注：饲料带入水平均</w:t>
            </w:r>
            <w:r>
              <w:rPr>
                <w:rFonts w:hint="eastAsia"/>
                <w:color w:val="FF0000"/>
                <w:lang w:val="en-US" w:eastAsia="zh-CN"/>
              </w:rPr>
              <w:t>10.8</w:t>
            </w:r>
            <w:r>
              <w:rPr>
                <w:color w:val="FF0000"/>
              </w:rPr>
              <w:t>0m</w:t>
            </w:r>
            <w:r>
              <w:rPr>
                <w:color w:val="FF0000"/>
                <w:vertAlign w:val="superscript"/>
              </w:rPr>
              <w:t>3</w:t>
            </w:r>
            <w:r>
              <w:rPr>
                <w:color w:val="FF0000"/>
              </w:rPr>
              <w:t>/d</w:t>
            </w:r>
            <w:r>
              <w:rPr>
                <w:rFonts w:hint="eastAsia"/>
                <w:color w:val="FF0000"/>
              </w:rPr>
              <w:t>。</w:t>
            </w:r>
          </w:p>
        </w:tc>
      </w:tr>
    </w:tbl>
    <w:p>
      <w:pPr>
        <w:rPr>
          <w:rFonts w:hint="default"/>
          <w:lang w:val="en-US" w:eastAsia="zh-CN"/>
        </w:rPr>
      </w:pPr>
    </w:p>
    <w:p>
      <w:pPr>
        <w:rPr>
          <w:rFonts w:hint="default"/>
          <w:lang w:val="en-US" w:eastAsia="zh-CN"/>
        </w:rPr>
      </w:pPr>
      <w:r>
        <w:rPr>
          <w:rFonts w:hint="eastAsia"/>
          <w:lang w:val="en-US" w:eastAsia="zh-CN"/>
        </w:rPr>
        <w:t>综上，羊群饲养过程中摄入水分为夏季5010.8t/d，冬季4010.8t/d。</w:t>
      </w:r>
    </w:p>
    <w:p>
      <w:pPr>
        <w:tabs>
          <w:tab w:val="left" w:pos="6480"/>
        </w:tabs>
        <w:ind w:firstLine="480"/>
      </w:pPr>
      <w:r>
        <w:rPr>
          <w:rFonts w:hint="eastAsia"/>
        </w:rPr>
        <w:t>③消毒用水</w:t>
      </w:r>
    </w:p>
    <w:p>
      <w:pPr>
        <w:tabs>
          <w:tab w:val="left" w:pos="6480"/>
        </w:tabs>
        <w:ind w:firstLine="480"/>
      </w:pPr>
      <w:r>
        <w:rPr>
          <w:rFonts w:hint="eastAsia"/>
        </w:rPr>
        <w:t>项目</w:t>
      </w:r>
      <w:r>
        <w:t>平均每周</w:t>
      </w:r>
      <w:r>
        <w:rPr>
          <w:rFonts w:hint="eastAsia"/>
        </w:rPr>
        <w:t>对羊舍进行一次</w:t>
      </w:r>
      <w:r>
        <w:t>消毒，</w:t>
      </w:r>
      <w:r>
        <w:rPr>
          <w:rFonts w:hint="eastAsia"/>
        </w:rPr>
        <w:t>平均每次消毒用水为0.</w:t>
      </w:r>
      <w:r>
        <w:t>0</w:t>
      </w:r>
      <w:r>
        <w:rPr>
          <w:rFonts w:hint="eastAsia"/>
        </w:rPr>
        <w:t>1L/头，项目常年存栏量50万只，因此消毒一次用水量为5t，一年按52次计，年消毒用水为260t/a，平均每天用水量为0.72</w:t>
      </w:r>
      <w:r>
        <w:t>m</w:t>
      </w:r>
      <w:r>
        <w:rPr>
          <w:rFonts w:hint="eastAsia"/>
          <w:vertAlign w:val="superscript"/>
        </w:rPr>
        <w:t>3</w:t>
      </w:r>
      <w:r>
        <w:rPr>
          <w:rFonts w:hint="eastAsia"/>
        </w:rPr>
        <w:t>/d。项目消毒液不排入环境，只定期加入清水和药剂，评价对其不作污染源考虑，全部蒸发消耗。</w:t>
      </w:r>
    </w:p>
    <w:p>
      <w:pPr>
        <w:ind w:firstLine="48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④</w:t>
      </w:r>
      <w:r>
        <w:rPr>
          <w:rFonts w:hint="eastAsia"/>
          <w:color w:val="000000" w:themeColor="text1"/>
          <w14:textFill>
            <w14:solidFill>
              <w14:schemeClr w14:val="tx1"/>
            </w14:solidFill>
          </w14:textFill>
        </w:rPr>
        <w:t>绿化用水</w:t>
      </w:r>
    </w:p>
    <w:p>
      <w:pPr>
        <w:ind w:firstLine="480"/>
      </w:pPr>
      <w:r>
        <w:rPr>
          <w:rFonts w:hint="eastAsia"/>
        </w:rPr>
        <w:t>项目绿化面积为12500m</w:t>
      </w:r>
      <w:r>
        <w:rPr>
          <w:rFonts w:hint="eastAsia"/>
          <w:vertAlign w:val="superscript"/>
        </w:rPr>
        <w:t>2</w:t>
      </w:r>
      <w:r>
        <w:rPr>
          <w:rFonts w:hint="eastAsia"/>
        </w:rPr>
        <w:t>，</w:t>
      </w:r>
      <w:r>
        <w:t>根据《内蒙古行业用水定额（DB15T385-2020）》</w:t>
      </w:r>
      <w:r>
        <w:rPr>
          <w:rFonts w:hint="eastAsia"/>
        </w:rPr>
        <w:t>，区域绿地绿化用水为1.1</w:t>
      </w:r>
      <w:r>
        <w:t>L/（m</w:t>
      </w:r>
      <w:r>
        <w:rPr>
          <w:vertAlign w:val="superscript"/>
        </w:rPr>
        <w:t>2</w:t>
      </w:r>
      <w:r>
        <w:rPr>
          <w:rFonts w:hint="eastAsia"/>
        </w:rPr>
        <w:t>·</w:t>
      </w:r>
      <w:r>
        <w:t>d）</w:t>
      </w:r>
      <w:r>
        <w:rPr>
          <w:rFonts w:hint="eastAsia"/>
        </w:rPr>
        <w:t>，按180天计，项目用水量为27.5m</w:t>
      </w:r>
      <w:r>
        <w:rPr>
          <w:rFonts w:hint="eastAsia"/>
          <w:vertAlign w:val="superscript"/>
        </w:rPr>
        <w:t>3</w:t>
      </w:r>
      <w:r>
        <w:rPr>
          <w:rFonts w:hint="eastAsia"/>
        </w:rPr>
        <w:t>/d（4950m</w:t>
      </w:r>
      <w:r>
        <w:rPr>
          <w:rFonts w:hint="eastAsia"/>
          <w:vertAlign w:val="superscript"/>
        </w:rPr>
        <w:t>3</w:t>
      </w:r>
      <w:r>
        <w:rPr>
          <w:rFonts w:hint="eastAsia"/>
        </w:rPr>
        <w:t>/a），通过植物吸收及蒸发带走不外排。</w:t>
      </w:r>
    </w:p>
    <w:p>
      <w:pPr>
        <w:numPr>
          <w:ilvl w:val="0"/>
          <w:numId w:val="7"/>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排水</w:t>
      </w:r>
    </w:p>
    <w:p>
      <w:pPr>
        <w:ind w:firstLine="480"/>
      </w:pPr>
      <w:r>
        <w:rPr>
          <w:rFonts w:hint="eastAsia"/>
        </w:rPr>
        <w:t>①生活污水</w:t>
      </w:r>
    </w:p>
    <w:p>
      <w:pPr>
        <w:ind w:firstLine="480"/>
      </w:pPr>
      <w:r>
        <w:t>生活污水排放按用水量的80%计，排</w:t>
      </w:r>
      <w:r>
        <w:rPr>
          <w:rFonts w:hint="eastAsia"/>
        </w:rPr>
        <w:t>水</w:t>
      </w:r>
      <w:r>
        <w:t>量</w:t>
      </w:r>
      <w:r>
        <w:rPr>
          <w:rFonts w:hint="eastAsia"/>
        </w:rPr>
        <w:t>21.6</w:t>
      </w:r>
      <w:r>
        <w:t>m</w:t>
      </w:r>
      <w:r>
        <w:rPr>
          <w:rFonts w:hint="eastAsia"/>
          <w:vertAlign w:val="superscript"/>
        </w:rPr>
        <w:t>3</w:t>
      </w:r>
      <w:r>
        <w:t>/d</w:t>
      </w:r>
      <w:r>
        <w:rPr>
          <w:rFonts w:hint="eastAsia"/>
        </w:rPr>
        <w:t>（7884</w:t>
      </w:r>
      <w:r>
        <w:t>m</w:t>
      </w:r>
      <w:r>
        <w:rPr>
          <w:rFonts w:hint="eastAsia"/>
          <w:vertAlign w:val="superscript"/>
        </w:rPr>
        <w:t>3</w:t>
      </w:r>
      <w:r>
        <w:t>/a</w:t>
      </w:r>
      <w:r>
        <w:rPr>
          <w:rFonts w:hint="eastAsia"/>
        </w:rPr>
        <w:t>），</w:t>
      </w:r>
      <w:r>
        <w:rPr>
          <w:rFonts w:hint="eastAsia" w:ascii="Times New Roman" w:eastAsia="宋体"/>
          <w:color w:val="FF0000"/>
          <w:szCs w:val="21"/>
          <w:lang w:val="zh-CN"/>
        </w:rPr>
        <w:t>经化粪池处理后定期委托</w:t>
      </w:r>
      <w:r>
        <w:rPr>
          <w:rFonts w:hint="eastAsia"/>
          <w:color w:val="92D050"/>
          <w:lang w:val="zh-CN"/>
        </w:rPr>
        <w:t>五原县</w:t>
      </w:r>
      <w:r>
        <w:rPr>
          <w:rFonts w:hint="eastAsia"/>
          <w:color w:val="92D050"/>
          <w:lang w:val="en-US" w:eastAsia="zh-CN"/>
        </w:rPr>
        <w:t>塔尔湖</w:t>
      </w:r>
      <w:r>
        <w:rPr>
          <w:rFonts w:hint="eastAsia"/>
          <w:color w:val="92D050"/>
          <w:lang w:val="zh-CN"/>
        </w:rPr>
        <w:t>污水处理厂</w:t>
      </w:r>
      <w:r>
        <w:rPr>
          <w:rFonts w:hint="eastAsia" w:ascii="Times New Roman" w:eastAsia="宋体"/>
          <w:color w:val="FF0000"/>
          <w:szCs w:val="21"/>
          <w:lang w:val="zh-CN"/>
        </w:rPr>
        <w:t>采用罐车清运处理</w:t>
      </w:r>
      <w:r>
        <w:rPr>
          <w:rFonts w:hint="eastAsia"/>
        </w:rPr>
        <w:t>。</w:t>
      </w:r>
    </w:p>
    <w:p>
      <w:pPr>
        <w:ind w:firstLine="480"/>
      </w:pPr>
      <w:r>
        <w:rPr>
          <w:rFonts w:hint="eastAsia"/>
        </w:rPr>
        <w:t>②养殖废水</w:t>
      </w:r>
    </w:p>
    <w:p>
      <w:pPr>
        <w:ind w:firstLine="480"/>
        <w:rPr>
          <w:rFonts w:hint="eastAsia"/>
        </w:rPr>
      </w:pPr>
      <w:r>
        <w:rPr>
          <w:rFonts w:hint="eastAsia"/>
        </w:rPr>
        <w:t>羊群排水方面为尿液，按照《畜禽养殖业污染物排放标准》</w:t>
      </w:r>
      <w:r>
        <w:rPr>
          <w:rFonts w:hint="eastAsia"/>
          <w:lang w:val="en-US" w:eastAsia="zh-CN"/>
        </w:rPr>
        <w:t>和《排污许可证申请与核发技术规范 畜禽养殖行业》（HJ 1029—2019）</w:t>
      </w:r>
      <w:r>
        <w:rPr>
          <w:rFonts w:hint="eastAsia"/>
        </w:rPr>
        <w:t>，3只羊换算成1头猪，故本项目50万只羊折合为16.7万头猪，根据《畜禽养殖业污染治理工程技术规范》（HJ497-2009），一头猪尿液排放量为3</w:t>
      </w:r>
      <w:r>
        <w:t>.</w:t>
      </w:r>
      <w:r>
        <w:rPr>
          <w:rFonts w:hint="eastAsia"/>
        </w:rPr>
        <w:t>3kg/头·d，则本项目尿液产生总量为550</w:t>
      </w:r>
      <w:r>
        <w:rPr>
          <w:rFonts w:hint="eastAsia"/>
          <w:lang w:val="en-US" w:eastAsia="zh-CN"/>
        </w:rPr>
        <w:t>t</w:t>
      </w:r>
      <w:r>
        <w:rPr>
          <w:rFonts w:hint="eastAsia"/>
        </w:rPr>
        <w:t>/d</w:t>
      </w:r>
      <w:r>
        <w:rPr>
          <w:rFonts w:hint="eastAsia"/>
          <w:lang w:eastAsia="zh-CN"/>
        </w:rPr>
        <w:t>（</w:t>
      </w:r>
      <w:r>
        <w:rPr>
          <w:rFonts w:hint="eastAsia"/>
          <w:color w:val="000000" w:themeColor="text1"/>
          <w:lang w:val="en-US" w:eastAsia="zh-CN"/>
          <w14:textFill>
            <w14:solidFill>
              <w14:schemeClr w14:val="tx1"/>
            </w14:solidFill>
          </w14:textFill>
        </w:rPr>
        <w:t>101750t/185天</w:t>
      </w:r>
      <w:r>
        <w:rPr>
          <w:rFonts w:hint="eastAsia"/>
          <w:lang w:eastAsia="zh-CN"/>
        </w:rPr>
        <w:t>）</w:t>
      </w:r>
      <w:r>
        <w:rPr>
          <w:rFonts w:hint="eastAsia"/>
        </w:rPr>
        <w:t>，根据集团公司其他养殖场类比分析，夏天按1.2倍进行计算</w:t>
      </w:r>
      <w:r>
        <w:rPr>
          <w:rFonts w:hint="eastAsia"/>
          <w:lang w:eastAsia="zh-CN"/>
        </w:rPr>
        <w:t>，</w:t>
      </w:r>
      <w:r>
        <w:rPr>
          <w:rFonts w:hint="eastAsia"/>
          <w:lang w:val="en-US" w:eastAsia="zh-CN"/>
        </w:rPr>
        <w:t>则夏天尿液产生量为660t/d（</w:t>
      </w:r>
      <w:r>
        <w:rPr>
          <w:rFonts w:hint="eastAsia"/>
          <w:color w:val="000000" w:themeColor="text1"/>
          <w:lang w:val="en-US" w:eastAsia="zh-CN"/>
          <w14:textFill>
            <w14:solidFill>
              <w14:schemeClr w14:val="tx1"/>
            </w14:solidFill>
          </w14:textFill>
        </w:rPr>
        <w:t>118800t/185天</w:t>
      </w:r>
      <w:r>
        <w:rPr>
          <w:rFonts w:hint="eastAsia"/>
          <w:lang w:val="en-US" w:eastAsia="zh-CN"/>
        </w:rPr>
        <w:t>）</w:t>
      </w:r>
      <w:r>
        <w:rPr>
          <w:rFonts w:hint="eastAsia"/>
        </w:rPr>
        <w:t>。</w:t>
      </w:r>
    </w:p>
    <w:p>
      <w:pPr>
        <w:ind w:firstLine="480"/>
        <w:rPr>
          <w:rFonts w:hint="eastAsia"/>
          <w:color w:val="FF0000"/>
        </w:rPr>
      </w:pPr>
      <w:r>
        <w:rPr>
          <w:rFonts w:hint="eastAsia"/>
          <w:color w:val="FF0000"/>
          <w:lang w:val="en-US" w:eastAsia="zh-CN"/>
        </w:rPr>
        <w:t>项目不单独对羊尿进行收集，随粪便漏入羊舍下层粪污通道后，采用干清粪法将其一同清入堆肥平台进行发酵</w:t>
      </w:r>
      <w:r>
        <w:rPr>
          <w:rFonts w:hint="eastAsia"/>
          <w:color w:val="FF0000"/>
        </w:rPr>
        <w:t>。</w:t>
      </w:r>
    </w:p>
    <w:p>
      <w:pPr>
        <w:pStyle w:val="5"/>
      </w:pPr>
      <w:r>
        <w:rPr>
          <w:rFonts w:hint="eastAsia"/>
        </w:rPr>
        <w:t>供暖、供热及通风</w:t>
      </w:r>
    </w:p>
    <w:p>
      <w:pPr>
        <w:ind w:firstLine="480"/>
      </w:pPr>
      <w:r>
        <w:rPr>
          <w:rFonts w:hint="eastAsia"/>
        </w:rPr>
        <w:t>①供暖</w:t>
      </w:r>
    </w:p>
    <w:p>
      <w:pPr>
        <w:ind w:firstLine="480"/>
      </w:pPr>
      <w:r>
        <w:rPr>
          <w:rFonts w:hint="eastAsia"/>
        </w:rPr>
        <w:t>办公及生活区冬季供暖由空气能电暖气提供。</w:t>
      </w:r>
    </w:p>
    <w:p>
      <w:pPr>
        <w:ind w:firstLine="480"/>
      </w:pPr>
      <w:r>
        <w:rPr>
          <w:rFonts w:hint="eastAsia"/>
        </w:rPr>
        <w:t>项目羊舍冬季不供暖。羊是温血动物，羊体可通过自身的调节来保持体温的基本恒定。</w:t>
      </w:r>
    </w:p>
    <w:p>
      <w:pPr>
        <w:ind w:firstLine="480"/>
      </w:pPr>
      <w:r>
        <w:rPr>
          <w:rFonts w:hint="eastAsia"/>
        </w:rPr>
        <w:t>②供热</w:t>
      </w:r>
    </w:p>
    <w:p>
      <w:pPr>
        <w:ind w:firstLine="480"/>
      </w:pPr>
      <w:r>
        <w:rPr>
          <w:rFonts w:hint="eastAsia"/>
        </w:rPr>
        <w:t>病死动物无害化</w:t>
      </w:r>
      <w:r>
        <w:rPr>
          <w:rFonts w:hint="eastAsia"/>
          <w:lang w:val="en-US" w:eastAsia="zh-CN"/>
        </w:rPr>
        <w:t>自带电加热，能够满足无害化处理对高温的要求</w:t>
      </w:r>
      <w:r>
        <w:rPr>
          <w:rFonts w:hint="eastAsia"/>
        </w:rPr>
        <w:t>。</w:t>
      </w:r>
    </w:p>
    <w:p>
      <w:pPr>
        <w:ind w:firstLine="480"/>
      </w:pPr>
      <w:r>
        <w:rPr>
          <w:rFonts w:hint="eastAsia"/>
        </w:rPr>
        <w:t>③羊舍通风</w:t>
      </w:r>
    </w:p>
    <w:p>
      <w:pPr>
        <w:ind w:firstLine="480"/>
      </w:pPr>
      <w:r>
        <w:rPr>
          <w:rFonts w:hint="eastAsia"/>
          <w:color w:val="000000" w:themeColor="text1"/>
          <w:lang w:val="zh-CN"/>
          <w14:textFill>
            <w14:solidFill>
              <w14:schemeClr w14:val="tx1"/>
            </w14:solidFill>
          </w14:textFill>
        </w:rPr>
        <w:t>项目地的羊舍为高标准全封闭圈舍，配套建设了双侧高1.5m、长120m的通风区域，实现360度通风措施。以自然通风的方式进行羊舍换气。</w:t>
      </w:r>
    </w:p>
    <w:p>
      <w:pPr>
        <w:pStyle w:val="4"/>
      </w:pPr>
      <w:r>
        <w:rPr>
          <w:rFonts w:hint="eastAsia"/>
        </w:rPr>
        <w:t>储运工程</w:t>
      </w:r>
    </w:p>
    <w:p>
      <w:pPr>
        <w:pStyle w:val="5"/>
      </w:pPr>
      <w:r>
        <w:rPr>
          <w:rFonts w:hint="eastAsia"/>
        </w:rPr>
        <w:t>场外运输</w:t>
      </w:r>
    </w:p>
    <w:p>
      <w:pPr>
        <w:ind w:firstLine="480"/>
      </w:pPr>
      <w:r>
        <w:rPr>
          <w:rFonts w:hint="eastAsia"/>
          <w:color w:val="000000" w:themeColor="text1"/>
          <w:lang w:val="en-US" w:eastAsia="zh-CN"/>
          <w14:textFill>
            <w14:solidFill>
              <w14:schemeClr w14:val="tx1"/>
            </w14:solidFill>
          </w14:textFill>
        </w:rPr>
        <w:t>本次项目建设不涉及新建场外道路</w:t>
      </w:r>
      <w:r>
        <w:rPr>
          <w:rFonts w:hint="eastAsia"/>
          <w:color w:val="000000" w:themeColor="text1"/>
          <w14:textFill>
            <w14:solidFill>
              <w14:schemeClr w14:val="tx1"/>
            </w14:solidFill>
          </w14:textFill>
        </w:rPr>
        <w:t>。</w:t>
      </w:r>
    </w:p>
    <w:p>
      <w:pPr>
        <w:pStyle w:val="5"/>
      </w:pPr>
      <w:r>
        <w:rPr>
          <w:rFonts w:hint="eastAsia"/>
        </w:rPr>
        <w:t>场内运输</w:t>
      </w:r>
    </w:p>
    <w:p>
      <w:pPr>
        <w:ind w:firstLine="480"/>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场内运输主要为</w:t>
      </w:r>
      <w:r>
        <w:rPr>
          <w:rFonts w:hint="eastAsia"/>
          <w:color w:val="000000" w:themeColor="text1"/>
          <w14:textFill>
            <w14:solidFill>
              <w14:schemeClr w14:val="tx1"/>
            </w14:solidFill>
          </w14:textFill>
        </w:rPr>
        <w:t>饲料</w:t>
      </w:r>
      <w:r>
        <w:rPr>
          <w:rFonts w:hint="eastAsia"/>
          <w:color w:val="000000" w:themeColor="text1"/>
          <w:lang w:val="en-US" w:eastAsia="zh-CN"/>
          <w14:textFill>
            <w14:solidFill>
              <w14:schemeClr w14:val="tx1"/>
            </w14:solidFill>
          </w14:textFill>
        </w:rPr>
        <w:t>和羊粪的运输。</w:t>
      </w:r>
    </w:p>
    <w:p>
      <w:pPr>
        <w:ind w:firstLine="48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饲料运输：青贮池、草料库以及饲料搅拌车间</w:t>
      </w:r>
      <w:r>
        <w:rPr>
          <w:color w:val="000000" w:themeColor="text1"/>
          <w14:textFill>
            <w14:solidFill>
              <w14:schemeClr w14:val="tx1"/>
            </w14:solidFill>
          </w14:textFill>
        </w:rPr>
        <w:t>与</w:t>
      </w:r>
      <w:r>
        <w:rPr>
          <w:rFonts w:hint="eastAsia"/>
          <w:color w:val="000000" w:themeColor="text1"/>
          <w14:textFill>
            <w14:solidFill>
              <w14:schemeClr w14:val="tx1"/>
            </w14:solidFill>
          </w14:textFill>
        </w:rPr>
        <w:t>羊舍</w:t>
      </w:r>
      <w:r>
        <w:rPr>
          <w:color w:val="000000" w:themeColor="text1"/>
          <w14:textFill>
            <w14:solidFill>
              <w14:schemeClr w14:val="tx1"/>
            </w14:solidFill>
          </w14:textFill>
        </w:rPr>
        <w:t>之间的</w:t>
      </w:r>
      <w:r>
        <w:rPr>
          <w:rFonts w:hint="eastAsia"/>
          <w:color w:val="000000" w:themeColor="text1"/>
          <w14:textFill>
            <w14:solidFill>
              <w14:schemeClr w14:val="tx1"/>
            </w14:solidFill>
          </w14:textFill>
        </w:rPr>
        <w:t>饲料</w:t>
      </w:r>
      <w:r>
        <w:rPr>
          <w:color w:val="000000" w:themeColor="text1"/>
          <w14:textFill>
            <w14:solidFill>
              <w14:schemeClr w14:val="tx1"/>
            </w14:solidFill>
          </w14:textFill>
        </w:rPr>
        <w:t>运输，其特点是短距离，次数频繁，且多处于狭小空间内，因此场内原料输送主要采用小型</w:t>
      </w:r>
      <w:r>
        <w:rPr>
          <w:rFonts w:hint="eastAsia"/>
          <w:color w:val="000000" w:themeColor="text1"/>
          <w14:textFill>
            <w14:solidFill>
              <w14:schemeClr w14:val="tx1"/>
            </w14:solidFill>
          </w14:textFill>
        </w:rPr>
        <w:t>拖拉机。</w:t>
      </w:r>
    </w:p>
    <w:p>
      <w:pPr>
        <w:ind w:firstLine="48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粪便运输：</w:t>
      </w:r>
      <w:r>
        <w:rPr>
          <w:rFonts w:hint="eastAsia"/>
          <w:color w:val="000000" w:themeColor="text1"/>
          <w14:textFill>
            <w14:solidFill>
              <w14:schemeClr w14:val="tx1"/>
            </w14:solidFill>
          </w14:textFill>
        </w:rPr>
        <w:t>粪污处理系统位于场地的西南侧。场内各种运输路线闭合成环线，布局合理，饲养道和运粪道不交叉。</w:t>
      </w:r>
    </w:p>
    <w:p>
      <w:pPr>
        <w:pStyle w:val="4"/>
      </w:pPr>
      <w:r>
        <w:rPr>
          <w:rFonts w:hint="eastAsia"/>
          <w:lang w:val="en-US" w:eastAsia="zh-CN"/>
        </w:rPr>
        <w:t>厂区</w:t>
      </w:r>
      <w:r>
        <w:rPr>
          <w:rFonts w:hint="eastAsia"/>
        </w:rPr>
        <w:t>平面布置</w:t>
      </w:r>
    </w:p>
    <w:p>
      <w:pPr>
        <w:ind w:firstLine="480"/>
        <w:rPr>
          <w:rFonts w:hint="eastAsia"/>
          <w:color w:val="FF0000"/>
        </w:rPr>
      </w:pPr>
      <w:r>
        <w:rPr>
          <w:rFonts w:hint="eastAsia"/>
          <w:color w:val="FF0000"/>
          <w:lang w:val="en-US" w:eastAsia="zh-CN"/>
        </w:rPr>
        <w:t>根据便于生产管理的原则，合理布局，</w:t>
      </w:r>
      <w:r>
        <w:rPr>
          <w:rFonts w:hint="eastAsia"/>
          <w:color w:val="FF0000"/>
        </w:rPr>
        <w:t>本项目</w:t>
      </w:r>
      <w:r>
        <w:rPr>
          <w:rFonts w:hint="eastAsia"/>
          <w:color w:val="FF0000"/>
          <w:lang w:val="en-US" w:eastAsia="zh-CN"/>
        </w:rPr>
        <w:t>功能区</w:t>
      </w:r>
      <w:r>
        <w:rPr>
          <w:rFonts w:hint="eastAsia"/>
          <w:color w:val="FF0000"/>
        </w:rPr>
        <w:t>分为生产区、生活办公区两</w:t>
      </w:r>
      <w:r>
        <w:rPr>
          <w:rFonts w:hint="eastAsia"/>
          <w:color w:val="FF0000"/>
          <w:lang w:val="en-US" w:eastAsia="zh-CN"/>
        </w:rPr>
        <w:t>部分，生产区和生活区之间建设围墙和道路，将生产区与生活区分隔</w:t>
      </w:r>
      <w:r>
        <w:rPr>
          <w:rFonts w:hint="eastAsia"/>
          <w:color w:val="FF0000"/>
        </w:rPr>
        <w:t>。其中生活办公区位于厂址西北侧，项目办公生活区位于养殖区2</w:t>
      </w:r>
      <w:r>
        <w:rPr>
          <w:color w:val="FF0000"/>
        </w:rPr>
        <w:t>0</w:t>
      </w:r>
      <w:r>
        <w:rPr>
          <w:rFonts w:hint="eastAsia"/>
          <w:color w:val="FF0000"/>
        </w:rPr>
        <w:t>年主导风向的侧风向处，符合《畜禽养殖业污染防治技术规范》（HJ/T81-2001）的规定，</w:t>
      </w:r>
      <w:r>
        <w:rPr>
          <w:rFonts w:hint="eastAsia"/>
          <w:color w:val="FF0000"/>
          <w:lang w:val="en-US" w:eastAsia="zh-CN"/>
        </w:rPr>
        <w:t>项目厂区平面布置</w:t>
      </w:r>
      <w:r>
        <w:rPr>
          <w:rFonts w:hint="eastAsia"/>
          <w:color w:val="FF0000"/>
        </w:rPr>
        <w:t>见图3.1.8-1所示。</w:t>
      </w:r>
    </w:p>
    <w:p>
      <w:pPr>
        <w:numPr>
          <w:ilvl w:val="0"/>
          <w:numId w:val="8"/>
        </w:numPr>
        <w:ind w:firstLine="480"/>
        <w:rPr>
          <w:rFonts w:hint="eastAsia"/>
          <w:color w:val="FF0000"/>
        </w:rPr>
      </w:pPr>
      <w:r>
        <w:rPr>
          <w:rFonts w:hint="eastAsia"/>
          <w:color w:val="FF0000"/>
          <w:lang w:val="en-US" w:eastAsia="zh-CN"/>
        </w:rPr>
        <w:t>生活管理区：主要有办公楼、职工宿舍、配电房等。</w:t>
      </w:r>
    </w:p>
    <w:p>
      <w:pPr>
        <w:numPr>
          <w:ilvl w:val="0"/>
          <w:numId w:val="8"/>
        </w:numPr>
        <w:ind w:left="0" w:leftChars="0" w:firstLine="480" w:firstLineChars="200"/>
        <w:rPr>
          <w:rFonts w:hint="eastAsia"/>
          <w:color w:val="FF0000"/>
          <w:lang w:val="en-US" w:eastAsia="zh-CN"/>
        </w:rPr>
      </w:pPr>
      <w:r>
        <w:rPr>
          <w:rFonts w:hint="eastAsia"/>
          <w:color w:val="FF0000"/>
          <w:lang w:val="en-US" w:eastAsia="zh-CN"/>
        </w:rPr>
        <w:t>生产区：主要有羊舍，位于生活管理区东南侧。</w:t>
      </w:r>
    </w:p>
    <w:p>
      <w:pPr>
        <w:numPr>
          <w:ilvl w:val="0"/>
          <w:numId w:val="8"/>
        </w:numPr>
        <w:ind w:left="0" w:leftChars="0" w:firstLine="480" w:firstLineChars="200"/>
        <w:rPr>
          <w:rFonts w:hint="eastAsia"/>
          <w:color w:val="FF0000"/>
          <w:lang w:val="en-US" w:eastAsia="zh-CN"/>
        </w:rPr>
      </w:pPr>
      <w:r>
        <w:rPr>
          <w:rFonts w:hint="eastAsia"/>
          <w:color w:val="FF0000"/>
          <w:lang w:val="en-US" w:eastAsia="zh-CN"/>
        </w:rPr>
        <w:t>辅助区：主要有草料库、</w:t>
      </w:r>
      <w:r>
        <w:rPr>
          <w:rFonts w:hint="eastAsia"/>
          <w:color w:val="FF0000"/>
          <w:highlight w:val="green"/>
          <w:lang w:val="en-US" w:eastAsia="zh-CN"/>
        </w:rPr>
        <w:t>青贮池</w:t>
      </w:r>
      <w:r>
        <w:rPr>
          <w:rFonts w:hint="eastAsia"/>
          <w:color w:val="FF0000"/>
          <w:lang w:val="en-US" w:eastAsia="zh-CN"/>
        </w:rPr>
        <w:t>、</w:t>
      </w:r>
      <w:r>
        <w:rPr>
          <w:rFonts w:hint="eastAsia"/>
          <w:color w:val="FF0000"/>
          <w:highlight w:val="green"/>
          <w:lang w:val="en-US" w:eastAsia="zh-CN"/>
        </w:rPr>
        <w:t>饲草混合加工车间、</w:t>
      </w:r>
      <w:r>
        <w:rPr>
          <w:rFonts w:hint="eastAsia"/>
          <w:color w:val="FF0000"/>
          <w:lang w:val="en-US" w:eastAsia="zh-CN"/>
        </w:rPr>
        <w:t>库房，位于羊舍东南侧。</w:t>
      </w:r>
    </w:p>
    <w:p>
      <w:pPr>
        <w:numPr>
          <w:ilvl w:val="0"/>
          <w:numId w:val="8"/>
        </w:numPr>
        <w:ind w:left="0" w:leftChars="0" w:firstLine="480" w:firstLineChars="200"/>
        <w:rPr>
          <w:rFonts w:hint="eastAsia"/>
          <w:color w:val="FF0000"/>
          <w:lang w:val="en-US" w:eastAsia="zh-CN"/>
        </w:rPr>
      </w:pPr>
      <w:r>
        <w:rPr>
          <w:rFonts w:hint="eastAsia"/>
          <w:color w:val="FF0000"/>
          <w:highlight w:val="green"/>
          <w:lang w:val="en-US" w:eastAsia="zh-CN"/>
        </w:rPr>
        <w:t>有机肥堆场及病死畜无害化处理区</w:t>
      </w:r>
      <w:r>
        <w:rPr>
          <w:rFonts w:hint="eastAsia"/>
          <w:color w:val="FF0000"/>
          <w:lang w:val="en-US" w:eastAsia="zh-CN"/>
        </w:rPr>
        <w:t>：位于厂区西南角。</w:t>
      </w:r>
    </w:p>
    <w:p>
      <w:pPr>
        <w:numPr>
          <w:ilvl w:val="0"/>
          <w:numId w:val="8"/>
        </w:numPr>
        <w:ind w:left="0" w:leftChars="0" w:firstLine="480" w:firstLineChars="200"/>
        <w:rPr>
          <w:color w:val="FF0000"/>
        </w:rPr>
      </w:pPr>
      <w:r>
        <w:rPr>
          <w:rFonts w:hint="eastAsia"/>
          <w:color w:val="FF0000"/>
        </w:rPr>
        <w:t>本工程排水系统实行雨污分流，雨水沿着场区净水管网排出场区汇入排水沟，羊群排放的粪便经好氧降解发酵制作有机肥达到无害化后资源化还田利用。符合《畜禽养殖业污染防治技术规范》（HJ/T81-2001）的相关规定。</w:t>
      </w:r>
    </w:p>
    <w:p>
      <w:pPr>
        <w:ind w:firstLine="480"/>
        <w:rPr>
          <w:color w:val="FF0000"/>
        </w:rPr>
      </w:pPr>
      <w:r>
        <w:rPr>
          <w:rFonts w:hint="eastAsia"/>
          <w:color w:val="FF0000"/>
        </w:rPr>
        <w:t>（3）本工程采用干清粪工艺，符合《畜禽养殖业污染防治技术规范》（HJ/T81-2001）的规定。</w:t>
      </w:r>
    </w:p>
    <w:p>
      <w:pPr>
        <w:ind w:firstLine="480"/>
        <w:rPr>
          <w:color w:val="FF0000"/>
        </w:rPr>
      </w:pPr>
      <w:r>
        <w:rPr>
          <w:rFonts w:hint="eastAsia"/>
          <w:color w:val="FF0000"/>
        </w:rPr>
        <w:t>（4）项目集粪池、</w:t>
      </w:r>
      <w:r>
        <w:rPr>
          <w:rFonts w:hint="eastAsia"/>
          <w:color w:val="FF0000"/>
          <w:lang w:eastAsia="zh-CN"/>
        </w:rPr>
        <w:t>有机肥堆场</w:t>
      </w:r>
      <w:r>
        <w:rPr>
          <w:rFonts w:hint="eastAsia"/>
          <w:color w:val="FF0000"/>
        </w:rPr>
        <w:t>等采取防渗等措施，符合《畜禽养殖业污染防治技术规范》（HJ/T81-2001）的规定。</w:t>
      </w:r>
    </w:p>
    <w:p>
      <w:pPr>
        <w:ind w:firstLine="480"/>
        <w:rPr>
          <w:color w:val="FF0000"/>
        </w:rPr>
      </w:pPr>
      <w:r>
        <w:rPr>
          <w:rFonts w:hint="eastAsia"/>
          <w:color w:val="FF0000"/>
        </w:rPr>
        <w:t>（5）项目养殖场场址选择地势高燥、排水良好、空气流畅、非污染区域，并且避开城镇和村民居住区的水源地；地面应相对平坦，坡度不宜过大，背风向阳，未建在低凹、风口处，符合养殖场的选址要求。</w:t>
      </w:r>
    </w:p>
    <w:p>
      <w:pPr>
        <w:ind w:firstLine="480"/>
        <w:rPr>
          <w:color w:val="FF0000"/>
        </w:rPr>
      </w:pPr>
      <w:r>
        <w:rPr>
          <w:rFonts w:hint="eastAsia"/>
          <w:color w:val="FF0000"/>
        </w:rPr>
        <w:t>（6）项目建成投产后，养殖废气经除臭治理后外排对周边环境的影响较小，区域环境空气质量能满足《环境空气质量标准》（GB3095-2012）中二级标准要求。虽然项目所产生的臭气对周围环境有一定的影响，通过优化项目平面布置，将</w:t>
      </w:r>
      <w:r>
        <w:rPr>
          <w:rFonts w:hint="eastAsia"/>
          <w:color w:val="FF0000"/>
          <w:lang w:eastAsia="zh-CN"/>
        </w:rPr>
        <w:t>有机肥堆场</w:t>
      </w:r>
      <w:r>
        <w:rPr>
          <w:rFonts w:hint="eastAsia"/>
          <w:color w:val="FF0000"/>
        </w:rPr>
        <w:t>设置在厂区东南侧，位于养殖区常年主导风向侧风向，距离最近的村庄色林庆、西仁疙旦为870m、1050m。</w:t>
      </w:r>
    </w:p>
    <w:p>
      <w:pPr>
        <w:ind w:firstLine="480"/>
        <w:rPr>
          <w:color w:val="FF0000"/>
        </w:rPr>
      </w:pPr>
      <w:r>
        <w:rPr>
          <w:rFonts w:hint="eastAsia"/>
          <w:color w:val="FF0000"/>
        </w:rPr>
        <w:t>（7）项目产生的三废经处理后对周边环境影响较小。</w:t>
      </w:r>
    </w:p>
    <w:p>
      <w:pPr>
        <w:ind w:firstLine="480"/>
        <w:rPr>
          <w:rFonts w:hint="eastAsia"/>
          <w:color w:val="FF0000"/>
        </w:rPr>
      </w:pPr>
      <w:r>
        <w:rPr>
          <w:rFonts w:hint="eastAsia"/>
          <w:color w:val="FF0000"/>
        </w:rPr>
        <w:t>本项目肉羊养殖园区总平面布置根据养殖场各组成部门的性质、使用功能等因素，将性质相同、功能相近、联系密切、对环境要求相对一致的建筑物、构筑物及设施，分为若干组并结合用地的具体条件，进行功能分区，主要划分为办公生活区、养殖区、仓储区、</w:t>
      </w:r>
      <w:r>
        <w:rPr>
          <w:rFonts w:hint="eastAsia"/>
          <w:color w:val="FF0000"/>
          <w:lang w:eastAsia="zh-CN"/>
        </w:rPr>
        <w:t>有机肥堆场</w:t>
      </w:r>
      <w:r>
        <w:rPr>
          <w:rFonts w:hint="eastAsia"/>
          <w:color w:val="FF0000"/>
        </w:rPr>
        <w:t>、动物尸体无害化等功能区域。本工程总平面布置充分利用现有地势，按照功能和工艺流程，总体上按由北往南方向布置办公生活区和生产区分开，并用绿化树木建立隔离带。场内道路和各种运输管线闭合成环线，布局合理，肉羊养殖园区内分设净道（</w:t>
      </w:r>
      <w:r>
        <w:rPr>
          <w:rFonts w:hint="eastAsia"/>
          <w:color w:val="FF0000"/>
          <w:lang w:val="en-US" w:eastAsia="zh-CN"/>
        </w:rPr>
        <w:t>上层为</w:t>
      </w:r>
      <w:r>
        <w:rPr>
          <w:rFonts w:hint="eastAsia"/>
          <w:color w:val="FF0000"/>
        </w:rPr>
        <w:t>饲养道）和污道（</w:t>
      </w:r>
      <w:r>
        <w:rPr>
          <w:rFonts w:hint="eastAsia"/>
          <w:color w:val="FF0000"/>
          <w:lang w:val="en-US" w:eastAsia="zh-CN"/>
        </w:rPr>
        <w:t>下层为</w:t>
      </w:r>
      <w:r>
        <w:rPr>
          <w:rFonts w:hint="eastAsia"/>
          <w:color w:val="FF0000"/>
        </w:rPr>
        <w:t>运粪道）不交叉。从整体布局和环境影响上看，工程总平面布置较合理。</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drawing>
          <wp:inline distT="0" distB="0" distL="114300" distR="114300">
            <wp:extent cx="5271135" cy="7453630"/>
            <wp:effectExtent l="0" t="0" r="5715" b="13970"/>
            <wp:docPr id="28" name="图片 28" descr="平面布置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平面布置图_00"/>
                    <pic:cNvPicPr>
                      <a:picLocks noChangeAspect="1"/>
                    </pic:cNvPicPr>
                  </pic:nvPicPr>
                  <pic:blipFill>
                    <a:blip r:embed="rId43"/>
                    <a:stretch>
                      <a:fillRect/>
                    </a:stretch>
                  </pic:blipFill>
                  <pic:spPr>
                    <a:xfrm>
                      <a:off x="0" y="0"/>
                      <a:ext cx="5271135" cy="74536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宋体"/>
          <w:color w:val="000000" w:themeColor="text1"/>
          <w:lang w:eastAsia="zh-CN"/>
          <w14:textFill>
            <w14:solidFill>
              <w14:schemeClr w14:val="tx1"/>
            </w14:solidFill>
          </w14:textFill>
        </w:rPr>
      </w:pPr>
    </w:p>
    <w:p>
      <w:pPr>
        <w:ind w:firstLine="480"/>
        <w:rPr>
          <w:rFonts w:hint="eastAsia" w:eastAsia="宋体"/>
          <w:color w:val="000000" w:themeColor="text1"/>
          <w:lang w:eastAsia="zh-CN"/>
          <w14:textFill>
            <w14:solidFill>
              <w14:schemeClr w14:val="tx1"/>
            </w14:solidFill>
          </w14:textFill>
        </w:rPr>
      </w:pPr>
    </w:p>
    <w:p>
      <w:pPr>
        <w:pStyle w:val="3"/>
        <w:spacing w:before="120" w:after="120"/>
      </w:pPr>
      <w:bookmarkStart w:id="145" w:name="_Toc7028"/>
      <w:r>
        <w:rPr>
          <w:rFonts w:hint="eastAsia"/>
        </w:rPr>
        <w:t>平衡分析</w:t>
      </w:r>
      <w:bookmarkEnd w:id="145"/>
    </w:p>
    <w:p>
      <w:pPr>
        <w:pStyle w:val="4"/>
      </w:pPr>
      <w:r>
        <w:rPr>
          <w:rFonts w:hint="eastAsia"/>
        </w:rPr>
        <w:t>水平衡</w:t>
      </w:r>
    </w:p>
    <w:p>
      <w:pPr>
        <w:ind w:firstLine="480"/>
        <w:sectPr>
          <w:pgSz w:w="11906" w:h="16838"/>
          <w:pgMar w:top="1440" w:right="1797" w:bottom="1440" w:left="1797" w:header="851" w:footer="992" w:gutter="0"/>
          <w:pgNumType w:fmt="decimal"/>
          <w:cols w:space="425" w:num="1"/>
          <w:docGrid w:linePitch="312" w:charSpace="0"/>
        </w:sectPr>
      </w:pPr>
      <w:r>
        <w:rPr>
          <w:rFonts w:hint="eastAsia"/>
        </w:rPr>
        <w:t>项目用排水情况详见表3.2.</w:t>
      </w:r>
      <w:r>
        <w:rPr>
          <w:rFonts w:hint="eastAsia"/>
          <w:lang w:val="en-US" w:eastAsia="zh-CN"/>
        </w:rPr>
        <w:t>1</w:t>
      </w:r>
      <w:r>
        <w:rPr>
          <w:rFonts w:hint="eastAsia"/>
        </w:rPr>
        <w:t>-1，项目全厂用水平衡见图3.2.</w:t>
      </w:r>
      <w:r>
        <w:rPr>
          <w:rFonts w:hint="eastAsia"/>
          <w:lang w:val="en-US" w:eastAsia="zh-CN"/>
        </w:rPr>
        <w:t>1</w:t>
      </w:r>
      <w:r>
        <w:rPr>
          <w:rFonts w:hint="eastAsia"/>
        </w:rPr>
        <w:t>-1。</w:t>
      </w:r>
    </w:p>
    <w:p>
      <w:pPr>
        <w:pStyle w:val="6"/>
        <w:rPr>
          <w:rFonts w:hint="eastAsia" w:eastAsia="宋体"/>
          <w:color w:val="FF0000"/>
          <w:lang w:eastAsia="zh-CN"/>
        </w:rPr>
      </w:pPr>
      <w:r>
        <w:rPr>
          <w:color w:val="FF0000"/>
        </w:rPr>
        <w:t>表</w:t>
      </w:r>
      <w:r>
        <w:rPr>
          <w:rFonts w:hint="eastAsia"/>
          <w:color w:val="FF0000"/>
        </w:rPr>
        <w:t>3.2.</w:t>
      </w:r>
      <w:r>
        <w:rPr>
          <w:rFonts w:hint="eastAsia"/>
          <w:color w:val="FF0000"/>
          <w:lang w:val="en-US" w:eastAsia="zh-CN"/>
        </w:rPr>
        <w:t>1</w:t>
      </w:r>
      <w:r>
        <w:rPr>
          <w:rFonts w:hint="eastAsia"/>
          <w:color w:val="FF0000"/>
        </w:rPr>
        <w:t>-1    项目用排水情况统计表</w:t>
      </w:r>
      <w:r>
        <w:rPr>
          <w:rFonts w:hint="eastAsia"/>
          <w:color w:val="FF0000"/>
          <w:lang w:eastAsia="zh-CN"/>
        </w:rPr>
        <w:t>（</w:t>
      </w:r>
      <w:r>
        <w:rPr>
          <w:rFonts w:hint="eastAsia"/>
          <w:color w:val="FF0000"/>
          <w:lang w:val="en-US" w:eastAsia="zh-CN"/>
        </w:rPr>
        <w:t>夏季，按180天计</w:t>
      </w:r>
      <w:r>
        <w:rPr>
          <w:rFonts w:hint="eastAsia"/>
          <w:color w:val="FF0000"/>
          <w:lang w:eastAsia="zh-CN"/>
        </w:rPr>
        <w:t>）</w:t>
      </w:r>
    </w:p>
    <w:tbl>
      <w:tblPr>
        <w:tblStyle w:val="38"/>
        <w:tblW w:w="15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347"/>
        <w:gridCol w:w="962"/>
        <w:gridCol w:w="1050"/>
        <w:gridCol w:w="1290"/>
        <w:gridCol w:w="1140"/>
        <w:gridCol w:w="1506"/>
        <w:gridCol w:w="1027"/>
        <w:gridCol w:w="1065"/>
        <w:gridCol w:w="1485"/>
        <w:gridCol w:w="4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610" w:type="dxa"/>
            <w:vMerge w:val="restart"/>
            <w:vAlign w:val="center"/>
          </w:tcPr>
          <w:p>
            <w:pPr>
              <w:pStyle w:val="232"/>
              <w:rPr>
                <w:color w:val="FF0000"/>
              </w:rPr>
            </w:pPr>
            <w:r>
              <w:rPr>
                <w:color w:val="FF0000"/>
              </w:rPr>
              <w:t>序号</w:t>
            </w:r>
          </w:p>
        </w:tc>
        <w:tc>
          <w:tcPr>
            <w:tcW w:w="1309" w:type="dxa"/>
            <w:gridSpan w:val="2"/>
            <w:vMerge w:val="restart"/>
            <w:vAlign w:val="center"/>
          </w:tcPr>
          <w:p>
            <w:pPr>
              <w:pStyle w:val="232"/>
              <w:rPr>
                <w:color w:val="FF0000"/>
              </w:rPr>
            </w:pPr>
            <w:r>
              <w:rPr>
                <w:color w:val="FF0000"/>
              </w:rPr>
              <w:t>用水项目</w:t>
            </w:r>
          </w:p>
        </w:tc>
        <w:tc>
          <w:tcPr>
            <w:tcW w:w="1050" w:type="dxa"/>
            <w:vMerge w:val="restart"/>
            <w:vAlign w:val="center"/>
          </w:tcPr>
          <w:p>
            <w:pPr>
              <w:pStyle w:val="232"/>
              <w:rPr>
                <w:color w:val="FF0000"/>
              </w:rPr>
            </w:pPr>
            <w:r>
              <w:rPr>
                <w:color w:val="FF0000"/>
              </w:rPr>
              <w:t>规模</w:t>
            </w:r>
          </w:p>
        </w:tc>
        <w:tc>
          <w:tcPr>
            <w:tcW w:w="1290" w:type="dxa"/>
            <w:vMerge w:val="restart"/>
            <w:vAlign w:val="center"/>
          </w:tcPr>
          <w:p>
            <w:pPr>
              <w:pStyle w:val="232"/>
              <w:rPr>
                <w:color w:val="FF0000"/>
              </w:rPr>
            </w:pPr>
            <w:r>
              <w:rPr>
                <w:color w:val="FF0000"/>
              </w:rPr>
              <w:t>用水量</w:t>
            </w:r>
          </w:p>
          <w:p>
            <w:pPr>
              <w:pStyle w:val="232"/>
              <w:rPr>
                <w:color w:val="FF0000"/>
              </w:rPr>
            </w:pPr>
            <w:r>
              <w:rPr>
                <w:color w:val="FF0000"/>
              </w:rPr>
              <w:t>标准</w:t>
            </w:r>
          </w:p>
        </w:tc>
        <w:tc>
          <w:tcPr>
            <w:tcW w:w="1140" w:type="dxa"/>
            <w:vMerge w:val="restart"/>
            <w:vAlign w:val="center"/>
          </w:tcPr>
          <w:p>
            <w:pPr>
              <w:pStyle w:val="232"/>
              <w:rPr>
                <w:color w:val="FF0000"/>
              </w:rPr>
            </w:pPr>
            <w:r>
              <w:rPr>
                <w:color w:val="FF0000"/>
              </w:rPr>
              <w:t>日用水量（m</w:t>
            </w:r>
            <w:r>
              <w:rPr>
                <w:color w:val="FF0000"/>
                <w:vertAlign w:val="superscript"/>
              </w:rPr>
              <w:t>3</w:t>
            </w:r>
            <w:r>
              <w:rPr>
                <w:color w:val="FF0000"/>
              </w:rPr>
              <w:t>/d）</w:t>
            </w:r>
          </w:p>
        </w:tc>
        <w:tc>
          <w:tcPr>
            <w:tcW w:w="1506" w:type="dxa"/>
            <w:vMerge w:val="restart"/>
            <w:vAlign w:val="center"/>
          </w:tcPr>
          <w:p>
            <w:pPr>
              <w:pStyle w:val="232"/>
              <w:rPr>
                <w:color w:val="FF0000"/>
              </w:rPr>
            </w:pPr>
            <w:r>
              <w:rPr>
                <w:rFonts w:hint="eastAsia"/>
                <w:color w:val="FF0000"/>
                <w:lang w:val="en-US" w:eastAsia="zh-CN"/>
              </w:rPr>
              <w:t>180天</w:t>
            </w:r>
            <w:r>
              <w:rPr>
                <w:color w:val="FF0000"/>
              </w:rPr>
              <w:t>用水量（m</w:t>
            </w:r>
            <w:r>
              <w:rPr>
                <w:color w:val="FF0000"/>
                <w:vertAlign w:val="superscript"/>
              </w:rPr>
              <w:t>3</w:t>
            </w:r>
            <w:r>
              <w:rPr>
                <w:color w:val="FF0000"/>
              </w:rPr>
              <w:t>/</w:t>
            </w:r>
            <w:r>
              <w:rPr>
                <w:rFonts w:hint="eastAsia"/>
                <w:color w:val="FF0000"/>
                <w:lang w:val="en-US" w:eastAsia="zh-CN"/>
              </w:rPr>
              <w:t>180天</w:t>
            </w:r>
            <w:r>
              <w:rPr>
                <w:color w:val="FF0000"/>
              </w:rPr>
              <w:t>）</w:t>
            </w:r>
          </w:p>
        </w:tc>
        <w:tc>
          <w:tcPr>
            <w:tcW w:w="1027" w:type="dxa"/>
            <w:vMerge w:val="restart"/>
            <w:vAlign w:val="center"/>
          </w:tcPr>
          <w:p>
            <w:pPr>
              <w:pStyle w:val="232"/>
              <w:rPr>
                <w:rFonts w:hint="default" w:eastAsia="宋体"/>
                <w:color w:val="FF0000"/>
                <w:lang w:val="en-US" w:eastAsia="zh-CN"/>
              </w:rPr>
            </w:pPr>
            <w:r>
              <w:rPr>
                <w:rFonts w:hint="eastAsia"/>
                <w:color w:val="FF0000"/>
                <w:lang w:val="en-US" w:eastAsia="zh-CN"/>
              </w:rPr>
              <w:t>废水类型</w:t>
            </w:r>
          </w:p>
        </w:tc>
        <w:tc>
          <w:tcPr>
            <w:tcW w:w="2550" w:type="dxa"/>
            <w:gridSpan w:val="2"/>
            <w:vAlign w:val="center"/>
          </w:tcPr>
          <w:p>
            <w:pPr>
              <w:pStyle w:val="232"/>
              <w:rPr>
                <w:rFonts w:hint="default" w:eastAsia="宋体"/>
                <w:color w:val="FF0000"/>
                <w:lang w:val="en-US" w:eastAsia="zh-CN"/>
              </w:rPr>
            </w:pPr>
            <w:r>
              <w:rPr>
                <w:rFonts w:hint="eastAsia"/>
                <w:color w:val="FF0000"/>
                <w:lang w:val="en-US" w:eastAsia="zh-CN"/>
              </w:rPr>
              <w:t>排水量</w:t>
            </w:r>
          </w:p>
        </w:tc>
        <w:tc>
          <w:tcPr>
            <w:tcW w:w="4522" w:type="dxa"/>
            <w:vMerge w:val="restart"/>
            <w:vAlign w:val="center"/>
          </w:tcPr>
          <w:p>
            <w:pPr>
              <w:pStyle w:val="232"/>
              <w:rPr>
                <w:color w:val="FF0000"/>
              </w:rPr>
            </w:pPr>
            <w:r>
              <w:rPr>
                <w:color w:val="FF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610" w:type="dxa"/>
            <w:vMerge w:val="continue"/>
            <w:vAlign w:val="center"/>
          </w:tcPr>
          <w:p>
            <w:pPr>
              <w:pStyle w:val="232"/>
              <w:rPr>
                <w:color w:val="FF0000"/>
              </w:rPr>
            </w:pPr>
          </w:p>
        </w:tc>
        <w:tc>
          <w:tcPr>
            <w:tcW w:w="1309" w:type="dxa"/>
            <w:gridSpan w:val="2"/>
            <w:vMerge w:val="continue"/>
            <w:vAlign w:val="center"/>
          </w:tcPr>
          <w:p>
            <w:pPr>
              <w:pStyle w:val="232"/>
              <w:rPr>
                <w:color w:val="FF0000"/>
              </w:rPr>
            </w:pPr>
          </w:p>
        </w:tc>
        <w:tc>
          <w:tcPr>
            <w:tcW w:w="1050" w:type="dxa"/>
            <w:vMerge w:val="continue"/>
            <w:vAlign w:val="center"/>
          </w:tcPr>
          <w:p>
            <w:pPr>
              <w:pStyle w:val="232"/>
              <w:rPr>
                <w:color w:val="FF0000"/>
              </w:rPr>
            </w:pPr>
          </w:p>
        </w:tc>
        <w:tc>
          <w:tcPr>
            <w:tcW w:w="1290" w:type="dxa"/>
            <w:vMerge w:val="continue"/>
            <w:vAlign w:val="center"/>
          </w:tcPr>
          <w:p>
            <w:pPr>
              <w:pStyle w:val="232"/>
              <w:rPr>
                <w:color w:val="FF0000"/>
              </w:rPr>
            </w:pPr>
          </w:p>
        </w:tc>
        <w:tc>
          <w:tcPr>
            <w:tcW w:w="1140" w:type="dxa"/>
            <w:vMerge w:val="continue"/>
            <w:vAlign w:val="center"/>
          </w:tcPr>
          <w:p>
            <w:pPr>
              <w:pStyle w:val="232"/>
              <w:rPr>
                <w:color w:val="FF0000"/>
              </w:rPr>
            </w:pPr>
          </w:p>
        </w:tc>
        <w:tc>
          <w:tcPr>
            <w:tcW w:w="1506" w:type="dxa"/>
            <w:vMerge w:val="continue"/>
            <w:vAlign w:val="center"/>
          </w:tcPr>
          <w:p>
            <w:pPr>
              <w:pStyle w:val="232"/>
              <w:rPr>
                <w:color w:val="FF0000"/>
              </w:rPr>
            </w:pPr>
          </w:p>
        </w:tc>
        <w:tc>
          <w:tcPr>
            <w:tcW w:w="1027" w:type="dxa"/>
            <w:vMerge w:val="continue"/>
            <w:vAlign w:val="center"/>
          </w:tcPr>
          <w:p>
            <w:pPr>
              <w:pStyle w:val="232"/>
              <w:rPr>
                <w:color w:val="FF0000"/>
              </w:rPr>
            </w:pPr>
          </w:p>
        </w:tc>
        <w:tc>
          <w:tcPr>
            <w:tcW w:w="1065" w:type="dxa"/>
            <w:vAlign w:val="center"/>
          </w:tcPr>
          <w:p>
            <w:pPr>
              <w:pStyle w:val="232"/>
              <w:rPr>
                <w:color w:val="FF0000"/>
              </w:rPr>
            </w:pPr>
            <w:r>
              <w:rPr>
                <w:color w:val="FF0000"/>
              </w:rPr>
              <w:t>日排水量</w:t>
            </w:r>
          </w:p>
          <w:p>
            <w:pPr>
              <w:pStyle w:val="232"/>
              <w:ind w:firstLine="0" w:firstLineChars="0"/>
              <w:rPr>
                <w:rFonts w:ascii="Times New Roman" w:hAnsi="Times New Roman" w:eastAsia="宋体" w:cs="Times New Roman"/>
                <w:color w:val="FF0000"/>
                <w:kern w:val="2"/>
                <w:sz w:val="21"/>
                <w:szCs w:val="21"/>
                <w:lang w:val="en-US" w:eastAsia="zh-CN" w:bidi="ar-SA"/>
              </w:rPr>
            </w:pPr>
            <w:r>
              <w:rPr>
                <w:color w:val="FF0000"/>
              </w:rPr>
              <w:t>（m</w:t>
            </w:r>
            <w:r>
              <w:rPr>
                <w:color w:val="FF0000"/>
                <w:vertAlign w:val="superscript"/>
              </w:rPr>
              <w:t>3</w:t>
            </w:r>
            <w:r>
              <w:rPr>
                <w:color w:val="FF0000"/>
              </w:rPr>
              <w:t>/d）</w:t>
            </w:r>
          </w:p>
        </w:tc>
        <w:tc>
          <w:tcPr>
            <w:tcW w:w="1485" w:type="dxa"/>
            <w:vAlign w:val="center"/>
          </w:tcPr>
          <w:p>
            <w:pPr>
              <w:pStyle w:val="232"/>
              <w:rPr>
                <w:color w:val="FF0000"/>
              </w:rPr>
            </w:pPr>
            <w:r>
              <w:rPr>
                <w:rFonts w:hint="eastAsia"/>
                <w:color w:val="FF0000"/>
                <w:lang w:val="en-US" w:eastAsia="zh-CN"/>
              </w:rPr>
              <w:t>180天</w:t>
            </w:r>
            <w:r>
              <w:rPr>
                <w:color w:val="FF0000"/>
              </w:rPr>
              <w:t>排水量</w:t>
            </w:r>
          </w:p>
          <w:p>
            <w:pPr>
              <w:pStyle w:val="232"/>
              <w:ind w:firstLine="0" w:firstLineChars="0"/>
              <w:rPr>
                <w:rFonts w:ascii="Times New Roman" w:hAnsi="Times New Roman" w:eastAsia="宋体" w:cs="Times New Roman"/>
                <w:color w:val="FF0000"/>
                <w:kern w:val="2"/>
                <w:sz w:val="21"/>
                <w:szCs w:val="21"/>
                <w:lang w:val="en-US" w:eastAsia="zh-CN" w:bidi="ar-SA"/>
              </w:rPr>
            </w:pPr>
            <w:r>
              <w:rPr>
                <w:color w:val="FF0000"/>
              </w:rPr>
              <w:t>（m</w:t>
            </w:r>
            <w:r>
              <w:rPr>
                <w:color w:val="FF0000"/>
                <w:vertAlign w:val="superscript"/>
              </w:rPr>
              <w:t>3</w:t>
            </w:r>
            <w:r>
              <w:rPr>
                <w:color w:val="FF0000"/>
              </w:rPr>
              <w:t>/</w:t>
            </w:r>
            <w:r>
              <w:rPr>
                <w:rFonts w:hint="eastAsia"/>
                <w:color w:val="FF0000"/>
                <w:lang w:val="en-US" w:eastAsia="zh-CN"/>
              </w:rPr>
              <w:t>180天</w:t>
            </w:r>
            <w:r>
              <w:rPr>
                <w:color w:val="FF0000"/>
              </w:rPr>
              <w:t>）</w:t>
            </w:r>
          </w:p>
        </w:tc>
        <w:tc>
          <w:tcPr>
            <w:tcW w:w="4522" w:type="dxa"/>
            <w:vMerge w:val="continue"/>
            <w:vAlign w:val="center"/>
          </w:tcPr>
          <w:p>
            <w:pPr>
              <w:pStyle w:val="232"/>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5004" w:type="dxa"/>
            <w:gridSpan w:val="11"/>
            <w:vAlign w:val="center"/>
          </w:tcPr>
          <w:p>
            <w:pPr>
              <w:pStyle w:val="232"/>
              <w:rPr>
                <w:rFonts w:hint="default" w:eastAsia="宋体"/>
                <w:color w:val="FF0000"/>
                <w:lang w:val="en-US" w:eastAsia="zh-CN"/>
              </w:rPr>
            </w:pPr>
            <w:r>
              <w:rPr>
                <w:rFonts w:hint="eastAsia"/>
                <w:color w:val="FF0000"/>
                <w:lang w:val="en-US" w:eastAsia="zh-CN"/>
              </w:rPr>
              <w:t>一 生活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blHeader/>
          <w:jc w:val="center"/>
        </w:trPr>
        <w:tc>
          <w:tcPr>
            <w:tcW w:w="610" w:type="dxa"/>
            <w:vAlign w:val="center"/>
          </w:tcPr>
          <w:p>
            <w:pPr>
              <w:pStyle w:val="232"/>
              <w:rPr>
                <w:color w:val="FF0000"/>
              </w:rPr>
            </w:pPr>
            <w:r>
              <w:rPr>
                <w:color w:val="FF0000"/>
              </w:rPr>
              <w:t>1</w:t>
            </w:r>
          </w:p>
        </w:tc>
        <w:tc>
          <w:tcPr>
            <w:tcW w:w="1309" w:type="dxa"/>
            <w:gridSpan w:val="2"/>
            <w:vAlign w:val="center"/>
          </w:tcPr>
          <w:p>
            <w:pPr>
              <w:pStyle w:val="232"/>
              <w:rPr>
                <w:color w:val="FF0000"/>
              </w:rPr>
            </w:pPr>
            <w:r>
              <w:rPr>
                <w:color w:val="FF0000"/>
              </w:rPr>
              <w:t>生活用水</w:t>
            </w:r>
          </w:p>
        </w:tc>
        <w:tc>
          <w:tcPr>
            <w:tcW w:w="1050" w:type="dxa"/>
            <w:vAlign w:val="center"/>
          </w:tcPr>
          <w:p>
            <w:pPr>
              <w:pStyle w:val="232"/>
              <w:rPr>
                <w:color w:val="FF0000"/>
              </w:rPr>
            </w:pPr>
            <w:r>
              <w:rPr>
                <w:rFonts w:hint="eastAsia"/>
                <w:color w:val="FF0000"/>
              </w:rPr>
              <w:t>450</w:t>
            </w:r>
            <w:r>
              <w:rPr>
                <w:color w:val="FF0000"/>
              </w:rPr>
              <w:t>人</w:t>
            </w:r>
          </w:p>
        </w:tc>
        <w:tc>
          <w:tcPr>
            <w:tcW w:w="1290" w:type="dxa"/>
            <w:vAlign w:val="center"/>
          </w:tcPr>
          <w:p>
            <w:pPr>
              <w:pStyle w:val="232"/>
              <w:rPr>
                <w:color w:val="FF0000"/>
              </w:rPr>
            </w:pPr>
            <w:r>
              <w:rPr>
                <w:rFonts w:hint="eastAsia"/>
                <w:color w:val="FF0000"/>
              </w:rPr>
              <w:t>6</w:t>
            </w:r>
            <w:r>
              <w:rPr>
                <w:color w:val="FF0000"/>
              </w:rPr>
              <w:t>0L/人·d</w:t>
            </w:r>
          </w:p>
        </w:tc>
        <w:tc>
          <w:tcPr>
            <w:tcW w:w="1140" w:type="dxa"/>
            <w:vAlign w:val="center"/>
          </w:tcPr>
          <w:p>
            <w:pPr>
              <w:pStyle w:val="232"/>
              <w:rPr>
                <w:color w:val="FF0000"/>
              </w:rPr>
            </w:pPr>
            <w:r>
              <w:rPr>
                <w:rFonts w:hint="eastAsia"/>
                <w:color w:val="FF0000"/>
              </w:rPr>
              <w:t>27</w:t>
            </w:r>
          </w:p>
        </w:tc>
        <w:tc>
          <w:tcPr>
            <w:tcW w:w="1506" w:type="dxa"/>
            <w:vAlign w:val="center"/>
          </w:tcPr>
          <w:p>
            <w:pPr>
              <w:pStyle w:val="232"/>
              <w:rPr>
                <w:rFonts w:hint="default" w:eastAsia="宋体"/>
                <w:color w:val="FF0000"/>
                <w:lang w:val="en-US" w:eastAsia="zh-CN"/>
              </w:rPr>
            </w:pPr>
            <w:r>
              <w:rPr>
                <w:rFonts w:hint="eastAsia"/>
                <w:color w:val="FF0000"/>
                <w:lang w:val="en-US" w:eastAsia="zh-CN"/>
              </w:rPr>
              <w:t>4860</w:t>
            </w:r>
          </w:p>
        </w:tc>
        <w:tc>
          <w:tcPr>
            <w:tcW w:w="1027" w:type="dxa"/>
            <w:vAlign w:val="center"/>
          </w:tcPr>
          <w:p>
            <w:pPr>
              <w:pStyle w:val="232"/>
              <w:rPr>
                <w:rFonts w:hint="default" w:eastAsia="宋体"/>
                <w:color w:val="FF0000"/>
                <w:lang w:val="en-US" w:eastAsia="zh-CN"/>
              </w:rPr>
            </w:pPr>
            <w:r>
              <w:rPr>
                <w:rFonts w:hint="eastAsia"/>
                <w:color w:val="FF0000"/>
                <w:lang w:val="en-US" w:eastAsia="zh-CN"/>
              </w:rPr>
              <w:t>生活污水</w:t>
            </w:r>
          </w:p>
        </w:tc>
        <w:tc>
          <w:tcPr>
            <w:tcW w:w="1065" w:type="dxa"/>
            <w:vAlign w:val="center"/>
          </w:tcPr>
          <w:p>
            <w:pPr>
              <w:pStyle w:val="232"/>
              <w:rPr>
                <w:color w:val="FF0000"/>
              </w:rPr>
            </w:pPr>
            <w:r>
              <w:rPr>
                <w:rFonts w:hint="eastAsia"/>
                <w:color w:val="FF0000"/>
              </w:rPr>
              <w:t>21.6</w:t>
            </w:r>
          </w:p>
        </w:tc>
        <w:tc>
          <w:tcPr>
            <w:tcW w:w="1485" w:type="dxa"/>
            <w:vAlign w:val="center"/>
          </w:tcPr>
          <w:p>
            <w:pPr>
              <w:pStyle w:val="232"/>
              <w:rPr>
                <w:rFonts w:hint="default" w:eastAsia="宋体"/>
                <w:color w:val="FF0000"/>
                <w:lang w:val="en-US" w:eastAsia="zh-CN"/>
              </w:rPr>
            </w:pPr>
            <w:r>
              <w:rPr>
                <w:rFonts w:hint="eastAsia"/>
                <w:color w:val="FF0000"/>
                <w:lang w:val="en-US" w:eastAsia="zh-CN"/>
              </w:rPr>
              <w:t>3888</w:t>
            </w:r>
          </w:p>
        </w:tc>
        <w:tc>
          <w:tcPr>
            <w:tcW w:w="4522" w:type="dxa"/>
            <w:vAlign w:val="center"/>
          </w:tcPr>
          <w:p>
            <w:pPr>
              <w:pStyle w:val="232"/>
              <w:rPr>
                <w:color w:val="FF0000"/>
              </w:rPr>
            </w:pPr>
            <w:r>
              <w:rPr>
                <w:rFonts w:hint="eastAsia"/>
                <w:color w:val="FF0000"/>
              </w:rPr>
              <w:t>由自备水井提供</w:t>
            </w:r>
            <w:r>
              <w:rPr>
                <w:color w:val="FF0000"/>
              </w:rPr>
              <w:t>新鲜水</w:t>
            </w:r>
            <w:r>
              <w:rPr>
                <w:rFonts w:hint="eastAsia"/>
                <w:color w:val="FF0000"/>
              </w:rPr>
              <w:t>，经化粪池处理后定期委托</w:t>
            </w:r>
            <w:r>
              <w:rPr>
                <w:rFonts w:hint="eastAsia"/>
                <w:color w:val="FF0000"/>
                <w:lang w:eastAsia="zh-CN"/>
              </w:rPr>
              <w:t>五原县塔尔湖污水处理厂</w:t>
            </w:r>
            <w:r>
              <w:rPr>
                <w:rFonts w:hint="eastAsia"/>
                <w:color w:val="FF0000"/>
              </w:rPr>
              <w:t>采用罐车清运处理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5004" w:type="dxa"/>
            <w:gridSpan w:val="11"/>
            <w:vAlign w:val="center"/>
          </w:tcPr>
          <w:p>
            <w:pPr>
              <w:pStyle w:val="232"/>
              <w:rPr>
                <w:rFonts w:hint="default" w:eastAsia="宋体"/>
                <w:color w:val="FF0000"/>
                <w:lang w:val="en-US" w:eastAsia="zh-CN"/>
              </w:rPr>
            </w:pPr>
            <w:r>
              <w:rPr>
                <w:rFonts w:hint="eastAsia"/>
                <w:color w:val="FF0000"/>
                <w:lang w:val="en-US" w:eastAsia="zh-CN"/>
              </w:rPr>
              <w:t>二 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rPr>
                <w:color w:val="FF0000"/>
              </w:rPr>
            </w:pPr>
            <w:r>
              <w:rPr>
                <w:color w:val="FF0000"/>
              </w:rPr>
              <w:t>2</w:t>
            </w:r>
          </w:p>
        </w:tc>
        <w:tc>
          <w:tcPr>
            <w:tcW w:w="1309" w:type="dxa"/>
            <w:gridSpan w:val="2"/>
            <w:vAlign w:val="center"/>
          </w:tcPr>
          <w:p>
            <w:pPr>
              <w:pStyle w:val="232"/>
              <w:rPr>
                <w:color w:val="FF0000"/>
              </w:rPr>
            </w:pPr>
            <w:r>
              <w:rPr>
                <w:rFonts w:hint="eastAsia"/>
                <w:color w:val="FF0000"/>
              </w:rPr>
              <w:t>养殖用水</w:t>
            </w:r>
          </w:p>
        </w:tc>
        <w:tc>
          <w:tcPr>
            <w:tcW w:w="1050" w:type="dxa"/>
            <w:vAlign w:val="center"/>
          </w:tcPr>
          <w:p>
            <w:pPr>
              <w:pStyle w:val="232"/>
              <w:rPr>
                <w:bCs/>
                <w:color w:val="FF0000"/>
              </w:rPr>
            </w:pPr>
            <w:r>
              <w:rPr>
                <w:rFonts w:hint="eastAsia"/>
                <w:color w:val="FF0000"/>
              </w:rPr>
              <w:t>50万</w:t>
            </w:r>
          </w:p>
        </w:tc>
        <w:tc>
          <w:tcPr>
            <w:tcW w:w="1290" w:type="dxa"/>
            <w:vAlign w:val="center"/>
          </w:tcPr>
          <w:p>
            <w:pPr>
              <w:pStyle w:val="232"/>
              <w:rPr>
                <w:bCs/>
                <w:color w:val="FF0000"/>
              </w:rPr>
            </w:pPr>
            <w:r>
              <w:rPr>
                <w:rFonts w:hint="eastAsia"/>
                <w:bCs/>
                <w:color w:val="FF0000"/>
              </w:rPr>
              <w:t>10</w:t>
            </w:r>
            <w:r>
              <w:rPr>
                <w:bCs/>
                <w:color w:val="FF0000"/>
              </w:rPr>
              <w:t>L/</w:t>
            </w:r>
            <w:r>
              <w:rPr>
                <w:rFonts w:hint="eastAsia"/>
                <w:bCs/>
                <w:color w:val="FF0000"/>
              </w:rPr>
              <w:t>只</w:t>
            </w:r>
            <w:r>
              <w:rPr>
                <w:bCs/>
                <w:color w:val="FF0000"/>
              </w:rPr>
              <w:t>·d</w:t>
            </w:r>
          </w:p>
        </w:tc>
        <w:tc>
          <w:tcPr>
            <w:tcW w:w="1140" w:type="dxa"/>
            <w:vAlign w:val="center"/>
          </w:tcPr>
          <w:p>
            <w:pPr>
              <w:pStyle w:val="232"/>
              <w:rPr>
                <w:color w:val="FF0000"/>
              </w:rPr>
            </w:pPr>
            <w:r>
              <w:rPr>
                <w:rFonts w:hint="eastAsia"/>
                <w:color w:val="FF0000"/>
              </w:rPr>
              <w:t>5000</w:t>
            </w:r>
          </w:p>
        </w:tc>
        <w:tc>
          <w:tcPr>
            <w:tcW w:w="1506" w:type="dxa"/>
            <w:vAlign w:val="center"/>
          </w:tcPr>
          <w:p>
            <w:pPr>
              <w:pStyle w:val="232"/>
              <w:rPr>
                <w:rFonts w:hint="default"/>
                <w:color w:val="FF0000"/>
                <w:lang w:val="en-US"/>
              </w:rPr>
            </w:pPr>
            <w:r>
              <w:rPr>
                <w:rFonts w:hint="eastAsia"/>
                <w:color w:val="FF0000"/>
                <w:lang w:val="en-US" w:eastAsia="zh-CN"/>
              </w:rPr>
              <w:t>900000</w:t>
            </w:r>
          </w:p>
        </w:tc>
        <w:tc>
          <w:tcPr>
            <w:tcW w:w="1027" w:type="dxa"/>
            <w:vAlign w:val="center"/>
          </w:tcPr>
          <w:p>
            <w:pPr>
              <w:pStyle w:val="232"/>
              <w:rPr>
                <w:rFonts w:hint="eastAsia" w:eastAsia="宋体"/>
                <w:color w:val="FF0000"/>
                <w:lang w:val="en-US" w:eastAsia="zh-CN"/>
              </w:rPr>
            </w:pPr>
            <w:r>
              <w:rPr>
                <w:rFonts w:hint="eastAsia"/>
                <w:color w:val="FF0000"/>
                <w:lang w:val="en-US" w:eastAsia="zh-CN"/>
              </w:rPr>
              <w:t>羊尿</w:t>
            </w:r>
          </w:p>
        </w:tc>
        <w:tc>
          <w:tcPr>
            <w:tcW w:w="1065" w:type="dxa"/>
            <w:vAlign w:val="center"/>
          </w:tcPr>
          <w:p>
            <w:pPr>
              <w:pStyle w:val="232"/>
              <w:rPr>
                <w:rFonts w:hint="default" w:eastAsia="宋体"/>
                <w:color w:val="FF0000"/>
                <w:lang w:val="en-US" w:eastAsia="zh-CN"/>
              </w:rPr>
            </w:pPr>
            <w:r>
              <w:rPr>
                <w:rFonts w:hint="eastAsia"/>
                <w:color w:val="FF0000"/>
                <w:lang w:val="en-US" w:eastAsia="zh-CN"/>
              </w:rPr>
              <w:t>660</w:t>
            </w:r>
          </w:p>
        </w:tc>
        <w:tc>
          <w:tcPr>
            <w:tcW w:w="1485" w:type="dxa"/>
            <w:vAlign w:val="center"/>
          </w:tcPr>
          <w:p>
            <w:pPr>
              <w:pStyle w:val="232"/>
              <w:rPr>
                <w:rFonts w:hint="default" w:eastAsia="宋体"/>
                <w:color w:val="FF0000"/>
                <w:lang w:val="en-US" w:eastAsia="zh-CN"/>
              </w:rPr>
            </w:pPr>
            <w:r>
              <w:rPr>
                <w:rFonts w:hint="eastAsia"/>
                <w:color w:val="FF0000"/>
                <w:lang w:val="en-US" w:eastAsia="zh-CN"/>
              </w:rPr>
              <w:t>118800</w:t>
            </w:r>
          </w:p>
        </w:tc>
        <w:tc>
          <w:tcPr>
            <w:tcW w:w="4522" w:type="dxa"/>
            <w:vMerge w:val="restart"/>
            <w:vAlign w:val="center"/>
          </w:tcPr>
          <w:p>
            <w:pPr>
              <w:pStyle w:val="232"/>
              <w:rPr>
                <w:rFonts w:hint="eastAsia" w:eastAsia="宋体"/>
                <w:color w:val="FF0000"/>
                <w:lang w:eastAsia="zh-CN"/>
              </w:rPr>
            </w:pPr>
            <w:r>
              <w:rPr>
                <w:rFonts w:hint="eastAsia"/>
                <w:color w:val="FF0000"/>
              </w:rPr>
              <w:t>由自备水井提供</w:t>
            </w:r>
            <w:r>
              <w:rPr>
                <w:color w:val="FF0000"/>
              </w:rPr>
              <w:t>新鲜水，</w:t>
            </w:r>
            <w:r>
              <w:rPr>
                <w:rFonts w:hint="eastAsia"/>
                <w:color w:val="FF0000"/>
                <w:lang w:val="en-US" w:eastAsia="zh-CN"/>
              </w:rPr>
              <w:t>项目不单独对羊尿进行收集，随粪便漏入羊舍下层粪污通道后，采用干清粪法将其一同清入堆肥平台进行发酵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ind w:firstLine="0" w:firstLineChars="0"/>
              <w:rPr>
                <w:rFonts w:ascii="Times New Roman" w:hAnsi="Times New Roman" w:eastAsia="宋体" w:cs="Times New Roman"/>
                <w:color w:val="FF0000"/>
                <w:kern w:val="2"/>
                <w:sz w:val="21"/>
                <w:szCs w:val="21"/>
                <w:lang w:val="en-US" w:eastAsia="zh-CN" w:bidi="ar-SA"/>
              </w:rPr>
            </w:pPr>
            <w:r>
              <w:rPr>
                <w:rFonts w:hint="eastAsia"/>
                <w:color w:val="FF0000"/>
              </w:rPr>
              <w:t>3</w:t>
            </w:r>
          </w:p>
        </w:tc>
        <w:tc>
          <w:tcPr>
            <w:tcW w:w="347" w:type="dxa"/>
            <w:vMerge w:val="restart"/>
            <w:vAlign w:val="center"/>
          </w:tcPr>
          <w:p>
            <w:pPr>
              <w:pStyle w:val="232"/>
              <w:rPr>
                <w:rFonts w:hint="default" w:eastAsia="宋体"/>
                <w:color w:val="FF0000"/>
                <w:lang w:val="en-US" w:eastAsia="zh-CN"/>
              </w:rPr>
            </w:pPr>
            <w:r>
              <w:rPr>
                <w:rFonts w:hint="eastAsia"/>
                <w:color w:val="FF0000"/>
                <w:lang w:val="en-US" w:eastAsia="zh-CN"/>
              </w:rPr>
              <w:t>饲料含水</w:t>
            </w:r>
          </w:p>
        </w:tc>
        <w:tc>
          <w:tcPr>
            <w:tcW w:w="962" w:type="dxa"/>
            <w:vAlign w:val="center"/>
          </w:tcPr>
          <w:p>
            <w:pPr>
              <w:pStyle w:val="232"/>
              <w:rPr>
                <w:rFonts w:hint="default"/>
                <w:color w:val="FF0000"/>
                <w:lang w:val="en-US" w:eastAsia="zh-CN"/>
              </w:rPr>
            </w:pPr>
            <w:r>
              <w:rPr>
                <w:rFonts w:hint="eastAsia"/>
                <w:color w:val="FF0000"/>
                <w:lang w:val="en-US" w:eastAsia="zh-CN"/>
              </w:rPr>
              <w:t>精饲料</w:t>
            </w:r>
          </w:p>
        </w:tc>
        <w:tc>
          <w:tcPr>
            <w:tcW w:w="1050" w:type="dxa"/>
            <w:vAlign w:val="center"/>
          </w:tcPr>
          <w:p>
            <w:pPr>
              <w:pStyle w:val="232"/>
              <w:rPr>
                <w:rFonts w:hint="default" w:eastAsia="宋体"/>
                <w:color w:val="FF0000"/>
                <w:lang w:val="en-US" w:eastAsia="zh-CN"/>
              </w:rPr>
            </w:pPr>
            <w:r>
              <w:rPr>
                <w:rFonts w:hint="eastAsia"/>
                <w:color w:val="FF0000"/>
                <w:lang w:val="en-US" w:eastAsia="zh-CN"/>
              </w:rPr>
              <w:t>2920t</w:t>
            </w:r>
          </w:p>
        </w:tc>
        <w:tc>
          <w:tcPr>
            <w:tcW w:w="1290" w:type="dxa"/>
            <w:vAlign w:val="center"/>
          </w:tcPr>
          <w:p>
            <w:pPr>
              <w:pStyle w:val="232"/>
              <w:rPr>
                <w:rFonts w:hint="default" w:eastAsia="宋体"/>
                <w:bCs/>
                <w:color w:val="FF0000"/>
                <w:lang w:val="en-US" w:eastAsia="zh-CN"/>
              </w:rPr>
            </w:pPr>
            <w:r>
              <w:rPr>
                <w:rFonts w:hint="eastAsia"/>
                <w:bCs/>
                <w:color w:val="FF0000"/>
                <w:lang w:val="en-US" w:eastAsia="zh-CN"/>
              </w:rPr>
              <w:t>10%</w:t>
            </w:r>
          </w:p>
        </w:tc>
        <w:tc>
          <w:tcPr>
            <w:tcW w:w="1140" w:type="dxa"/>
            <w:vMerge w:val="restart"/>
            <w:vAlign w:val="center"/>
          </w:tcPr>
          <w:p>
            <w:pPr>
              <w:pStyle w:val="232"/>
              <w:rPr>
                <w:rFonts w:hint="default" w:eastAsia="宋体"/>
                <w:color w:val="FF0000"/>
                <w:lang w:val="en-US" w:eastAsia="zh-CN"/>
              </w:rPr>
            </w:pPr>
            <w:r>
              <w:rPr>
                <w:rFonts w:hint="eastAsia"/>
                <w:color w:val="FF0000"/>
                <w:lang w:val="en-US" w:eastAsia="zh-CN"/>
              </w:rPr>
              <w:t>10.80</w:t>
            </w:r>
          </w:p>
        </w:tc>
        <w:tc>
          <w:tcPr>
            <w:tcW w:w="1506" w:type="dxa"/>
            <w:vMerge w:val="restart"/>
            <w:vAlign w:val="center"/>
          </w:tcPr>
          <w:p>
            <w:pPr>
              <w:pStyle w:val="232"/>
              <w:rPr>
                <w:rFonts w:hint="default"/>
                <w:color w:val="FF0000"/>
                <w:lang w:val="en-US" w:eastAsia="zh-CN"/>
              </w:rPr>
            </w:pPr>
            <w:r>
              <w:rPr>
                <w:rFonts w:hint="eastAsia"/>
                <w:color w:val="FF0000"/>
                <w:lang w:val="en-US" w:eastAsia="zh-CN"/>
              </w:rPr>
              <w:t>1944</w:t>
            </w:r>
          </w:p>
        </w:tc>
        <w:tc>
          <w:tcPr>
            <w:tcW w:w="1027" w:type="dxa"/>
            <w:vMerge w:val="restart"/>
            <w:vAlign w:val="center"/>
          </w:tcPr>
          <w:p>
            <w:pPr>
              <w:pStyle w:val="232"/>
              <w:rPr>
                <w:rFonts w:hint="default" w:eastAsia="宋体"/>
                <w:color w:val="FF0000"/>
                <w:lang w:val="en-US" w:eastAsia="zh-CN"/>
              </w:rPr>
            </w:pPr>
            <w:r>
              <w:rPr>
                <w:rFonts w:hint="eastAsia"/>
                <w:color w:val="FF0000"/>
                <w:lang w:val="en-US" w:eastAsia="zh-CN"/>
              </w:rPr>
              <w:t>羊粪含水</w:t>
            </w:r>
          </w:p>
        </w:tc>
        <w:tc>
          <w:tcPr>
            <w:tcW w:w="1065" w:type="dxa"/>
            <w:vMerge w:val="restart"/>
            <w:vAlign w:val="center"/>
          </w:tcPr>
          <w:p>
            <w:pPr>
              <w:pStyle w:val="232"/>
              <w:rPr>
                <w:rFonts w:hint="default" w:eastAsia="宋体"/>
                <w:color w:val="FF0000"/>
                <w:lang w:val="en-US" w:eastAsia="zh-CN"/>
              </w:rPr>
            </w:pPr>
            <w:r>
              <w:rPr>
                <w:rFonts w:hint="eastAsia"/>
                <w:color w:val="FF0000"/>
                <w:lang w:val="en-US" w:eastAsia="zh-CN"/>
              </w:rPr>
              <w:t>62.1</w:t>
            </w:r>
          </w:p>
        </w:tc>
        <w:tc>
          <w:tcPr>
            <w:tcW w:w="1485" w:type="dxa"/>
            <w:vMerge w:val="restart"/>
            <w:vAlign w:val="center"/>
          </w:tcPr>
          <w:p>
            <w:pPr>
              <w:pStyle w:val="232"/>
              <w:rPr>
                <w:rFonts w:hint="default" w:eastAsia="宋体"/>
                <w:color w:val="FF0000"/>
                <w:lang w:val="en-US" w:eastAsia="zh-CN"/>
              </w:rPr>
            </w:pPr>
            <w:r>
              <w:rPr>
                <w:rFonts w:hint="eastAsia"/>
                <w:color w:val="FF0000"/>
                <w:lang w:val="en-US" w:eastAsia="zh-CN"/>
              </w:rPr>
              <w:t>11178</w:t>
            </w:r>
          </w:p>
        </w:tc>
        <w:tc>
          <w:tcPr>
            <w:tcW w:w="4522" w:type="dxa"/>
            <w:vMerge w:val="continue"/>
            <w:vAlign w:val="center"/>
          </w:tcPr>
          <w:p>
            <w:pPr>
              <w:pStyle w:val="232"/>
              <w:rPr>
                <w:rFonts w:hint="eastAsia"/>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ind w:firstLine="0" w:firstLineChars="0"/>
              <w:rPr>
                <w:rFonts w:hint="eastAsia" w:eastAsia="宋体"/>
                <w:color w:val="FF0000"/>
                <w:lang w:val="en-US" w:eastAsia="zh-CN"/>
              </w:rPr>
            </w:pPr>
            <w:r>
              <w:rPr>
                <w:rFonts w:hint="eastAsia"/>
                <w:color w:val="FF0000"/>
                <w:lang w:val="en-US" w:eastAsia="zh-CN"/>
              </w:rPr>
              <w:t>4</w:t>
            </w:r>
          </w:p>
        </w:tc>
        <w:tc>
          <w:tcPr>
            <w:tcW w:w="347" w:type="dxa"/>
            <w:vMerge w:val="continue"/>
            <w:vAlign w:val="center"/>
          </w:tcPr>
          <w:p>
            <w:pPr>
              <w:pStyle w:val="232"/>
              <w:rPr>
                <w:rFonts w:hint="eastAsia"/>
                <w:color w:val="FF0000"/>
                <w:lang w:val="en-US" w:eastAsia="zh-CN"/>
              </w:rPr>
            </w:pPr>
          </w:p>
        </w:tc>
        <w:tc>
          <w:tcPr>
            <w:tcW w:w="962" w:type="dxa"/>
            <w:vAlign w:val="center"/>
          </w:tcPr>
          <w:p>
            <w:pPr>
              <w:pStyle w:val="232"/>
              <w:rPr>
                <w:rFonts w:hint="default"/>
                <w:color w:val="FF0000"/>
                <w:lang w:val="en-US" w:eastAsia="zh-CN"/>
              </w:rPr>
            </w:pPr>
            <w:r>
              <w:rPr>
                <w:rFonts w:hint="eastAsia"/>
                <w:color w:val="FF0000"/>
                <w:lang w:val="en-US" w:eastAsia="zh-CN"/>
              </w:rPr>
              <w:t>粗饲料</w:t>
            </w:r>
          </w:p>
        </w:tc>
        <w:tc>
          <w:tcPr>
            <w:tcW w:w="1050" w:type="dxa"/>
            <w:vAlign w:val="center"/>
          </w:tcPr>
          <w:p>
            <w:pPr>
              <w:pStyle w:val="232"/>
              <w:rPr>
                <w:rFonts w:hint="default" w:eastAsia="宋体"/>
                <w:color w:val="FF0000"/>
                <w:lang w:val="en-US" w:eastAsia="zh-CN"/>
              </w:rPr>
            </w:pPr>
            <w:r>
              <w:rPr>
                <w:rFonts w:hint="eastAsia"/>
                <w:color w:val="FF0000"/>
                <w:lang w:val="en-US" w:eastAsia="zh-CN"/>
              </w:rPr>
              <w:t>4380t</w:t>
            </w:r>
          </w:p>
        </w:tc>
        <w:tc>
          <w:tcPr>
            <w:tcW w:w="1290" w:type="dxa"/>
            <w:vAlign w:val="center"/>
          </w:tcPr>
          <w:p>
            <w:pPr>
              <w:pStyle w:val="232"/>
              <w:rPr>
                <w:rFonts w:hint="default" w:eastAsia="宋体"/>
                <w:bCs/>
                <w:color w:val="FF0000"/>
                <w:lang w:val="en-US" w:eastAsia="zh-CN"/>
              </w:rPr>
            </w:pPr>
            <w:r>
              <w:rPr>
                <w:rFonts w:hint="eastAsia"/>
                <w:bCs/>
                <w:color w:val="FF0000"/>
                <w:lang w:val="en-US" w:eastAsia="zh-CN"/>
              </w:rPr>
              <w:t>25%</w:t>
            </w:r>
          </w:p>
        </w:tc>
        <w:tc>
          <w:tcPr>
            <w:tcW w:w="1140" w:type="dxa"/>
            <w:vMerge w:val="continue"/>
            <w:vAlign w:val="center"/>
          </w:tcPr>
          <w:p>
            <w:pPr>
              <w:pStyle w:val="232"/>
              <w:rPr>
                <w:rFonts w:hint="eastAsia"/>
                <w:color w:val="FF0000"/>
              </w:rPr>
            </w:pPr>
          </w:p>
        </w:tc>
        <w:tc>
          <w:tcPr>
            <w:tcW w:w="1506" w:type="dxa"/>
            <w:vMerge w:val="continue"/>
            <w:vAlign w:val="center"/>
          </w:tcPr>
          <w:p>
            <w:pPr>
              <w:pStyle w:val="232"/>
              <w:rPr>
                <w:rFonts w:hint="eastAsia"/>
                <w:color w:val="FF0000"/>
                <w:lang w:val="en-US" w:eastAsia="zh-CN"/>
              </w:rPr>
            </w:pPr>
          </w:p>
        </w:tc>
        <w:tc>
          <w:tcPr>
            <w:tcW w:w="1027" w:type="dxa"/>
            <w:vMerge w:val="continue"/>
            <w:vAlign w:val="center"/>
          </w:tcPr>
          <w:p>
            <w:pPr>
              <w:pStyle w:val="232"/>
              <w:rPr>
                <w:rFonts w:hint="eastAsia"/>
                <w:color w:val="FF0000"/>
              </w:rPr>
            </w:pPr>
          </w:p>
        </w:tc>
        <w:tc>
          <w:tcPr>
            <w:tcW w:w="1065" w:type="dxa"/>
            <w:vMerge w:val="continue"/>
            <w:vAlign w:val="center"/>
          </w:tcPr>
          <w:p>
            <w:pPr>
              <w:pStyle w:val="232"/>
              <w:rPr>
                <w:rFonts w:hint="eastAsia"/>
                <w:color w:val="FF0000"/>
              </w:rPr>
            </w:pPr>
          </w:p>
        </w:tc>
        <w:tc>
          <w:tcPr>
            <w:tcW w:w="1485" w:type="dxa"/>
            <w:vMerge w:val="continue"/>
            <w:vAlign w:val="center"/>
          </w:tcPr>
          <w:p>
            <w:pPr>
              <w:pStyle w:val="232"/>
              <w:rPr>
                <w:rFonts w:hint="eastAsia"/>
                <w:color w:val="FF0000"/>
              </w:rPr>
            </w:pPr>
          </w:p>
        </w:tc>
        <w:tc>
          <w:tcPr>
            <w:tcW w:w="4522" w:type="dxa"/>
            <w:vMerge w:val="continue"/>
            <w:vAlign w:val="center"/>
          </w:tcPr>
          <w:p>
            <w:pPr>
              <w:pStyle w:val="232"/>
              <w:rPr>
                <w:rFonts w:hint="eastAsia"/>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blHeader/>
          <w:jc w:val="center"/>
        </w:trPr>
        <w:tc>
          <w:tcPr>
            <w:tcW w:w="610" w:type="dxa"/>
            <w:vAlign w:val="center"/>
          </w:tcPr>
          <w:p>
            <w:pPr>
              <w:pStyle w:val="232"/>
              <w:ind w:firstLine="0" w:firstLineChars="0"/>
              <w:rPr>
                <w:rFonts w:hint="eastAsia" w:eastAsia="宋体"/>
                <w:color w:val="FF0000"/>
                <w:lang w:val="en-US" w:eastAsia="zh-CN"/>
              </w:rPr>
            </w:pPr>
            <w:r>
              <w:rPr>
                <w:rFonts w:hint="eastAsia"/>
                <w:color w:val="FF0000"/>
                <w:lang w:val="en-US" w:eastAsia="zh-CN"/>
              </w:rPr>
              <w:t>5</w:t>
            </w:r>
          </w:p>
        </w:tc>
        <w:tc>
          <w:tcPr>
            <w:tcW w:w="347" w:type="dxa"/>
            <w:vMerge w:val="continue"/>
            <w:vAlign w:val="center"/>
          </w:tcPr>
          <w:p>
            <w:pPr>
              <w:pStyle w:val="232"/>
              <w:rPr>
                <w:rFonts w:hint="eastAsia"/>
                <w:color w:val="FF0000"/>
                <w:lang w:val="en-US" w:eastAsia="zh-CN"/>
              </w:rPr>
            </w:pPr>
          </w:p>
        </w:tc>
        <w:tc>
          <w:tcPr>
            <w:tcW w:w="962" w:type="dxa"/>
            <w:vAlign w:val="center"/>
          </w:tcPr>
          <w:p>
            <w:pPr>
              <w:pStyle w:val="232"/>
              <w:rPr>
                <w:rFonts w:hint="default"/>
                <w:color w:val="FF0000"/>
                <w:lang w:val="en-US" w:eastAsia="zh-CN"/>
              </w:rPr>
            </w:pPr>
            <w:r>
              <w:rPr>
                <w:rFonts w:hint="eastAsia"/>
                <w:color w:val="FF0000"/>
                <w:lang w:val="en-US" w:eastAsia="zh-CN"/>
              </w:rPr>
              <w:t>青储</w:t>
            </w:r>
          </w:p>
        </w:tc>
        <w:tc>
          <w:tcPr>
            <w:tcW w:w="1050" w:type="dxa"/>
            <w:vAlign w:val="center"/>
          </w:tcPr>
          <w:p>
            <w:pPr>
              <w:pStyle w:val="232"/>
              <w:rPr>
                <w:rFonts w:hint="default" w:eastAsia="宋体"/>
                <w:color w:val="FF0000"/>
                <w:lang w:val="en-US" w:eastAsia="zh-CN"/>
              </w:rPr>
            </w:pPr>
            <w:r>
              <w:rPr>
                <w:rFonts w:hint="eastAsia"/>
                <w:color w:val="FF0000"/>
                <w:lang w:val="en-US" w:eastAsia="zh-CN"/>
              </w:rPr>
              <w:t>7300t</w:t>
            </w:r>
          </w:p>
        </w:tc>
        <w:tc>
          <w:tcPr>
            <w:tcW w:w="1290" w:type="dxa"/>
            <w:vAlign w:val="center"/>
          </w:tcPr>
          <w:p>
            <w:pPr>
              <w:pStyle w:val="232"/>
              <w:rPr>
                <w:rFonts w:hint="default" w:eastAsia="宋体"/>
                <w:bCs/>
                <w:color w:val="FF0000"/>
                <w:lang w:val="en-US" w:eastAsia="zh-CN"/>
              </w:rPr>
            </w:pPr>
            <w:r>
              <w:rPr>
                <w:rFonts w:hint="eastAsia"/>
                <w:bCs/>
                <w:color w:val="FF0000"/>
                <w:lang w:val="en-US" w:eastAsia="zh-CN"/>
              </w:rPr>
              <w:t>35%</w:t>
            </w:r>
          </w:p>
        </w:tc>
        <w:tc>
          <w:tcPr>
            <w:tcW w:w="1140" w:type="dxa"/>
            <w:vMerge w:val="continue"/>
            <w:vAlign w:val="center"/>
          </w:tcPr>
          <w:p>
            <w:pPr>
              <w:pStyle w:val="232"/>
              <w:rPr>
                <w:rFonts w:hint="eastAsia"/>
                <w:color w:val="FF0000"/>
              </w:rPr>
            </w:pPr>
          </w:p>
        </w:tc>
        <w:tc>
          <w:tcPr>
            <w:tcW w:w="1506" w:type="dxa"/>
            <w:vMerge w:val="continue"/>
            <w:vAlign w:val="center"/>
          </w:tcPr>
          <w:p>
            <w:pPr>
              <w:pStyle w:val="232"/>
              <w:rPr>
                <w:rFonts w:hint="eastAsia"/>
                <w:color w:val="FF0000"/>
                <w:lang w:val="en-US" w:eastAsia="zh-CN"/>
              </w:rPr>
            </w:pPr>
          </w:p>
        </w:tc>
        <w:tc>
          <w:tcPr>
            <w:tcW w:w="1027" w:type="dxa"/>
            <w:vMerge w:val="continue"/>
            <w:vAlign w:val="center"/>
          </w:tcPr>
          <w:p>
            <w:pPr>
              <w:pStyle w:val="232"/>
              <w:rPr>
                <w:rFonts w:hint="eastAsia"/>
                <w:color w:val="FF0000"/>
              </w:rPr>
            </w:pPr>
          </w:p>
        </w:tc>
        <w:tc>
          <w:tcPr>
            <w:tcW w:w="1065" w:type="dxa"/>
            <w:vMerge w:val="continue"/>
            <w:vAlign w:val="center"/>
          </w:tcPr>
          <w:p>
            <w:pPr>
              <w:pStyle w:val="232"/>
              <w:rPr>
                <w:rFonts w:hint="eastAsia"/>
                <w:color w:val="FF0000"/>
              </w:rPr>
            </w:pPr>
          </w:p>
        </w:tc>
        <w:tc>
          <w:tcPr>
            <w:tcW w:w="1485" w:type="dxa"/>
            <w:vMerge w:val="continue"/>
            <w:vAlign w:val="center"/>
          </w:tcPr>
          <w:p>
            <w:pPr>
              <w:pStyle w:val="232"/>
              <w:rPr>
                <w:rFonts w:hint="eastAsia"/>
                <w:color w:val="FF0000"/>
              </w:rPr>
            </w:pPr>
          </w:p>
        </w:tc>
        <w:tc>
          <w:tcPr>
            <w:tcW w:w="4522" w:type="dxa"/>
            <w:vMerge w:val="continue"/>
            <w:vAlign w:val="center"/>
          </w:tcPr>
          <w:p>
            <w:pPr>
              <w:pStyle w:val="232"/>
              <w:rPr>
                <w:rFonts w:hint="eastAsia"/>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61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6</w:t>
            </w:r>
          </w:p>
        </w:tc>
        <w:tc>
          <w:tcPr>
            <w:tcW w:w="1309" w:type="dxa"/>
            <w:gridSpan w:val="2"/>
            <w:vAlign w:val="center"/>
          </w:tcPr>
          <w:p>
            <w:pPr>
              <w:pStyle w:val="232"/>
              <w:rPr>
                <w:rFonts w:hint="default" w:eastAsia="宋体"/>
                <w:color w:val="FF0000"/>
                <w:lang w:val="en-US" w:eastAsia="zh-CN"/>
              </w:rPr>
            </w:pPr>
            <w:r>
              <w:rPr>
                <w:rFonts w:hint="eastAsia"/>
                <w:color w:val="FF0000"/>
                <w:lang w:val="en-US" w:eastAsia="zh-CN"/>
              </w:rPr>
              <w:t>/</w:t>
            </w:r>
          </w:p>
        </w:tc>
        <w:tc>
          <w:tcPr>
            <w:tcW w:w="1050" w:type="dxa"/>
            <w:vAlign w:val="center"/>
          </w:tcPr>
          <w:p>
            <w:pPr>
              <w:pStyle w:val="232"/>
              <w:rPr>
                <w:rFonts w:hint="default" w:eastAsia="宋体"/>
                <w:bCs/>
                <w:color w:val="FF0000"/>
                <w:lang w:val="en-US" w:eastAsia="zh-CN"/>
              </w:rPr>
            </w:pPr>
            <w:r>
              <w:rPr>
                <w:rFonts w:hint="eastAsia"/>
                <w:bCs/>
                <w:color w:val="FF0000"/>
                <w:lang w:val="en-US" w:eastAsia="zh-CN"/>
              </w:rPr>
              <w:t>/</w:t>
            </w:r>
          </w:p>
        </w:tc>
        <w:tc>
          <w:tcPr>
            <w:tcW w:w="1290" w:type="dxa"/>
            <w:vAlign w:val="center"/>
          </w:tcPr>
          <w:p>
            <w:pPr>
              <w:pStyle w:val="232"/>
              <w:rPr>
                <w:rFonts w:hint="eastAsia" w:eastAsia="宋体"/>
                <w:bCs/>
                <w:color w:val="FF0000"/>
                <w:lang w:val="en-US" w:eastAsia="zh-CN"/>
              </w:rPr>
            </w:pPr>
            <w:r>
              <w:rPr>
                <w:rFonts w:hint="eastAsia"/>
                <w:bCs/>
                <w:color w:val="FF0000"/>
                <w:lang w:val="en-US" w:eastAsia="zh-CN"/>
              </w:rPr>
              <w:t>/</w:t>
            </w:r>
          </w:p>
        </w:tc>
        <w:tc>
          <w:tcPr>
            <w:tcW w:w="1140" w:type="dxa"/>
            <w:vAlign w:val="center"/>
          </w:tcPr>
          <w:p>
            <w:pPr>
              <w:pStyle w:val="232"/>
              <w:rPr>
                <w:rFonts w:hint="eastAsia" w:eastAsia="宋体"/>
                <w:color w:val="FF0000"/>
                <w:lang w:val="en-US" w:eastAsia="zh-CN"/>
              </w:rPr>
            </w:pPr>
            <w:r>
              <w:rPr>
                <w:rFonts w:hint="eastAsia"/>
                <w:color w:val="FF0000"/>
                <w:lang w:val="en-US" w:eastAsia="zh-CN"/>
              </w:rPr>
              <w:t>/</w:t>
            </w:r>
          </w:p>
        </w:tc>
        <w:tc>
          <w:tcPr>
            <w:tcW w:w="1506" w:type="dxa"/>
            <w:vAlign w:val="center"/>
          </w:tcPr>
          <w:p>
            <w:pPr>
              <w:pStyle w:val="232"/>
              <w:rPr>
                <w:rFonts w:hint="eastAsia" w:eastAsia="宋体"/>
                <w:color w:val="FF0000"/>
                <w:lang w:val="en-US" w:eastAsia="zh-CN"/>
              </w:rPr>
            </w:pPr>
            <w:r>
              <w:rPr>
                <w:rFonts w:hint="eastAsia"/>
                <w:color w:val="FF0000"/>
                <w:lang w:val="en-US" w:eastAsia="zh-CN"/>
              </w:rPr>
              <w:t>/</w:t>
            </w:r>
          </w:p>
        </w:tc>
        <w:tc>
          <w:tcPr>
            <w:tcW w:w="1027" w:type="dxa"/>
            <w:vAlign w:val="center"/>
          </w:tcPr>
          <w:p>
            <w:pPr>
              <w:pStyle w:val="232"/>
              <w:rPr>
                <w:color w:val="FF0000"/>
              </w:rPr>
            </w:pPr>
            <w:r>
              <w:rPr>
                <w:rFonts w:hint="eastAsia"/>
                <w:color w:val="FF0000"/>
                <w:lang w:val="en-US" w:eastAsia="zh-CN"/>
              </w:rPr>
              <w:t>无害化冷凝水</w:t>
            </w:r>
          </w:p>
        </w:tc>
        <w:tc>
          <w:tcPr>
            <w:tcW w:w="1065" w:type="dxa"/>
            <w:vAlign w:val="center"/>
          </w:tcPr>
          <w:p>
            <w:pPr>
              <w:pStyle w:val="232"/>
              <w:rPr>
                <w:rFonts w:hint="eastAsia" w:eastAsia="宋体"/>
                <w:color w:val="FF0000"/>
                <w:lang w:val="en-US" w:eastAsia="zh-CN"/>
              </w:rPr>
            </w:pPr>
            <w:r>
              <w:rPr>
                <w:rFonts w:hint="eastAsia"/>
                <w:color w:val="FF0000"/>
                <w:lang w:val="en-US" w:eastAsia="zh-CN"/>
              </w:rPr>
              <w:t>/</w:t>
            </w:r>
          </w:p>
        </w:tc>
        <w:tc>
          <w:tcPr>
            <w:tcW w:w="1485" w:type="dxa"/>
            <w:vAlign w:val="center"/>
          </w:tcPr>
          <w:p>
            <w:pPr>
              <w:pStyle w:val="232"/>
              <w:rPr>
                <w:rFonts w:hint="default" w:eastAsia="宋体"/>
                <w:color w:val="FF0000"/>
                <w:lang w:val="en-US" w:eastAsia="zh-CN"/>
              </w:rPr>
            </w:pPr>
            <w:r>
              <w:rPr>
                <w:rFonts w:hint="eastAsia"/>
                <w:color w:val="FF0000"/>
                <w:lang w:val="en-US" w:eastAsia="zh-CN"/>
              </w:rPr>
              <w:t>11.5</w:t>
            </w:r>
          </w:p>
        </w:tc>
        <w:tc>
          <w:tcPr>
            <w:tcW w:w="4522" w:type="dxa"/>
            <w:vAlign w:val="center"/>
          </w:tcPr>
          <w:p>
            <w:pPr>
              <w:pStyle w:val="232"/>
              <w:rPr>
                <w:color w:val="FF0000"/>
              </w:rPr>
            </w:pPr>
            <w:r>
              <w:rPr>
                <w:rFonts w:hint="eastAsia"/>
                <w:color w:val="FF0000"/>
              </w:rPr>
              <w:t>用于有机肥生产补水，不外排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61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7</w:t>
            </w:r>
          </w:p>
        </w:tc>
        <w:tc>
          <w:tcPr>
            <w:tcW w:w="1309" w:type="dxa"/>
            <w:gridSpan w:val="2"/>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消毒用水</w:t>
            </w:r>
          </w:p>
        </w:tc>
        <w:tc>
          <w:tcPr>
            <w:tcW w:w="1050" w:type="dxa"/>
            <w:vAlign w:val="center"/>
          </w:tcPr>
          <w:p>
            <w:pPr>
              <w:pStyle w:val="232"/>
              <w:ind w:firstLine="0" w:firstLineChars="0"/>
              <w:rPr>
                <w:rFonts w:hint="eastAsia" w:ascii="Times New Roman" w:hAnsi="Times New Roman" w:eastAsia="宋体" w:cs="Times New Roman"/>
                <w:bCs/>
                <w:color w:val="FF0000"/>
                <w:kern w:val="2"/>
                <w:sz w:val="21"/>
                <w:szCs w:val="21"/>
                <w:lang w:val="en-US" w:eastAsia="zh-CN" w:bidi="ar-SA"/>
              </w:rPr>
            </w:pPr>
            <w:r>
              <w:rPr>
                <w:rFonts w:hint="eastAsia"/>
                <w:color w:val="FF0000"/>
              </w:rPr>
              <w:t>50万</w:t>
            </w:r>
          </w:p>
        </w:tc>
        <w:tc>
          <w:tcPr>
            <w:tcW w:w="1290" w:type="dxa"/>
            <w:vAlign w:val="center"/>
          </w:tcPr>
          <w:p>
            <w:pPr>
              <w:pStyle w:val="232"/>
              <w:ind w:firstLine="0" w:firstLineChars="0"/>
              <w:rPr>
                <w:rFonts w:hint="eastAsia" w:ascii="Times New Roman" w:hAnsi="Times New Roman" w:eastAsia="宋体" w:cs="Times New Roman"/>
                <w:bCs/>
                <w:color w:val="FF0000"/>
                <w:kern w:val="2"/>
                <w:sz w:val="21"/>
                <w:szCs w:val="21"/>
                <w:lang w:val="en-US" w:eastAsia="zh-CN" w:bidi="ar-SA"/>
              </w:rPr>
            </w:pPr>
            <w:r>
              <w:rPr>
                <w:rFonts w:hint="eastAsia"/>
                <w:bCs/>
                <w:color w:val="FF0000"/>
              </w:rPr>
              <w:t>0.01L/头</w:t>
            </w:r>
          </w:p>
        </w:tc>
        <w:tc>
          <w:tcPr>
            <w:tcW w:w="114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0.72</w:t>
            </w:r>
          </w:p>
        </w:tc>
        <w:tc>
          <w:tcPr>
            <w:tcW w:w="1506" w:type="dxa"/>
            <w:vAlign w:val="center"/>
          </w:tcPr>
          <w:p>
            <w:pPr>
              <w:pStyle w:val="232"/>
              <w:ind w:firstLine="0" w:firstLineChars="0"/>
              <w:rPr>
                <w:rFonts w:hint="default" w:ascii="Times New Roman" w:hAnsi="Times New Roman" w:eastAsia="宋体" w:cs="Times New Roman"/>
                <w:color w:val="FF0000"/>
                <w:kern w:val="2"/>
                <w:sz w:val="21"/>
                <w:szCs w:val="21"/>
                <w:lang w:val="en-US" w:eastAsia="zh-CN" w:bidi="ar-SA"/>
              </w:rPr>
            </w:pPr>
            <w:r>
              <w:rPr>
                <w:rFonts w:hint="eastAsia"/>
                <w:color w:val="FF0000"/>
                <w:lang w:val="en-US" w:eastAsia="zh-CN"/>
              </w:rPr>
              <w:t>129.6</w:t>
            </w:r>
          </w:p>
        </w:tc>
        <w:tc>
          <w:tcPr>
            <w:tcW w:w="1027" w:type="dxa"/>
            <w:vAlign w:val="center"/>
          </w:tcPr>
          <w:p>
            <w:pPr>
              <w:pStyle w:val="232"/>
              <w:ind w:firstLine="0" w:firstLineChars="0"/>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w:t>
            </w:r>
          </w:p>
        </w:tc>
        <w:tc>
          <w:tcPr>
            <w:tcW w:w="1065"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w:t>
            </w:r>
          </w:p>
        </w:tc>
        <w:tc>
          <w:tcPr>
            <w:tcW w:w="1485"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w:t>
            </w:r>
          </w:p>
        </w:tc>
        <w:tc>
          <w:tcPr>
            <w:tcW w:w="4522"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新鲜水，蒸发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rPr>
                <w:rFonts w:hint="default" w:eastAsia="宋体"/>
                <w:color w:val="FF0000"/>
                <w:lang w:val="en-US" w:eastAsia="zh-CN"/>
              </w:rPr>
            </w:pPr>
            <w:r>
              <w:rPr>
                <w:rFonts w:hint="eastAsia"/>
                <w:color w:val="FF0000"/>
                <w:lang w:val="en-US" w:eastAsia="zh-CN"/>
              </w:rPr>
              <w:t>8</w:t>
            </w:r>
          </w:p>
        </w:tc>
        <w:tc>
          <w:tcPr>
            <w:tcW w:w="1309" w:type="dxa"/>
            <w:gridSpan w:val="2"/>
            <w:vAlign w:val="center"/>
          </w:tcPr>
          <w:p>
            <w:pPr>
              <w:pStyle w:val="232"/>
              <w:rPr>
                <w:color w:val="FF0000"/>
                <w:szCs w:val="22"/>
              </w:rPr>
            </w:pPr>
            <w:r>
              <w:rPr>
                <w:rFonts w:hint="eastAsia"/>
                <w:color w:val="FF0000"/>
              </w:rPr>
              <w:t>绿化用水</w:t>
            </w:r>
          </w:p>
        </w:tc>
        <w:tc>
          <w:tcPr>
            <w:tcW w:w="1050" w:type="dxa"/>
            <w:vAlign w:val="center"/>
          </w:tcPr>
          <w:p>
            <w:pPr>
              <w:pStyle w:val="232"/>
              <w:rPr>
                <w:bCs/>
                <w:color w:val="FF0000"/>
                <w:szCs w:val="22"/>
              </w:rPr>
            </w:pPr>
            <w:r>
              <w:rPr>
                <w:rFonts w:hint="eastAsia"/>
                <w:bCs/>
                <w:color w:val="FF0000"/>
              </w:rPr>
              <w:t>25000</w:t>
            </w:r>
          </w:p>
        </w:tc>
        <w:tc>
          <w:tcPr>
            <w:tcW w:w="1290" w:type="dxa"/>
            <w:vAlign w:val="center"/>
          </w:tcPr>
          <w:p>
            <w:pPr>
              <w:pStyle w:val="232"/>
              <w:rPr>
                <w:color w:val="FF0000"/>
                <w:szCs w:val="22"/>
              </w:rPr>
            </w:pPr>
            <w:r>
              <w:rPr>
                <w:color w:val="FF0000"/>
                <w:kern w:val="0"/>
              </w:rPr>
              <w:t>1</w:t>
            </w:r>
            <w:r>
              <w:rPr>
                <w:rFonts w:hint="eastAsia"/>
                <w:color w:val="FF0000"/>
                <w:kern w:val="0"/>
              </w:rPr>
              <w:t>.1</w:t>
            </w:r>
            <w:r>
              <w:rPr>
                <w:color w:val="FF0000"/>
                <w:kern w:val="0"/>
              </w:rPr>
              <w:t>L/（m</w:t>
            </w:r>
            <w:r>
              <w:rPr>
                <w:color w:val="FF0000"/>
                <w:kern w:val="0"/>
                <w:vertAlign w:val="superscript"/>
              </w:rPr>
              <w:t>2</w:t>
            </w:r>
            <w:r>
              <w:rPr>
                <w:rFonts w:hint="eastAsia"/>
                <w:color w:val="FF0000"/>
                <w:kern w:val="0"/>
              </w:rPr>
              <w:t>·</w:t>
            </w:r>
            <w:r>
              <w:rPr>
                <w:color w:val="FF0000"/>
                <w:kern w:val="0"/>
              </w:rPr>
              <w:t>d）</w:t>
            </w:r>
          </w:p>
        </w:tc>
        <w:tc>
          <w:tcPr>
            <w:tcW w:w="1140" w:type="dxa"/>
            <w:vAlign w:val="center"/>
          </w:tcPr>
          <w:p>
            <w:pPr>
              <w:pStyle w:val="232"/>
              <w:rPr>
                <w:color w:val="FF0000"/>
                <w:szCs w:val="22"/>
              </w:rPr>
            </w:pPr>
            <w:r>
              <w:rPr>
                <w:rFonts w:hint="eastAsia"/>
                <w:color w:val="FF0000"/>
              </w:rPr>
              <w:t>27.5</w:t>
            </w:r>
          </w:p>
        </w:tc>
        <w:tc>
          <w:tcPr>
            <w:tcW w:w="1506" w:type="dxa"/>
            <w:vAlign w:val="center"/>
          </w:tcPr>
          <w:p>
            <w:pPr>
              <w:pStyle w:val="232"/>
              <w:rPr>
                <w:color w:val="FF0000"/>
                <w:szCs w:val="22"/>
              </w:rPr>
            </w:pPr>
            <w:r>
              <w:rPr>
                <w:rFonts w:hint="eastAsia"/>
                <w:color w:val="FF0000"/>
              </w:rPr>
              <w:t>4950</w:t>
            </w:r>
          </w:p>
        </w:tc>
        <w:tc>
          <w:tcPr>
            <w:tcW w:w="1027" w:type="dxa"/>
            <w:vAlign w:val="center"/>
          </w:tcPr>
          <w:p>
            <w:pPr>
              <w:pStyle w:val="232"/>
              <w:rPr>
                <w:rFonts w:hint="eastAsia" w:eastAsia="宋体"/>
                <w:color w:val="FF0000"/>
                <w:lang w:val="en-US" w:eastAsia="zh-CN"/>
              </w:rPr>
            </w:pPr>
            <w:r>
              <w:rPr>
                <w:rFonts w:hint="eastAsia"/>
                <w:color w:val="FF0000"/>
                <w:lang w:val="en-US" w:eastAsia="zh-CN"/>
              </w:rPr>
              <w:t>/</w:t>
            </w:r>
          </w:p>
        </w:tc>
        <w:tc>
          <w:tcPr>
            <w:tcW w:w="1065" w:type="dxa"/>
            <w:vAlign w:val="center"/>
          </w:tcPr>
          <w:p>
            <w:pPr>
              <w:pStyle w:val="232"/>
              <w:rPr>
                <w:color w:val="FF0000"/>
                <w:szCs w:val="22"/>
              </w:rPr>
            </w:pPr>
            <w:r>
              <w:rPr>
                <w:rFonts w:hint="eastAsia"/>
                <w:color w:val="FF0000"/>
              </w:rPr>
              <w:t>/</w:t>
            </w:r>
          </w:p>
        </w:tc>
        <w:tc>
          <w:tcPr>
            <w:tcW w:w="1485" w:type="dxa"/>
            <w:vAlign w:val="center"/>
          </w:tcPr>
          <w:p>
            <w:pPr>
              <w:pStyle w:val="232"/>
              <w:rPr>
                <w:color w:val="FF0000"/>
                <w:szCs w:val="22"/>
              </w:rPr>
            </w:pPr>
            <w:r>
              <w:rPr>
                <w:rFonts w:hint="eastAsia"/>
                <w:color w:val="FF0000"/>
              </w:rPr>
              <w:t>/</w:t>
            </w:r>
          </w:p>
        </w:tc>
        <w:tc>
          <w:tcPr>
            <w:tcW w:w="4522" w:type="dxa"/>
            <w:vAlign w:val="center"/>
          </w:tcPr>
          <w:p>
            <w:pPr>
              <w:pStyle w:val="232"/>
              <w:rPr>
                <w:color w:val="FF0000"/>
                <w:szCs w:val="22"/>
              </w:rPr>
            </w:pPr>
            <w:r>
              <w:rPr>
                <w:rFonts w:hint="eastAsia"/>
                <w:color w:val="FF0000"/>
              </w:rPr>
              <w:t>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259" w:type="dxa"/>
            <w:gridSpan w:val="5"/>
            <w:vAlign w:val="center"/>
          </w:tcPr>
          <w:p>
            <w:pPr>
              <w:pStyle w:val="232"/>
              <w:rPr>
                <w:color w:val="FF0000"/>
              </w:rPr>
            </w:pPr>
            <w:r>
              <w:rPr>
                <w:rFonts w:hint="eastAsia"/>
                <w:color w:val="FF0000"/>
              </w:rPr>
              <w:t>新鲜水</w:t>
            </w:r>
            <w:r>
              <w:rPr>
                <w:color w:val="FF0000"/>
              </w:rPr>
              <w:t>合计</w:t>
            </w:r>
          </w:p>
        </w:tc>
        <w:tc>
          <w:tcPr>
            <w:tcW w:w="1140" w:type="dxa"/>
            <w:vAlign w:val="center"/>
          </w:tcPr>
          <w:p>
            <w:pPr>
              <w:pStyle w:val="232"/>
              <w:rPr>
                <w:rFonts w:hint="default" w:eastAsia="宋体"/>
                <w:color w:val="FF0000"/>
                <w:lang w:val="en-US" w:eastAsia="zh-CN"/>
              </w:rPr>
            </w:pPr>
            <w:r>
              <w:rPr>
                <w:rFonts w:hint="eastAsia"/>
                <w:color w:val="FF0000"/>
                <w:lang w:val="en-US" w:eastAsia="zh-CN"/>
              </w:rPr>
              <w:t>5055.22</w:t>
            </w:r>
          </w:p>
        </w:tc>
        <w:tc>
          <w:tcPr>
            <w:tcW w:w="1506" w:type="dxa"/>
            <w:vAlign w:val="center"/>
          </w:tcPr>
          <w:p>
            <w:pPr>
              <w:pStyle w:val="232"/>
              <w:rPr>
                <w:rFonts w:hint="default" w:eastAsia="宋体"/>
                <w:color w:val="FF0000"/>
                <w:lang w:val="en-US" w:eastAsia="zh-CN"/>
              </w:rPr>
            </w:pPr>
            <w:r>
              <w:rPr>
                <w:rFonts w:hint="eastAsia"/>
                <w:color w:val="FF0000"/>
                <w:lang w:val="en-US" w:eastAsia="zh-CN"/>
              </w:rPr>
              <w:t>907995.6</w:t>
            </w:r>
          </w:p>
        </w:tc>
        <w:tc>
          <w:tcPr>
            <w:tcW w:w="1027" w:type="dxa"/>
            <w:vAlign w:val="center"/>
          </w:tcPr>
          <w:p>
            <w:pPr>
              <w:pStyle w:val="232"/>
              <w:rPr>
                <w:rFonts w:hint="eastAsia" w:eastAsia="宋体"/>
                <w:color w:val="FF0000"/>
                <w:lang w:val="en-US" w:eastAsia="zh-CN"/>
              </w:rPr>
            </w:pPr>
            <w:r>
              <w:rPr>
                <w:rFonts w:hint="eastAsia"/>
                <w:color w:val="FF0000"/>
                <w:lang w:val="en-US" w:eastAsia="zh-CN"/>
              </w:rPr>
              <w:t>/</w:t>
            </w:r>
          </w:p>
        </w:tc>
        <w:tc>
          <w:tcPr>
            <w:tcW w:w="1065" w:type="dxa"/>
            <w:vAlign w:val="center"/>
          </w:tcPr>
          <w:p>
            <w:pPr>
              <w:pStyle w:val="232"/>
              <w:rPr>
                <w:rFonts w:hint="default" w:eastAsia="宋体"/>
                <w:color w:val="FF0000"/>
                <w:lang w:val="en-US" w:eastAsia="zh-CN"/>
              </w:rPr>
            </w:pPr>
            <w:r>
              <w:rPr>
                <w:rFonts w:hint="eastAsia"/>
                <w:color w:val="FF0000"/>
                <w:lang w:val="en-US" w:eastAsia="zh-CN"/>
              </w:rPr>
              <w:t>21.6</w:t>
            </w:r>
          </w:p>
        </w:tc>
        <w:tc>
          <w:tcPr>
            <w:tcW w:w="1485" w:type="dxa"/>
            <w:vAlign w:val="center"/>
          </w:tcPr>
          <w:p>
            <w:pPr>
              <w:pStyle w:val="232"/>
              <w:rPr>
                <w:rFonts w:hint="default" w:eastAsia="宋体"/>
                <w:color w:val="FF0000"/>
                <w:lang w:val="en-US" w:eastAsia="zh-CN"/>
              </w:rPr>
            </w:pPr>
            <w:r>
              <w:rPr>
                <w:rFonts w:hint="eastAsia"/>
                <w:color w:val="FF0000"/>
                <w:lang w:val="en-US" w:eastAsia="zh-CN"/>
              </w:rPr>
              <w:t>3888</w:t>
            </w:r>
          </w:p>
        </w:tc>
        <w:tc>
          <w:tcPr>
            <w:tcW w:w="4522" w:type="dxa"/>
            <w:vMerge w:val="restart"/>
            <w:vAlign w:val="center"/>
          </w:tcPr>
          <w:p>
            <w:pPr>
              <w:pStyle w:val="232"/>
              <w:rPr>
                <w:rFonts w:hint="default" w:eastAsia="宋体"/>
                <w:color w:val="FF0000"/>
                <w:lang w:val="en-US" w:eastAsia="zh-CN"/>
              </w:rPr>
            </w:pPr>
            <w:r>
              <w:rPr>
                <w:rFonts w:hint="eastAsia"/>
                <w:color w:val="FF0000"/>
                <w:lang w:val="en-US" w:eastAsia="zh-CN"/>
              </w:rPr>
              <w:t>本项目除生活污水经</w:t>
            </w:r>
            <w:r>
              <w:rPr>
                <w:rFonts w:hint="eastAsia"/>
                <w:color w:val="FF0000"/>
              </w:rPr>
              <w:t>化粪池处理后定期委托</w:t>
            </w:r>
            <w:r>
              <w:rPr>
                <w:rFonts w:hint="eastAsia"/>
                <w:color w:val="FF0000"/>
                <w:lang w:eastAsia="zh-CN"/>
              </w:rPr>
              <w:t>五原县塔尔湖污水处理厂</w:t>
            </w:r>
            <w:r>
              <w:rPr>
                <w:rFonts w:hint="eastAsia"/>
                <w:color w:val="FF0000"/>
              </w:rPr>
              <w:t>采用罐车清运处理</w:t>
            </w:r>
            <w:r>
              <w:rPr>
                <w:rFonts w:hint="eastAsia"/>
                <w:color w:val="FF0000"/>
                <w:lang w:val="en-US" w:eastAsia="zh-CN"/>
              </w:rPr>
              <w:t>外，均用于有机肥好氧堆肥，无生产废水外排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259" w:type="dxa"/>
            <w:gridSpan w:val="5"/>
            <w:vAlign w:val="center"/>
          </w:tcPr>
          <w:p>
            <w:pPr>
              <w:pStyle w:val="232"/>
              <w:rPr>
                <w:rFonts w:hint="default" w:eastAsia="宋体"/>
                <w:color w:val="FF0000"/>
                <w:lang w:val="en-US" w:eastAsia="zh-CN"/>
              </w:rPr>
            </w:pPr>
            <w:r>
              <w:rPr>
                <w:rFonts w:hint="eastAsia"/>
                <w:color w:val="FF0000"/>
                <w:lang w:val="en-US" w:eastAsia="zh-CN"/>
              </w:rPr>
              <w:t>总水合计</w:t>
            </w:r>
          </w:p>
        </w:tc>
        <w:tc>
          <w:tcPr>
            <w:tcW w:w="1140" w:type="dxa"/>
            <w:vAlign w:val="center"/>
          </w:tcPr>
          <w:p>
            <w:pPr>
              <w:pStyle w:val="232"/>
              <w:rPr>
                <w:rFonts w:hint="default"/>
                <w:color w:val="FF0000"/>
                <w:lang w:val="en-US" w:eastAsia="zh-CN"/>
              </w:rPr>
            </w:pPr>
            <w:r>
              <w:rPr>
                <w:rFonts w:hint="eastAsia"/>
                <w:color w:val="FF0000"/>
                <w:lang w:val="en-US" w:eastAsia="zh-CN"/>
              </w:rPr>
              <w:t>5066.02</w:t>
            </w:r>
          </w:p>
        </w:tc>
        <w:tc>
          <w:tcPr>
            <w:tcW w:w="1506" w:type="dxa"/>
            <w:vAlign w:val="center"/>
          </w:tcPr>
          <w:p>
            <w:pPr>
              <w:pStyle w:val="232"/>
              <w:rPr>
                <w:rFonts w:hint="default"/>
                <w:color w:val="FF0000"/>
                <w:lang w:val="en-US" w:eastAsia="zh-CN"/>
              </w:rPr>
            </w:pPr>
            <w:r>
              <w:rPr>
                <w:rFonts w:hint="eastAsia"/>
                <w:color w:val="FF0000"/>
                <w:lang w:val="en-US" w:eastAsia="zh-CN"/>
              </w:rPr>
              <w:t>909939.6</w:t>
            </w:r>
          </w:p>
        </w:tc>
        <w:tc>
          <w:tcPr>
            <w:tcW w:w="1027" w:type="dxa"/>
            <w:vAlign w:val="center"/>
          </w:tcPr>
          <w:p>
            <w:pPr>
              <w:pStyle w:val="232"/>
              <w:rPr>
                <w:rFonts w:hint="eastAsia"/>
                <w:color w:val="FF0000"/>
                <w:lang w:val="en-US" w:eastAsia="zh-CN"/>
              </w:rPr>
            </w:pPr>
          </w:p>
        </w:tc>
        <w:tc>
          <w:tcPr>
            <w:tcW w:w="1065"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21.6</w:t>
            </w:r>
          </w:p>
        </w:tc>
        <w:tc>
          <w:tcPr>
            <w:tcW w:w="1485"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3888</w:t>
            </w:r>
          </w:p>
        </w:tc>
        <w:tc>
          <w:tcPr>
            <w:tcW w:w="4522" w:type="dxa"/>
            <w:vMerge w:val="continue"/>
            <w:vAlign w:val="center"/>
          </w:tcPr>
          <w:p>
            <w:pPr>
              <w:pStyle w:val="232"/>
              <w:rPr>
                <w:rFonts w:hint="eastAsia"/>
                <w:color w:val="FF0000"/>
                <w:lang w:val="en-US" w:eastAsia="zh-CN"/>
              </w:rPr>
            </w:pPr>
          </w:p>
        </w:tc>
      </w:tr>
    </w:tbl>
    <w:p>
      <w:pPr>
        <w:bidi w:val="0"/>
        <w:rPr>
          <w:color w:val="FF0000"/>
        </w:rPr>
      </w:pPr>
    </w:p>
    <w:p>
      <w:pPr>
        <w:bidi w:val="0"/>
        <w:rPr>
          <w:color w:val="FF0000"/>
        </w:rPr>
      </w:pPr>
    </w:p>
    <w:p>
      <w:pPr>
        <w:bidi w:val="0"/>
        <w:rPr>
          <w:color w:val="FF0000"/>
        </w:rPr>
      </w:pPr>
    </w:p>
    <w:p>
      <w:pPr>
        <w:bidi w:val="0"/>
        <w:rPr>
          <w:color w:val="FF0000"/>
        </w:rPr>
      </w:pPr>
    </w:p>
    <w:p>
      <w:pPr>
        <w:bidi w:val="0"/>
        <w:rPr>
          <w:color w:val="FF0000"/>
        </w:rPr>
      </w:pPr>
    </w:p>
    <w:p>
      <w:pPr>
        <w:pStyle w:val="6"/>
        <w:rPr>
          <w:rFonts w:hint="eastAsia" w:eastAsia="宋体"/>
          <w:color w:val="FF0000"/>
          <w:lang w:eastAsia="zh-CN"/>
        </w:rPr>
      </w:pPr>
      <w:r>
        <w:rPr>
          <w:color w:val="FF0000"/>
        </w:rPr>
        <w:t>表</w:t>
      </w:r>
      <w:r>
        <w:rPr>
          <w:rFonts w:hint="eastAsia"/>
          <w:color w:val="FF0000"/>
        </w:rPr>
        <w:t>3.2.</w:t>
      </w:r>
      <w:r>
        <w:rPr>
          <w:rFonts w:hint="eastAsia"/>
          <w:color w:val="FF0000"/>
          <w:lang w:val="en-US" w:eastAsia="zh-CN"/>
        </w:rPr>
        <w:t>1</w:t>
      </w:r>
      <w:r>
        <w:rPr>
          <w:rFonts w:hint="eastAsia"/>
          <w:color w:val="FF0000"/>
        </w:rPr>
        <w:t>-</w:t>
      </w:r>
      <w:r>
        <w:rPr>
          <w:rFonts w:hint="eastAsia"/>
          <w:color w:val="FF0000"/>
          <w:lang w:val="en-US" w:eastAsia="zh-CN"/>
        </w:rPr>
        <w:t>2</w:t>
      </w:r>
      <w:r>
        <w:rPr>
          <w:rFonts w:hint="eastAsia"/>
          <w:color w:val="FF0000"/>
        </w:rPr>
        <w:t xml:space="preserve">    项目用排水情况统计表</w:t>
      </w:r>
      <w:r>
        <w:rPr>
          <w:rFonts w:hint="eastAsia"/>
          <w:color w:val="FF0000"/>
          <w:lang w:eastAsia="zh-CN"/>
        </w:rPr>
        <w:t>（</w:t>
      </w:r>
      <w:r>
        <w:rPr>
          <w:rFonts w:hint="eastAsia"/>
          <w:color w:val="FF0000"/>
          <w:lang w:val="en-US" w:eastAsia="zh-CN"/>
        </w:rPr>
        <w:t>冬季，按185天计</w:t>
      </w:r>
      <w:r>
        <w:rPr>
          <w:rFonts w:hint="eastAsia"/>
          <w:color w:val="FF0000"/>
          <w:lang w:eastAsia="zh-CN"/>
        </w:rPr>
        <w:t>）</w:t>
      </w:r>
    </w:p>
    <w:tbl>
      <w:tblPr>
        <w:tblStyle w:val="38"/>
        <w:tblW w:w="15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347"/>
        <w:gridCol w:w="962"/>
        <w:gridCol w:w="1050"/>
        <w:gridCol w:w="1290"/>
        <w:gridCol w:w="1041"/>
        <w:gridCol w:w="1492"/>
        <w:gridCol w:w="1148"/>
        <w:gridCol w:w="1042"/>
        <w:gridCol w:w="1500"/>
        <w:gridCol w:w="4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610" w:type="dxa"/>
            <w:vMerge w:val="restart"/>
            <w:vAlign w:val="center"/>
          </w:tcPr>
          <w:p>
            <w:pPr>
              <w:pStyle w:val="232"/>
              <w:rPr>
                <w:color w:val="FF0000"/>
              </w:rPr>
            </w:pPr>
            <w:r>
              <w:rPr>
                <w:color w:val="FF0000"/>
              </w:rPr>
              <w:t>序号</w:t>
            </w:r>
          </w:p>
        </w:tc>
        <w:tc>
          <w:tcPr>
            <w:tcW w:w="1309" w:type="dxa"/>
            <w:gridSpan w:val="2"/>
            <w:vMerge w:val="restart"/>
            <w:vAlign w:val="center"/>
          </w:tcPr>
          <w:p>
            <w:pPr>
              <w:pStyle w:val="232"/>
              <w:rPr>
                <w:color w:val="FF0000"/>
              </w:rPr>
            </w:pPr>
            <w:r>
              <w:rPr>
                <w:color w:val="FF0000"/>
              </w:rPr>
              <w:t>用水项目</w:t>
            </w:r>
          </w:p>
        </w:tc>
        <w:tc>
          <w:tcPr>
            <w:tcW w:w="1050" w:type="dxa"/>
            <w:vMerge w:val="restart"/>
            <w:vAlign w:val="center"/>
          </w:tcPr>
          <w:p>
            <w:pPr>
              <w:pStyle w:val="232"/>
              <w:rPr>
                <w:color w:val="FF0000"/>
              </w:rPr>
            </w:pPr>
            <w:r>
              <w:rPr>
                <w:color w:val="FF0000"/>
              </w:rPr>
              <w:t>规模</w:t>
            </w:r>
          </w:p>
        </w:tc>
        <w:tc>
          <w:tcPr>
            <w:tcW w:w="1290" w:type="dxa"/>
            <w:vMerge w:val="restart"/>
            <w:vAlign w:val="center"/>
          </w:tcPr>
          <w:p>
            <w:pPr>
              <w:pStyle w:val="232"/>
              <w:rPr>
                <w:color w:val="FF0000"/>
              </w:rPr>
            </w:pPr>
            <w:r>
              <w:rPr>
                <w:color w:val="FF0000"/>
              </w:rPr>
              <w:t>用水量</w:t>
            </w:r>
          </w:p>
          <w:p>
            <w:pPr>
              <w:pStyle w:val="232"/>
              <w:rPr>
                <w:color w:val="FF0000"/>
              </w:rPr>
            </w:pPr>
            <w:r>
              <w:rPr>
                <w:color w:val="FF0000"/>
              </w:rPr>
              <w:t>标准</w:t>
            </w:r>
          </w:p>
        </w:tc>
        <w:tc>
          <w:tcPr>
            <w:tcW w:w="1041" w:type="dxa"/>
            <w:vMerge w:val="restart"/>
            <w:vAlign w:val="center"/>
          </w:tcPr>
          <w:p>
            <w:pPr>
              <w:pStyle w:val="232"/>
              <w:rPr>
                <w:color w:val="FF0000"/>
              </w:rPr>
            </w:pPr>
            <w:r>
              <w:rPr>
                <w:color w:val="FF0000"/>
              </w:rPr>
              <w:t>日用水量（m</w:t>
            </w:r>
            <w:r>
              <w:rPr>
                <w:color w:val="FF0000"/>
                <w:vertAlign w:val="superscript"/>
              </w:rPr>
              <w:t>3</w:t>
            </w:r>
            <w:r>
              <w:rPr>
                <w:color w:val="FF0000"/>
              </w:rPr>
              <w:t>/d）</w:t>
            </w:r>
          </w:p>
        </w:tc>
        <w:tc>
          <w:tcPr>
            <w:tcW w:w="1492" w:type="dxa"/>
            <w:vMerge w:val="restart"/>
            <w:vAlign w:val="center"/>
          </w:tcPr>
          <w:p>
            <w:pPr>
              <w:pStyle w:val="232"/>
              <w:rPr>
                <w:color w:val="FF0000"/>
              </w:rPr>
            </w:pPr>
            <w:r>
              <w:rPr>
                <w:rFonts w:hint="eastAsia"/>
                <w:color w:val="FF0000"/>
                <w:lang w:val="en-US" w:eastAsia="zh-CN"/>
              </w:rPr>
              <w:t>185天</w:t>
            </w:r>
            <w:r>
              <w:rPr>
                <w:color w:val="FF0000"/>
              </w:rPr>
              <w:t>用水量（m</w:t>
            </w:r>
            <w:r>
              <w:rPr>
                <w:color w:val="FF0000"/>
                <w:vertAlign w:val="superscript"/>
              </w:rPr>
              <w:t>3</w:t>
            </w:r>
            <w:r>
              <w:rPr>
                <w:color w:val="FF0000"/>
              </w:rPr>
              <w:t>/</w:t>
            </w:r>
            <w:r>
              <w:rPr>
                <w:rFonts w:hint="eastAsia"/>
                <w:color w:val="FF0000"/>
                <w:lang w:val="en-US" w:eastAsia="zh-CN"/>
              </w:rPr>
              <w:t>180天</w:t>
            </w:r>
            <w:r>
              <w:rPr>
                <w:color w:val="FF0000"/>
              </w:rPr>
              <w:t>）</w:t>
            </w:r>
          </w:p>
        </w:tc>
        <w:tc>
          <w:tcPr>
            <w:tcW w:w="1148" w:type="dxa"/>
            <w:vMerge w:val="restart"/>
            <w:vAlign w:val="center"/>
          </w:tcPr>
          <w:p>
            <w:pPr>
              <w:pStyle w:val="232"/>
              <w:rPr>
                <w:rFonts w:hint="default" w:eastAsia="宋体"/>
                <w:color w:val="FF0000"/>
                <w:lang w:val="en-US" w:eastAsia="zh-CN"/>
              </w:rPr>
            </w:pPr>
            <w:r>
              <w:rPr>
                <w:rFonts w:hint="eastAsia"/>
                <w:color w:val="FF0000"/>
                <w:lang w:val="en-US" w:eastAsia="zh-CN"/>
              </w:rPr>
              <w:t>废水类型</w:t>
            </w:r>
          </w:p>
        </w:tc>
        <w:tc>
          <w:tcPr>
            <w:tcW w:w="2542" w:type="dxa"/>
            <w:gridSpan w:val="2"/>
            <w:vAlign w:val="center"/>
          </w:tcPr>
          <w:p>
            <w:pPr>
              <w:pStyle w:val="232"/>
              <w:rPr>
                <w:rFonts w:hint="default" w:eastAsia="宋体"/>
                <w:color w:val="FF0000"/>
                <w:lang w:val="en-US" w:eastAsia="zh-CN"/>
              </w:rPr>
            </w:pPr>
            <w:r>
              <w:rPr>
                <w:rFonts w:hint="eastAsia"/>
                <w:color w:val="FF0000"/>
                <w:lang w:val="en-US" w:eastAsia="zh-CN"/>
              </w:rPr>
              <w:t>排水量</w:t>
            </w:r>
          </w:p>
        </w:tc>
        <w:tc>
          <w:tcPr>
            <w:tcW w:w="4522" w:type="dxa"/>
            <w:vMerge w:val="restart"/>
            <w:vAlign w:val="center"/>
          </w:tcPr>
          <w:p>
            <w:pPr>
              <w:pStyle w:val="232"/>
              <w:rPr>
                <w:color w:val="FF0000"/>
              </w:rPr>
            </w:pPr>
            <w:r>
              <w:rPr>
                <w:color w:val="FF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610" w:type="dxa"/>
            <w:vMerge w:val="continue"/>
            <w:vAlign w:val="center"/>
          </w:tcPr>
          <w:p>
            <w:pPr>
              <w:pStyle w:val="232"/>
              <w:rPr>
                <w:color w:val="FF0000"/>
              </w:rPr>
            </w:pPr>
          </w:p>
        </w:tc>
        <w:tc>
          <w:tcPr>
            <w:tcW w:w="1309" w:type="dxa"/>
            <w:gridSpan w:val="2"/>
            <w:vMerge w:val="continue"/>
            <w:vAlign w:val="center"/>
          </w:tcPr>
          <w:p>
            <w:pPr>
              <w:pStyle w:val="232"/>
              <w:rPr>
                <w:color w:val="FF0000"/>
              </w:rPr>
            </w:pPr>
          </w:p>
        </w:tc>
        <w:tc>
          <w:tcPr>
            <w:tcW w:w="1050" w:type="dxa"/>
            <w:vMerge w:val="continue"/>
            <w:vAlign w:val="center"/>
          </w:tcPr>
          <w:p>
            <w:pPr>
              <w:pStyle w:val="232"/>
              <w:rPr>
                <w:color w:val="FF0000"/>
              </w:rPr>
            </w:pPr>
          </w:p>
        </w:tc>
        <w:tc>
          <w:tcPr>
            <w:tcW w:w="1290" w:type="dxa"/>
            <w:vMerge w:val="continue"/>
            <w:vAlign w:val="center"/>
          </w:tcPr>
          <w:p>
            <w:pPr>
              <w:pStyle w:val="232"/>
              <w:rPr>
                <w:color w:val="FF0000"/>
              </w:rPr>
            </w:pPr>
          </w:p>
        </w:tc>
        <w:tc>
          <w:tcPr>
            <w:tcW w:w="1041" w:type="dxa"/>
            <w:vMerge w:val="continue"/>
            <w:vAlign w:val="center"/>
          </w:tcPr>
          <w:p>
            <w:pPr>
              <w:pStyle w:val="232"/>
              <w:rPr>
                <w:color w:val="FF0000"/>
              </w:rPr>
            </w:pPr>
          </w:p>
        </w:tc>
        <w:tc>
          <w:tcPr>
            <w:tcW w:w="1492" w:type="dxa"/>
            <w:vMerge w:val="continue"/>
            <w:vAlign w:val="center"/>
          </w:tcPr>
          <w:p>
            <w:pPr>
              <w:pStyle w:val="232"/>
              <w:rPr>
                <w:color w:val="FF0000"/>
              </w:rPr>
            </w:pPr>
          </w:p>
        </w:tc>
        <w:tc>
          <w:tcPr>
            <w:tcW w:w="1148" w:type="dxa"/>
            <w:vMerge w:val="continue"/>
            <w:vAlign w:val="center"/>
          </w:tcPr>
          <w:p>
            <w:pPr>
              <w:pStyle w:val="232"/>
              <w:rPr>
                <w:color w:val="FF0000"/>
              </w:rPr>
            </w:pPr>
          </w:p>
        </w:tc>
        <w:tc>
          <w:tcPr>
            <w:tcW w:w="1042" w:type="dxa"/>
            <w:vAlign w:val="center"/>
          </w:tcPr>
          <w:p>
            <w:pPr>
              <w:pStyle w:val="232"/>
              <w:rPr>
                <w:color w:val="FF0000"/>
              </w:rPr>
            </w:pPr>
            <w:r>
              <w:rPr>
                <w:color w:val="FF0000"/>
              </w:rPr>
              <w:t>日排水量</w:t>
            </w:r>
          </w:p>
          <w:p>
            <w:pPr>
              <w:pStyle w:val="232"/>
              <w:ind w:firstLine="0" w:firstLineChars="0"/>
              <w:rPr>
                <w:rFonts w:ascii="Times New Roman" w:hAnsi="Times New Roman" w:eastAsia="宋体" w:cs="Times New Roman"/>
                <w:color w:val="FF0000"/>
                <w:kern w:val="2"/>
                <w:sz w:val="21"/>
                <w:szCs w:val="21"/>
                <w:lang w:val="en-US" w:eastAsia="zh-CN" w:bidi="ar-SA"/>
              </w:rPr>
            </w:pPr>
            <w:r>
              <w:rPr>
                <w:color w:val="FF0000"/>
              </w:rPr>
              <w:t>（m</w:t>
            </w:r>
            <w:r>
              <w:rPr>
                <w:color w:val="FF0000"/>
                <w:vertAlign w:val="superscript"/>
              </w:rPr>
              <w:t>3</w:t>
            </w:r>
            <w:r>
              <w:rPr>
                <w:color w:val="FF0000"/>
              </w:rPr>
              <w:t>/d）</w:t>
            </w:r>
          </w:p>
        </w:tc>
        <w:tc>
          <w:tcPr>
            <w:tcW w:w="1500" w:type="dxa"/>
            <w:vAlign w:val="center"/>
          </w:tcPr>
          <w:p>
            <w:pPr>
              <w:pStyle w:val="232"/>
              <w:rPr>
                <w:color w:val="FF0000"/>
              </w:rPr>
            </w:pPr>
            <w:r>
              <w:rPr>
                <w:rFonts w:hint="eastAsia"/>
                <w:color w:val="FF0000"/>
                <w:lang w:val="en-US" w:eastAsia="zh-CN"/>
              </w:rPr>
              <w:t>185天</w:t>
            </w:r>
            <w:r>
              <w:rPr>
                <w:color w:val="FF0000"/>
              </w:rPr>
              <w:t>排水量</w:t>
            </w:r>
          </w:p>
          <w:p>
            <w:pPr>
              <w:pStyle w:val="232"/>
              <w:ind w:firstLine="0" w:firstLineChars="0"/>
              <w:rPr>
                <w:rFonts w:ascii="Times New Roman" w:hAnsi="Times New Roman" w:eastAsia="宋体" w:cs="Times New Roman"/>
                <w:color w:val="FF0000"/>
                <w:kern w:val="2"/>
                <w:sz w:val="21"/>
                <w:szCs w:val="21"/>
                <w:lang w:val="en-US" w:eastAsia="zh-CN" w:bidi="ar-SA"/>
              </w:rPr>
            </w:pPr>
            <w:r>
              <w:rPr>
                <w:color w:val="FF0000"/>
              </w:rPr>
              <w:t>（m</w:t>
            </w:r>
            <w:r>
              <w:rPr>
                <w:color w:val="FF0000"/>
                <w:vertAlign w:val="superscript"/>
              </w:rPr>
              <w:t>3</w:t>
            </w:r>
            <w:r>
              <w:rPr>
                <w:color w:val="FF0000"/>
              </w:rPr>
              <w:t>/</w:t>
            </w:r>
            <w:r>
              <w:rPr>
                <w:rFonts w:hint="eastAsia"/>
                <w:color w:val="FF0000"/>
                <w:lang w:val="en-US" w:eastAsia="zh-CN"/>
              </w:rPr>
              <w:t>180天</w:t>
            </w:r>
            <w:r>
              <w:rPr>
                <w:color w:val="FF0000"/>
              </w:rPr>
              <w:t>）</w:t>
            </w:r>
          </w:p>
        </w:tc>
        <w:tc>
          <w:tcPr>
            <w:tcW w:w="4522" w:type="dxa"/>
            <w:vMerge w:val="continue"/>
            <w:vAlign w:val="center"/>
          </w:tcPr>
          <w:p>
            <w:pPr>
              <w:pStyle w:val="232"/>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5004" w:type="dxa"/>
            <w:gridSpan w:val="11"/>
            <w:vAlign w:val="center"/>
          </w:tcPr>
          <w:p>
            <w:pPr>
              <w:pStyle w:val="232"/>
              <w:rPr>
                <w:rFonts w:hint="default" w:eastAsia="宋体"/>
                <w:color w:val="FF0000"/>
                <w:lang w:val="en-US" w:eastAsia="zh-CN"/>
              </w:rPr>
            </w:pPr>
            <w:r>
              <w:rPr>
                <w:rFonts w:hint="eastAsia"/>
                <w:color w:val="FF0000"/>
                <w:lang w:val="en-US" w:eastAsia="zh-CN"/>
              </w:rPr>
              <w:t>一 生活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rPr>
                <w:color w:val="FF0000"/>
              </w:rPr>
            </w:pPr>
            <w:r>
              <w:rPr>
                <w:color w:val="FF0000"/>
              </w:rPr>
              <w:t>1</w:t>
            </w:r>
          </w:p>
        </w:tc>
        <w:tc>
          <w:tcPr>
            <w:tcW w:w="1309" w:type="dxa"/>
            <w:gridSpan w:val="2"/>
            <w:vAlign w:val="center"/>
          </w:tcPr>
          <w:p>
            <w:pPr>
              <w:pStyle w:val="232"/>
              <w:rPr>
                <w:color w:val="FF0000"/>
              </w:rPr>
            </w:pPr>
            <w:r>
              <w:rPr>
                <w:color w:val="FF0000"/>
              </w:rPr>
              <w:t>生活用水</w:t>
            </w:r>
          </w:p>
        </w:tc>
        <w:tc>
          <w:tcPr>
            <w:tcW w:w="1050" w:type="dxa"/>
            <w:vAlign w:val="center"/>
          </w:tcPr>
          <w:p>
            <w:pPr>
              <w:pStyle w:val="232"/>
              <w:rPr>
                <w:color w:val="FF0000"/>
              </w:rPr>
            </w:pPr>
            <w:r>
              <w:rPr>
                <w:rFonts w:hint="eastAsia"/>
                <w:color w:val="FF0000"/>
              </w:rPr>
              <w:t>450</w:t>
            </w:r>
            <w:r>
              <w:rPr>
                <w:color w:val="FF0000"/>
              </w:rPr>
              <w:t>人</w:t>
            </w:r>
          </w:p>
        </w:tc>
        <w:tc>
          <w:tcPr>
            <w:tcW w:w="1290" w:type="dxa"/>
            <w:vAlign w:val="center"/>
          </w:tcPr>
          <w:p>
            <w:pPr>
              <w:pStyle w:val="232"/>
              <w:rPr>
                <w:color w:val="FF0000"/>
              </w:rPr>
            </w:pPr>
            <w:r>
              <w:rPr>
                <w:rFonts w:hint="eastAsia"/>
                <w:color w:val="FF0000"/>
              </w:rPr>
              <w:t>6</w:t>
            </w:r>
            <w:r>
              <w:rPr>
                <w:color w:val="FF0000"/>
              </w:rPr>
              <w:t>0L/人·d</w:t>
            </w:r>
          </w:p>
        </w:tc>
        <w:tc>
          <w:tcPr>
            <w:tcW w:w="1041" w:type="dxa"/>
            <w:vAlign w:val="center"/>
          </w:tcPr>
          <w:p>
            <w:pPr>
              <w:pStyle w:val="232"/>
              <w:rPr>
                <w:color w:val="FF0000"/>
              </w:rPr>
            </w:pPr>
            <w:r>
              <w:rPr>
                <w:rFonts w:hint="eastAsia"/>
                <w:color w:val="FF0000"/>
              </w:rPr>
              <w:t>27</w:t>
            </w:r>
          </w:p>
        </w:tc>
        <w:tc>
          <w:tcPr>
            <w:tcW w:w="1492" w:type="dxa"/>
            <w:vAlign w:val="center"/>
          </w:tcPr>
          <w:p>
            <w:pPr>
              <w:pStyle w:val="232"/>
              <w:rPr>
                <w:rFonts w:hint="default" w:eastAsia="宋体"/>
                <w:color w:val="FF0000"/>
                <w:lang w:val="en-US" w:eastAsia="zh-CN"/>
              </w:rPr>
            </w:pPr>
            <w:r>
              <w:rPr>
                <w:rFonts w:hint="eastAsia"/>
                <w:color w:val="FF0000"/>
                <w:lang w:val="en-US" w:eastAsia="zh-CN"/>
              </w:rPr>
              <w:t>4995</w:t>
            </w:r>
          </w:p>
        </w:tc>
        <w:tc>
          <w:tcPr>
            <w:tcW w:w="1148" w:type="dxa"/>
            <w:vAlign w:val="center"/>
          </w:tcPr>
          <w:p>
            <w:pPr>
              <w:pStyle w:val="232"/>
              <w:rPr>
                <w:rFonts w:hint="default" w:eastAsia="宋体"/>
                <w:color w:val="FF0000"/>
                <w:lang w:val="en-US" w:eastAsia="zh-CN"/>
              </w:rPr>
            </w:pPr>
            <w:r>
              <w:rPr>
                <w:rFonts w:hint="eastAsia"/>
                <w:color w:val="FF0000"/>
                <w:lang w:val="en-US" w:eastAsia="zh-CN"/>
              </w:rPr>
              <w:t>生活污水</w:t>
            </w:r>
          </w:p>
        </w:tc>
        <w:tc>
          <w:tcPr>
            <w:tcW w:w="1042" w:type="dxa"/>
            <w:vAlign w:val="center"/>
          </w:tcPr>
          <w:p>
            <w:pPr>
              <w:pStyle w:val="232"/>
              <w:rPr>
                <w:color w:val="FF0000"/>
              </w:rPr>
            </w:pPr>
            <w:r>
              <w:rPr>
                <w:rFonts w:hint="eastAsia"/>
                <w:color w:val="FF0000"/>
              </w:rPr>
              <w:t>21.6</w:t>
            </w:r>
          </w:p>
        </w:tc>
        <w:tc>
          <w:tcPr>
            <w:tcW w:w="1500" w:type="dxa"/>
            <w:vAlign w:val="center"/>
          </w:tcPr>
          <w:p>
            <w:pPr>
              <w:pStyle w:val="232"/>
              <w:rPr>
                <w:rFonts w:hint="default" w:eastAsia="宋体"/>
                <w:color w:val="FF0000"/>
                <w:lang w:val="en-US" w:eastAsia="zh-CN"/>
              </w:rPr>
            </w:pPr>
            <w:r>
              <w:rPr>
                <w:rFonts w:hint="eastAsia"/>
                <w:color w:val="FF0000"/>
                <w:lang w:val="en-US" w:eastAsia="zh-CN"/>
              </w:rPr>
              <w:t>3996</w:t>
            </w:r>
          </w:p>
        </w:tc>
        <w:tc>
          <w:tcPr>
            <w:tcW w:w="4522" w:type="dxa"/>
            <w:vAlign w:val="center"/>
          </w:tcPr>
          <w:p>
            <w:pPr>
              <w:pStyle w:val="232"/>
              <w:rPr>
                <w:color w:val="FF0000"/>
              </w:rPr>
            </w:pPr>
            <w:r>
              <w:rPr>
                <w:rFonts w:hint="eastAsia"/>
                <w:color w:val="FF0000"/>
              </w:rPr>
              <w:t>由自备水井提供</w:t>
            </w:r>
            <w:r>
              <w:rPr>
                <w:color w:val="FF0000"/>
              </w:rPr>
              <w:t>新鲜水</w:t>
            </w:r>
            <w:r>
              <w:rPr>
                <w:rFonts w:hint="eastAsia"/>
                <w:color w:val="FF0000"/>
              </w:rPr>
              <w:t>，经化粪池处理后定期委托</w:t>
            </w:r>
            <w:r>
              <w:rPr>
                <w:rFonts w:hint="eastAsia"/>
                <w:color w:val="FF0000"/>
                <w:lang w:eastAsia="zh-CN"/>
              </w:rPr>
              <w:t>五原县塔尔湖污水处理厂</w:t>
            </w:r>
            <w:r>
              <w:rPr>
                <w:rFonts w:hint="eastAsia"/>
                <w:color w:val="FF0000"/>
              </w:rPr>
              <w:t>采用罐车清运处理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5004" w:type="dxa"/>
            <w:gridSpan w:val="11"/>
            <w:vAlign w:val="center"/>
          </w:tcPr>
          <w:p>
            <w:pPr>
              <w:pStyle w:val="232"/>
              <w:rPr>
                <w:rFonts w:hint="default" w:eastAsia="宋体"/>
                <w:color w:val="FF0000"/>
                <w:lang w:val="en-US" w:eastAsia="zh-CN"/>
              </w:rPr>
            </w:pPr>
            <w:r>
              <w:rPr>
                <w:rFonts w:hint="eastAsia"/>
                <w:color w:val="FF0000"/>
                <w:lang w:val="en-US" w:eastAsia="zh-CN"/>
              </w:rPr>
              <w:t>二 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rPr>
                <w:color w:val="FF0000"/>
              </w:rPr>
            </w:pPr>
            <w:r>
              <w:rPr>
                <w:color w:val="FF0000"/>
              </w:rPr>
              <w:t>2</w:t>
            </w:r>
          </w:p>
        </w:tc>
        <w:tc>
          <w:tcPr>
            <w:tcW w:w="1309" w:type="dxa"/>
            <w:gridSpan w:val="2"/>
            <w:vAlign w:val="center"/>
          </w:tcPr>
          <w:p>
            <w:pPr>
              <w:pStyle w:val="232"/>
              <w:rPr>
                <w:color w:val="FF0000"/>
              </w:rPr>
            </w:pPr>
            <w:r>
              <w:rPr>
                <w:rFonts w:hint="eastAsia"/>
                <w:color w:val="FF0000"/>
              </w:rPr>
              <w:t>养殖用水</w:t>
            </w:r>
          </w:p>
        </w:tc>
        <w:tc>
          <w:tcPr>
            <w:tcW w:w="1050" w:type="dxa"/>
            <w:vAlign w:val="center"/>
          </w:tcPr>
          <w:p>
            <w:pPr>
              <w:pStyle w:val="232"/>
              <w:rPr>
                <w:bCs/>
                <w:color w:val="FF0000"/>
              </w:rPr>
            </w:pPr>
            <w:r>
              <w:rPr>
                <w:rFonts w:hint="eastAsia"/>
                <w:color w:val="FF0000"/>
              </w:rPr>
              <w:t>50万</w:t>
            </w:r>
          </w:p>
        </w:tc>
        <w:tc>
          <w:tcPr>
            <w:tcW w:w="1290" w:type="dxa"/>
            <w:vAlign w:val="center"/>
          </w:tcPr>
          <w:p>
            <w:pPr>
              <w:pStyle w:val="232"/>
              <w:rPr>
                <w:bCs/>
                <w:color w:val="FF0000"/>
              </w:rPr>
            </w:pPr>
            <w:r>
              <w:rPr>
                <w:rFonts w:hint="eastAsia"/>
                <w:bCs/>
                <w:color w:val="FF0000"/>
                <w:lang w:val="en-US" w:eastAsia="zh-CN"/>
              </w:rPr>
              <w:t>8</w:t>
            </w:r>
            <w:r>
              <w:rPr>
                <w:bCs/>
                <w:color w:val="FF0000"/>
              </w:rPr>
              <w:t>L/</w:t>
            </w:r>
            <w:r>
              <w:rPr>
                <w:rFonts w:hint="eastAsia"/>
                <w:bCs/>
                <w:color w:val="FF0000"/>
              </w:rPr>
              <w:t>只</w:t>
            </w:r>
            <w:r>
              <w:rPr>
                <w:bCs/>
                <w:color w:val="FF0000"/>
              </w:rPr>
              <w:t>·d</w:t>
            </w:r>
          </w:p>
        </w:tc>
        <w:tc>
          <w:tcPr>
            <w:tcW w:w="1041" w:type="dxa"/>
            <w:vAlign w:val="center"/>
          </w:tcPr>
          <w:p>
            <w:pPr>
              <w:pStyle w:val="232"/>
              <w:rPr>
                <w:rFonts w:hint="default" w:eastAsia="宋体"/>
                <w:color w:val="FF0000"/>
                <w:lang w:val="en-US" w:eastAsia="zh-CN"/>
              </w:rPr>
            </w:pPr>
            <w:r>
              <w:rPr>
                <w:rFonts w:hint="eastAsia"/>
                <w:color w:val="FF0000"/>
                <w:lang w:val="en-US" w:eastAsia="zh-CN"/>
              </w:rPr>
              <w:t>4000</w:t>
            </w:r>
          </w:p>
        </w:tc>
        <w:tc>
          <w:tcPr>
            <w:tcW w:w="1492" w:type="dxa"/>
            <w:vAlign w:val="center"/>
          </w:tcPr>
          <w:p>
            <w:pPr>
              <w:pStyle w:val="232"/>
              <w:rPr>
                <w:rFonts w:hint="default"/>
                <w:color w:val="FF0000"/>
                <w:lang w:val="en-US"/>
              </w:rPr>
            </w:pPr>
            <w:r>
              <w:rPr>
                <w:rFonts w:hint="eastAsia"/>
                <w:color w:val="FF0000"/>
                <w:lang w:val="en-US" w:eastAsia="zh-CN"/>
              </w:rPr>
              <w:t>740000</w:t>
            </w:r>
          </w:p>
        </w:tc>
        <w:tc>
          <w:tcPr>
            <w:tcW w:w="1148" w:type="dxa"/>
            <w:vAlign w:val="center"/>
          </w:tcPr>
          <w:p>
            <w:pPr>
              <w:pStyle w:val="232"/>
              <w:rPr>
                <w:rFonts w:hint="eastAsia" w:eastAsia="宋体"/>
                <w:color w:val="FF0000"/>
                <w:lang w:val="en-US" w:eastAsia="zh-CN"/>
              </w:rPr>
            </w:pPr>
            <w:r>
              <w:rPr>
                <w:rFonts w:hint="eastAsia"/>
                <w:color w:val="FF0000"/>
                <w:lang w:val="en-US" w:eastAsia="zh-CN"/>
              </w:rPr>
              <w:t>羊尿</w:t>
            </w:r>
          </w:p>
        </w:tc>
        <w:tc>
          <w:tcPr>
            <w:tcW w:w="1042" w:type="dxa"/>
            <w:vAlign w:val="center"/>
          </w:tcPr>
          <w:p>
            <w:pPr>
              <w:pStyle w:val="232"/>
              <w:rPr>
                <w:rFonts w:hint="default" w:eastAsia="宋体"/>
                <w:color w:val="FF0000"/>
                <w:lang w:val="en-US" w:eastAsia="zh-CN"/>
              </w:rPr>
            </w:pPr>
            <w:r>
              <w:rPr>
                <w:rFonts w:hint="eastAsia"/>
                <w:color w:val="FF0000"/>
                <w:lang w:val="en-US" w:eastAsia="zh-CN"/>
              </w:rPr>
              <w:t>550</w:t>
            </w:r>
          </w:p>
        </w:tc>
        <w:tc>
          <w:tcPr>
            <w:tcW w:w="1500" w:type="dxa"/>
            <w:vAlign w:val="center"/>
          </w:tcPr>
          <w:p>
            <w:pPr>
              <w:pStyle w:val="232"/>
              <w:rPr>
                <w:rFonts w:hint="default" w:eastAsia="宋体"/>
                <w:color w:val="FF0000"/>
                <w:lang w:val="en-US" w:eastAsia="zh-CN"/>
              </w:rPr>
            </w:pPr>
            <w:r>
              <w:rPr>
                <w:rFonts w:hint="eastAsia"/>
                <w:color w:val="FF0000"/>
                <w:lang w:val="en-US" w:eastAsia="zh-CN"/>
              </w:rPr>
              <w:t>101750</w:t>
            </w:r>
          </w:p>
        </w:tc>
        <w:tc>
          <w:tcPr>
            <w:tcW w:w="4522" w:type="dxa"/>
            <w:vMerge w:val="restart"/>
            <w:vAlign w:val="center"/>
          </w:tcPr>
          <w:p>
            <w:pPr>
              <w:pStyle w:val="232"/>
              <w:rPr>
                <w:rFonts w:hint="eastAsia" w:eastAsia="宋体"/>
                <w:color w:val="FF0000"/>
                <w:lang w:eastAsia="zh-CN"/>
              </w:rPr>
            </w:pPr>
            <w:r>
              <w:rPr>
                <w:rFonts w:hint="eastAsia"/>
                <w:color w:val="FF0000"/>
              </w:rPr>
              <w:t>由自备水井提供</w:t>
            </w:r>
            <w:r>
              <w:rPr>
                <w:color w:val="FF0000"/>
              </w:rPr>
              <w:t>新鲜水，</w:t>
            </w:r>
            <w:r>
              <w:rPr>
                <w:rFonts w:hint="eastAsia"/>
                <w:color w:val="FF0000"/>
                <w:lang w:val="en-US" w:eastAsia="zh-CN"/>
              </w:rPr>
              <w:t>项目不单独对羊尿进行收集，随粪便漏入羊舍下层粪污通道后，采用干清粪法将其一同清入堆肥平台进行发酵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ind w:firstLine="0" w:firstLineChars="0"/>
              <w:rPr>
                <w:rFonts w:ascii="Times New Roman" w:hAnsi="Times New Roman" w:eastAsia="宋体" w:cs="Times New Roman"/>
                <w:color w:val="FF0000"/>
                <w:kern w:val="2"/>
                <w:sz w:val="21"/>
                <w:szCs w:val="21"/>
                <w:lang w:val="en-US" w:eastAsia="zh-CN" w:bidi="ar-SA"/>
              </w:rPr>
            </w:pPr>
            <w:r>
              <w:rPr>
                <w:rFonts w:hint="eastAsia"/>
                <w:color w:val="FF0000"/>
              </w:rPr>
              <w:t>3</w:t>
            </w:r>
          </w:p>
        </w:tc>
        <w:tc>
          <w:tcPr>
            <w:tcW w:w="347" w:type="dxa"/>
            <w:vMerge w:val="restart"/>
            <w:vAlign w:val="center"/>
          </w:tcPr>
          <w:p>
            <w:pPr>
              <w:pStyle w:val="232"/>
              <w:rPr>
                <w:rFonts w:hint="default" w:eastAsia="宋体"/>
                <w:color w:val="FF0000"/>
                <w:lang w:val="en-US" w:eastAsia="zh-CN"/>
              </w:rPr>
            </w:pPr>
            <w:r>
              <w:rPr>
                <w:rFonts w:hint="eastAsia"/>
                <w:color w:val="FF0000"/>
                <w:lang w:val="en-US" w:eastAsia="zh-CN"/>
              </w:rPr>
              <w:t>饲料含水</w:t>
            </w:r>
          </w:p>
        </w:tc>
        <w:tc>
          <w:tcPr>
            <w:tcW w:w="962" w:type="dxa"/>
            <w:vAlign w:val="center"/>
          </w:tcPr>
          <w:p>
            <w:pPr>
              <w:pStyle w:val="232"/>
              <w:rPr>
                <w:rFonts w:hint="default"/>
                <w:color w:val="FF0000"/>
                <w:lang w:val="en-US" w:eastAsia="zh-CN"/>
              </w:rPr>
            </w:pPr>
            <w:r>
              <w:rPr>
                <w:rFonts w:hint="eastAsia"/>
                <w:color w:val="FF0000"/>
                <w:lang w:val="en-US" w:eastAsia="zh-CN"/>
              </w:rPr>
              <w:t>精饲料</w:t>
            </w:r>
          </w:p>
        </w:tc>
        <w:tc>
          <w:tcPr>
            <w:tcW w:w="1050" w:type="dxa"/>
            <w:vAlign w:val="center"/>
          </w:tcPr>
          <w:p>
            <w:pPr>
              <w:pStyle w:val="232"/>
              <w:rPr>
                <w:rFonts w:hint="default" w:eastAsia="宋体"/>
                <w:color w:val="FF0000"/>
                <w:lang w:val="en-US" w:eastAsia="zh-CN"/>
              </w:rPr>
            </w:pPr>
            <w:r>
              <w:rPr>
                <w:rFonts w:hint="eastAsia"/>
                <w:color w:val="FF0000"/>
                <w:lang w:val="en-US" w:eastAsia="zh-CN"/>
              </w:rPr>
              <w:t>2920t</w:t>
            </w:r>
          </w:p>
        </w:tc>
        <w:tc>
          <w:tcPr>
            <w:tcW w:w="1290" w:type="dxa"/>
            <w:vAlign w:val="center"/>
          </w:tcPr>
          <w:p>
            <w:pPr>
              <w:pStyle w:val="232"/>
              <w:rPr>
                <w:rFonts w:hint="default" w:eastAsia="宋体"/>
                <w:bCs/>
                <w:color w:val="FF0000"/>
                <w:lang w:val="en-US" w:eastAsia="zh-CN"/>
              </w:rPr>
            </w:pPr>
            <w:r>
              <w:rPr>
                <w:rFonts w:hint="eastAsia"/>
                <w:bCs/>
                <w:color w:val="FF0000"/>
                <w:lang w:val="en-US" w:eastAsia="zh-CN"/>
              </w:rPr>
              <w:t>10%</w:t>
            </w:r>
          </w:p>
        </w:tc>
        <w:tc>
          <w:tcPr>
            <w:tcW w:w="1041" w:type="dxa"/>
            <w:vMerge w:val="restart"/>
            <w:vAlign w:val="center"/>
          </w:tcPr>
          <w:p>
            <w:pPr>
              <w:pStyle w:val="232"/>
              <w:rPr>
                <w:rFonts w:hint="default" w:eastAsia="宋体"/>
                <w:color w:val="FF0000"/>
                <w:lang w:val="en-US" w:eastAsia="zh-CN"/>
              </w:rPr>
            </w:pPr>
            <w:r>
              <w:rPr>
                <w:rFonts w:hint="eastAsia"/>
                <w:color w:val="FF0000"/>
                <w:lang w:val="en-US" w:eastAsia="zh-CN"/>
              </w:rPr>
              <w:t>10.80</w:t>
            </w:r>
          </w:p>
        </w:tc>
        <w:tc>
          <w:tcPr>
            <w:tcW w:w="1492" w:type="dxa"/>
            <w:vMerge w:val="restart"/>
            <w:vAlign w:val="center"/>
          </w:tcPr>
          <w:p>
            <w:pPr>
              <w:pStyle w:val="232"/>
              <w:rPr>
                <w:rFonts w:hint="default"/>
                <w:color w:val="FF0000"/>
                <w:lang w:val="en-US" w:eastAsia="zh-CN"/>
              </w:rPr>
            </w:pPr>
            <w:r>
              <w:rPr>
                <w:rFonts w:hint="eastAsia"/>
                <w:color w:val="FF0000"/>
                <w:lang w:val="en-US" w:eastAsia="zh-CN"/>
              </w:rPr>
              <w:t>1998</w:t>
            </w:r>
          </w:p>
        </w:tc>
        <w:tc>
          <w:tcPr>
            <w:tcW w:w="1148" w:type="dxa"/>
            <w:vMerge w:val="restart"/>
            <w:vAlign w:val="center"/>
          </w:tcPr>
          <w:p>
            <w:pPr>
              <w:pStyle w:val="232"/>
              <w:rPr>
                <w:rFonts w:hint="default" w:eastAsia="宋体"/>
                <w:color w:val="FF0000"/>
                <w:lang w:val="en-US" w:eastAsia="zh-CN"/>
              </w:rPr>
            </w:pPr>
            <w:r>
              <w:rPr>
                <w:rFonts w:hint="eastAsia"/>
                <w:color w:val="FF0000"/>
                <w:lang w:val="en-US" w:eastAsia="zh-CN"/>
              </w:rPr>
              <w:t>羊粪含水</w:t>
            </w:r>
          </w:p>
        </w:tc>
        <w:tc>
          <w:tcPr>
            <w:tcW w:w="1042" w:type="dxa"/>
            <w:vMerge w:val="restart"/>
            <w:vAlign w:val="center"/>
          </w:tcPr>
          <w:p>
            <w:pPr>
              <w:pStyle w:val="232"/>
              <w:rPr>
                <w:rFonts w:hint="default" w:eastAsia="宋体"/>
                <w:color w:val="FF0000"/>
                <w:lang w:val="en-US" w:eastAsia="zh-CN"/>
              </w:rPr>
            </w:pPr>
            <w:r>
              <w:rPr>
                <w:rFonts w:hint="eastAsia"/>
                <w:color w:val="FF0000"/>
                <w:lang w:val="en-US" w:eastAsia="zh-CN"/>
              </w:rPr>
              <w:t>62.1</w:t>
            </w:r>
          </w:p>
        </w:tc>
        <w:tc>
          <w:tcPr>
            <w:tcW w:w="1500" w:type="dxa"/>
            <w:vMerge w:val="restart"/>
            <w:vAlign w:val="center"/>
          </w:tcPr>
          <w:p>
            <w:pPr>
              <w:pStyle w:val="232"/>
              <w:rPr>
                <w:rFonts w:hint="default" w:eastAsia="宋体"/>
                <w:color w:val="FF0000"/>
                <w:lang w:val="en-US" w:eastAsia="zh-CN"/>
              </w:rPr>
            </w:pPr>
            <w:r>
              <w:rPr>
                <w:rFonts w:hint="eastAsia"/>
                <w:color w:val="FF0000"/>
                <w:lang w:val="en-US" w:eastAsia="zh-CN"/>
              </w:rPr>
              <w:t>11488.5</w:t>
            </w:r>
          </w:p>
        </w:tc>
        <w:tc>
          <w:tcPr>
            <w:tcW w:w="4522" w:type="dxa"/>
            <w:vMerge w:val="continue"/>
            <w:vAlign w:val="center"/>
          </w:tcPr>
          <w:p>
            <w:pPr>
              <w:pStyle w:val="232"/>
              <w:rPr>
                <w:rFonts w:hint="eastAsia"/>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ind w:firstLine="0" w:firstLineChars="0"/>
              <w:rPr>
                <w:rFonts w:hint="eastAsia" w:eastAsia="宋体"/>
                <w:color w:val="FF0000"/>
                <w:lang w:val="en-US" w:eastAsia="zh-CN"/>
              </w:rPr>
            </w:pPr>
            <w:r>
              <w:rPr>
                <w:rFonts w:hint="eastAsia"/>
                <w:color w:val="FF0000"/>
                <w:lang w:val="en-US" w:eastAsia="zh-CN"/>
              </w:rPr>
              <w:t>4</w:t>
            </w:r>
          </w:p>
        </w:tc>
        <w:tc>
          <w:tcPr>
            <w:tcW w:w="347" w:type="dxa"/>
            <w:vMerge w:val="continue"/>
            <w:vAlign w:val="center"/>
          </w:tcPr>
          <w:p>
            <w:pPr>
              <w:pStyle w:val="232"/>
              <w:rPr>
                <w:rFonts w:hint="eastAsia"/>
                <w:color w:val="FF0000"/>
                <w:lang w:val="en-US" w:eastAsia="zh-CN"/>
              </w:rPr>
            </w:pPr>
          </w:p>
        </w:tc>
        <w:tc>
          <w:tcPr>
            <w:tcW w:w="962" w:type="dxa"/>
            <w:vAlign w:val="center"/>
          </w:tcPr>
          <w:p>
            <w:pPr>
              <w:pStyle w:val="232"/>
              <w:rPr>
                <w:rFonts w:hint="default"/>
                <w:color w:val="FF0000"/>
                <w:lang w:val="en-US" w:eastAsia="zh-CN"/>
              </w:rPr>
            </w:pPr>
            <w:r>
              <w:rPr>
                <w:rFonts w:hint="eastAsia"/>
                <w:color w:val="FF0000"/>
                <w:lang w:val="en-US" w:eastAsia="zh-CN"/>
              </w:rPr>
              <w:t>粗饲料</w:t>
            </w:r>
          </w:p>
        </w:tc>
        <w:tc>
          <w:tcPr>
            <w:tcW w:w="1050" w:type="dxa"/>
            <w:vAlign w:val="center"/>
          </w:tcPr>
          <w:p>
            <w:pPr>
              <w:pStyle w:val="232"/>
              <w:rPr>
                <w:rFonts w:hint="default" w:eastAsia="宋体"/>
                <w:color w:val="FF0000"/>
                <w:lang w:val="en-US" w:eastAsia="zh-CN"/>
              </w:rPr>
            </w:pPr>
            <w:r>
              <w:rPr>
                <w:rFonts w:hint="eastAsia"/>
                <w:color w:val="FF0000"/>
                <w:lang w:val="en-US" w:eastAsia="zh-CN"/>
              </w:rPr>
              <w:t>4380t</w:t>
            </w:r>
          </w:p>
        </w:tc>
        <w:tc>
          <w:tcPr>
            <w:tcW w:w="1290" w:type="dxa"/>
            <w:vAlign w:val="center"/>
          </w:tcPr>
          <w:p>
            <w:pPr>
              <w:pStyle w:val="232"/>
              <w:rPr>
                <w:rFonts w:hint="default" w:eastAsia="宋体"/>
                <w:bCs/>
                <w:color w:val="FF0000"/>
                <w:lang w:val="en-US" w:eastAsia="zh-CN"/>
              </w:rPr>
            </w:pPr>
            <w:r>
              <w:rPr>
                <w:rFonts w:hint="eastAsia"/>
                <w:bCs/>
                <w:color w:val="FF0000"/>
                <w:lang w:val="en-US" w:eastAsia="zh-CN"/>
              </w:rPr>
              <w:t>25%</w:t>
            </w:r>
          </w:p>
        </w:tc>
        <w:tc>
          <w:tcPr>
            <w:tcW w:w="1041" w:type="dxa"/>
            <w:vMerge w:val="continue"/>
            <w:vAlign w:val="center"/>
          </w:tcPr>
          <w:p>
            <w:pPr>
              <w:pStyle w:val="232"/>
              <w:rPr>
                <w:rFonts w:hint="eastAsia"/>
                <w:color w:val="FF0000"/>
              </w:rPr>
            </w:pPr>
          </w:p>
        </w:tc>
        <w:tc>
          <w:tcPr>
            <w:tcW w:w="1492" w:type="dxa"/>
            <w:vMerge w:val="continue"/>
            <w:vAlign w:val="center"/>
          </w:tcPr>
          <w:p>
            <w:pPr>
              <w:pStyle w:val="232"/>
              <w:rPr>
                <w:rFonts w:hint="eastAsia"/>
                <w:color w:val="FF0000"/>
                <w:lang w:val="en-US" w:eastAsia="zh-CN"/>
              </w:rPr>
            </w:pPr>
          </w:p>
        </w:tc>
        <w:tc>
          <w:tcPr>
            <w:tcW w:w="1148" w:type="dxa"/>
            <w:vMerge w:val="continue"/>
            <w:vAlign w:val="center"/>
          </w:tcPr>
          <w:p>
            <w:pPr>
              <w:pStyle w:val="232"/>
              <w:rPr>
                <w:rFonts w:hint="eastAsia"/>
                <w:color w:val="FF0000"/>
              </w:rPr>
            </w:pPr>
          </w:p>
        </w:tc>
        <w:tc>
          <w:tcPr>
            <w:tcW w:w="1042" w:type="dxa"/>
            <w:vMerge w:val="continue"/>
            <w:vAlign w:val="center"/>
          </w:tcPr>
          <w:p>
            <w:pPr>
              <w:pStyle w:val="232"/>
              <w:rPr>
                <w:rFonts w:hint="eastAsia"/>
                <w:color w:val="FF0000"/>
              </w:rPr>
            </w:pPr>
          </w:p>
        </w:tc>
        <w:tc>
          <w:tcPr>
            <w:tcW w:w="1500" w:type="dxa"/>
            <w:vMerge w:val="continue"/>
            <w:vAlign w:val="center"/>
          </w:tcPr>
          <w:p>
            <w:pPr>
              <w:pStyle w:val="232"/>
              <w:rPr>
                <w:rFonts w:hint="eastAsia"/>
                <w:color w:val="FF0000"/>
              </w:rPr>
            </w:pPr>
          </w:p>
        </w:tc>
        <w:tc>
          <w:tcPr>
            <w:tcW w:w="4522" w:type="dxa"/>
            <w:vMerge w:val="continue"/>
            <w:vAlign w:val="center"/>
          </w:tcPr>
          <w:p>
            <w:pPr>
              <w:pStyle w:val="232"/>
              <w:rPr>
                <w:rFonts w:hint="eastAsia"/>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10" w:type="dxa"/>
            <w:vAlign w:val="center"/>
          </w:tcPr>
          <w:p>
            <w:pPr>
              <w:pStyle w:val="232"/>
              <w:ind w:firstLine="0" w:firstLineChars="0"/>
              <w:rPr>
                <w:rFonts w:hint="eastAsia" w:eastAsia="宋体"/>
                <w:color w:val="FF0000"/>
                <w:lang w:val="en-US" w:eastAsia="zh-CN"/>
              </w:rPr>
            </w:pPr>
            <w:r>
              <w:rPr>
                <w:rFonts w:hint="eastAsia"/>
                <w:color w:val="FF0000"/>
                <w:lang w:val="en-US" w:eastAsia="zh-CN"/>
              </w:rPr>
              <w:t>5</w:t>
            </w:r>
          </w:p>
        </w:tc>
        <w:tc>
          <w:tcPr>
            <w:tcW w:w="347" w:type="dxa"/>
            <w:vMerge w:val="continue"/>
            <w:vAlign w:val="center"/>
          </w:tcPr>
          <w:p>
            <w:pPr>
              <w:pStyle w:val="232"/>
              <w:rPr>
                <w:rFonts w:hint="eastAsia"/>
                <w:color w:val="FF0000"/>
                <w:lang w:val="en-US" w:eastAsia="zh-CN"/>
              </w:rPr>
            </w:pPr>
          </w:p>
        </w:tc>
        <w:tc>
          <w:tcPr>
            <w:tcW w:w="962" w:type="dxa"/>
            <w:vAlign w:val="center"/>
          </w:tcPr>
          <w:p>
            <w:pPr>
              <w:pStyle w:val="232"/>
              <w:rPr>
                <w:rFonts w:hint="default"/>
                <w:color w:val="FF0000"/>
                <w:lang w:val="en-US" w:eastAsia="zh-CN"/>
              </w:rPr>
            </w:pPr>
            <w:r>
              <w:rPr>
                <w:rFonts w:hint="eastAsia"/>
                <w:color w:val="FF0000"/>
                <w:lang w:val="en-US" w:eastAsia="zh-CN"/>
              </w:rPr>
              <w:t>青储</w:t>
            </w:r>
          </w:p>
        </w:tc>
        <w:tc>
          <w:tcPr>
            <w:tcW w:w="1050" w:type="dxa"/>
            <w:vAlign w:val="center"/>
          </w:tcPr>
          <w:p>
            <w:pPr>
              <w:pStyle w:val="232"/>
              <w:rPr>
                <w:rFonts w:hint="default" w:eastAsia="宋体"/>
                <w:color w:val="FF0000"/>
                <w:lang w:val="en-US" w:eastAsia="zh-CN"/>
              </w:rPr>
            </w:pPr>
            <w:r>
              <w:rPr>
                <w:rFonts w:hint="eastAsia"/>
                <w:color w:val="FF0000"/>
                <w:lang w:val="en-US" w:eastAsia="zh-CN"/>
              </w:rPr>
              <w:t>7300t</w:t>
            </w:r>
          </w:p>
        </w:tc>
        <w:tc>
          <w:tcPr>
            <w:tcW w:w="1290" w:type="dxa"/>
            <w:vAlign w:val="center"/>
          </w:tcPr>
          <w:p>
            <w:pPr>
              <w:pStyle w:val="232"/>
              <w:rPr>
                <w:rFonts w:hint="default" w:eastAsia="宋体"/>
                <w:bCs/>
                <w:color w:val="FF0000"/>
                <w:lang w:val="en-US" w:eastAsia="zh-CN"/>
              </w:rPr>
            </w:pPr>
            <w:r>
              <w:rPr>
                <w:rFonts w:hint="eastAsia"/>
                <w:bCs/>
                <w:color w:val="FF0000"/>
                <w:lang w:val="en-US" w:eastAsia="zh-CN"/>
              </w:rPr>
              <w:t>35%</w:t>
            </w:r>
          </w:p>
        </w:tc>
        <w:tc>
          <w:tcPr>
            <w:tcW w:w="1041" w:type="dxa"/>
            <w:vMerge w:val="continue"/>
            <w:vAlign w:val="center"/>
          </w:tcPr>
          <w:p>
            <w:pPr>
              <w:pStyle w:val="232"/>
              <w:rPr>
                <w:rFonts w:hint="eastAsia"/>
                <w:color w:val="FF0000"/>
              </w:rPr>
            </w:pPr>
          </w:p>
        </w:tc>
        <w:tc>
          <w:tcPr>
            <w:tcW w:w="1492" w:type="dxa"/>
            <w:vMerge w:val="continue"/>
            <w:vAlign w:val="center"/>
          </w:tcPr>
          <w:p>
            <w:pPr>
              <w:pStyle w:val="232"/>
              <w:rPr>
                <w:rFonts w:hint="eastAsia"/>
                <w:color w:val="FF0000"/>
                <w:lang w:val="en-US" w:eastAsia="zh-CN"/>
              </w:rPr>
            </w:pPr>
          </w:p>
        </w:tc>
        <w:tc>
          <w:tcPr>
            <w:tcW w:w="1148" w:type="dxa"/>
            <w:vMerge w:val="continue"/>
            <w:vAlign w:val="center"/>
          </w:tcPr>
          <w:p>
            <w:pPr>
              <w:pStyle w:val="232"/>
              <w:rPr>
                <w:rFonts w:hint="eastAsia"/>
                <w:color w:val="FF0000"/>
              </w:rPr>
            </w:pPr>
          </w:p>
        </w:tc>
        <w:tc>
          <w:tcPr>
            <w:tcW w:w="1042" w:type="dxa"/>
            <w:vMerge w:val="continue"/>
            <w:vAlign w:val="center"/>
          </w:tcPr>
          <w:p>
            <w:pPr>
              <w:pStyle w:val="232"/>
              <w:rPr>
                <w:rFonts w:hint="eastAsia"/>
                <w:color w:val="FF0000"/>
              </w:rPr>
            </w:pPr>
          </w:p>
        </w:tc>
        <w:tc>
          <w:tcPr>
            <w:tcW w:w="1500" w:type="dxa"/>
            <w:vMerge w:val="continue"/>
            <w:vAlign w:val="center"/>
          </w:tcPr>
          <w:p>
            <w:pPr>
              <w:pStyle w:val="232"/>
              <w:rPr>
                <w:rFonts w:hint="eastAsia"/>
                <w:color w:val="FF0000"/>
              </w:rPr>
            </w:pPr>
          </w:p>
        </w:tc>
        <w:tc>
          <w:tcPr>
            <w:tcW w:w="4522" w:type="dxa"/>
            <w:vMerge w:val="continue"/>
            <w:vAlign w:val="center"/>
          </w:tcPr>
          <w:p>
            <w:pPr>
              <w:pStyle w:val="232"/>
              <w:rPr>
                <w:rFonts w:hint="eastAsia"/>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61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6</w:t>
            </w:r>
          </w:p>
        </w:tc>
        <w:tc>
          <w:tcPr>
            <w:tcW w:w="1309" w:type="dxa"/>
            <w:gridSpan w:val="2"/>
            <w:vAlign w:val="center"/>
          </w:tcPr>
          <w:p>
            <w:pPr>
              <w:pStyle w:val="232"/>
              <w:rPr>
                <w:rFonts w:hint="default" w:eastAsia="宋体"/>
                <w:color w:val="FF0000"/>
                <w:lang w:val="en-US" w:eastAsia="zh-CN"/>
              </w:rPr>
            </w:pPr>
            <w:r>
              <w:rPr>
                <w:rFonts w:hint="eastAsia"/>
                <w:color w:val="FF0000"/>
                <w:lang w:val="en-US" w:eastAsia="zh-CN"/>
              </w:rPr>
              <w:t>/</w:t>
            </w:r>
          </w:p>
        </w:tc>
        <w:tc>
          <w:tcPr>
            <w:tcW w:w="1050" w:type="dxa"/>
            <w:vAlign w:val="center"/>
          </w:tcPr>
          <w:p>
            <w:pPr>
              <w:pStyle w:val="232"/>
              <w:rPr>
                <w:rFonts w:hint="default" w:eastAsia="宋体"/>
                <w:bCs/>
                <w:color w:val="FF0000"/>
                <w:lang w:val="en-US" w:eastAsia="zh-CN"/>
              </w:rPr>
            </w:pPr>
            <w:r>
              <w:rPr>
                <w:rFonts w:hint="eastAsia"/>
                <w:bCs/>
                <w:color w:val="FF0000"/>
                <w:lang w:val="en-US" w:eastAsia="zh-CN"/>
              </w:rPr>
              <w:t>/</w:t>
            </w:r>
          </w:p>
        </w:tc>
        <w:tc>
          <w:tcPr>
            <w:tcW w:w="1290" w:type="dxa"/>
            <w:vAlign w:val="center"/>
          </w:tcPr>
          <w:p>
            <w:pPr>
              <w:pStyle w:val="232"/>
              <w:rPr>
                <w:rFonts w:hint="eastAsia" w:eastAsia="宋体"/>
                <w:bCs/>
                <w:color w:val="FF0000"/>
                <w:lang w:val="en-US" w:eastAsia="zh-CN"/>
              </w:rPr>
            </w:pPr>
            <w:r>
              <w:rPr>
                <w:rFonts w:hint="eastAsia"/>
                <w:bCs/>
                <w:color w:val="FF0000"/>
                <w:lang w:val="en-US" w:eastAsia="zh-CN"/>
              </w:rPr>
              <w:t>/</w:t>
            </w:r>
          </w:p>
        </w:tc>
        <w:tc>
          <w:tcPr>
            <w:tcW w:w="1041" w:type="dxa"/>
            <w:vAlign w:val="center"/>
          </w:tcPr>
          <w:p>
            <w:pPr>
              <w:pStyle w:val="232"/>
              <w:rPr>
                <w:rFonts w:hint="eastAsia" w:eastAsia="宋体"/>
                <w:color w:val="FF0000"/>
                <w:lang w:val="en-US" w:eastAsia="zh-CN"/>
              </w:rPr>
            </w:pPr>
            <w:r>
              <w:rPr>
                <w:rFonts w:hint="eastAsia"/>
                <w:color w:val="FF0000"/>
                <w:lang w:val="en-US" w:eastAsia="zh-CN"/>
              </w:rPr>
              <w:t>/</w:t>
            </w:r>
          </w:p>
        </w:tc>
        <w:tc>
          <w:tcPr>
            <w:tcW w:w="1492" w:type="dxa"/>
            <w:vAlign w:val="center"/>
          </w:tcPr>
          <w:p>
            <w:pPr>
              <w:pStyle w:val="232"/>
              <w:rPr>
                <w:rFonts w:hint="eastAsia" w:eastAsia="宋体"/>
                <w:color w:val="FF0000"/>
                <w:lang w:val="en-US" w:eastAsia="zh-CN"/>
              </w:rPr>
            </w:pPr>
            <w:r>
              <w:rPr>
                <w:rFonts w:hint="eastAsia"/>
                <w:color w:val="FF0000"/>
                <w:lang w:val="en-US" w:eastAsia="zh-CN"/>
              </w:rPr>
              <w:t>/</w:t>
            </w:r>
          </w:p>
        </w:tc>
        <w:tc>
          <w:tcPr>
            <w:tcW w:w="1148" w:type="dxa"/>
            <w:vAlign w:val="center"/>
          </w:tcPr>
          <w:p>
            <w:pPr>
              <w:pStyle w:val="232"/>
              <w:rPr>
                <w:color w:val="FF0000"/>
              </w:rPr>
            </w:pPr>
            <w:r>
              <w:rPr>
                <w:rFonts w:hint="eastAsia"/>
                <w:color w:val="FF0000"/>
                <w:lang w:val="en-US" w:eastAsia="zh-CN"/>
              </w:rPr>
              <w:t>无害化冷凝水</w:t>
            </w:r>
          </w:p>
        </w:tc>
        <w:tc>
          <w:tcPr>
            <w:tcW w:w="1042" w:type="dxa"/>
            <w:vAlign w:val="center"/>
          </w:tcPr>
          <w:p>
            <w:pPr>
              <w:pStyle w:val="232"/>
              <w:rPr>
                <w:rFonts w:hint="eastAsia" w:eastAsia="宋体"/>
                <w:color w:val="FF0000"/>
                <w:lang w:val="en-US" w:eastAsia="zh-CN"/>
              </w:rPr>
            </w:pPr>
            <w:r>
              <w:rPr>
                <w:rFonts w:hint="eastAsia"/>
                <w:color w:val="FF0000"/>
                <w:lang w:val="en-US" w:eastAsia="zh-CN"/>
              </w:rPr>
              <w:t>/</w:t>
            </w:r>
          </w:p>
        </w:tc>
        <w:tc>
          <w:tcPr>
            <w:tcW w:w="1500" w:type="dxa"/>
            <w:vAlign w:val="center"/>
          </w:tcPr>
          <w:p>
            <w:pPr>
              <w:pStyle w:val="232"/>
              <w:rPr>
                <w:rFonts w:hint="default" w:eastAsia="宋体"/>
                <w:color w:val="FF0000"/>
                <w:lang w:val="en-US" w:eastAsia="zh-CN"/>
              </w:rPr>
            </w:pPr>
            <w:r>
              <w:rPr>
                <w:rFonts w:hint="eastAsia"/>
                <w:color w:val="FF0000"/>
                <w:lang w:val="en-US" w:eastAsia="zh-CN"/>
              </w:rPr>
              <w:t>11.5</w:t>
            </w:r>
          </w:p>
        </w:tc>
        <w:tc>
          <w:tcPr>
            <w:tcW w:w="4522" w:type="dxa"/>
            <w:vAlign w:val="center"/>
          </w:tcPr>
          <w:p>
            <w:pPr>
              <w:pStyle w:val="232"/>
              <w:rPr>
                <w:color w:val="FF0000"/>
              </w:rPr>
            </w:pPr>
            <w:r>
              <w:rPr>
                <w:rFonts w:hint="eastAsia"/>
                <w:color w:val="FF0000"/>
              </w:rPr>
              <w:t>用于有机肥生产补水，不外排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61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7</w:t>
            </w:r>
          </w:p>
        </w:tc>
        <w:tc>
          <w:tcPr>
            <w:tcW w:w="1309" w:type="dxa"/>
            <w:gridSpan w:val="2"/>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消毒用水</w:t>
            </w:r>
          </w:p>
        </w:tc>
        <w:tc>
          <w:tcPr>
            <w:tcW w:w="1050" w:type="dxa"/>
            <w:vAlign w:val="center"/>
          </w:tcPr>
          <w:p>
            <w:pPr>
              <w:pStyle w:val="232"/>
              <w:ind w:firstLine="0" w:firstLineChars="0"/>
              <w:rPr>
                <w:rFonts w:hint="eastAsia" w:ascii="Times New Roman" w:hAnsi="Times New Roman" w:eastAsia="宋体" w:cs="Times New Roman"/>
                <w:bCs/>
                <w:color w:val="FF0000"/>
                <w:kern w:val="2"/>
                <w:sz w:val="21"/>
                <w:szCs w:val="21"/>
                <w:lang w:val="en-US" w:eastAsia="zh-CN" w:bidi="ar-SA"/>
              </w:rPr>
            </w:pPr>
            <w:r>
              <w:rPr>
                <w:rFonts w:hint="eastAsia"/>
                <w:color w:val="FF0000"/>
              </w:rPr>
              <w:t>50万</w:t>
            </w:r>
          </w:p>
        </w:tc>
        <w:tc>
          <w:tcPr>
            <w:tcW w:w="1290" w:type="dxa"/>
            <w:vAlign w:val="center"/>
          </w:tcPr>
          <w:p>
            <w:pPr>
              <w:pStyle w:val="232"/>
              <w:ind w:firstLine="0" w:firstLineChars="0"/>
              <w:rPr>
                <w:rFonts w:hint="eastAsia" w:ascii="Times New Roman" w:hAnsi="Times New Roman" w:eastAsia="宋体" w:cs="Times New Roman"/>
                <w:bCs/>
                <w:color w:val="FF0000"/>
                <w:kern w:val="2"/>
                <w:sz w:val="21"/>
                <w:szCs w:val="21"/>
                <w:lang w:val="en-US" w:eastAsia="zh-CN" w:bidi="ar-SA"/>
              </w:rPr>
            </w:pPr>
            <w:r>
              <w:rPr>
                <w:rFonts w:hint="eastAsia"/>
                <w:bCs/>
                <w:color w:val="FF0000"/>
              </w:rPr>
              <w:t>0.01L/头</w:t>
            </w:r>
          </w:p>
        </w:tc>
        <w:tc>
          <w:tcPr>
            <w:tcW w:w="1041"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0.72</w:t>
            </w:r>
          </w:p>
        </w:tc>
        <w:tc>
          <w:tcPr>
            <w:tcW w:w="1492" w:type="dxa"/>
            <w:vAlign w:val="center"/>
          </w:tcPr>
          <w:p>
            <w:pPr>
              <w:pStyle w:val="232"/>
              <w:ind w:firstLine="0" w:firstLineChars="0"/>
              <w:rPr>
                <w:rFonts w:hint="default" w:ascii="Times New Roman" w:hAnsi="Times New Roman" w:eastAsia="宋体" w:cs="Times New Roman"/>
                <w:color w:val="FF0000"/>
                <w:kern w:val="2"/>
                <w:sz w:val="21"/>
                <w:szCs w:val="21"/>
                <w:lang w:val="en-US" w:eastAsia="zh-CN" w:bidi="ar-SA"/>
              </w:rPr>
            </w:pPr>
            <w:r>
              <w:rPr>
                <w:rFonts w:hint="eastAsia"/>
                <w:color w:val="FF0000"/>
                <w:lang w:val="en-US" w:eastAsia="zh-CN"/>
              </w:rPr>
              <w:t>129.6</w:t>
            </w:r>
          </w:p>
        </w:tc>
        <w:tc>
          <w:tcPr>
            <w:tcW w:w="1148" w:type="dxa"/>
            <w:vAlign w:val="center"/>
          </w:tcPr>
          <w:p>
            <w:pPr>
              <w:pStyle w:val="232"/>
              <w:ind w:firstLine="0" w:firstLineChars="0"/>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w:t>
            </w:r>
          </w:p>
        </w:tc>
        <w:tc>
          <w:tcPr>
            <w:tcW w:w="1042"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w:t>
            </w:r>
          </w:p>
        </w:tc>
        <w:tc>
          <w:tcPr>
            <w:tcW w:w="150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w:t>
            </w:r>
          </w:p>
        </w:tc>
        <w:tc>
          <w:tcPr>
            <w:tcW w:w="4522"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新鲜水，蒸发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259" w:type="dxa"/>
            <w:gridSpan w:val="5"/>
            <w:vAlign w:val="center"/>
          </w:tcPr>
          <w:p>
            <w:pPr>
              <w:pStyle w:val="232"/>
              <w:rPr>
                <w:color w:val="FF0000"/>
              </w:rPr>
            </w:pPr>
            <w:r>
              <w:rPr>
                <w:rFonts w:hint="eastAsia"/>
                <w:color w:val="FF0000"/>
              </w:rPr>
              <w:t>新鲜水</w:t>
            </w:r>
            <w:r>
              <w:rPr>
                <w:color w:val="FF0000"/>
              </w:rPr>
              <w:t>合计</w:t>
            </w:r>
          </w:p>
        </w:tc>
        <w:tc>
          <w:tcPr>
            <w:tcW w:w="1041" w:type="dxa"/>
            <w:vAlign w:val="center"/>
          </w:tcPr>
          <w:p>
            <w:pPr>
              <w:pStyle w:val="232"/>
              <w:rPr>
                <w:rFonts w:hint="default" w:eastAsia="宋体"/>
                <w:color w:val="FF0000"/>
                <w:lang w:val="en-US" w:eastAsia="zh-CN"/>
              </w:rPr>
            </w:pPr>
            <w:r>
              <w:rPr>
                <w:rFonts w:hint="eastAsia"/>
                <w:color w:val="FF0000"/>
                <w:lang w:val="en-US" w:eastAsia="zh-CN"/>
              </w:rPr>
              <w:t>4027.72</w:t>
            </w:r>
          </w:p>
        </w:tc>
        <w:tc>
          <w:tcPr>
            <w:tcW w:w="1492" w:type="dxa"/>
            <w:vAlign w:val="center"/>
          </w:tcPr>
          <w:p>
            <w:pPr>
              <w:pStyle w:val="232"/>
              <w:rPr>
                <w:rFonts w:hint="default" w:eastAsia="宋体"/>
                <w:color w:val="FF0000"/>
                <w:lang w:val="en-US" w:eastAsia="zh-CN"/>
              </w:rPr>
            </w:pPr>
            <w:r>
              <w:rPr>
                <w:rFonts w:hint="eastAsia"/>
                <w:color w:val="FF0000"/>
                <w:lang w:val="en-US" w:eastAsia="zh-CN"/>
              </w:rPr>
              <w:t>745128.2</w:t>
            </w:r>
          </w:p>
        </w:tc>
        <w:tc>
          <w:tcPr>
            <w:tcW w:w="1148" w:type="dxa"/>
            <w:vAlign w:val="center"/>
          </w:tcPr>
          <w:p>
            <w:pPr>
              <w:pStyle w:val="232"/>
              <w:rPr>
                <w:rFonts w:hint="eastAsia" w:eastAsia="宋体"/>
                <w:color w:val="FF0000"/>
                <w:lang w:val="en-US" w:eastAsia="zh-CN"/>
              </w:rPr>
            </w:pPr>
            <w:r>
              <w:rPr>
                <w:rFonts w:hint="eastAsia"/>
                <w:color w:val="FF0000"/>
                <w:lang w:val="en-US" w:eastAsia="zh-CN"/>
              </w:rPr>
              <w:t>/</w:t>
            </w:r>
          </w:p>
        </w:tc>
        <w:tc>
          <w:tcPr>
            <w:tcW w:w="1042" w:type="dxa"/>
            <w:vAlign w:val="center"/>
          </w:tcPr>
          <w:p>
            <w:pPr>
              <w:pStyle w:val="232"/>
              <w:rPr>
                <w:rFonts w:hint="default" w:eastAsia="宋体"/>
                <w:color w:val="FF0000"/>
                <w:lang w:val="en-US" w:eastAsia="zh-CN"/>
              </w:rPr>
            </w:pPr>
            <w:r>
              <w:rPr>
                <w:rFonts w:hint="eastAsia"/>
                <w:color w:val="FF0000"/>
                <w:lang w:val="en-US" w:eastAsia="zh-CN"/>
              </w:rPr>
              <w:t>21.6</w:t>
            </w:r>
          </w:p>
        </w:tc>
        <w:tc>
          <w:tcPr>
            <w:tcW w:w="1500" w:type="dxa"/>
            <w:vAlign w:val="center"/>
          </w:tcPr>
          <w:p>
            <w:pPr>
              <w:pStyle w:val="232"/>
              <w:rPr>
                <w:rFonts w:hint="default" w:eastAsia="宋体"/>
                <w:color w:val="FF0000"/>
                <w:lang w:val="en-US" w:eastAsia="zh-CN"/>
              </w:rPr>
            </w:pPr>
            <w:r>
              <w:rPr>
                <w:rFonts w:hint="eastAsia"/>
                <w:color w:val="FF0000"/>
                <w:lang w:val="en-US" w:eastAsia="zh-CN"/>
              </w:rPr>
              <w:t>3996</w:t>
            </w:r>
          </w:p>
        </w:tc>
        <w:tc>
          <w:tcPr>
            <w:tcW w:w="4522" w:type="dxa"/>
            <w:vMerge w:val="restart"/>
            <w:vAlign w:val="center"/>
          </w:tcPr>
          <w:p>
            <w:pPr>
              <w:pStyle w:val="232"/>
              <w:rPr>
                <w:rFonts w:hint="eastAsia" w:eastAsia="宋体"/>
                <w:color w:val="FF0000"/>
                <w:lang w:eastAsia="zh-CN"/>
              </w:rPr>
            </w:pPr>
            <w:r>
              <w:rPr>
                <w:rFonts w:hint="eastAsia"/>
                <w:color w:val="FF0000"/>
                <w:lang w:val="en-US" w:eastAsia="zh-CN"/>
              </w:rPr>
              <w:t>本项目除生活污水经</w:t>
            </w:r>
            <w:r>
              <w:rPr>
                <w:rFonts w:hint="eastAsia"/>
                <w:color w:val="FF0000"/>
              </w:rPr>
              <w:t>化粪池处理后定期委托</w:t>
            </w:r>
            <w:r>
              <w:rPr>
                <w:rFonts w:hint="eastAsia"/>
                <w:color w:val="FF0000"/>
                <w:highlight w:val="green"/>
                <w:lang w:eastAsia="zh-CN"/>
              </w:rPr>
              <w:t>五原县塔尔湖污水处理厂</w:t>
            </w:r>
            <w:r>
              <w:rPr>
                <w:rFonts w:hint="eastAsia"/>
                <w:color w:val="FF0000"/>
              </w:rPr>
              <w:t>采用罐车清运处理</w:t>
            </w:r>
            <w:r>
              <w:rPr>
                <w:rFonts w:hint="eastAsia"/>
                <w:color w:val="FF0000"/>
                <w:lang w:val="en-US" w:eastAsia="zh-CN"/>
              </w:rPr>
              <w:t>外，均用于有机肥好氧堆肥，无生产废水外排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259" w:type="dxa"/>
            <w:gridSpan w:val="5"/>
            <w:vAlign w:val="center"/>
          </w:tcPr>
          <w:p>
            <w:pPr>
              <w:pStyle w:val="232"/>
              <w:rPr>
                <w:rFonts w:hint="default" w:eastAsia="宋体"/>
                <w:color w:val="FF0000"/>
                <w:lang w:val="en-US" w:eastAsia="zh-CN"/>
              </w:rPr>
            </w:pPr>
            <w:r>
              <w:rPr>
                <w:rFonts w:hint="eastAsia"/>
                <w:color w:val="FF0000"/>
                <w:lang w:val="en-US" w:eastAsia="zh-CN"/>
              </w:rPr>
              <w:t>总水合计</w:t>
            </w:r>
          </w:p>
        </w:tc>
        <w:tc>
          <w:tcPr>
            <w:tcW w:w="1041" w:type="dxa"/>
            <w:vAlign w:val="center"/>
          </w:tcPr>
          <w:p>
            <w:pPr>
              <w:pStyle w:val="232"/>
              <w:rPr>
                <w:rFonts w:hint="default"/>
                <w:color w:val="FF0000"/>
                <w:lang w:val="en-US" w:eastAsia="zh-CN"/>
              </w:rPr>
            </w:pPr>
            <w:r>
              <w:rPr>
                <w:rFonts w:hint="eastAsia"/>
                <w:color w:val="FF0000"/>
                <w:lang w:val="en-US" w:eastAsia="zh-CN"/>
              </w:rPr>
              <w:t>4038.52</w:t>
            </w:r>
          </w:p>
        </w:tc>
        <w:tc>
          <w:tcPr>
            <w:tcW w:w="1492" w:type="dxa"/>
            <w:vAlign w:val="center"/>
          </w:tcPr>
          <w:p>
            <w:pPr>
              <w:pStyle w:val="232"/>
              <w:rPr>
                <w:rFonts w:hint="default"/>
                <w:color w:val="FF0000"/>
                <w:lang w:val="en-US" w:eastAsia="zh-CN"/>
              </w:rPr>
            </w:pPr>
            <w:r>
              <w:rPr>
                <w:rFonts w:hint="eastAsia"/>
                <w:color w:val="FF0000"/>
                <w:lang w:val="en-US" w:eastAsia="zh-CN"/>
              </w:rPr>
              <w:t>747126.2</w:t>
            </w:r>
          </w:p>
        </w:tc>
        <w:tc>
          <w:tcPr>
            <w:tcW w:w="1148" w:type="dxa"/>
            <w:vAlign w:val="center"/>
          </w:tcPr>
          <w:p>
            <w:pPr>
              <w:pStyle w:val="232"/>
              <w:rPr>
                <w:rFonts w:hint="default"/>
                <w:color w:val="FF0000"/>
                <w:lang w:val="en-US" w:eastAsia="zh-CN"/>
              </w:rPr>
            </w:pPr>
            <w:r>
              <w:rPr>
                <w:rFonts w:hint="eastAsia"/>
                <w:color w:val="FF0000"/>
                <w:lang w:val="en-US" w:eastAsia="zh-CN"/>
              </w:rPr>
              <w:t>/</w:t>
            </w:r>
          </w:p>
        </w:tc>
        <w:tc>
          <w:tcPr>
            <w:tcW w:w="1042" w:type="dxa"/>
            <w:vAlign w:val="center"/>
          </w:tcPr>
          <w:p>
            <w:pPr>
              <w:pStyle w:val="232"/>
              <w:ind w:firstLine="0" w:firstLineChars="0"/>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21.6</w:t>
            </w:r>
          </w:p>
        </w:tc>
        <w:tc>
          <w:tcPr>
            <w:tcW w:w="1500" w:type="dxa"/>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3996</w:t>
            </w:r>
          </w:p>
        </w:tc>
        <w:tc>
          <w:tcPr>
            <w:tcW w:w="4522" w:type="dxa"/>
            <w:vMerge w:val="continue"/>
            <w:vAlign w:val="center"/>
          </w:tcPr>
          <w:p>
            <w:pPr>
              <w:pStyle w:val="232"/>
              <w:rPr>
                <w:rFonts w:hint="eastAsia"/>
                <w:color w:val="FF0000"/>
                <w:lang w:val="en-US" w:eastAsia="zh-CN"/>
              </w:rPr>
            </w:pPr>
          </w:p>
        </w:tc>
      </w:tr>
    </w:tbl>
    <w:p>
      <w:pPr>
        <w:ind w:firstLine="480"/>
        <w:rPr>
          <w:color w:val="FF0000"/>
        </w:rPr>
        <w:sectPr>
          <w:pgSz w:w="16838" w:h="11906" w:orient="landscape"/>
          <w:pgMar w:top="1418" w:right="1247" w:bottom="1701" w:left="1418" w:header="851" w:footer="680" w:gutter="0"/>
          <w:pgNumType w:fmt="decimal"/>
          <w:cols w:space="425" w:num="1"/>
          <w:docGrid w:linePitch="326" w:charSpace="0"/>
        </w:sect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olor w:val="FF0000"/>
          <w:lang w:eastAsia="zh-CN"/>
        </w:rPr>
      </w:pPr>
      <w:r>
        <w:rPr>
          <w:rFonts w:hint="eastAsia"/>
          <w:color w:val="FF0000"/>
          <w:lang w:eastAsia="zh-CN"/>
        </w:rPr>
        <w:drawing>
          <wp:inline distT="0" distB="0" distL="114300" distR="114300">
            <wp:extent cx="5273040" cy="3939540"/>
            <wp:effectExtent l="0" t="0" r="3810" b="3810"/>
            <wp:docPr id="24" name="图片 24" descr="全厂水平衡图（夏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全厂水平衡图（夏季）"/>
                    <pic:cNvPicPr>
                      <a:picLocks noChangeAspect="1"/>
                    </pic:cNvPicPr>
                  </pic:nvPicPr>
                  <pic:blipFill>
                    <a:blip r:embed="rId44"/>
                    <a:stretch>
                      <a:fillRect/>
                    </a:stretch>
                  </pic:blipFill>
                  <pic:spPr>
                    <a:xfrm>
                      <a:off x="0" y="0"/>
                      <a:ext cx="5273040" cy="3939540"/>
                    </a:xfrm>
                    <a:prstGeom prst="rect">
                      <a:avLst/>
                    </a:prstGeom>
                  </pic:spPr>
                </pic:pic>
              </a:graphicData>
            </a:graphic>
          </wp:inline>
        </w:drawing>
      </w:r>
    </w:p>
    <w:p>
      <w:pPr>
        <w:pStyle w:val="6"/>
        <w:rPr>
          <w:rFonts w:hint="eastAsia"/>
          <w:color w:val="FF0000"/>
        </w:rPr>
      </w:pPr>
      <w:r>
        <w:rPr>
          <w:rFonts w:hint="eastAsia"/>
          <w:color w:val="FF0000"/>
        </w:rPr>
        <w:t>图3.2.</w:t>
      </w:r>
      <w:r>
        <w:rPr>
          <w:rFonts w:hint="eastAsia"/>
          <w:color w:val="FF0000"/>
          <w:lang w:val="en-US" w:eastAsia="zh-CN"/>
        </w:rPr>
        <w:t>1</w:t>
      </w:r>
      <w:r>
        <w:rPr>
          <w:rFonts w:hint="eastAsia"/>
          <w:color w:val="FF0000"/>
        </w:rPr>
        <w:t>-</w:t>
      </w:r>
      <w:r>
        <w:rPr>
          <w:rFonts w:hint="eastAsia"/>
          <w:color w:val="FF0000"/>
          <w:lang w:val="en-US" w:eastAsia="zh-CN"/>
        </w:rPr>
        <w:t>1</w:t>
      </w:r>
      <w:r>
        <w:rPr>
          <w:rFonts w:hint="eastAsia"/>
          <w:color w:val="FF0000"/>
        </w:rPr>
        <w:t xml:space="preserve">  全厂水平衡图</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宋体"/>
          <w:color w:val="FF0000"/>
          <w:lang w:eastAsia="zh-CN"/>
        </w:rPr>
      </w:pPr>
      <w:r>
        <w:rPr>
          <w:rFonts w:hint="eastAsia" w:eastAsia="宋体"/>
          <w:color w:val="FF0000"/>
          <w:lang w:eastAsia="zh-CN"/>
        </w:rPr>
        <w:drawing>
          <wp:inline distT="0" distB="0" distL="114300" distR="114300">
            <wp:extent cx="5276215" cy="3978910"/>
            <wp:effectExtent l="0" t="0" r="635" b="2540"/>
            <wp:docPr id="36" name="图片 36" descr="全厂水平衡图（冬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全厂水平衡图（冬季）"/>
                    <pic:cNvPicPr>
                      <a:picLocks noChangeAspect="1"/>
                    </pic:cNvPicPr>
                  </pic:nvPicPr>
                  <pic:blipFill>
                    <a:blip r:embed="rId45"/>
                    <a:stretch>
                      <a:fillRect/>
                    </a:stretch>
                  </pic:blipFill>
                  <pic:spPr>
                    <a:xfrm>
                      <a:off x="0" y="0"/>
                      <a:ext cx="5276215" cy="3978910"/>
                    </a:xfrm>
                    <a:prstGeom prst="rect">
                      <a:avLst/>
                    </a:prstGeom>
                  </pic:spPr>
                </pic:pic>
              </a:graphicData>
            </a:graphic>
          </wp:inline>
        </w:drawing>
      </w:r>
    </w:p>
    <w:p>
      <w:pPr>
        <w:pStyle w:val="6"/>
        <w:rPr>
          <w:rFonts w:hint="eastAsia"/>
          <w:color w:val="FF0000"/>
        </w:rPr>
      </w:pPr>
      <w:r>
        <w:rPr>
          <w:rFonts w:hint="eastAsia"/>
          <w:color w:val="FF0000"/>
        </w:rPr>
        <w:t>图3.2.</w:t>
      </w:r>
      <w:r>
        <w:rPr>
          <w:rFonts w:hint="eastAsia"/>
          <w:color w:val="FF0000"/>
          <w:lang w:val="en-US" w:eastAsia="zh-CN"/>
        </w:rPr>
        <w:t>1</w:t>
      </w:r>
      <w:r>
        <w:rPr>
          <w:rFonts w:hint="eastAsia"/>
          <w:color w:val="FF0000"/>
        </w:rPr>
        <w:t>-</w:t>
      </w:r>
      <w:r>
        <w:rPr>
          <w:rFonts w:hint="eastAsia"/>
          <w:color w:val="FF0000"/>
          <w:lang w:val="en-US" w:eastAsia="zh-CN"/>
        </w:rPr>
        <w:t>2</w:t>
      </w:r>
      <w:r>
        <w:rPr>
          <w:rFonts w:hint="eastAsia"/>
          <w:color w:val="FF0000"/>
        </w:rPr>
        <w:t xml:space="preserve">  全厂水平衡图</w:t>
      </w:r>
    </w:p>
    <w:p>
      <w:pPr>
        <w:rPr>
          <w:rFonts w:hint="eastAsia" w:eastAsia="宋体"/>
          <w:color w:val="FF0000"/>
          <w:lang w:eastAsia="zh-CN"/>
        </w:rPr>
      </w:pPr>
    </w:p>
    <w:p>
      <w:pPr>
        <w:pStyle w:val="4"/>
        <w:bidi w:val="0"/>
        <w:rPr>
          <w:color w:val="FF0000"/>
        </w:rPr>
      </w:pPr>
      <w:r>
        <w:rPr>
          <w:rFonts w:hint="eastAsia"/>
          <w:color w:val="FF0000"/>
          <w:lang w:val="en-US" w:eastAsia="zh-CN"/>
        </w:rPr>
        <w:t>物料平衡</w:t>
      </w:r>
    </w:p>
    <w:p>
      <w:pPr>
        <w:rPr>
          <w:color w:val="FF0000"/>
        </w:rPr>
      </w:pPr>
      <w:r>
        <w:rPr>
          <w:rFonts w:hint="eastAsia"/>
          <w:color w:val="FF0000"/>
        </w:rPr>
        <w:t>项目</w:t>
      </w:r>
      <w:r>
        <w:rPr>
          <w:rFonts w:hint="eastAsia"/>
          <w:color w:val="FF0000"/>
          <w:lang w:val="en-US" w:eastAsia="zh-CN"/>
        </w:rPr>
        <w:t>对粪便（含羊尿）、病死动物无害化处理残渣采用好氧堆肥法进行处理，该工段物料</w:t>
      </w:r>
      <w:r>
        <w:rPr>
          <w:rFonts w:hint="eastAsia"/>
          <w:color w:val="FF0000"/>
        </w:rPr>
        <w:t>平衡见下表。</w:t>
      </w:r>
    </w:p>
    <w:p>
      <w:pPr>
        <w:pStyle w:val="6"/>
        <w:rPr>
          <w:color w:val="FF0000"/>
        </w:rPr>
      </w:pPr>
      <w:r>
        <w:rPr>
          <w:rFonts w:hint="eastAsia"/>
          <w:color w:val="FF0000"/>
        </w:rPr>
        <w:t>表3</w:t>
      </w:r>
      <w:r>
        <w:rPr>
          <w:color w:val="FF0000"/>
        </w:rPr>
        <w:t>.</w:t>
      </w:r>
      <w:r>
        <w:rPr>
          <w:rFonts w:hint="eastAsia"/>
          <w:color w:val="FF0000"/>
          <w:lang w:val="en-US" w:eastAsia="zh-CN"/>
        </w:rPr>
        <w:t>2.2</w:t>
      </w:r>
      <w:r>
        <w:rPr>
          <w:color w:val="FF0000"/>
        </w:rPr>
        <w:t xml:space="preserve">-1    </w:t>
      </w:r>
      <w:r>
        <w:rPr>
          <w:rFonts w:hint="eastAsia"/>
          <w:color w:val="FF0000"/>
        </w:rPr>
        <w:t>有机肥物料平衡表</w:t>
      </w: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0"/>
        <w:gridCol w:w="696"/>
        <w:gridCol w:w="1005"/>
        <w:gridCol w:w="2049"/>
        <w:gridCol w:w="1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3" w:type="pct"/>
            <w:gridSpan w:val="3"/>
            <w:vAlign w:val="center"/>
          </w:tcPr>
          <w:p>
            <w:pPr>
              <w:pStyle w:val="232"/>
              <w:rPr>
                <w:color w:val="FF0000"/>
              </w:rPr>
            </w:pPr>
            <w:r>
              <w:rPr>
                <w:color w:val="FF0000"/>
              </w:rPr>
              <w:t>投入（</w:t>
            </w:r>
            <w:r>
              <w:rPr>
                <w:rFonts w:hint="eastAsia"/>
                <w:color w:val="FF0000"/>
              </w:rPr>
              <w:t>t/a</w:t>
            </w:r>
            <w:r>
              <w:rPr>
                <w:color w:val="FF0000"/>
              </w:rPr>
              <w:t>）</w:t>
            </w:r>
          </w:p>
        </w:tc>
        <w:tc>
          <w:tcPr>
            <w:tcW w:w="2296" w:type="pct"/>
            <w:gridSpan w:val="2"/>
            <w:vAlign w:val="center"/>
          </w:tcPr>
          <w:p>
            <w:pPr>
              <w:pStyle w:val="232"/>
              <w:rPr>
                <w:color w:val="FF0000"/>
              </w:rPr>
            </w:pPr>
            <w:r>
              <w:rPr>
                <w:rFonts w:hint="eastAsia"/>
                <w:color w:val="FF0000"/>
              </w:rPr>
              <w:t>产出（t/a）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vAlign w:val="center"/>
          </w:tcPr>
          <w:p>
            <w:pPr>
              <w:pStyle w:val="232"/>
              <w:rPr>
                <w:color w:val="FF0000"/>
              </w:rPr>
            </w:pPr>
            <w:r>
              <w:rPr>
                <w:color w:val="FF0000"/>
              </w:rPr>
              <w:t>名称</w:t>
            </w:r>
          </w:p>
        </w:tc>
        <w:tc>
          <w:tcPr>
            <w:tcW w:w="408" w:type="pct"/>
            <w:vAlign w:val="center"/>
          </w:tcPr>
          <w:p>
            <w:pPr>
              <w:pStyle w:val="232"/>
              <w:rPr>
                <w:color w:val="FF0000"/>
              </w:rPr>
            </w:pPr>
            <w:r>
              <w:rPr>
                <w:color w:val="FF0000"/>
              </w:rPr>
              <w:t>来源</w:t>
            </w:r>
          </w:p>
        </w:tc>
        <w:tc>
          <w:tcPr>
            <w:tcW w:w="589" w:type="pct"/>
            <w:vAlign w:val="center"/>
          </w:tcPr>
          <w:p>
            <w:pPr>
              <w:pStyle w:val="232"/>
              <w:rPr>
                <w:color w:val="FF0000"/>
              </w:rPr>
            </w:pPr>
            <w:r>
              <w:rPr>
                <w:color w:val="FF0000"/>
              </w:rPr>
              <w:t>用量</w:t>
            </w:r>
          </w:p>
        </w:tc>
        <w:tc>
          <w:tcPr>
            <w:tcW w:w="1201" w:type="pct"/>
            <w:vAlign w:val="center"/>
          </w:tcPr>
          <w:p>
            <w:pPr>
              <w:pStyle w:val="232"/>
              <w:rPr>
                <w:color w:val="FF0000"/>
              </w:rPr>
            </w:pPr>
            <w:r>
              <w:rPr>
                <w:rFonts w:hint="eastAsia"/>
                <w:color w:val="FF0000"/>
              </w:rPr>
              <w:t>名称</w:t>
            </w:r>
          </w:p>
        </w:tc>
        <w:tc>
          <w:tcPr>
            <w:tcW w:w="1095" w:type="pct"/>
            <w:vAlign w:val="center"/>
          </w:tcPr>
          <w:p>
            <w:pPr>
              <w:pStyle w:val="232"/>
              <w:rPr>
                <w:color w:val="FF0000"/>
              </w:rPr>
            </w:pPr>
            <w:r>
              <w:rPr>
                <w:color w:val="FF0000"/>
              </w:rPr>
              <w:t>产量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vAlign w:val="center"/>
          </w:tcPr>
          <w:p>
            <w:pPr>
              <w:pStyle w:val="232"/>
              <w:rPr>
                <w:color w:val="FF0000"/>
              </w:rPr>
            </w:pPr>
            <w:r>
              <w:rPr>
                <w:rFonts w:hint="eastAsia"/>
                <w:color w:val="FF0000"/>
              </w:rPr>
              <w:t>羊</w:t>
            </w:r>
            <w:r>
              <w:rPr>
                <w:color w:val="FF0000"/>
              </w:rPr>
              <w:t>粪</w:t>
            </w:r>
          </w:p>
        </w:tc>
        <w:tc>
          <w:tcPr>
            <w:tcW w:w="408" w:type="pct"/>
            <w:vAlign w:val="center"/>
          </w:tcPr>
          <w:p>
            <w:pPr>
              <w:pStyle w:val="232"/>
              <w:rPr>
                <w:color w:val="FF0000"/>
              </w:rPr>
            </w:pPr>
            <w:r>
              <w:rPr>
                <w:rFonts w:hint="eastAsia"/>
                <w:color w:val="FF0000"/>
              </w:rPr>
              <w:t>自产</w:t>
            </w:r>
          </w:p>
        </w:tc>
        <w:tc>
          <w:tcPr>
            <w:tcW w:w="589" w:type="pct"/>
            <w:vAlign w:val="center"/>
          </w:tcPr>
          <w:p>
            <w:pPr>
              <w:pStyle w:val="232"/>
              <w:rPr>
                <w:rFonts w:hint="default" w:eastAsia="宋体"/>
                <w:color w:val="FF0000"/>
                <w:lang w:val="en-US" w:eastAsia="zh-CN"/>
              </w:rPr>
            </w:pPr>
            <w:r>
              <w:rPr>
                <w:rFonts w:hint="eastAsia"/>
                <w:color w:val="FF0000"/>
                <w:lang w:val="en-US" w:eastAsia="zh-CN"/>
              </w:rPr>
              <w:t>75555</w:t>
            </w:r>
          </w:p>
        </w:tc>
        <w:tc>
          <w:tcPr>
            <w:tcW w:w="1201" w:type="pct"/>
            <w:vAlign w:val="center"/>
          </w:tcPr>
          <w:p>
            <w:pPr>
              <w:pStyle w:val="232"/>
              <w:rPr>
                <w:rFonts w:hint="eastAsia" w:eastAsia="宋体"/>
                <w:color w:val="FF0000"/>
                <w:lang w:val="en-US" w:eastAsia="zh-CN"/>
              </w:rPr>
            </w:pPr>
            <w:r>
              <w:rPr>
                <w:rFonts w:hint="eastAsia"/>
                <w:color w:val="FF0000"/>
                <w:lang w:val="en-US" w:eastAsia="zh-CN"/>
              </w:rPr>
              <w:t>有机肥</w:t>
            </w:r>
          </w:p>
        </w:tc>
        <w:tc>
          <w:tcPr>
            <w:tcW w:w="1095" w:type="pct"/>
            <w:vAlign w:val="center"/>
          </w:tcPr>
          <w:p>
            <w:pPr>
              <w:pStyle w:val="232"/>
              <w:rPr>
                <w:rFonts w:hint="default" w:eastAsia="宋体"/>
                <w:color w:val="FF0000"/>
                <w:lang w:val="en-US" w:eastAsia="zh-CN"/>
              </w:rPr>
            </w:pPr>
            <w:r>
              <w:rPr>
                <w:rFonts w:hint="eastAsia"/>
                <w:color w:val="FF0000"/>
                <w:lang w:val="en-US" w:eastAsia="zh-CN"/>
              </w:rPr>
              <w:t>58933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vAlign w:val="center"/>
          </w:tcPr>
          <w:p>
            <w:pPr>
              <w:pStyle w:val="232"/>
              <w:rPr>
                <w:rFonts w:hint="eastAsia"/>
                <w:color w:val="FF0000"/>
              </w:rPr>
            </w:pPr>
            <w:r>
              <w:rPr>
                <w:rFonts w:hint="eastAsia"/>
                <w:color w:val="FF0000"/>
                <w:lang w:val="en-US" w:eastAsia="zh-CN"/>
              </w:rPr>
              <w:t>羊</w:t>
            </w:r>
            <w:r>
              <w:rPr>
                <w:rFonts w:hint="eastAsia"/>
                <w:color w:val="FF0000"/>
              </w:rPr>
              <w:t>尿</w:t>
            </w:r>
          </w:p>
        </w:tc>
        <w:tc>
          <w:tcPr>
            <w:tcW w:w="408" w:type="pct"/>
            <w:vAlign w:val="center"/>
          </w:tcPr>
          <w:p>
            <w:pPr>
              <w:pStyle w:val="232"/>
              <w:rPr>
                <w:rFonts w:hint="eastAsia"/>
                <w:color w:val="FF0000"/>
              </w:rPr>
            </w:pPr>
            <w:r>
              <w:rPr>
                <w:rFonts w:hint="eastAsia"/>
                <w:color w:val="FF0000"/>
              </w:rPr>
              <w:t>自产</w:t>
            </w:r>
          </w:p>
        </w:tc>
        <w:tc>
          <w:tcPr>
            <w:tcW w:w="589" w:type="pct"/>
            <w:vAlign w:val="center"/>
          </w:tcPr>
          <w:p>
            <w:pPr>
              <w:pStyle w:val="232"/>
              <w:rPr>
                <w:rFonts w:hint="eastAsia"/>
                <w:color w:val="FF0000"/>
              </w:rPr>
            </w:pPr>
            <w:r>
              <w:rPr>
                <w:rFonts w:hint="eastAsia"/>
                <w:color w:val="FF0000"/>
                <w:lang w:val="en-US" w:eastAsia="zh-CN"/>
              </w:rPr>
              <w:t>200750</w:t>
            </w:r>
          </w:p>
        </w:tc>
        <w:tc>
          <w:tcPr>
            <w:tcW w:w="1201" w:type="pct"/>
            <w:vAlign w:val="center"/>
          </w:tcPr>
          <w:p>
            <w:pPr>
              <w:pStyle w:val="232"/>
              <w:rPr>
                <w:color w:val="FF0000"/>
              </w:rPr>
            </w:pPr>
            <w:r>
              <w:rPr>
                <w:color w:val="FF0000"/>
              </w:rPr>
              <w:t>发酵损失</w:t>
            </w:r>
            <w:r>
              <w:rPr>
                <w:rFonts w:hint="eastAsia"/>
                <w:color w:val="FF0000"/>
              </w:rPr>
              <w:t>水分</w:t>
            </w:r>
          </w:p>
        </w:tc>
        <w:tc>
          <w:tcPr>
            <w:tcW w:w="1095" w:type="pct"/>
            <w:vAlign w:val="center"/>
          </w:tcPr>
          <w:p>
            <w:pPr>
              <w:pStyle w:val="232"/>
              <w:rPr>
                <w:rFonts w:hint="default" w:eastAsia="宋体"/>
                <w:color w:val="FF0000"/>
                <w:lang w:val="en-US" w:eastAsia="zh-CN"/>
              </w:rPr>
            </w:pPr>
            <w:r>
              <w:rPr>
                <w:rFonts w:hint="eastAsia"/>
                <w:color w:val="FF0000"/>
                <w:lang w:val="en-US" w:eastAsia="zh-CN"/>
              </w:rPr>
              <w:t>217392.5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vAlign w:val="center"/>
          </w:tcPr>
          <w:p>
            <w:pPr>
              <w:pStyle w:val="232"/>
              <w:ind w:firstLine="0" w:firstLineChars="0"/>
              <w:rPr>
                <w:rFonts w:hint="eastAsia" w:ascii="Times New Roman" w:hAnsi="Times New Roman" w:eastAsia="宋体" w:cs="Times New Roman"/>
                <w:color w:val="FF0000"/>
                <w:kern w:val="2"/>
                <w:sz w:val="21"/>
                <w:szCs w:val="21"/>
                <w:highlight w:val="green"/>
                <w:lang w:val="en-US" w:eastAsia="zh-CN" w:bidi="ar-SA"/>
              </w:rPr>
            </w:pPr>
            <w:r>
              <w:rPr>
                <w:rFonts w:hint="eastAsia" w:ascii="Times New Roman" w:hAnsi="Times New Roman" w:eastAsia="宋体" w:cs="Times New Roman"/>
                <w:color w:val="FF0000"/>
                <w:kern w:val="2"/>
                <w:sz w:val="21"/>
                <w:szCs w:val="21"/>
                <w:highlight w:val="green"/>
                <w:lang w:val="en-US" w:eastAsia="zh-CN" w:bidi="ar-SA"/>
              </w:rPr>
              <w:t>病死动物无害化处理残渣</w:t>
            </w:r>
          </w:p>
        </w:tc>
        <w:tc>
          <w:tcPr>
            <w:tcW w:w="408" w:type="pct"/>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rPr>
              <w:t>自产</w:t>
            </w:r>
          </w:p>
        </w:tc>
        <w:tc>
          <w:tcPr>
            <w:tcW w:w="589" w:type="pct"/>
            <w:vAlign w:val="center"/>
          </w:tcPr>
          <w:p>
            <w:pPr>
              <w:pStyle w:val="232"/>
              <w:ind w:firstLine="0" w:firstLineChars="0"/>
              <w:rPr>
                <w:rFonts w:hint="eastAsia" w:ascii="Times New Roman" w:hAnsi="Times New Roman" w:eastAsia="宋体" w:cs="Times New Roman"/>
                <w:color w:val="FF0000"/>
                <w:kern w:val="2"/>
                <w:sz w:val="21"/>
                <w:szCs w:val="21"/>
                <w:lang w:val="en-US" w:eastAsia="zh-CN" w:bidi="ar-SA"/>
              </w:rPr>
            </w:pPr>
            <w:r>
              <w:rPr>
                <w:rFonts w:hint="eastAsia"/>
                <w:color w:val="FF0000"/>
                <w:lang w:val="en-US" w:eastAsia="zh-CN"/>
              </w:rPr>
              <w:t>9</w:t>
            </w:r>
          </w:p>
        </w:tc>
        <w:tc>
          <w:tcPr>
            <w:tcW w:w="1201" w:type="pct"/>
            <w:vAlign w:val="center"/>
          </w:tcPr>
          <w:p>
            <w:pPr>
              <w:pStyle w:val="232"/>
              <w:rPr>
                <w:color w:val="FF0000"/>
              </w:rPr>
            </w:pPr>
          </w:p>
        </w:tc>
        <w:tc>
          <w:tcPr>
            <w:tcW w:w="1095" w:type="pct"/>
            <w:vAlign w:val="center"/>
          </w:tcPr>
          <w:p>
            <w:pPr>
              <w:pStyle w:val="232"/>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vAlign w:val="center"/>
          </w:tcPr>
          <w:p>
            <w:pPr>
              <w:pStyle w:val="232"/>
              <w:rPr>
                <w:rFonts w:hint="eastAsia" w:eastAsia="宋体"/>
                <w:color w:val="FF0000"/>
                <w:highlight w:val="green"/>
                <w:lang w:val="en-US" w:eastAsia="zh-CN"/>
              </w:rPr>
            </w:pPr>
            <w:r>
              <w:rPr>
                <w:rFonts w:hint="eastAsia"/>
                <w:color w:val="FF0000"/>
                <w:highlight w:val="green"/>
                <w:lang w:val="en-US" w:eastAsia="zh-CN"/>
              </w:rPr>
              <w:t>无害化冷凝水</w:t>
            </w:r>
          </w:p>
        </w:tc>
        <w:tc>
          <w:tcPr>
            <w:tcW w:w="408" w:type="pct"/>
            <w:vAlign w:val="center"/>
          </w:tcPr>
          <w:p>
            <w:pPr>
              <w:pStyle w:val="232"/>
              <w:rPr>
                <w:color w:val="FF0000"/>
              </w:rPr>
            </w:pPr>
            <w:r>
              <w:rPr>
                <w:rFonts w:hint="eastAsia"/>
                <w:color w:val="FF0000"/>
              </w:rPr>
              <w:t>自产</w:t>
            </w:r>
          </w:p>
        </w:tc>
        <w:tc>
          <w:tcPr>
            <w:tcW w:w="589" w:type="pct"/>
            <w:vAlign w:val="center"/>
          </w:tcPr>
          <w:p>
            <w:pPr>
              <w:pStyle w:val="232"/>
              <w:rPr>
                <w:rFonts w:hint="default" w:eastAsia="宋体"/>
                <w:color w:val="FF0000"/>
                <w:lang w:val="en-US" w:eastAsia="zh-CN"/>
              </w:rPr>
            </w:pPr>
            <w:r>
              <w:rPr>
                <w:rFonts w:hint="eastAsia"/>
                <w:color w:val="FF0000"/>
                <w:lang w:val="en-US" w:eastAsia="zh-CN"/>
              </w:rPr>
              <w:t>11.5</w:t>
            </w:r>
          </w:p>
        </w:tc>
        <w:tc>
          <w:tcPr>
            <w:tcW w:w="1201" w:type="pct"/>
            <w:vAlign w:val="center"/>
          </w:tcPr>
          <w:p>
            <w:pPr>
              <w:pStyle w:val="232"/>
              <w:rPr>
                <w:color w:val="FF0000"/>
              </w:rPr>
            </w:pPr>
          </w:p>
        </w:tc>
        <w:tc>
          <w:tcPr>
            <w:tcW w:w="1095" w:type="pct"/>
            <w:vAlign w:val="center"/>
          </w:tcPr>
          <w:p>
            <w:pPr>
              <w:pStyle w:val="232"/>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4" w:type="pct"/>
            <w:gridSpan w:val="2"/>
            <w:vAlign w:val="center"/>
          </w:tcPr>
          <w:p>
            <w:pPr>
              <w:pStyle w:val="232"/>
              <w:rPr>
                <w:color w:val="FF0000"/>
              </w:rPr>
            </w:pPr>
            <w:r>
              <w:rPr>
                <w:rFonts w:hint="eastAsia"/>
                <w:color w:val="FF0000"/>
              </w:rPr>
              <w:t>合计</w:t>
            </w:r>
          </w:p>
        </w:tc>
        <w:tc>
          <w:tcPr>
            <w:tcW w:w="589" w:type="pct"/>
            <w:vAlign w:val="center"/>
          </w:tcPr>
          <w:p>
            <w:pPr>
              <w:pStyle w:val="232"/>
              <w:rPr>
                <w:rFonts w:hint="default" w:eastAsia="宋体"/>
                <w:color w:val="FF0000"/>
                <w:lang w:val="en-US" w:eastAsia="zh-CN"/>
              </w:rPr>
            </w:pPr>
            <w:r>
              <w:rPr>
                <w:rFonts w:hint="eastAsia"/>
                <w:color w:val="FF0000"/>
                <w:lang w:val="en-US" w:eastAsia="zh-CN"/>
              </w:rPr>
              <w:t>276325.5</w:t>
            </w:r>
          </w:p>
        </w:tc>
        <w:tc>
          <w:tcPr>
            <w:tcW w:w="1201" w:type="pct"/>
            <w:vAlign w:val="center"/>
          </w:tcPr>
          <w:p>
            <w:pPr>
              <w:pStyle w:val="232"/>
              <w:rPr>
                <w:color w:val="FF0000"/>
              </w:rPr>
            </w:pPr>
            <w:r>
              <w:rPr>
                <w:color w:val="FF0000"/>
              </w:rPr>
              <w:t>合计</w:t>
            </w:r>
          </w:p>
        </w:tc>
        <w:tc>
          <w:tcPr>
            <w:tcW w:w="1095" w:type="pct"/>
            <w:vAlign w:val="center"/>
          </w:tcPr>
          <w:p>
            <w:pPr>
              <w:pStyle w:val="232"/>
              <w:rPr>
                <w:rFonts w:hint="default" w:eastAsia="宋体"/>
                <w:color w:val="FF0000"/>
                <w:lang w:val="en-US" w:eastAsia="zh-CN"/>
              </w:rPr>
            </w:pPr>
            <w:r>
              <w:rPr>
                <w:rFonts w:hint="eastAsia"/>
                <w:color w:val="FF0000"/>
                <w:lang w:val="en-US" w:eastAsia="zh-CN"/>
              </w:rPr>
              <w:t>217392.5</w:t>
            </w:r>
          </w:p>
        </w:tc>
      </w:tr>
    </w:tbl>
    <w:p>
      <w:pPr>
        <w:rPr>
          <w:color w:val="FF0000"/>
        </w:rPr>
      </w:pPr>
    </w:p>
    <w:p>
      <w:pPr>
        <w:pStyle w:val="3"/>
        <w:spacing w:before="120" w:after="120"/>
      </w:pPr>
      <w:bookmarkStart w:id="146" w:name="_Toc12104"/>
      <w:r>
        <w:rPr>
          <w:rFonts w:hint="eastAsia"/>
        </w:rPr>
        <w:t>项目污染影响因素分析</w:t>
      </w:r>
      <w:bookmarkEnd w:id="146"/>
    </w:p>
    <w:p>
      <w:pPr>
        <w:pStyle w:val="4"/>
      </w:pPr>
      <w:r>
        <w:rPr>
          <w:rFonts w:hint="eastAsia"/>
        </w:rPr>
        <w:t>施工期污染影响因素分析</w:t>
      </w:r>
    </w:p>
    <w:p>
      <w:pPr>
        <w:bidi w:val="0"/>
      </w:pPr>
      <w:r>
        <w:t>本项目工程实际施工期为12个月，施工人员50人，利用附近村庄居住，不设临时生活区。</w:t>
      </w:r>
    </w:p>
    <w:p>
      <w:pPr>
        <w:bidi w:val="0"/>
      </w:pPr>
      <w:r>
        <w:rPr>
          <w:rFonts w:hint="eastAsia"/>
        </w:rPr>
        <w:t>施工期分为基础施工、内部装修及设施安装阶段以及扫尾工程阶段等。</w:t>
      </w:r>
    </w:p>
    <w:p>
      <w:pPr>
        <w:widowControl/>
        <w:ind w:firstLine="480"/>
        <w:jc w:val="left"/>
        <w:rPr>
          <w:rFonts w:hint="eastAsia"/>
          <w:color w:val="FF0000"/>
          <w:lang w:val="en-US" w:eastAsia="zh-CN"/>
        </w:rPr>
      </w:pPr>
      <w:r>
        <w:rPr>
          <w:rFonts w:hint="eastAsia"/>
          <w:color w:val="FF0000"/>
          <w:lang w:eastAsia="zh-CN"/>
        </w:rPr>
        <w:t>（</w:t>
      </w:r>
      <w:r>
        <w:rPr>
          <w:rFonts w:hint="eastAsia"/>
          <w:color w:val="FF0000"/>
          <w:lang w:val="en-US" w:eastAsia="zh-CN"/>
        </w:rPr>
        <w:t>1</w:t>
      </w:r>
      <w:r>
        <w:rPr>
          <w:rFonts w:hint="eastAsia"/>
          <w:color w:val="FF0000"/>
          <w:lang w:eastAsia="zh-CN"/>
        </w:rPr>
        <w:t>）</w:t>
      </w:r>
      <w:r>
        <w:rPr>
          <w:rFonts w:hint="eastAsia"/>
          <w:color w:val="FF0000"/>
        </w:rPr>
        <w:t>基础施工：因本项目</w:t>
      </w:r>
      <w:r>
        <w:rPr>
          <w:rFonts w:hint="eastAsia" w:ascii="宋体" w:hAnsi="宋体" w:cs="宋体"/>
          <w:color w:val="FF0000"/>
          <w:kern w:val="0"/>
          <w:lang w:bidi="ar"/>
        </w:rPr>
        <w:t>土地现状主要为盐碱地，含盐量在</w:t>
      </w:r>
      <w:r>
        <w:rPr>
          <w:color w:val="FF0000"/>
          <w:kern w:val="0"/>
          <w:lang w:bidi="ar"/>
        </w:rPr>
        <w:t>0.3%</w:t>
      </w:r>
      <w:r>
        <w:rPr>
          <w:rFonts w:hint="eastAsia" w:ascii="宋体" w:hAnsi="宋体" w:cs="宋体"/>
          <w:color w:val="FF0000"/>
          <w:kern w:val="0"/>
          <w:lang w:bidi="ar"/>
        </w:rPr>
        <w:t>～</w:t>
      </w:r>
      <w:r>
        <w:rPr>
          <w:color w:val="FF0000"/>
          <w:kern w:val="0"/>
          <w:lang w:bidi="ar"/>
        </w:rPr>
        <w:t>1.0%</w:t>
      </w:r>
      <w:r>
        <w:rPr>
          <w:rFonts w:hint="eastAsia" w:ascii="宋体" w:hAnsi="宋体" w:cs="宋体"/>
          <w:color w:val="FF0000"/>
          <w:kern w:val="0"/>
          <w:lang w:bidi="ar"/>
        </w:rPr>
        <w:t>，并达到中重度碱化程度，地下水水位埋深</w:t>
      </w:r>
      <w:r>
        <w:rPr>
          <w:color w:val="FF0000"/>
          <w:kern w:val="0"/>
          <w:lang w:bidi="ar"/>
        </w:rPr>
        <w:t>2.52</w:t>
      </w:r>
      <w:r>
        <w:rPr>
          <w:rFonts w:hint="eastAsia"/>
          <w:color w:val="FF0000"/>
          <w:kern w:val="0"/>
          <w:lang w:bidi="ar"/>
        </w:rPr>
        <w:t>~</w:t>
      </w:r>
      <w:r>
        <w:rPr>
          <w:color w:val="FF0000"/>
          <w:kern w:val="0"/>
          <w:lang w:bidi="ar"/>
        </w:rPr>
        <w:t>3.14m</w:t>
      </w:r>
      <w:r>
        <w:rPr>
          <w:rFonts w:hint="eastAsia" w:ascii="宋体" w:hAnsi="宋体" w:cs="宋体"/>
          <w:color w:val="FF0000"/>
          <w:kern w:val="0"/>
          <w:lang w:bidi="ar"/>
        </w:rPr>
        <w:t>不等，盐碱地块与周围地表存在</w:t>
      </w:r>
      <w:r>
        <w:rPr>
          <w:color w:val="FF0000"/>
          <w:kern w:val="0"/>
          <w:lang w:bidi="ar"/>
        </w:rPr>
        <w:t>0.8~1.0m</w:t>
      </w:r>
      <w:r>
        <w:rPr>
          <w:rFonts w:hint="eastAsia" w:ascii="宋体" w:hAnsi="宋体" w:cs="宋体"/>
          <w:color w:val="FF0000"/>
          <w:kern w:val="0"/>
          <w:lang w:bidi="ar"/>
        </w:rPr>
        <w:t>高差，将对其基础工程进行换土，利用粉煤灰作建筑地基垫层，主要方法为以粉煤灰为主，掺合少量石灰和粉土制成混合料，每层铺厚</w:t>
      </w:r>
      <w:r>
        <w:rPr>
          <w:color w:val="FF0000"/>
          <w:kern w:val="0"/>
          <w:lang w:bidi="ar"/>
        </w:rPr>
        <w:t>40~60cm</w:t>
      </w:r>
      <w:r>
        <w:rPr>
          <w:rFonts w:hint="eastAsia" w:ascii="宋体" w:hAnsi="宋体" w:cs="宋体"/>
          <w:color w:val="FF0000"/>
          <w:kern w:val="0"/>
          <w:lang w:bidi="ar"/>
        </w:rPr>
        <w:t>后振动碾压，压实密度不小于</w:t>
      </w:r>
      <w:r>
        <w:rPr>
          <w:color w:val="FF0000"/>
          <w:kern w:val="0"/>
          <w:lang w:bidi="ar"/>
        </w:rPr>
        <w:t>0.93</w:t>
      </w:r>
      <w:r>
        <w:rPr>
          <w:rFonts w:hint="eastAsia" w:ascii="宋体" w:hAnsi="宋体" w:cs="宋体"/>
          <w:color w:val="FF0000"/>
          <w:kern w:val="0"/>
          <w:lang w:bidi="ar"/>
        </w:rPr>
        <w:t>，该方案已完成评估（《内蒙古春园满循环农业科技有限公司粉煤灰建筑地基评估报告》，编制单位：内蒙古和合生态环保技术咨询有限公司，编制时间：2023年6月）并已于2023年7月11日取得巴彦淖尔市生态环境局关于对《内蒙古春园满循环农业科技有限公司粉煤灰建筑地基评估报备的申请》的回复（见附件五）</w:t>
      </w:r>
      <w:r>
        <w:rPr>
          <w:rFonts w:hint="eastAsia"/>
          <w:color w:val="FF0000"/>
        </w:rPr>
        <w:t>。</w:t>
      </w:r>
    </w:p>
    <w:p>
      <w:pPr>
        <w:bidi w:val="0"/>
        <w:rPr>
          <w:rFonts w:hint="eastAsia"/>
          <w:color w:val="FF0000"/>
          <w:lang w:val="en-US" w:eastAsia="zh-CN"/>
        </w:rPr>
      </w:pPr>
      <w:r>
        <w:rPr>
          <w:rFonts w:hint="eastAsia"/>
          <w:color w:val="FF0000"/>
        </w:rPr>
        <w:t>本项目利用粉煤灰掺合石灰、粉土作建筑地基填料，</w:t>
      </w:r>
      <w:r>
        <w:rPr>
          <w:rFonts w:hint="eastAsia"/>
          <w:color w:val="FF0000"/>
          <w:lang w:val="en-US" w:eastAsia="zh-CN"/>
        </w:rPr>
        <w:t>包括清基、拌合、摊铺与整型、压实、检测、养护及验收等。</w:t>
      </w:r>
    </w:p>
    <w:p>
      <w:pPr>
        <w:keepNext w:val="0"/>
        <w:keepLines w:val="0"/>
        <w:widowControl/>
        <w:suppressLineNumbers w:val="0"/>
        <w:jc w:val="left"/>
        <w:rPr>
          <w:color w:val="FF0000"/>
        </w:rPr>
      </w:pPr>
      <w:r>
        <w:rPr>
          <w:rFonts w:hint="eastAsia"/>
          <w:color w:val="FF0000"/>
          <w:lang w:val="en-US" w:eastAsia="zh-CN"/>
        </w:rPr>
        <w:t>本次施工采用粉煤灰垫层法，选用的材料优先采用基槽中挖出的黏质粉土及粉质黏土；</w:t>
      </w:r>
      <w:r>
        <w:rPr>
          <w:rFonts w:hint="eastAsia" w:ascii="宋体" w:hAnsi="宋体" w:eastAsia="宋体" w:cs="宋体"/>
          <w:color w:val="FF0000"/>
          <w:kern w:val="0"/>
          <w:sz w:val="24"/>
          <w:szCs w:val="24"/>
          <w:lang w:val="en-US" w:eastAsia="zh-CN" w:bidi="ar"/>
        </w:rPr>
        <w:t>石灰外购新鲜的块灰或生石灰粉，使用前经过</w:t>
      </w:r>
      <w:r>
        <w:rPr>
          <w:rFonts w:hint="default" w:ascii="Times New Roman" w:hAnsi="Times New Roman" w:eastAsia="宋体" w:cs="Times New Roman"/>
          <w:color w:val="FF0000"/>
          <w:kern w:val="0"/>
          <w:sz w:val="24"/>
          <w:szCs w:val="24"/>
          <w:lang w:val="en-US" w:eastAsia="zh-CN" w:bidi="ar"/>
        </w:rPr>
        <w:t>1d</w:t>
      </w:r>
      <w:r>
        <w:rPr>
          <w:rFonts w:hint="eastAsia" w:ascii="宋体" w:hAnsi="宋体" w:eastAsia="宋体" w:cs="宋体"/>
          <w:color w:val="FF0000"/>
          <w:kern w:val="0"/>
          <w:sz w:val="24"/>
          <w:szCs w:val="24"/>
          <w:lang w:val="en-US" w:eastAsia="zh-CN" w:bidi="ar"/>
        </w:rPr>
        <w:t>～</w:t>
      </w:r>
      <w:r>
        <w:rPr>
          <w:rFonts w:hint="default" w:ascii="Times New Roman" w:hAnsi="Times New Roman" w:eastAsia="宋体" w:cs="Times New Roman"/>
          <w:color w:val="FF0000"/>
          <w:kern w:val="0"/>
          <w:sz w:val="24"/>
          <w:szCs w:val="24"/>
          <w:lang w:val="en-US" w:eastAsia="zh-CN" w:bidi="ar"/>
        </w:rPr>
        <w:t xml:space="preserve">2d </w:t>
      </w:r>
      <w:r>
        <w:rPr>
          <w:rFonts w:hint="eastAsia" w:ascii="宋体" w:hAnsi="宋体" w:eastAsia="宋体" w:cs="宋体"/>
          <w:color w:val="FF0000"/>
          <w:kern w:val="0"/>
          <w:sz w:val="24"/>
          <w:szCs w:val="24"/>
          <w:lang w:val="en-US" w:eastAsia="zh-CN" w:bidi="ar"/>
        </w:rPr>
        <w:t>的充分熟化并过筛，其粒径不得大于</w:t>
      </w:r>
      <w:r>
        <w:rPr>
          <w:rFonts w:hint="default" w:ascii="Times New Roman" w:hAnsi="Times New Roman" w:eastAsia="宋体" w:cs="Times New Roman"/>
          <w:color w:val="FF0000"/>
          <w:kern w:val="0"/>
          <w:sz w:val="24"/>
          <w:szCs w:val="24"/>
          <w:lang w:val="en-US" w:eastAsia="zh-CN" w:bidi="ar"/>
        </w:rPr>
        <w:t>5mm</w:t>
      </w:r>
      <w:r>
        <w:rPr>
          <w:rFonts w:hint="eastAsia" w:ascii="宋体" w:hAnsi="宋体" w:eastAsia="宋体" w:cs="宋体"/>
          <w:color w:val="FF0000"/>
          <w:kern w:val="0"/>
          <w:sz w:val="24"/>
          <w:szCs w:val="24"/>
          <w:lang w:val="en-US" w:eastAsia="zh-CN" w:bidi="ar"/>
        </w:rPr>
        <w:t>，不得夹有未熟化的生石灰块及其他杂质，也不得含有过多的水份；生石灰中</w:t>
      </w:r>
      <w:r>
        <w:rPr>
          <w:rFonts w:hint="default" w:ascii="Times New Roman" w:hAnsi="Times New Roman" w:eastAsia="宋体" w:cs="Times New Roman"/>
          <w:color w:val="FF0000"/>
          <w:kern w:val="0"/>
          <w:sz w:val="24"/>
          <w:szCs w:val="24"/>
          <w:lang w:val="en-US" w:eastAsia="zh-CN" w:bidi="ar"/>
        </w:rPr>
        <w:t>CaO</w:t>
      </w:r>
      <w:r>
        <w:rPr>
          <w:rFonts w:hint="eastAsia" w:ascii="宋体" w:hAnsi="宋体" w:eastAsia="宋体" w:cs="宋体"/>
          <w:color w:val="FF0000"/>
          <w:kern w:val="0"/>
          <w:sz w:val="24"/>
          <w:szCs w:val="24"/>
          <w:lang w:val="en-US" w:eastAsia="zh-CN" w:bidi="ar"/>
        </w:rPr>
        <w:t>含量应大于</w:t>
      </w:r>
      <w:r>
        <w:rPr>
          <w:rFonts w:hint="default" w:ascii="Times New Roman" w:hAnsi="Times New Roman" w:eastAsia="宋体" w:cs="Times New Roman"/>
          <w:color w:val="FF0000"/>
          <w:kern w:val="0"/>
          <w:sz w:val="24"/>
          <w:szCs w:val="24"/>
          <w:lang w:val="en-US" w:eastAsia="zh-CN" w:bidi="ar"/>
        </w:rPr>
        <w:t>80%</w:t>
      </w:r>
      <w:r>
        <w:rPr>
          <w:rFonts w:hint="eastAsia" w:ascii="Times New Roman" w:hAnsi="Times New Roman" w:eastAsia="宋体" w:cs="Times New Roman"/>
          <w:color w:val="FF0000"/>
          <w:kern w:val="0"/>
          <w:sz w:val="24"/>
          <w:szCs w:val="24"/>
          <w:lang w:val="en-US" w:eastAsia="zh-CN" w:bidi="ar"/>
        </w:rPr>
        <w:t>；</w:t>
      </w:r>
      <w:r>
        <w:rPr>
          <w:rFonts w:hint="eastAsia" w:ascii="宋体" w:hAnsi="宋体" w:eastAsia="宋体" w:cs="宋体"/>
          <w:color w:val="FF0000"/>
          <w:kern w:val="0"/>
          <w:sz w:val="24"/>
          <w:szCs w:val="24"/>
          <w:lang w:val="en-US" w:eastAsia="zh-CN" w:bidi="ar"/>
        </w:rPr>
        <w:t xml:space="preserve">粉煤灰粒径在 </w:t>
      </w:r>
      <w:r>
        <w:rPr>
          <w:rFonts w:hint="default" w:ascii="Times New Roman" w:hAnsi="Times New Roman" w:eastAsia="宋体" w:cs="Times New Roman"/>
          <w:color w:val="FF0000"/>
          <w:kern w:val="0"/>
          <w:sz w:val="24"/>
          <w:szCs w:val="24"/>
          <w:lang w:val="en-US" w:eastAsia="zh-CN" w:bidi="ar"/>
        </w:rPr>
        <w:t>0.001~2mm</w:t>
      </w:r>
      <w:r>
        <w:rPr>
          <w:rFonts w:hint="eastAsia" w:ascii="宋体" w:hAnsi="宋体" w:eastAsia="宋体" w:cs="宋体"/>
          <w:color w:val="FF0000"/>
          <w:kern w:val="0"/>
          <w:sz w:val="24"/>
          <w:szCs w:val="24"/>
          <w:lang w:val="en-US" w:eastAsia="zh-CN" w:bidi="ar"/>
        </w:rPr>
        <w:t>之间，为便于压实，小于</w:t>
      </w:r>
      <w:r>
        <w:rPr>
          <w:rFonts w:hint="default" w:ascii="Times New Roman" w:hAnsi="Times New Roman" w:eastAsia="宋体" w:cs="Times New Roman"/>
          <w:color w:val="FF0000"/>
          <w:kern w:val="0"/>
          <w:sz w:val="24"/>
          <w:szCs w:val="24"/>
          <w:lang w:val="en-US" w:eastAsia="zh-CN" w:bidi="ar"/>
        </w:rPr>
        <w:t>0.074mm</w:t>
      </w:r>
      <w:r>
        <w:rPr>
          <w:rFonts w:hint="eastAsia" w:ascii="宋体" w:hAnsi="宋体" w:eastAsia="宋体" w:cs="宋体"/>
          <w:color w:val="FF0000"/>
          <w:kern w:val="0"/>
          <w:sz w:val="24"/>
          <w:szCs w:val="24"/>
          <w:lang w:val="en-US" w:eastAsia="zh-CN" w:bidi="ar"/>
        </w:rPr>
        <w:t>的颗粒含量大于</w:t>
      </w:r>
      <w:r>
        <w:rPr>
          <w:rFonts w:hint="default" w:ascii="Times New Roman" w:hAnsi="Times New Roman" w:eastAsia="宋体" w:cs="Times New Roman"/>
          <w:color w:val="FF0000"/>
          <w:kern w:val="0"/>
          <w:sz w:val="24"/>
          <w:szCs w:val="24"/>
          <w:lang w:val="en-US" w:eastAsia="zh-CN" w:bidi="ar"/>
        </w:rPr>
        <w:t>45%</w:t>
      </w:r>
      <w:r>
        <w:rPr>
          <w:rFonts w:hint="eastAsia" w:ascii="宋体" w:hAnsi="宋体" w:eastAsia="宋体" w:cs="宋体"/>
          <w:color w:val="FF0000"/>
          <w:kern w:val="0"/>
          <w:sz w:val="24"/>
          <w:szCs w:val="24"/>
          <w:lang w:val="en-US" w:eastAsia="zh-CN" w:bidi="ar"/>
        </w:rPr>
        <w:t>，粉煤灰烧失量小于</w:t>
      </w:r>
      <w:r>
        <w:rPr>
          <w:rFonts w:hint="default" w:ascii="Times New Roman" w:hAnsi="Times New Roman" w:eastAsia="宋体" w:cs="Times New Roman"/>
          <w:color w:val="FF0000"/>
          <w:kern w:val="0"/>
          <w:sz w:val="24"/>
          <w:szCs w:val="24"/>
          <w:lang w:val="en-US" w:eastAsia="zh-CN" w:bidi="ar"/>
        </w:rPr>
        <w:t>20%</w:t>
      </w:r>
      <w:r>
        <w:rPr>
          <w:rFonts w:hint="eastAsia" w:ascii="宋体" w:hAnsi="宋体" w:eastAsia="宋体" w:cs="宋体"/>
          <w:color w:val="FF0000"/>
          <w:kern w:val="0"/>
          <w:sz w:val="24"/>
          <w:szCs w:val="24"/>
          <w:lang w:val="en-US" w:eastAsia="zh-CN" w:bidi="ar"/>
        </w:rPr>
        <w:t>，</w:t>
      </w:r>
      <w:r>
        <w:rPr>
          <w:rFonts w:hint="default" w:ascii="Times New Roman" w:hAnsi="Times New Roman" w:eastAsia="宋体" w:cs="Times New Roman"/>
          <w:color w:val="FF0000"/>
          <w:kern w:val="0"/>
          <w:sz w:val="24"/>
          <w:szCs w:val="24"/>
          <w:lang w:val="en-US" w:eastAsia="zh-CN" w:bidi="ar"/>
        </w:rPr>
        <w:t>SiO</w:t>
      </w:r>
      <w:r>
        <w:rPr>
          <w:rFonts w:hint="default" w:ascii="Times New Roman" w:hAnsi="Times New Roman" w:eastAsia="宋体" w:cs="Times New Roman"/>
          <w:color w:val="FF0000"/>
          <w:kern w:val="0"/>
          <w:sz w:val="15"/>
          <w:szCs w:val="15"/>
          <w:lang w:val="en-US" w:eastAsia="zh-CN" w:bidi="ar"/>
        </w:rPr>
        <w:t xml:space="preserve">2 </w:t>
      </w:r>
      <w:r>
        <w:rPr>
          <w:rFonts w:hint="eastAsia" w:ascii="宋体" w:hAnsi="宋体" w:eastAsia="宋体" w:cs="宋体"/>
          <w:color w:val="FF0000"/>
          <w:kern w:val="0"/>
          <w:sz w:val="24"/>
          <w:szCs w:val="24"/>
          <w:lang w:val="en-US" w:eastAsia="zh-CN" w:bidi="ar"/>
        </w:rPr>
        <w:t>、</w:t>
      </w:r>
      <w:r>
        <w:rPr>
          <w:rFonts w:hint="default" w:ascii="Times New Roman" w:hAnsi="Times New Roman" w:eastAsia="宋体" w:cs="Times New Roman"/>
          <w:color w:val="FF0000"/>
          <w:kern w:val="0"/>
          <w:sz w:val="24"/>
          <w:szCs w:val="24"/>
          <w:lang w:val="en-US" w:eastAsia="zh-CN" w:bidi="ar"/>
        </w:rPr>
        <w:t>Al</w:t>
      </w:r>
      <w:r>
        <w:rPr>
          <w:rFonts w:hint="default" w:ascii="Times New Roman" w:hAnsi="Times New Roman" w:eastAsia="宋体" w:cs="Times New Roman"/>
          <w:color w:val="FF0000"/>
          <w:kern w:val="0"/>
          <w:sz w:val="15"/>
          <w:szCs w:val="15"/>
          <w:lang w:val="en-US" w:eastAsia="zh-CN" w:bidi="ar"/>
        </w:rPr>
        <w:t>2</w:t>
      </w:r>
      <w:r>
        <w:rPr>
          <w:rFonts w:hint="default" w:ascii="Times New Roman" w:hAnsi="Times New Roman" w:eastAsia="宋体" w:cs="Times New Roman"/>
          <w:color w:val="FF0000"/>
          <w:kern w:val="0"/>
          <w:sz w:val="24"/>
          <w:szCs w:val="24"/>
          <w:lang w:val="en-US" w:eastAsia="zh-CN" w:bidi="ar"/>
        </w:rPr>
        <w:t>O</w:t>
      </w:r>
      <w:r>
        <w:rPr>
          <w:rFonts w:hint="default" w:ascii="Times New Roman" w:hAnsi="Times New Roman" w:eastAsia="宋体" w:cs="Times New Roman"/>
          <w:color w:val="FF0000"/>
          <w:kern w:val="0"/>
          <w:sz w:val="15"/>
          <w:szCs w:val="15"/>
          <w:lang w:val="en-US" w:eastAsia="zh-CN" w:bidi="ar"/>
        </w:rPr>
        <w:t>3</w:t>
      </w:r>
      <w:r>
        <w:rPr>
          <w:rFonts w:hint="eastAsia" w:ascii="宋体" w:hAnsi="宋体" w:eastAsia="宋体" w:cs="宋体"/>
          <w:color w:val="FF0000"/>
          <w:kern w:val="0"/>
          <w:sz w:val="24"/>
          <w:szCs w:val="24"/>
          <w:lang w:val="en-US" w:eastAsia="zh-CN" w:bidi="ar"/>
        </w:rPr>
        <w:t>、</w:t>
      </w:r>
      <w:r>
        <w:rPr>
          <w:rFonts w:hint="default" w:ascii="Times New Roman" w:hAnsi="Times New Roman" w:eastAsia="宋体" w:cs="Times New Roman"/>
          <w:color w:val="FF0000"/>
          <w:kern w:val="0"/>
          <w:sz w:val="24"/>
          <w:szCs w:val="24"/>
          <w:lang w:val="en-US" w:eastAsia="zh-CN" w:bidi="ar"/>
        </w:rPr>
        <w:t>Fe</w:t>
      </w:r>
      <w:r>
        <w:rPr>
          <w:rFonts w:hint="default" w:ascii="Times New Roman" w:hAnsi="Times New Roman" w:eastAsia="宋体" w:cs="Times New Roman"/>
          <w:color w:val="FF0000"/>
          <w:kern w:val="0"/>
          <w:sz w:val="15"/>
          <w:szCs w:val="15"/>
          <w:lang w:val="en-US" w:eastAsia="zh-CN" w:bidi="ar"/>
        </w:rPr>
        <w:t>2</w:t>
      </w:r>
      <w:r>
        <w:rPr>
          <w:rFonts w:hint="default" w:ascii="Times New Roman" w:hAnsi="Times New Roman" w:eastAsia="宋体" w:cs="Times New Roman"/>
          <w:color w:val="FF0000"/>
          <w:kern w:val="0"/>
          <w:sz w:val="24"/>
          <w:szCs w:val="24"/>
          <w:lang w:val="en-US" w:eastAsia="zh-CN" w:bidi="ar"/>
        </w:rPr>
        <w:t>O</w:t>
      </w:r>
      <w:r>
        <w:rPr>
          <w:rFonts w:hint="default" w:ascii="Times New Roman" w:hAnsi="Times New Roman" w:eastAsia="宋体" w:cs="Times New Roman"/>
          <w:color w:val="FF0000"/>
          <w:kern w:val="0"/>
          <w:sz w:val="15"/>
          <w:szCs w:val="15"/>
          <w:lang w:val="en-US" w:eastAsia="zh-CN" w:bidi="ar"/>
        </w:rPr>
        <w:t>3</w:t>
      </w:r>
      <w:r>
        <w:rPr>
          <w:rFonts w:hint="eastAsia" w:ascii="宋体" w:hAnsi="宋体" w:eastAsia="宋体" w:cs="宋体"/>
          <w:color w:val="FF0000"/>
          <w:kern w:val="0"/>
          <w:sz w:val="24"/>
          <w:szCs w:val="24"/>
          <w:lang w:val="en-US" w:eastAsia="zh-CN" w:bidi="ar"/>
        </w:rPr>
        <w:t>的总含量大于</w:t>
      </w:r>
      <w:r>
        <w:rPr>
          <w:rFonts w:hint="default" w:ascii="Times New Roman" w:hAnsi="Times New Roman" w:eastAsia="宋体" w:cs="Times New Roman"/>
          <w:color w:val="FF0000"/>
          <w:kern w:val="0"/>
          <w:sz w:val="24"/>
          <w:szCs w:val="24"/>
          <w:lang w:val="en-US" w:eastAsia="zh-CN" w:bidi="ar"/>
        </w:rPr>
        <w:t>70%</w:t>
      </w:r>
      <w:r>
        <w:rPr>
          <w:rFonts w:hint="eastAsia" w:ascii="宋体" w:hAnsi="宋体" w:eastAsia="宋体" w:cs="宋体"/>
          <w:color w:val="FF0000"/>
          <w:kern w:val="0"/>
          <w:sz w:val="24"/>
          <w:szCs w:val="24"/>
          <w:lang w:val="en-US" w:eastAsia="zh-CN" w:bidi="ar"/>
        </w:rPr>
        <w:t>，比表面积大于</w:t>
      </w:r>
      <w:r>
        <w:rPr>
          <w:rFonts w:hint="default" w:ascii="Times New Roman" w:hAnsi="Times New Roman" w:eastAsia="宋体" w:cs="Times New Roman"/>
          <w:color w:val="FF0000"/>
          <w:kern w:val="0"/>
          <w:sz w:val="24"/>
          <w:szCs w:val="24"/>
          <w:lang w:val="en-US" w:eastAsia="zh-CN" w:bidi="ar"/>
        </w:rPr>
        <w:t>2500cm</w:t>
      </w:r>
      <w:r>
        <w:rPr>
          <w:rFonts w:hint="default" w:ascii="Times New Roman" w:hAnsi="Times New Roman" w:eastAsia="宋体" w:cs="Times New Roman"/>
          <w:color w:val="FF0000"/>
          <w:kern w:val="0"/>
          <w:sz w:val="24"/>
          <w:szCs w:val="24"/>
          <w:vertAlign w:val="superscript"/>
          <w:lang w:val="en-US" w:eastAsia="zh-CN" w:bidi="ar"/>
        </w:rPr>
        <w:t>2</w:t>
      </w:r>
      <w:r>
        <w:rPr>
          <w:rFonts w:hint="default" w:ascii="Times New Roman" w:hAnsi="Times New Roman" w:eastAsia="宋体" w:cs="Times New Roman"/>
          <w:color w:val="FF0000"/>
          <w:kern w:val="0"/>
          <w:sz w:val="15"/>
          <w:szCs w:val="15"/>
          <w:lang w:val="en-US" w:eastAsia="zh-CN" w:bidi="ar"/>
        </w:rPr>
        <w:t xml:space="preserve"> </w:t>
      </w:r>
      <w:r>
        <w:rPr>
          <w:rFonts w:hint="default" w:ascii="Times New Roman" w:hAnsi="Times New Roman" w:eastAsia="宋体" w:cs="Times New Roman"/>
          <w:color w:val="FF0000"/>
          <w:kern w:val="0"/>
          <w:sz w:val="24"/>
          <w:szCs w:val="24"/>
          <w:lang w:val="en-US" w:eastAsia="zh-CN" w:bidi="ar"/>
        </w:rPr>
        <w:t>/g</w:t>
      </w:r>
      <w:r>
        <w:rPr>
          <w:rFonts w:hint="eastAsia" w:ascii="宋体" w:hAnsi="宋体" w:eastAsia="宋体" w:cs="宋体"/>
          <w:color w:val="FF0000"/>
          <w:kern w:val="0"/>
          <w:sz w:val="24"/>
          <w:szCs w:val="24"/>
          <w:lang w:val="en-US" w:eastAsia="zh-CN" w:bidi="ar"/>
        </w:rPr>
        <w:t>。</w:t>
      </w:r>
    </w:p>
    <w:p>
      <w:pPr>
        <w:bidi w:val="0"/>
        <w:rPr>
          <w:rFonts w:hint="eastAsia"/>
          <w:color w:val="FF0000"/>
          <w:lang w:val="en-US" w:eastAsia="zh-CN"/>
        </w:rPr>
      </w:pPr>
      <w:r>
        <w:rPr>
          <w:rFonts w:hint="eastAsia"/>
          <w:color w:val="FF0000"/>
          <w:lang w:val="en-US" w:eastAsia="zh-CN"/>
        </w:rPr>
        <w:t>①清基</w:t>
      </w:r>
    </w:p>
    <w:p>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对地块基槽消除松土，清理地表土壤，清基的粉土可用于地基填料或筑造坝体，多余土方可用于后期场区种植覆土绿化。需对剥离的表土运至拌合场地进行苫盖防护措施。基底要求打两遍底夯，并平整干净。</w:t>
      </w:r>
    </w:p>
    <w:p>
      <w:pPr>
        <w:keepNext w:val="0"/>
        <w:keepLines w:val="0"/>
        <w:widowControl/>
        <w:suppressLineNumbers w:val="0"/>
        <w:jc w:val="left"/>
        <w:rPr>
          <w:rFonts w:hint="default" w:eastAsia="宋体"/>
          <w:color w:val="FF0000"/>
          <w:lang w:val="en-US" w:eastAsia="zh-CN"/>
        </w:rPr>
      </w:pPr>
      <w:r>
        <w:rPr>
          <w:rFonts w:hint="eastAsia"/>
          <w:color w:val="FF0000"/>
          <w:lang w:val="en-US" w:eastAsia="zh-CN"/>
        </w:rPr>
        <w:t>②拌合</w:t>
      </w:r>
    </w:p>
    <w:p>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拌合场地是采用强制式拌和机、粉碎机、皮带运输机和铲车等设备。操作时 </w:t>
      </w:r>
    </w:p>
    <w:p>
      <w:pPr>
        <w:keepNext w:val="0"/>
        <w:keepLines w:val="0"/>
        <w:widowControl/>
        <w:suppressLineNumbers w:val="0"/>
        <w:ind w:left="0" w:leftChars="0" w:firstLine="0" w:firstLineChars="0"/>
        <w:jc w:val="left"/>
        <w:rPr>
          <w:color w:val="FF0000"/>
        </w:rPr>
      </w:pPr>
      <w:r>
        <w:rPr>
          <w:rFonts w:hint="eastAsia" w:ascii="宋体" w:hAnsi="宋体" w:eastAsia="宋体" w:cs="宋体"/>
          <w:color w:val="FF0000"/>
          <w:kern w:val="0"/>
          <w:sz w:val="24"/>
          <w:szCs w:val="24"/>
          <w:lang w:val="en-US" w:eastAsia="zh-CN" w:bidi="ar"/>
        </w:rPr>
        <w:t>将粉煤灰、石灰</w:t>
      </w:r>
      <w:r>
        <w:rPr>
          <w:rFonts w:hint="eastAsia" w:ascii="Times New Roman" w:hAnsi="Times New Roman" w:eastAsia="宋体" w:cs="Times New Roman"/>
          <w:color w:val="FF0000"/>
          <w:kern w:val="0"/>
          <w:sz w:val="24"/>
          <w:szCs w:val="24"/>
          <w:lang w:val="en-US" w:eastAsia="zh-CN" w:bidi="ar"/>
        </w:rPr>
        <w:t>（</w:t>
      </w:r>
      <w:r>
        <w:rPr>
          <w:rFonts w:hint="eastAsia" w:ascii="宋体" w:hAnsi="宋体" w:eastAsia="宋体" w:cs="宋体"/>
          <w:color w:val="FF0000"/>
          <w:kern w:val="0"/>
          <w:sz w:val="24"/>
          <w:szCs w:val="24"/>
          <w:lang w:val="en-US" w:eastAsia="zh-CN" w:bidi="ar"/>
        </w:rPr>
        <w:t>和土</w:t>
      </w:r>
      <w:r>
        <w:rPr>
          <w:rFonts w:hint="eastAsia" w:ascii="Times New Roman" w:hAnsi="Times New Roman" w:eastAsia="宋体" w:cs="Times New Roman"/>
          <w:color w:val="FF0000"/>
          <w:kern w:val="0"/>
          <w:sz w:val="24"/>
          <w:szCs w:val="24"/>
          <w:lang w:val="en-US" w:eastAsia="zh-CN" w:bidi="ar"/>
        </w:rPr>
        <w:t>）</w:t>
      </w:r>
      <w:r>
        <w:rPr>
          <w:rFonts w:hint="eastAsia" w:ascii="宋体" w:hAnsi="宋体" w:eastAsia="宋体" w:cs="宋体"/>
          <w:color w:val="FF0000"/>
          <w:kern w:val="0"/>
          <w:sz w:val="24"/>
          <w:szCs w:val="24"/>
          <w:lang w:val="en-US" w:eastAsia="zh-CN" w:bidi="ar"/>
        </w:rPr>
        <w:t xml:space="preserve">按一定比例由皮带运输机送人粉碎机，使之粉碎并拌匀 </w:t>
      </w:r>
    </w:p>
    <w:p>
      <w:pPr>
        <w:keepNext w:val="0"/>
        <w:keepLines w:val="0"/>
        <w:widowControl/>
        <w:suppressLineNumbers w:val="0"/>
        <w:ind w:left="0" w:leftChars="0" w:firstLine="0" w:firstLineChars="0"/>
        <w:jc w:val="left"/>
        <w:rPr>
          <w:color w:val="FF0000"/>
        </w:rPr>
      </w:pPr>
      <w:r>
        <w:rPr>
          <w:rFonts w:hint="eastAsia" w:ascii="宋体" w:hAnsi="宋体" w:eastAsia="宋体" w:cs="宋体"/>
          <w:color w:val="FF0000"/>
          <w:kern w:val="0"/>
          <w:sz w:val="24"/>
          <w:szCs w:val="24"/>
          <w:lang w:val="en-US" w:eastAsia="zh-CN" w:bidi="ar"/>
        </w:rPr>
        <w:t xml:space="preserve">后，在略大于最佳含水量下拌合均匀，然后将拌合均匀的混合料卸至储料场待运。 </w:t>
      </w:r>
    </w:p>
    <w:p>
      <w:pPr>
        <w:bidi w:val="0"/>
        <w:rPr>
          <w:rFonts w:hint="eastAsia"/>
          <w:color w:val="FF0000"/>
          <w:lang w:val="en-US" w:eastAsia="zh-CN"/>
        </w:rPr>
      </w:pPr>
      <w:r>
        <w:rPr>
          <w:rFonts w:hint="eastAsia"/>
          <w:color w:val="FF0000"/>
          <w:lang w:val="en-US" w:eastAsia="zh-CN"/>
        </w:rPr>
        <w:t>③摊铺</w:t>
      </w:r>
    </w:p>
    <w:p>
      <w:pPr>
        <w:bidi w:val="0"/>
        <w:rPr>
          <w:rFonts w:hint="eastAsia"/>
          <w:color w:val="FF0000"/>
          <w:lang w:val="en-US" w:eastAsia="zh-CN"/>
        </w:rPr>
      </w:pPr>
      <w:r>
        <w:rPr>
          <w:rFonts w:hint="eastAsia"/>
          <w:color w:val="FF0000"/>
          <w:lang w:val="en-US" w:eastAsia="zh-CN"/>
        </w:rPr>
        <w:t>拌合均匀的混合料，在摊铺整型前，其含水量一般为最佳含水量</w:t>
      </w:r>
      <w:r>
        <w:rPr>
          <w:rFonts w:hint="default"/>
          <w:color w:val="FF0000"/>
          <w:lang w:val="en-US" w:eastAsia="zh-CN"/>
        </w:rPr>
        <w:t>±2%</w:t>
      </w:r>
      <w:r>
        <w:rPr>
          <w:rFonts w:hint="eastAsia"/>
          <w:color w:val="FF0000"/>
          <w:lang w:val="en-US" w:eastAsia="zh-CN"/>
        </w:rPr>
        <w:t>。将拌 合的混合料按设计断面和松铺厚度均匀摊铺于建筑地基槽内。</w:t>
      </w:r>
    </w:p>
    <w:p>
      <w:pPr>
        <w:bidi w:val="0"/>
        <w:rPr>
          <w:rFonts w:hint="eastAsia"/>
          <w:color w:val="FF0000"/>
          <w:lang w:val="en-US" w:eastAsia="zh-CN"/>
        </w:rPr>
      </w:pPr>
      <w:r>
        <w:rPr>
          <w:rFonts w:hint="eastAsia"/>
          <w:color w:val="FF0000"/>
          <w:lang w:val="en-US" w:eastAsia="zh-CN"/>
        </w:rPr>
        <w:t>④压实</w:t>
      </w:r>
    </w:p>
    <w:p>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在混合料含水量合适的情况下进行碾压，碾压分初压、复压、终压三个阶段。</w:t>
      </w:r>
    </w:p>
    <w:p>
      <w:pPr>
        <w:bidi w:val="0"/>
        <w:rPr>
          <w:rFonts w:hint="eastAsia"/>
          <w:color w:val="FF0000"/>
          <w:lang w:val="en-US" w:eastAsia="zh-CN"/>
        </w:rPr>
      </w:pPr>
      <w:r>
        <w:rPr>
          <w:rFonts w:hint="eastAsia"/>
          <w:color w:val="FF0000"/>
          <w:lang w:val="en-US" w:eastAsia="zh-CN"/>
        </w:rPr>
        <w:t>⑤养护</w:t>
      </w:r>
    </w:p>
    <w:p>
      <w:pPr>
        <w:keepNext w:val="0"/>
        <w:keepLines w:val="0"/>
        <w:widowControl/>
        <w:suppressLineNumbers w:val="0"/>
        <w:jc w:val="left"/>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碾压完成后应立即进行洒水养护，洒水次数视气温状况以保持基层表面湿润 为度。养护期一般为</w:t>
      </w:r>
      <w:r>
        <w:rPr>
          <w:rFonts w:hint="default" w:ascii="Times New Roman" w:hAnsi="Times New Roman" w:eastAsia="宋体" w:cs="Times New Roman"/>
          <w:color w:val="FF0000"/>
          <w:kern w:val="0"/>
          <w:sz w:val="24"/>
          <w:szCs w:val="24"/>
          <w:lang w:val="en-US" w:eastAsia="zh-CN" w:bidi="ar"/>
        </w:rPr>
        <w:t>7d</w:t>
      </w:r>
      <w:r>
        <w:rPr>
          <w:rFonts w:hint="eastAsia" w:ascii="宋体" w:hAnsi="宋体" w:eastAsia="宋体" w:cs="宋体"/>
          <w:color w:val="FF0000"/>
          <w:kern w:val="0"/>
          <w:sz w:val="24"/>
          <w:szCs w:val="24"/>
          <w:lang w:val="en-US" w:eastAsia="zh-CN" w:bidi="ar"/>
        </w:rPr>
        <w:t>。</w:t>
      </w:r>
    </w:p>
    <w:p>
      <w:pPr>
        <w:keepNext w:val="0"/>
        <w:keepLines w:val="0"/>
        <w:widowControl/>
        <w:suppressLineNumbers w:val="0"/>
        <w:jc w:val="left"/>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⑥硬化</w:t>
      </w:r>
    </w:p>
    <w:p>
      <w:pPr>
        <w:keepNext w:val="0"/>
        <w:keepLines w:val="0"/>
        <w:widowControl/>
        <w:suppressLineNumbers w:val="0"/>
        <w:jc w:val="left"/>
      </w:pPr>
      <w:r>
        <w:rPr>
          <w:rFonts w:hint="eastAsia" w:ascii="宋体" w:hAnsi="宋体" w:eastAsia="宋体" w:cs="宋体"/>
          <w:color w:val="FF0000"/>
          <w:kern w:val="0"/>
          <w:sz w:val="24"/>
          <w:szCs w:val="24"/>
          <w:lang w:val="en-US" w:eastAsia="zh-CN" w:bidi="ar"/>
        </w:rPr>
        <w:t xml:space="preserve">需要在验收合格的养殖场基层上方进行硬化工程，进行混凝土浇筑，厚度为 </w:t>
      </w:r>
      <w:r>
        <w:rPr>
          <w:rFonts w:hint="default" w:ascii="Times New Roman" w:hAnsi="Times New Roman" w:eastAsia="宋体" w:cs="Times New Roman"/>
          <w:color w:val="FF0000"/>
          <w:kern w:val="0"/>
          <w:sz w:val="24"/>
          <w:szCs w:val="24"/>
          <w:lang w:val="en-US" w:eastAsia="zh-CN" w:bidi="ar"/>
        </w:rPr>
        <w:t>20cm</w:t>
      </w:r>
      <w:r>
        <w:rPr>
          <w:rFonts w:hint="eastAsia" w:ascii="宋体" w:hAnsi="宋体" w:eastAsia="宋体" w:cs="宋体"/>
          <w:color w:val="FF0000"/>
          <w:kern w:val="0"/>
          <w:sz w:val="24"/>
          <w:szCs w:val="24"/>
          <w:lang w:val="en-US" w:eastAsia="zh-CN" w:bidi="ar"/>
        </w:rPr>
        <w:t>，其余空地进行覆土，厚度为</w:t>
      </w:r>
      <w:r>
        <w:rPr>
          <w:rFonts w:hint="default" w:ascii="Times New Roman" w:hAnsi="Times New Roman" w:eastAsia="宋体" w:cs="Times New Roman"/>
          <w:color w:val="FF0000"/>
          <w:kern w:val="0"/>
          <w:sz w:val="24"/>
          <w:szCs w:val="24"/>
          <w:lang w:val="en-US" w:eastAsia="zh-CN" w:bidi="ar"/>
        </w:rPr>
        <w:t>20cm</w:t>
      </w:r>
      <w:r>
        <w:rPr>
          <w:rFonts w:hint="eastAsia" w:ascii="宋体" w:hAnsi="宋体" w:eastAsia="宋体" w:cs="宋体"/>
          <w:color w:val="FF0000"/>
          <w:kern w:val="0"/>
          <w:sz w:val="24"/>
          <w:szCs w:val="24"/>
          <w:lang w:val="en-US" w:eastAsia="zh-CN" w:bidi="ar"/>
        </w:rPr>
        <w:t>，并进行绿化工程</w:t>
      </w:r>
      <w:r>
        <w:rPr>
          <w:rFonts w:hint="eastAsia"/>
          <w:color w:val="FF0000"/>
        </w:rPr>
        <w:t>。</w:t>
      </w:r>
    </w:p>
    <w:p>
      <w:pPr>
        <w:bidi w:val="0"/>
      </w:pPr>
      <w:r>
        <w:rPr>
          <w:rFonts w:hint="eastAsia"/>
        </w:rPr>
        <w:t>（2）主体工程建设：主要是场内的羊舍、青贮窖、库房、拌料棚、有机</w:t>
      </w:r>
      <w:r>
        <w:rPr>
          <w:rFonts w:hint="eastAsia"/>
          <w:lang w:eastAsia="zh-CN"/>
        </w:rPr>
        <w:t>有机肥堆场</w:t>
      </w:r>
      <w:r>
        <w:rPr>
          <w:rFonts w:hint="eastAsia"/>
        </w:rPr>
        <w:t>、办公生活等主体及辅助工程等设施的建设。</w:t>
      </w:r>
    </w:p>
    <w:p>
      <w:pPr>
        <w:bidi w:val="0"/>
      </w:pPr>
      <w:r>
        <w:rPr>
          <w:rFonts w:hint="eastAsia"/>
        </w:rPr>
        <w:t>（3）内部装修：对个建筑物内部进行装修，安装必要的设备。</w:t>
      </w:r>
    </w:p>
    <w:p>
      <w:pPr>
        <w:bidi w:val="0"/>
      </w:pPr>
      <w:r>
        <w:rPr>
          <w:rFonts w:hint="eastAsia"/>
        </w:rPr>
        <w:t>（4）扫尾工程：场地产生的建筑垃圾进行清理，待施工结束后，将表土及时回填覆盖。</w:t>
      </w:r>
    </w:p>
    <w:p>
      <w:pPr>
        <w:bidi w:val="0"/>
      </w:pPr>
      <w:r>
        <w:rPr>
          <w:rFonts w:hint="eastAsia"/>
        </w:rPr>
        <w:t>建筑施工对周围环境的影响主要表现在生态破坏、水土流失、扬尘、噪声、固体废物及废水等方面，</w:t>
      </w:r>
      <w:r>
        <w:t>其中以扬尘和噪声对环境的影响较为显著。</w:t>
      </w:r>
      <w:r>
        <w:rPr>
          <w:rFonts w:hint="eastAsia"/>
        </w:rPr>
        <w:t>施工期的环境影响属短期的、可恢复和局部的。</w:t>
      </w:r>
    </w:p>
    <w:p>
      <w:pPr>
        <w:pStyle w:val="5"/>
      </w:pPr>
      <w:r>
        <w:rPr>
          <w:rFonts w:hint="eastAsia"/>
        </w:rPr>
        <w:t>施工期废气影响因素分析</w:t>
      </w:r>
    </w:p>
    <w:p>
      <w:pPr>
        <w:ind w:firstLine="480"/>
        <w:rPr>
          <w:szCs w:val="22"/>
        </w:rPr>
      </w:pPr>
      <w:r>
        <w:rPr>
          <w:szCs w:val="22"/>
        </w:rPr>
        <w:t>施工废气主要来自于施工扬尘</w:t>
      </w:r>
      <w:r>
        <w:rPr>
          <w:rFonts w:hint="eastAsia"/>
          <w:szCs w:val="22"/>
          <w:lang w:eastAsia="zh-CN"/>
        </w:rPr>
        <w:t>、</w:t>
      </w:r>
      <w:r>
        <w:rPr>
          <w:szCs w:val="22"/>
        </w:rPr>
        <w:t>施工机械</w:t>
      </w:r>
      <w:r>
        <w:rPr>
          <w:rFonts w:hint="eastAsia"/>
          <w:szCs w:val="22"/>
        </w:rPr>
        <w:t>以及</w:t>
      </w:r>
      <w:r>
        <w:rPr>
          <w:rFonts w:hint="eastAsia"/>
        </w:rPr>
        <w:t>本项目施工过程因焊接产生的少量焊接烟尘和烟气</w:t>
      </w:r>
      <w:r>
        <w:rPr>
          <w:szCs w:val="22"/>
        </w:rPr>
        <w:t>。本项目施工扬尘主要来自施工使用的水泥、白灰</w:t>
      </w:r>
      <w:r>
        <w:rPr>
          <w:rFonts w:hint="eastAsia"/>
          <w:szCs w:val="22"/>
        </w:rPr>
        <w:t>、粉煤灰</w:t>
      </w:r>
      <w:r>
        <w:rPr>
          <w:szCs w:val="22"/>
        </w:rPr>
        <w:t>及其他建筑材料装卸、堆放过程中产生的扬尘及扫尾工程。</w:t>
      </w:r>
    </w:p>
    <w:p>
      <w:pPr>
        <w:pStyle w:val="5"/>
      </w:pPr>
      <w:r>
        <w:rPr>
          <w:rFonts w:hint="eastAsia"/>
        </w:rPr>
        <w:t>施工期废水影响因素分析</w:t>
      </w:r>
    </w:p>
    <w:p>
      <w:pPr>
        <w:ind w:firstLine="480"/>
        <w:rPr>
          <w:szCs w:val="22"/>
        </w:rPr>
      </w:pPr>
      <w:r>
        <w:rPr>
          <w:szCs w:val="22"/>
        </w:rPr>
        <w:t>施工废水主要来自施工人员少量生活污水和施工排水，排放的污染物主要为CODcr 和SS等。</w:t>
      </w:r>
    </w:p>
    <w:p>
      <w:pPr>
        <w:pStyle w:val="5"/>
      </w:pPr>
      <w:r>
        <w:rPr>
          <w:rFonts w:hint="eastAsia"/>
        </w:rPr>
        <w:t>施工期噪声影响因素分析</w:t>
      </w:r>
    </w:p>
    <w:p>
      <w:pPr>
        <w:ind w:firstLine="480"/>
        <w:rPr>
          <w:szCs w:val="22"/>
        </w:rPr>
      </w:pPr>
      <w:r>
        <w:rPr>
          <w:szCs w:val="22"/>
        </w:rPr>
        <w:t>施工噪声主要来自于</w:t>
      </w:r>
      <w:r>
        <w:rPr>
          <w:rFonts w:hint="eastAsia"/>
          <w:szCs w:val="22"/>
        </w:rPr>
        <w:t>各类</w:t>
      </w:r>
      <w:r>
        <w:rPr>
          <w:szCs w:val="22"/>
        </w:rPr>
        <w:t>施工机械和车辆行驶噪声。</w:t>
      </w:r>
    </w:p>
    <w:p>
      <w:pPr>
        <w:pStyle w:val="5"/>
      </w:pPr>
      <w:r>
        <w:rPr>
          <w:rFonts w:hint="eastAsia"/>
        </w:rPr>
        <w:t>施工期固废影响因素分析</w:t>
      </w:r>
    </w:p>
    <w:p>
      <w:pPr>
        <w:ind w:firstLine="480"/>
      </w:pPr>
      <w:r>
        <w:rPr>
          <w:rFonts w:hint="eastAsia"/>
        </w:rPr>
        <w:t>固体废物产生来源主要是以下几方面：</w:t>
      </w:r>
    </w:p>
    <w:p>
      <w:pPr>
        <w:ind w:firstLine="480"/>
      </w:pPr>
      <w:r>
        <w:rPr>
          <w:rFonts w:hint="eastAsia"/>
        </w:rPr>
        <w:t>①平整场地、挖填土方工程产生的建筑垃圾及残土；</w:t>
      </w:r>
    </w:p>
    <w:p>
      <w:pPr>
        <w:ind w:firstLine="480"/>
      </w:pPr>
      <w:r>
        <w:rPr>
          <w:rFonts w:hint="eastAsia"/>
        </w:rPr>
        <w:t>②钢筋切割、搅拌浇筑混凝土、砌筑非承重构件时产生的钢筋头、碎砖等；</w:t>
      </w:r>
    </w:p>
    <w:p>
      <w:pPr>
        <w:ind w:firstLine="480"/>
      </w:pPr>
      <w:r>
        <w:rPr>
          <w:rFonts w:hint="eastAsia"/>
        </w:rPr>
        <w:t>③楼体内外装修装饰工程以及植树绿化产生的建筑垃圾及残土。</w:t>
      </w:r>
    </w:p>
    <w:p>
      <w:pPr>
        <w:ind w:firstLine="480"/>
        <w:rPr>
          <w:rFonts w:hint="eastAsia"/>
        </w:rPr>
      </w:pPr>
      <w:r>
        <w:rPr>
          <w:rFonts w:hint="eastAsia"/>
        </w:rPr>
        <w:t>④废水暂存池等挖方产生的弃土。</w:t>
      </w:r>
    </w:p>
    <w:p>
      <w:pPr>
        <w:pStyle w:val="5"/>
        <w:bidi w:val="0"/>
        <w:rPr>
          <w:rFonts w:hint="eastAsia"/>
        </w:rPr>
      </w:pPr>
      <w:r>
        <w:rPr>
          <w:rFonts w:hint="eastAsia"/>
          <w:lang w:val="en-US" w:eastAsia="zh-CN"/>
        </w:rPr>
        <w:t>施工期土壤影响因素分析</w:t>
      </w:r>
    </w:p>
    <w:p>
      <w:pPr>
        <w:rPr>
          <w:rFonts w:hint="default"/>
          <w:lang w:val="en-US"/>
        </w:rPr>
      </w:pPr>
      <w:r>
        <w:rPr>
          <w:rFonts w:hint="eastAsia"/>
          <w:lang w:val="en-US" w:eastAsia="zh-CN"/>
        </w:rPr>
        <w:t>本项目施工期对土壤的影响主要为</w:t>
      </w:r>
      <w:r>
        <w:rPr>
          <w:rFonts w:hint="eastAsia"/>
          <w:color w:val="FF0000"/>
        </w:rPr>
        <w:t>利用粉煤灰掺合石灰、粉土作建筑地基填料</w:t>
      </w:r>
      <w:r>
        <w:rPr>
          <w:rFonts w:hint="eastAsia"/>
          <w:color w:val="FF0000"/>
          <w:lang w:val="en-US" w:eastAsia="zh-CN"/>
        </w:rPr>
        <w:t>时，建设期场地防渗膜破损，溶淋水泄漏以地表漫流及垂直入渗方式污染土壤环境。</w:t>
      </w:r>
    </w:p>
    <w:p>
      <w:pPr>
        <w:pStyle w:val="4"/>
      </w:pPr>
      <w:r>
        <w:rPr>
          <w:rFonts w:hint="eastAsia"/>
        </w:rPr>
        <w:t>运营期污染影响因素分析</w:t>
      </w:r>
    </w:p>
    <w:p>
      <w:pPr>
        <w:ind w:firstLine="480"/>
      </w:pPr>
      <w:r>
        <w:rPr>
          <w:rFonts w:hint="eastAsia"/>
        </w:rPr>
        <w:t>本项目主要进行肉羊饲养、繁殖，不进行放牧作业，主要产污节点包括饲料加工、羊群饲养、羊排泄物处理和</w:t>
      </w:r>
      <w:r>
        <w:rPr>
          <w:rFonts w:hint="eastAsia"/>
          <w:lang w:val="en-US" w:eastAsia="zh-CN"/>
        </w:rPr>
        <w:t>病</w:t>
      </w:r>
      <w:r>
        <w:rPr>
          <w:rFonts w:hint="eastAsia"/>
        </w:rPr>
        <w:t>死羊</w:t>
      </w:r>
      <w:r>
        <w:rPr>
          <w:rFonts w:hint="eastAsia"/>
          <w:lang w:val="en-US" w:eastAsia="zh-CN"/>
        </w:rPr>
        <w:t>及分娩物的</w:t>
      </w:r>
      <w:r>
        <w:rPr>
          <w:rFonts w:hint="eastAsia"/>
        </w:rPr>
        <w:t>处置过程，本项目采用集约化养羊工艺，</w:t>
      </w:r>
      <w:r>
        <w:rPr>
          <w:rFonts w:hint="eastAsia"/>
          <w:lang w:val="en-US" w:eastAsia="zh-CN"/>
        </w:rPr>
        <w:t>其</w:t>
      </w:r>
      <w:r>
        <w:rPr>
          <w:rFonts w:hint="eastAsia"/>
        </w:rPr>
        <w:t>目的是要摆脱分散的、传统的季节性的生产方式，建立工厂化、程序化、常年均衡的养羊生产体系，从而达到生产的高水平和经营的高效益。</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5277485" cy="4196715"/>
            <wp:effectExtent l="0" t="0" r="8890" b="3810"/>
            <wp:docPr id="93" name="图片 93" descr="运营总工艺流程及产污节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运营总工艺流程及产污节点图"/>
                    <pic:cNvPicPr>
                      <a:picLocks noChangeAspect="1"/>
                    </pic:cNvPicPr>
                  </pic:nvPicPr>
                  <pic:blipFill>
                    <a:blip r:embed="rId46"/>
                    <a:stretch>
                      <a:fillRect/>
                    </a:stretch>
                  </pic:blipFill>
                  <pic:spPr>
                    <a:xfrm>
                      <a:off x="0" y="0"/>
                      <a:ext cx="5277485" cy="4196715"/>
                    </a:xfrm>
                    <a:prstGeom prst="rect">
                      <a:avLst/>
                    </a:prstGeom>
                  </pic:spPr>
                </pic:pic>
              </a:graphicData>
            </a:graphic>
          </wp:inline>
        </w:drawing>
      </w:r>
    </w:p>
    <w:p>
      <w:pPr>
        <w:pStyle w:val="6"/>
      </w:pPr>
      <w:r>
        <w:rPr>
          <w:rFonts w:hint="eastAsia"/>
        </w:rPr>
        <w:t>图3.3.2-1   项目运营总工艺流程及产污节点图</w:t>
      </w:r>
    </w:p>
    <w:p>
      <w:pPr>
        <w:pStyle w:val="5"/>
      </w:pPr>
      <w:r>
        <w:rPr>
          <w:rFonts w:hint="eastAsia"/>
        </w:rPr>
        <w:t>备料过程</w:t>
      </w:r>
    </w:p>
    <w:p>
      <w:pPr>
        <w:ind w:firstLine="480"/>
      </w:pPr>
      <w:r>
        <w:rPr>
          <w:rFonts w:hint="eastAsia"/>
        </w:rPr>
        <w:t>本项目饲草区设置有草料库、青贮池等建筑物，用于存放精、粗、青贮饲料，喂养时将粗饲料、精饲料、青贮饲料按比例</w:t>
      </w:r>
      <w:r>
        <w:rPr>
          <w:rFonts w:hint="eastAsia"/>
          <w:color w:val="FF0000"/>
        </w:rPr>
        <w:t>（精：青贮：粗=</w:t>
      </w:r>
      <w:r>
        <w:rPr>
          <w:rFonts w:hint="eastAsia"/>
          <w:color w:val="FF0000"/>
          <w:lang w:val="en-US" w:eastAsia="zh-CN"/>
        </w:rPr>
        <w:t>3</w:t>
      </w:r>
      <w:r>
        <w:rPr>
          <w:rFonts w:hint="eastAsia"/>
          <w:color w:val="FF0000"/>
        </w:rPr>
        <w:t>：</w:t>
      </w:r>
      <w:r>
        <w:rPr>
          <w:rFonts w:hint="eastAsia"/>
          <w:color w:val="FF0000"/>
          <w:lang w:val="en-US" w:eastAsia="zh-CN"/>
        </w:rPr>
        <w:t>2</w:t>
      </w:r>
      <w:r>
        <w:rPr>
          <w:rFonts w:hint="eastAsia"/>
          <w:color w:val="FF0000"/>
        </w:rPr>
        <w:t>：</w:t>
      </w:r>
      <w:r>
        <w:rPr>
          <w:rFonts w:hint="eastAsia"/>
          <w:color w:val="FF0000"/>
          <w:lang w:val="en-US" w:eastAsia="zh-CN"/>
        </w:rPr>
        <w:t>5</w:t>
      </w:r>
      <w:r>
        <w:rPr>
          <w:rFonts w:hint="eastAsia"/>
          <w:color w:val="FF0000"/>
        </w:rPr>
        <w:t>）</w:t>
      </w:r>
      <w:r>
        <w:rPr>
          <w:rFonts w:hint="eastAsia"/>
        </w:rPr>
        <w:t>搭配并添加适量EM复合微生物制剂后，装入过TMR日粮混合机，通过TMR日粮混合机进行混合拌匀，在羊棚饲喂通道内铺洒喂养。</w:t>
      </w:r>
    </w:p>
    <w:p>
      <w:pPr>
        <w:ind w:firstLine="480"/>
        <w:rPr>
          <w:color w:val="000000" w:themeColor="text1"/>
          <w14:textFill>
            <w14:solidFill>
              <w14:schemeClr w14:val="tx1"/>
            </w14:solidFill>
          </w14:textFill>
        </w:rPr>
      </w:pPr>
      <w:r>
        <w:rPr>
          <w:rFonts w:hint="eastAsia"/>
        </w:rPr>
        <w:t>粗、精饲料来源主要从专业公司购买，青贮饲料从当地农户耕地内购买破碎成2～3厘米长的小段，不在项目现场进行破碎。</w:t>
      </w:r>
    </w:p>
    <w:p>
      <w:pPr>
        <w:ind w:firstLine="480"/>
      </w:pPr>
      <w:r>
        <w:rPr>
          <w:rFonts w:hint="eastAsia"/>
        </w:rPr>
        <w:t>（1）青贮原料</w:t>
      </w:r>
    </w:p>
    <w:p>
      <w:pPr>
        <w:ind w:firstLine="480"/>
      </w:pPr>
      <w:r>
        <w:rPr>
          <w:rFonts w:hint="eastAsia"/>
        </w:rPr>
        <w:t>青贮原料为玉米秸秆，</w:t>
      </w:r>
      <w:r>
        <w:t>养殖场和周边农户根据青储玉米的成熟程度</w:t>
      </w:r>
      <w:r>
        <w:rPr>
          <w:rFonts w:hint="eastAsia"/>
        </w:rPr>
        <w:t>，在乳熟后期至蜡熟前期进行及时收割，入窖时原料水分应控制在</w:t>
      </w:r>
      <w:r>
        <w:rPr>
          <w:rFonts w:hint="eastAsia"/>
          <w:lang w:val="en-US" w:eastAsia="zh-CN"/>
        </w:rPr>
        <w:t>35</w:t>
      </w:r>
      <w:r>
        <w:rPr>
          <w:rFonts w:hint="eastAsia"/>
        </w:rPr>
        <w:t>%左右，一般以用手攥紧切碎的青贮原料有液体渗出而不下滴为宜，青贮玉米应含一定的可溶性糖（&gt;2%），含糖量不足时，应掺入含糖量较高的青绿饲料或添加适量淀粉、糖蜜等。以免影响原料产量或青贮质量，甚至导致青贮失败，在果穗达到乳熟期，收割全株青贮。</w:t>
      </w:r>
    </w:p>
    <w:p>
      <w:pPr>
        <w:ind w:firstLine="480"/>
      </w:pPr>
      <w:r>
        <w:rPr>
          <w:rFonts w:hint="eastAsia"/>
        </w:rPr>
        <w:t>①装填</w:t>
      </w:r>
    </w:p>
    <w:p>
      <w:pPr>
        <w:ind w:firstLine="480"/>
      </w:pPr>
      <w:r>
        <w:rPr>
          <w:rFonts w:hint="eastAsia"/>
        </w:rPr>
        <w:t>牧场在装填前先在</w:t>
      </w:r>
      <w:r>
        <w:rPr>
          <w:rFonts w:hint="eastAsia"/>
          <w:lang w:eastAsia="zh-CN"/>
        </w:rPr>
        <w:t>窖</w:t>
      </w:r>
      <w:r>
        <w:rPr>
          <w:rFonts w:hint="eastAsia"/>
        </w:rPr>
        <w:t>底铺上30cm厚的垫草，然后将铡短的青贮原料迅速装入</w:t>
      </w:r>
      <w:r>
        <w:rPr>
          <w:rFonts w:hint="eastAsia"/>
          <w:lang w:eastAsia="zh-CN"/>
        </w:rPr>
        <w:t>窖</w:t>
      </w:r>
      <w:r>
        <w:rPr>
          <w:rFonts w:hint="eastAsia"/>
        </w:rPr>
        <w:t>内。装时要边装料边用装载机或链轨推土机层层压实，尽量排除空气。</w:t>
      </w:r>
    </w:p>
    <w:p>
      <w:pPr>
        <w:ind w:left="480" w:leftChars="200" w:firstLine="0" w:firstLineChars="0"/>
        <w:rPr>
          <w:rFonts w:hint="eastAsia" w:eastAsia="宋体"/>
          <w:lang w:eastAsia="zh-CN"/>
        </w:rPr>
      </w:pPr>
      <w:r>
        <w:rPr>
          <w:rFonts w:hint="eastAsia"/>
        </w:rPr>
        <w:t>②封</w:t>
      </w:r>
      <w:r>
        <w:rPr>
          <w:rFonts w:hint="eastAsia"/>
          <w:lang w:eastAsia="zh-CN"/>
        </w:rPr>
        <w:t>窖</w:t>
      </w:r>
    </w:p>
    <w:p>
      <w:pPr>
        <w:ind w:firstLine="480"/>
      </w:pPr>
      <w:r>
        <w:rPr>
          <w:rFonts w:hint="eastAsia"/>
        </w:rPr>
        <w:t>项目采用地面式青储窖，地面为水泥抹面，方便青储饲料的储用。当青储饲料高出</w:t>
      </w:r>
      <w:r>
        <w:rPr>
          <w:rFonts w:hint="eastAsia"/>
          <w:lang w:eastAsia="zh-CN"/>
        </w:rPr>
        <w:t>窖</w:t>
      </w:r>
      <w:r>
        <w:rPr>
          <w:rFonts w:hint="eastAsia"/>
        </w:rPr>
        <w:t>沿60cm时进行封</w:t>
      </w:r>
      <w:r>
        <w:rPr>
          <w:rFonts w:hint="eastAsia"/>
          <w:lang w:eastAsia="zh-CN"/>
        </w:rPr>
        <w:t>窖</w:t>
      </w:r>
      <w:r>
        <w:rPr>
          <w:rFonts w:hint="eastAsia"/>
        </w:rPr>
        <w:t>，采用防老化的双层塑料布（长度和宽度依窖的大小而定），从一端铺至另一端，塑料布的宽度要余出</w:t>
      </w:r>
      <w:r>
        <w:rPr>
          <w:rFonts w:hint="eastAsia"/>
          <w:lang w:eastAsia="zh-CN"/>
        </w:rPr>
        <w:t>窖</w:t>
      </w:r>
      <w:r>
        <w:rPr>
          <w:rFonts w:hint="eastAsia"/>
        </w:rPr>
        <w:t>体30-40厘米，在窖口薄膜上加一定量的土，以保证其密封性，最后在薄膜上放置废旧轮胎进行压覆，以保证薄膜不会被风吹起或刮烂。</w:t>
      </w:r>
    </w:p>
    <w:p>
      <w:pPr>
        <w:ind w:firstLine="480"/>
      </w:pPr>
      <w:r>
        <w:rPr>
          <w:rFonts w:hint="eastAsia"/>
        </w:rPr>
        <w:t>③取用</w:t>
      </w:r>
    </w:p>
    <w:p>
      <w:pPr>
        <w:ind w:firstLine="480"/>
      </w:pPr>
      <w:r>
        <w:rPr>
          <w:rFonts w:hint="eastAsia"/>
        </w:rPr>
        <w:t>饲料青贮后30～50d便可开</w:t>
      </w:r>
      <w:r>
        <w:rPr>
          <w:rFonts w:hint="eastAsia"/>
          <w:lang w:eastAsia="zh-CN"/>
        </w:rPr>
        <w:t>窖</w:t>
      </w:r>
      <w:r>
        <w:rPr>
          <w:rFonts w:hint="eastAsia"/>
        </w:rPr>
        <w:t>取喂。取料从窖口开始取用，并逐步向窖内推进，取料后随即盖严取料口。</w:t>
      </w:r>
    </w:p>
    <w:p>
      <w:pPr>
        <w:ind w:firstLine="480"/>
      </w:pPr>
      <w:r>
        <w:rPr>
          <w:rFonts w:hint="eastAsia"/>
        </w:rPr>
        <w:t>（2）全混合日粮（TMR）搅拌工艺</w:t>
      </w:r>
    </w:p>
    <w:p>
      <w:pPr>
        <w:ind w:firstLine="480"/>
      </w:pPr>
      <w:r>
        <w:rPr>
          <w:rFonts w:hint="eastAsia"/>
        </w:rPr>
        <w:t>全混合日粮根据</w:t>
      </w:r>
      <w:r>
        <w:t>泌乳羊、青年羊的不同阶段</w:t>
      </w:r>
      <w:r>
        <w:rPr>
          <w:rFonts w:hint="eastAsia"/>
        </w:rPr>
        <w:t>营养需要，把青贮饲料、粗饲料、精饲料混合按合理的比例及要求搭配好后，装入TMR日粮混合机，通过TMR日粮混合机进行混合拌匀，使之成为混合均匀、营养平衡的日粮。</w:t>
      </w:r>
    </w:p>
    <w:p>
      <w:pPr>
        <w:ind w:firstLine="480"/>
      </w:pPr>
      <w:r>
        <w:rPr>
          <w:rFonts w:hint="eastAsia"/>
        </w:rPr>
        <w:t>把精饲料、粗饲料、青贮饲料人工倒入TMR混合搅拌机混合，投料时会产生少量粉尘，混料机为全封闭式</w:t>
      </w:r>
      <w:r>
        <w:rPr>
          <w:rFonts w:hint="eastAsia"/>
          <w:lang w:eastAsia="zh-CN"/>
        </w:rPr>
        <w:t>，</w:t>
      </w:r>
      <w:r>
        <w:rPr>
          <w:rFonts w:hint="eastAsia"/>
          <w:lang w:val="en-US" w:eastAsia="zh-CN"/>
        </w:rPr>
        <w:t>搅拌过程产生的粉尘通过搅拌机配备的布袋除尘器处理后无组织排放</w:t>
      </w:r>
      <w:r>
        <w:rPr>
          <w:rFonts w:hint="eastAsia"/>
        </w:rPr>
        <w:t>。</w:t>
      </w:r>
    </w:p>
    <w:p>
      <w:pPr>
        <w:ind w:firstLine="480"/>
      </w:pPr>
      <w:r>
        <w:rPr>
          <w:rFonts w:hint="eastAsia"/>
        </w:rPr>
        <w:t>产污环节：青储饲料、草料等饲料装卸、日粮饲料配制过程中产生的粉尘G1以及噪声N1。</w:t>
      </w:r>
    </w:p>
    <w:p>
      <w:pPr>
        <w:ind w:firstLine="0" w:firstLineChars="0"/>
        <w:jc w:val="center"/>
      </w:pPr>
      <w:r>
        <w:rPr>
          <w:rFonts w:hint="eastAsia"/>
        </w:rPr>
        <w:drawing>
          <wp:inline distT="0" distB="0" distL="114300" distR="114300">
            <wp:extent cx="5273040" cy="1646555"/>
            <wp:effectExtent l="0" t="0" r="3810" b="10795"/>
            <wp:docPr id="26" name="图片 26" descr="饲料加工流程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饲料加工流程 1"/>
                    <pic:cNvPicPr>
                      <a:picLocks noChangeAspect="1"/>
                    </pic:cNvPicPr>
                  </pic:nvPicPr>
                  <pic:blipFill>
                    <a:blip r:embed="rId47"/>
                    <a:stretch>
                      <a:fillRect/>
                    </a:stretch>
                  </pic:blipFill>
                  <pic:spPr>
                    <a:xfrm>
                      <a:off x="0" y="0"/>
                      <a:ext cx="5273040" cy="1646555"/>
                    </a:xfrm>
                    <a:prstGeom prst="rect">
                      <a:avLst/>
                    </a:prstGeom>
                  </pic:spPr>
                </pic:pic>
              </a:graphicData>
            </a:graphic>
          </wp:inline>
        </w:drawing>
      </w:r>
    </w:p>
    <w:p>
      <w:pPr>
        <w:pStyle w:val="6"/>
      </w:pPr>
      <w:r>
        <w:rPr>
          <w:rFonts w:hint="eastAsia"/>
        </w:rPr>
        <w:t>图3.3.2-2  备料工艺流程及产污节点图</w:t>
      </w:r>
    </w:p>
    <w:p>
      <w:pPr>
        <w:pStyle w:val="5"/>
      </w:pPr>
      <w:r>
        <w:rPr>
          <w:rFonts w:hint="eastAsia"/>
        </w:rPr>
        <w:t>肉羊饲养流程</w:t>
      </w:r>
    </w:p>
    <w:p>
      <w:pPr>
        <w:ind w:firstLine="480"/>
      </w:pPr>
      <w:r>
        <w:rPr>
          <w:rFonts w:hint="eastAsia"/>
        </w:rPr>
        <w:t>本项目采用散栏式饲养，羊舍内设有取食区和羊床，羊可在取食区自由取用配制好的日粮饲料，饲喂人员定时在取食通道进行饲料的撒布，以保证不同阶段的羊对饲料的不同需求。</w:t>
      </w:r>
    </w:p>
    <w:p>
      <w:pPr>
        <w:ind w:firstLine="480"/>
      </w:pPr>
      <w:r>
        <w:rPr>
          <w:rFonts w:hint="eastAsia"/>
        </w:rPr>
        <w:t>肉羊饲养工艺流程如图3.3.2-3所示。</w:t>
      </w:r>
    </w:p>
    <w:p>
      <w:pPr>
        <w:ind w:firstLine="0" w:firstLineChars="0"/>
        <w:jc w:val="center"/>
      </w:pPr>
      <w:r>
        <w:rPr>
          <w:rFonts w:hint="eastAsia"/>
        </w:rPr>
        <w:drawing>
          <wp:inline distT="0" distB="0" distL="114300" distR="114300">
            <wp:extent cx="5257165" cy="3685540"/>
            <wp:effectExtent l="0" t="0" r="635" b="10160"/>
            <wp:docPr id="29" name="图片 29" descr="饲养加工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饲养加工流程图"/>
                    <pic:cNvPicPr>
                      <a:picLocks noChangeAspect="1"/>
                    </pic:cNvPicPr>
                  </pic:nvPicPr>
                  <pic:blipFill>
                    <a:blip r:embed="rId48"/>
                    <a:stretch>
                      <a:fillRect/>
                    </a:stretch>
                  </pic:blipFill>
                  <pic:spPr>
                    <a:xfrm>
                      <a:off x="0" y="0"/>
                      <a:ext cx="5257165" cy="3685540"/>
                    </a:xfrm>
                    <a:prstGeom prst="rect">
                      <a:avLst/>
                    </a:prstGeom>
                  </pic:spPr>
                </pic:pic>
              </a:graphicData>
            </a:graphic>
          </wp:inline>
        </w:drawing>
      </w:r>
    </w:p>
    <w:p>
      <w:pPr>
        <w:pStyle w:val="6"/>
      </w:pPr>
      <w:r>
        <w:t>图3.</w:t>
      </w:r>
      <w:r>
        <w:rPr>
          <w:rFonts w:hint="eastAsia"/>
        </w:rPr>
        <w:t>3.2</w:t>
      </w:r>
      <w:r>
        <w:t>-</w:t>
      </w:r>
      <w:r>
        <w:rPr>
          <w:rFonts w:hint="eastAsia"/>
        </w:rPr>
        <w:t>3  肉羊饲养工艺流程及产污环节</w:t>
      </w:r>
    </w:p>
    <w:p>
      <w:pPr>
        <w:ind w:firstLine="480"/>
      </w:pPr>
      <w:r>
        <w:rPr>
          <w:rFonts w:hint="eastAsia"/>
        </w:rPr>
        <w:t>工艺说明：</w:t>
      </w:r>
    </w:p>
    <w:p>
      <w:pPr>
        <w:ind w:firstLine="480"/>
      </w:pPr>
      <w:r>
        <w:rPr>
          <w:rFonts w:hint="eastAsia"/>
        </w:rPr>
        <w:t>（</w:t>
      </w:r>
      <w:r>
        <w:t>1</w:t>
      </w:r>
      <w:r>
        <w:rPr>
          <w:rFonts w:hint="eastAsia"/>
        </w:rPr>
        <w:t>）</w:t>
      </w:r>
      <w:bookmarkStart w:id="147" w:name="OLE_LINK4"/>
      <w:r>
        <w:rPr>
          <w:rFonts w:hint="eastAsia"/>
        </w:rPr>
        <w:t>饲养管理技术</w:t>
      </w:r>
      <w:bookmarkEnd w:id="147"/>
      <w:r>
        <w:rPr>
          <w:rFonts w:hint="eastAsia"/>
        </w:rPr>
        <w:t>：</w:t>
      </w:r>
    </w:p>
    <w:p>
      <w:pPr>
        <w:ind w:firstLine="480"/>
      </w:pPr>
      <w:r>
        <w:rPr>
          <w:rFonts w:hint="eastAsia"/>
        </w:rPr>
        <w:t>①性发育时期</w:t>
      </w:r>
    </w:p>
    <w:p>
      <w:pPr>
        <w:ind w:firstLine="480"/>
      </w:pPr>
      <w:r>
        <w:rPr>
          <w:rFonts w:hint="eastAsia"/>
        </w:rPr>
        <w:t>初情期是母羊初次发情和排卵的时期，一般在4月龄左右。性成熟期一般在6月龄左右。这时母羊能正常发情并能排出成熟卵子，但羊的年龄太小，一般不宜配种。体成熟期是羊的各组织器官发育基本成熟的时期，一般在15月龄左右。适配年龄是羊初次配种的年龄，在性成熟期之后，身体成熟期之前，一般在9月龄。</w:t>
      </w:r>
    </w:p>
    <w:p>
      <w:pPr>
        <w:ind w:firstLine="480"/>
      </w:pPr>
      <w:r>
        <w:rPr>
          <w:rFonts w:hint="eastAsia"/>
        </w:rPr>
        <w:t>②母羊的发情</w:t>
      </w:r>
    </w:p>
    <w:p>
      <w:pPr>
        <w:ind w:firstLine="480"/>
      </w:pPr>
      <w:r>
        <w:rPr>
          <w:rFonts w:hint="eastAsia"/>
        </w:rPr>
        <w:t>发情季节在每年的8月份至来年的2月份，其中以8～11月份为多，发情高峰期在9～10月份，即在中秋节或国庆节前后。母羊发情后兴奋不安，大声鸣叫，食欲减退，采食减少，有交配欲。发情母羊外阴部发红肿胀，分泌少量粘液，阴门、尾根常粘附分泌物。</w:t>
      </w:r>
    </w:p>
    <w:p>
      <w:pPr>
        <w:ind w:firstLine="480"/>
      </w:pPr>
      <w:r>
        <w:rPr>
          <w:rFonts w:hint="eastAsia"/>
        </w:rPr>
        <w:t>③母羊的配种</w:t>
      </w:r>
    </w:p>
    <w:p>
      <w:pPr>
        <w:bidi w:val="0"/>
        <w:rPr>
          <w:rFonts w:hint="eastAsia" w:eastAsia="宋体"/>
          <w:lang w:eastAsia="zh-CN"/>
        </w:rPr>
      </w:pPr>
      <w:r>
        <w:rPr>
          <w:rFonts w:hint="eastAsia"/>
          <w:lang w:val="en-US" w:eastAsia="zh-CN"/>
        </w:rPr>
        <w:t>按照养殖全区整体生产计划和母羊的发情规律进行配种，初产母羊在达到8月龄时，可进行试情配种，经产母羊在产后1.5个月的调理期过后，进行试情配种。</w:t>
      </w:r>
      <w:r>
        <w:rPr>
          <w:rFonts w:hint="eastAsia"/>
        </w:rPr>
        <w:t>所产的羔为春羔，春羔初生重量大、生长发育快、成活率高、整齐度好。本项目采用</w:t>
      </w:r>
      <w:r>
        <w:rPr>
          <w:rFonts w:hint="eastAsia"/>
          <w:lang w:val="en-US" w:eastAsia="zh-CN"/>
        </w:rPr>
        <w:t>本交配种和</w:t>
      </w:r>
      <w:r>
        <w:rPr>
          <w:rFonts w:hint="eastAsia"/>
        </w:rPr>
        <w:t>人工授精</w:t>
      </w:r>
      <w:r>
        <w:rPr>
          <w:rFonts w:hint="eastAsia"/>
          <w:lang w:val="en-US" w:eastAsia="zh-CN"/>
        </w:rPr>
        <w:t>相结合的配种方式</w:t>
      </w:r>
      <w:r>
        <w:rPr>
          <w:rFonts w:hint="eastAsia"/>
        </w:rPr>
        <w:t>，</w:t>
      </w:r>
      <w:r>
        <w:rPr>
          <w:rFonts w:hint="eastAsia"/>
          <w:lang w:val="en-US" w:eastAsia="zh-CN"/>
        </w:rPr>
        <w:t>人工授精</w:t>
      </w:r>
      <w:r>
        <w:rPr>
          <w:rFonts w:hint="eastAsia"/>
        </w:rPr>
        <w:t>是用授精器械采取公羊的精液，然后再输到发情母羊的生殖器官中使其受孕的配种方法，这种方法公羊利用率高。为保证受胎率，早晨检出的发情母羊早晨配种1次，下午再配种1次</w:t>
      </w:r>
      <w:r>
        <w:rPr>
          <w:rFonts w:hint="eastAsia"/>
          <w:lang w:eastAsia="zh-CN"/>
        </w:rPr>
        <w:t>。</w:t>
      </w:r>
    </w:p>
    <w:p>
      <w:pPr>
        <w:ind w:firstLine="480"/>
      </w:pPr>
      <w:r>
        <w:rPr>
          <w:rFonts w:hint="eastAsia"/>
        </w:rPr>
        <w:t>④母羊的妊娠</w:t>
      </w:r>
    </w:p>
    <w:p>
      <w:pPr>
        <w:bidi w:val="0"/>
      </w:pPr>
      <w:r>
        <w:rPr>
          <w:rFonts w:hint="eastAsia"/>
        </w:rPr>
        <w:t>胎儿在子宮内的发育过程叫妊娠。母羊配种后21天不再发情，就可能是妊娠。胎儿在子宮内的发育过程叫妊娠。母羊配种后21天不再发情，就可能是妊娠。妊娠检查：</w:t>
      </w:r>
      <w:r>
        <w:rPr>
          <w:rFonts w:hint="eastAsia"/>
          <w:lang w:val="en-US" w:eastAsia="zh-CN"/>
        </w:rPr>
        <w:t>采用母羊B超仪进行探测</w:t>
      </w:r>
      <w:r>
        <w:rPr>
          <w:rFonts w:hint="eastAsia"/>
        </w:rPr>
        <w:t>。</w:t>
      </w:r>
    </w:p>
    <w:p>
      <w:pPr>
        <w:ind w:firstLine="480"/>
      </w:pPr>
      <w:r>
        <w:rPr>
          <w:rFonts w:hint="eastAsia"/>
        </w:rPr>
        <w:t>母羊妊娠后，食增加，毛色变光变亮，体态逐渐丰满，性情温顺，行动谨镇，好静，喜卧，妊娠后期，乳房膨胀，腹围增大，体重增加。</w:t>
      </w:r>
    </w:p>
    <w:p>
      <w:pPr>
        <w:ind w:firstLine="480"/>
      </w:pPr>
      <w:r>
        <w:rPr>
          <w:rFonts w:hint="eastAsia"/>
        </w:rPr>
        <w:t>根据配种期和妊娠期可以预测母羊的分娩日期，妊娠期为145-155天。</w:t>
      </w:r>
    </w:p>
    <w:p>
      <w:pPr>
        <w:ind w:firstLine="480"/>
      </w:pPr>
      <w:r>
        <w:rPr>
          <w:rFonts w:hint="eastAsia"/>
        </w:rPr>
        <w:t>⑤母羊的分娩</w:t>
      </w:r>
    </w:p>
    <w:p>
      <w:pPr>
        <w:ind w:firstLine="480"/>
      </w:pPr>
      <w:r>
        <w:rPr>
          <w:rFonts w:hint="eastAsia"/>
        </w:rPr>
        <w:t>分娩也叫产羔，是母羊将子宫内发育成熟的胎儿排出体外的生理过程。对临产的母羊，应精心护理，仔细观察，严防分娩时无人在场接产。饲养人员应根据临产征兆做好接生准备和助产工作，以防发生意外。</w:t>
      </w:r>
    </w:p>
    <w:p>
      <w:pPr>
        <w:ind w:firstLine="480"/>
      </w:pPr>
      <w:r>
        <w:rPr>
          <w:rFonts w:hint="eastAsia"/>
        </w:rPr>
        <w:t>产房应背风向阳，干燥保暖，干净卫生，接产用的纱布、毛巾、药棉、剪刀、脸盆等必须准备齐全。</w:t>
      </w:r>
    </w:p>
    <w:p>
      <w:pPr>
        <w:ind w:firstLine="480"/>
      </w:pPr>
      <w:r>
        <w:rPr>
          <w:rFonts w:hint="eastAsia"/>
        </w:rPr>
        <w:t>临产的母羊，腹部下垂，肷窝下陷，乳房肿大，阴门肿胀，排尿频繁，举动不安，行动不便，时起时卧，不时鸣叫。当母羊阴门流出浓稠的粘液并卧地努责时，马上就会产羔，</w:t>
      </w:r>
      <w:r>
        <w:rPr>
          <w:rFonts w:hint="eastAsia"/>
          <w:szCs w:val="22"/>
        </w:rPr>
        <w:t>项目母羊2年3胎，平均每胎产子2只</w:t>
      </w:r>
      <w:r>
        <w:rPr>
          <w:rFonts w:hint="eastAsia"/>
        </w:rPr>
        <w:t>。</w:t>
      </w:r>
    </w:p>
    <w:p>
      <w:pPr>
        <w:ind w:firstLine="480"/>
      </w:pPr>
      <w:r>
        <w:rPr>
          <w:rFonts w:hint="eastAsia"/>
        </w:rPr>
        <w:t>⑥羔羊的饲养管理</w:t>
      </w:r>
    </w:p>
    <w:p>
      <w:pPr>
        <w:ind w:firstLine="480"/>
      </w:pPr>
      <w:r>
        <w:rPr>
          <w:rFonts w:hint="eastAsia"/>
        </w:rPr>
        <w:t>哺乳期的羊叫羔羊。哺乳期是指从出生到断奶这一个阶段，一般为1.5个月。羔羊体温调节机能不完善、体内缺乏免疫抗体、消化机能不发达、营养方式变化迅速、生长发育快、体形外貌可塑性大羔羊要早吃、多吃初乳。母羊产后5 以内的乳叫初乳。初乳含有免疫球蛋白，有利于防病保健；镁盐含量高，有利于羔羊排出胎便。不过由于羊体内所含细菌及病击数较多，因此，羔羊的饲吸一般会采用母羊的初乳。从产后1小时开始吃初乳，每天最少4次，连吃5天。</w:t>
      </w:r>
    </w:p>
    <w:p>
      <w:pPr>
        <w:ind w:firstLine="480"/>
      </w:pPr>
      <w:r>
        <w:rPr>
          <w:rFonts w:hint="eastAsia"/>
        </w:rPr>
        <w:t>羔羊7日龄后可少许添加羔羊料（1斤左右，结合羔羊自身状态把握，同时放置一些容易消化的干草）；10日龄开始训练吃料。用精料放在槽中，引导羔羊采食；羔羊要从15日龄后开始每日两次隔奶并训练吃草，将幼嫩的饲草放在篮中，让其自由采食；25日后每日三次隔奶；30日龄后羔羊料量增加，40日龄开始断奶，55日龄干奶期，平时要给足放水，加强运动，常晒太阳，防寒保暖。</w:t>
      </w:r>
    </w:p>
    <w:p>
      <w:pPr>
        <w:ind w:firstLine="480"/>
      </w:pPr>
      <w:r>
        <w:rPr>
          <w:rFonts w:hint="eastAsia"/>
        </w:rPr>
        <w:t>⑦育成羊的饲养管理</w:t>
      </w:r>
    </w:p>
    <w:p>
      <w:pPr>
        <w:ind w:firstLine="480"/>
      </w:pPr>
      <w:r>
        <w:rPr>
          <w:rFonts w:hint="eastAsia"/>
        </w:rPr>
        <w:t>从断奶到配种前的羊叫育成羊。育成羊长的快，如果营养跟不上、运动不足，便会影响其生长发育和今后的生产性能。优质的饲草加上充足的运动，是培育育成羊种用体型的关键。因此，育成羊应吸给最好的牧草经常刷拭羊体使羊只保持消洁，促进健康和新陈代谢，有利于人畜亲近，便于管理、刷拭时用刷子从上到下、从左到右、从前到后，技照毛从方向有顺序的进行。</w:t>
      </w:r>
      <w:r>
        <w:rPr>
          <w:szCs w:val="22"/>
        </w:rPr>
        <w:t>每只羊天天补饲混精料200～300g，其可消化粗卵白质的含量不该低于15％。按公、母羊的月龄巨细和饲草优劣，精料给量可作恰当调剂。青年羊</w:t>
      </w:r>
      <w:r>
        <w:rPr>
          <w:rFonts w:hint="eastAsia"/>
          <w:szCs w:val="22"/>
        </w:rPr>
        <w:t>4</w:t>
      </w:r>
      <w:r>
        <w:rPr>
          <w:szCs w:val="22"/>
        </w:rPr>
        <w:t>月左右体重达到43~45kg出栏外售</w:t>
      </w:r>
      <w:r>
        <w:rPr>
          <w:rFonts w:hint="eastAsia"/>
          <w:szCs w:val="22"/>
        </w:rPr>
        <w:t>。</w:t>
      </w:r>
      <w:r>
        <w:rPr>
          <w:rFonts w:hint="eastAsia"/>
        </w:rPr>
        <w:t>育成羊9月龄以后并且体重达到35千克以上时，应及时配种。</w:t>
      </w:r>
    </w:p>
    <w:p>
      <w:pPr>
        <w:ind w:firstLine="480"/>
      </w:pPr>
      <w:r>
        <w:rPr>
          <w:rFonts w:hint="eastAsia"/>
        </w:rPr>
        <w:t>⑧成年母羊的饲养管理</w:t>
      </w:r>
    </w:p>
    <w:p>
      <w:pPr>
        <w:ind w:firstLine="480"/>
      </w:pPr>
      <w:r>
        <w:rPr>
          <w:rFonts w:hint="eastAsia"/>
        </w:rPr>
        <w:t>各个年龄段的经产母羊叫成年母羊。成年母羊担负着繁殖、产奶等各项生产任务在配种前1 个月，应对母羊给予短期优饲，即喂给最好的饲草，并补给最优的精料，精料通常每天应达到1.5千克左右，母羊泌乳7个月以后或者每年9月份前后应及时配种，以便第二年2月份产春羔，并可保证每胎300天的泌乳期和每年1胎的产羔间隔，母羊怀孕3个月时开始干奶，干奶期一般为60天。可采取快速干奶法，即减少挤奶次数，打乱挤奶时间，加强运动，控制精料和多汁饲料喂量，就可以很快干奶。</w:t>
      </w:r>
    </w:p>
    <w:p>
      <w:pPr>
        <w:ind w:firstLine="480"/>
      </w:pPr>
      <w:r>
        <w:rPr>
          <w:rFonts w:hint="eastAsia"/>
        </w:rPr>
        <w:t>干奶能使母羊得到休整，能保证胎儿的生长发育，能为下一个泌乳期的产奶莫定一定的营养基础。</w:t>
      </w:r>
    </w:p>
    <w:p>
      <w:pPr>
        <w:ind w:firstLine="480"/>
      </w:pPr>
      <w:r>
        <w:rPr>
          <w:rFonts w:hint="eastAsia"/>
        </w:rPr>
        <w:t>母羊的妊娠期为5个月，其最后2个月为妊娠后期，这一时期由于胎儿生长快体重的80％是在这时增长的，因此，母羊到达了在一个生产周期中的第一个营养需要高峰期。应喂给充足而优质的饲草，应增加精料给量。</w:t>
      </w:r>
    </w:p>
    <w:p>
      <w:pPr>
        <w:ind w:firstLine="480"/>
      </w:pPr>
      <w:r>
        <w:rPr>
          <w:rFonts w:hint="eastAsia"/>
        </w:rPr>
        <w:t>（</w:t>
      </w:r>
      <w:r>
        <w:t>2</w:t>
      </w:r>
      <w:r>
        <w:rPr>
          <w:rFonts w:hint="eastAsia"/>
        </w:rPr>
        <w:t>）卫生防疫</w:t>
      </w:r>
    </w:p>
    <w:p>
      <w:pPr>
        <w:ind w:firstLine="480"/>
      </w:pPr>
      <w:r>
        <w:rPr>
          <w:rFonts w:hint="eastAsia"/>
        </w:rPr>
        <w:t>定期对羊舍消毒，场区周边及场区空地充分绿化，生产区进口处设车轮消毒池及进场消毒更衣室，以便饲养工作人员出入养殖区彻底消毒；使养殖场经常处于对安全生产有利的工作环境。供水、排水系统都是两套分流严格区分；地面径流与生产废水分别排放，经过物理、生物等处理达标后加以循环利用。道路和出口严格分工，净污分道，防止交叉，各有出口。</w:t>
      </w:r>
    </w:p>
    <w:p>
      <w:pPr>
        <w:ind w:firstLine="480"/>
      </w:pPr>
      <w:r>
        <w:rPr>
          <w:rFonts w:hint="eastAsia"/>
        </w:rPr>
        <w:t>（</w:t>
      </w:r>
      <w:r>
        <w:t>3</w:t>
      </w:r>
      <w:r>
        <w:rPr>
          <w:rFonts w:hint="eastAsia"/>
        </w:rPr>
        <w:t>）防疫保健技术</w:t>
      </w:r>
    </w:p>
    <w:p>
      <w:pPr>
        <w:ind w:firstLine="480"/>
      </w:pPr>
      <w:r>
        <w:rPr>
          <w:rFonts w:hint="eastAsia"/>
        </w:rPr>
        <w:t>建立健全兽医卫生防疫制度，依据羊不同生长阶段的特点，制定兽医保健防疫计划，使圈舍彻底空栏、清洗、消毒，确保生产的连续性；当发现口蹄疫、炭疽等重大疫病时，立即对畜群进行封锁，并及时上报主管行政部门，及时对其进行扑杀、填埋等应急措施；对羊布鲁氏菌病、结核病进行定期检疫和淘汰；对羔羊痢疾、羊痘、炭疽、羊口疮病链球菌病等进行疫苗接种；对羊内外寄生虫病实行春秋两季防疫和驱虫制度。</w:t>
      </w:r>
    </w:p>
    <w:p>
      <w:pPr>
        <w:ind w:firstLine="480"/>
      </w:pPr>
      <w:r>
        <w:rPr>
          <w:rFonts w:hint="eastAsia"/>
        </w:rPr>
        <w:t>产污环节：</w:t>
      </w:r>
      <w:r>
        <w:rPr>
          <w:rFonts w:hint="eastAsia"/>
          <w:color w:val="000000" w:themeColor="text1"/>
          <w14:textFill>
            <w14:solidFill>
              <w14:schemeClr w14:val="tx1"/>
            </w14:solidFill>
          </w14:textFill>
        </w:rPr>
        <w:t>羊</w:t>
      </w:r>
      <w:r>
        <w:rPr>
          <w:color w:val="000000" w:themeColor="text1"/>
          <w14:textFill>
            <w14:solidFill>
              <w14:schemeClr w14:val="tx1"/>
            </w14:solidFill>
          </w14:textFill>
        </w:rPr>
        <w:t>舍的</w:t>
      </w:r>
      <w:r>
        <w:rPr>
          <w:rFonts w:hint="eastAsia"/>
          <w:color w:val="000000" w:themeColor="text1"/>
          <w14:textFill>
            <w14:solidFill>
              <w14:schemeClr w14:val="tx1"/>
            </w14:solidFill>
          </w14:textFill>
        </w:rPr>
        <w:t>粪便和尿液</w:t>
      </w:r>
      <w:r>
        <w:rPr>
          <w:color w:val="000000" w:themeColor="text1"/>
          <w14:textFill>
            <w14:solidFill>
              <w14:schemeClr w14:val="tx1"/>
            </w14:solidFill>
          </w14:textFill>
        </w:rPr>
        <w:t>等散发的恶臭</w:t>
      </w:r>
      <w:r>
        <w:rPr>
          <w:rFonts w:hint="eastAsia"/>
          <w:color w:val="000000" w:themeColor="text1"/>
          <w14:textFill>
            <w14:solidFill>
              <w14:schemeClr w14:val="tx1"/>
            </w14:solidFill>
          </w14:textFill>
        </w:rPr>
        <w:t>形成的栏舍</w:t>
      </w:r>
      <w:r>
        <w:rPr>
          <w:color w:val="000000" w:themeColor="text1"/>
          <w14:textFill>
            <w14:solidFill>
              <w14:schemeClr w14:val="tx1"/>
            </w14:solidFill>
          </w14:textFill>
        </w:rPr>
        <w:t>养殖废气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2</w:t>
      </w:r>
      <w:r>
        <w:rPr>
          <w:color w:val="000000" w:themeColor="text1"/>
          <w14:textFill>
            <w14:solidFill>
              <w14:schemeClr w14:val="tx1"/>
            </w14:solidFill>
          </w14:textFill>
        </w:rPr>
        <w:t>，主要成分为NH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等。</w:t>
      </w:r>
    </w:p>
    <w:p>
      <w:pPr>
        <w:pStyle w:val="5"/>
      </w:pPr>
      <w:r>
        <w:rPr>
          <w:rFonts w:hint="eastAsia"/>
        </w:rPr>
        <w:t>清粪工艺</w:t>
      </w:r>
    </w:p>
    <w:p>
      <w:pPr>
        <w:ind w:firstLine="480"/>
      </w:pPr>
      <w:r>
        <w:rPr>
          <w:rFonts w:hint="eastAsia"/>
        </w:rPr>
        <w:t>本项目羊舍采用漏缝板，羊群生活在漏缝地板上，饲养员行走及饲养工作在实心地板上，羊排泄的粪便落入漏缝地板下部粪污通道内，圈舍粪便日常清理不使用清水，粪便产生即依靠重力离开羊舍，大大减少了粪污产生量并实现粪便及时清理。根据原环境保护部办公厅函《关于牧原食品股份有限公司部分养殖场清粪工艺问题的复函》（环办[2015]425号），本次项目采用漏缝地板清粪工艺模式，粪污依靠重力离开羊舍且羊舍不进行水冲洗，该清粪工艺具备干清粪基本特征，符合《禽畜养殖业污染防治技术政策》要求。</w:t>
      </w:r>
    </w:p>
    <w:p>
      <w:pPr>
        <w:ind w:firstLine="480"/>
      </w:pPr>
      <w:r>
        <w:rPr>
          <w:rFonts w:hint="eastAsia"/>
        </w:rPr>
        <w:t>羊舍每天要进行1次粪便清理，羊排泄的粪便落入漏缝地板下部粪污通道内，由清粪机械将粪尿清理出，然后使用专用清粪车辆、小型装载机进行清理拉运至</w:t>
      </w:r>
      <w:r>
        <w:rPr>
          <w:rFonts w:hint="eastAsia"/>
          <w:lang w:val="en-US" w:eastAsia="zh-CN"/>
        </w:rPr>
        <w:t>有机肥堆场</w:t>
      </w:r>
      <w:r>
        <w:rPr>
          <w:rFonts w:hint="eastAsia"/>
        </w:rPr>
        <w:t>生产有机肥。</w:t>
      </w:r>
    </w:p>
    <w:p>
      <w:pPr>
        <w:pStyle w:val="5"/>
      </w:pPr>
      <w:r>
        <w:rPr>
          <w:rFonts w:hint="eastAsia"/>
        </w:rPr>
        <w:t>有机肥工艺流程</w:t>
      </w:r>
    </w:p>
    <w:p>
      <w:pPr>
        <w:ind w:firstLine="480"/>
      </w:pPr>
      <w:r>
        <w:rPr>
          <w:rFonts w:hint="eastAsia"/>
        </w:rPr>
        <w:t>羊是反刍动物，对饲料咀嚼很细，但羊饮水少，故粪质细密而干燥，发热量比牛粪大，属热性肥料。羊粪尿较其它畜粪尿浓厚，是粪尿中养分含量较高的品种之一。羊粪经过发酵是一种很好的有机肥，使用它做肥料，可以改善土质，是防止土地板结，经济价值很好。本项目采用羊粪、动物残渣进行粪污堆肥处理，</w:t>
      </w:r>
      <w:r>
        <w:rPr>
          <w:rFonts w:hint="eastAsia"/>
          <w:lang w:val="en-US" w:eastAsia="zh-CN"/>
        </w:rPr>
        <w:t>得到</w:t>
      </w:r>
      <w:r>
        <w:rPr>
          <w:rFonts w:hint="eastAsia"/>
        </w:rPr>
        <w:t>的有机肥由公司上游企业进行二次加工和产品销售。</w:t>
      </w:r>
    </w:p>
    <w:p>
      <w:pPr>
        <w:ind w:firstLine="480"/>
      </w:pPr>
      <w:r>
        <w:t>根据《畜禽养殖业污染治理工程技术规范》（HJ497—2009），</w:t>
      </w:r>
      <w:r>
        <w:rPr>
          <w:rFonts w:hint="eastAsia"/>
        </w:rPr>
        <w:t>本</w:t>
      </w:r>
      <w:r>
        <w:t>项目羊粪采用比较成熟的高温好氧堆肥发酵工艺，生产工艺主要为预处理、发酵、</w:t>
      </w:r>
      <w:r>
        <w:rPr>
          <w:rFonts w:hint="eastAsia"/>
        </w:rPr>
        <w:t>外运</w:t>
      </w:r>
      <w:r>
        <w:t>几个部分</w:t>
      </w:r>
      <w:r>
        <w:rPr>
          <w:rFonts w:hint="eastAsia"/>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工艺流程说明：</w:t>
      </w:r>
    </w:p>
    <w:p>
      <w:pPr>
        <w:numPr>
          <w:ilvl w:val="0"/>
          <w:numId w:val="9"/>
        </w:numPr>
        <w:ind w:firstLine="480"/>
        <w:rPr>
          <w:szCs w:val="22"/>
        </w:rPr>
      </w:pPr>
      <w:r>
        <w:rPr>
          <w:szCs w:val="22"/>
        </w:rPr>
        <w:t>预处理</w:t>
      </w:r>
    </w:p>
    <w:p>
      <w:pPr>
        <w:ind w:firstLine="480"/>
      </w:pPr>
      <w:r>
        <w:rPr>
          <w:rFonts w:hint="eastAsia"/>
        </w:rPr>
        <w:t>首先利用搅拌机对羊粪便、动物尸体无害化残渣进行搅拌，然后送至发酵平台进行发酵，将发酵原料</w:t>
      </w:r>
      <w:r>
        <w:t>碳氮比控制在20：1～30：1</w:t>
      </w:r>
      <w:r>
        <w:rPr>
          <w:rFonts w:hint="eastAsia"/>
        </w:rPr>
        <w:t>、</w:t>
      </w:r>
      <w:r>
        <w:t>pH控制在6.5～8.5</w:t>
      </w:r>
      <w:r>
        <w:rPr>
          <w:rFonts w:hint="eastAsia"/>
        </w:rPr>
        <w:t>、含水量控制在50~60%</w:t>
      </w:r>
      <w:r>
        <w:t>。</w:t>
      </w:r>
    </w:p>
    <w:p>
      <w:pPr>
        <w:ind w:firstLine="480"/>
      </w:pPr>
      <w:r>
        <w:t>预处理过程有恶臭产生。</w:t>
      </w:r>
    </w:p>
    <w:p>
      <w:pPr>
        <w:numPr>
          <w:ilvl w:val="0"/>
          <w:numId w:val="9"/>
        </w:numPr>
        <w:ind w:firstLine="480"/>
        <w:rPr>
          <w:szCs w:val="22"/>
        </w:rPr>
      </w:pPr>
      <w:r>
        <w:rPr>
          <w:szCs w:val="22"/>
        </w:rPr>
        <w:t>发酵</w:t>
      </w:r>
    </w:p>
    <w:p>
      <w:pPr>
        <w:ind w:firstLine="480"/>
      </w:pPr>
      <w:r>
        <w:rPr>
          <w:rFonts w:hint="eastAsia"/>
        </w:rPr>
        <w:t>一般夏季发酵需要</w:t>
      </w:r>
      <w:r>
        <w:t>10</w:t>
      </w:r>
      <w:r>
        <w:rPr>
          <w:rFonts w:hint="eastAsia"/>
        </w:rPr>
        <w:t>~</w:t>
      </w:r>
      <w:r>
        <w:t>15</w:t>
      </w:r>
      <w:r>
        <w:rPr>
          <w:rFonts w:hint="eastAsia"/>
        </w:rPr>
        <w:t>天，冬季发酵需要</w:t>
      </w:r>
      <w:r>
        <w:t>15</w:t>
      </w:r>
      <w:r>
        <w:rPr>
          <w:rFonts w:hint="eastAsia"/>
        </w:rPr>
        <w:t>~</w:t>
      </w:r>
      <w:r>
        <w:t>25</w:t>
      </w:r>
      <w:r>
        <w:rPr>
          <w:rFonts w:hint="eastAsia"/>
        </w:rPr>
        <w:t>天。本项目设置发酵平台，搅拌好的原料堆成宽</w:t>
      </w:r>
      <w:r>
        <w:t>1.5</w:t>
      </w:r>
      <w:r>
        <w:rPr>
          <w:rFonts w:hint="eastAsia"/>
        </w:rPr>
        <w:t>米~</w:t>
      </w:r>
      <w:r>
        <w:t>2</w:t>
      </w:r>
      <w:r>
        <w:rPr>
          <w:rFonts w:hint="eastAsia"/>
        </w:rPr>
        <w:t>米，高</w:t>
      </w:r>
      <w:r>
        <w:rPr>
          <w:rFonts w:hint="eastAsia"/>
          <w:lang w:val="en-US" w:eastAsia="zh-CN"/>
        </w:rPr>
        <w:t>1</w:t>
      </w:r>
      <w:r>
        <w:rPr>
          <w:rFonts w:hint="eastAsia"/>
        </w:rPr>
        <w:t>米~</w:t>
      </w:r>
      <w:r>
        <w:rPr>
          <w:rFonts w:hint="eastAsia"/>
          <w:lang w:val="en-US" w:eastAsia="zh-CN"/>
        </w:rPr>
        <w:t>1.2</w:t>
      </w:r>
      <w:r>
        <w:rPr>
          <w:rFonts w:hint="eastAsia"/>
          <w:szCs w:val="22"/>
        </w:rPr>
        <w:t>米的长条，上面盖草帘或麻袋片进行好氧发酵堆置。整个发酵过程</w:t>
      </w:r>
      <w:r>
        <w:rPr>
          <w:szCs w:val="22"/>
        </w:rPr>
        <w:t>5-7</w:t>
      </w:r>
      <w:r>
        <w:rPr>
          <w:rFonts w:hint="eastAsia"/>
          <w:szCs w:val="22"/>
        </w:rPr>
        <w:t>天完成。</w:t>
      </w:r>
      <w:r>
        <w:t>适时采用搅拌机的翻堆搅拌来调节堆肥物料的氧气浓度和温度</w:t>
      </w:r>
      <w:r>
        <w:rPr>
          <w:rFonts w:hint="eastAsia"/>
          <w:szCs w:val="22"/>
        </w:rPr>
        <w:t>，可使堆体在</w:t>
      </w:r>
      <w:r>
        <w:rPr>
          <w:szCs w:val="22"/>
        </w:rPr>
        <w:t>1</w:t>
      </w:r>
      <w:r>
        <w:rPr>
          <w:rFonts w:hint="eastAsia"/>
          <w:szCs w:val="22"/>
        </w:rPr>
        <w:t>～</w:t>
      </w:r>
      <w:r>
        <w:rPr>
          <w:szCs w:val="22"/>
        </w:rPr>
        <w:t>3</w:t>
      </w:r>
      <w:r>
        <w:rPr>
          <w:rFonts w:hint="eastAsia"/>
          <w:szCs w:val="22"/>
        </w:rPr>
        <w:t>天内温度上升至</w:t>
      </w:r>
      <w:r>
        <w:rPr>
          <w:szCs w:val="22"/>
        </w:rPr>
        <w:t>25</w:t>
      </w:r>
      <w:r>
        <w:rPr>
          <w:rFonts w:hint="eastAsia"/>
          <w:szCs w:val="22"/>
        </w:rPr>
        <w:t>～</w:t>
      </w:r>
      <w:r>
        <w:rPr>
          <w:szCs w:val="22"/>
        </w:rPr>
        <w:t>45</w:t>
      </w:r>
      <w:r>
        <w:rPr>
          <w:rFonts w:hint="eastAsia"/>
          <w:szCs w:val="22"/>
        </w:rPr>
        <w:t>℃，堆体温度达到</w:t>
      </w:r>
      <w:r>
        <w:rPr>
          <w:szCs w:val="22"/>
        </w:rPr>
        <w:t>60</w:t>
      </w:r>
      <w:r>
        <w:rPr>
          <w:rFonts w:hint="eastAsia"/>
          <w:szCs w:val="22"/>
        </w:rPr>
        <w:t>～</w:t>
      </w:r>
      <w:r>
        <w:rPr>
          <w:szCs w:val="22"/>
        </w:rPr>
        <w:t>70</w:t>
      </w:r>
      <w:r>
        <w:rPr>
          <w:rFonts w:hint="eastAsia"/>
          <w:szCs w:val="22"/>
        </w:rPr>
        <w:t xml:space="preserve">℃后发酵稳定，物料中纤维素和木质素也开始分解，腐殖质开始形成。堆体温度最高能达到 </w:t>
      </w:r>
      <w:r>
        <w:rPr>
          <w:szCs w:val="22"/>
        </w:rPr>
        <w:t>80</w:t>
      </w:r>
      <w:r>
        <w:rPr>
          <w:rFonts w:hint="eastAsia"/>
          <w:szCs w:val="22"/>
        </w:rPr>
        <w:t>℃，充分发酵后温度逐步降低</w:t>
      </w:r>
      <w:r>
        <w:t>。</w:t>
      </w:r>
    </w:p>
    <w:p>
      <w:pPr>
        <w:widowControl/>
        <w:ind w:firstLine="480"/>
        <w:jc w:val="left"/>
      </w:pPr>
      <w:r>
        <w:rPr>
          <w:rFonts w:hint="eastAsia" w:ascii="宋体" w:hAnsi="宋体" w:cs="宋体"/>
          <w:color w:val="000000"/>
          <w:kern w:val="0"/>
          <w:lang w:bidi="ar"/>
        </w:rPr>
        <w:t>本项目堆肥发酵过程分为</w:t>
      </w:r>
      <w:r>
        <w:rPr>
          <w:color w:val="000000"/>
          <w:kern w:val="0"/>
          <w:lang w:bidi="ar"/>
        </w:rPr>
        <w:t>4</w:t>
      </w:r>
      <w:r>
        <w:rPr>
          <w:rFonts w:hint="eastAsia" w:ascii="宋体" w:hAnsi="宋体" w:cs="宋体"/>
          <w:color w:val="000000"/>
          <w:kern w:val="0"/>
          <w:lang w:bidi="ar"/>
        </w:rPr>
        <w:t xml:space="preserve">个阶段： </w:t>
      </w:r>
    </w:p>
    <w:p>
      <w:pPr>
        <w:ind w:firstLine="480"/>
      </w:pPr>
      <w:r>
        <w:rPr>
          <w:rFonts w:hint="eastAsia"/>
        </w:rPr>
        <w:t xml:space="preserve">①升温阶段 </w:t>
      </w:r>
    </w:p>
    <w:p>
      <w:pPr>
        <w:ind w:firstLine="480"/>
      </w:pPr>
      <w:r>
        <w:rPr>
          <w:rFonts w:hint="eastAsia"/>
        </w:rPr>
        <w:t>一般在堆肥初期，堆肥温度逐步从环境温度上升到</w:t>
      </w:r>
      <w:r>
        <w:t>45</w:t>
      </w:r>
      <w:r>
        <w:rPr>
          <w:rFonts w:hint="eastAsia"/>
        </w:rPr>
        <w:t xml:space="preserve">℃左右，主导微生物以嗜温性微生物为主，包括细菌、真菌和放线菌，分解底物以糖类和淀粉为主，期间能发现真菌的子实体，也有动物及原生动物参与分解。 </w:t>
      </w:r>
    </w:p>
    <w:p>
      <w:pPr>
        <w:ind w:firstLine="480"/>
      </w:pPr>
      <w:r>
        <w:rPr>
          <w:rFonts w:hint="eastAsia"/>
        </w:rPr>
        <w:t xml:space="preserve">②高温阶段 </w:t>
      </w:r>
    </w:p>
    <w:p>
      <w:pPr>
        <w:ind w:firstLine="480"/>
      </w:pPr>
      <w:r>
        <w:rPr>
          <w:rFonts w:hint="eastAsia"/>
        </w:rPr>
        <w:t>堆温升至</w:t>
      </w:r>
      <w:r>
        <w:t>45</w:t>
      </w:r>
      <w:r>
        <w:rPr>
          <w:rFonts w:hint="eastAsia"/>
        </w:rPr>
        <w:t>℃以上进入高温阶段，在这一阶段，嗜温微生物受到抑制甚至死亡，而嗜热微生物则上升为主导微生物。堆肥中残留的和新生成的可溶性有机物质继续被氧化分解，复杂的有机物如半纤维素</w:t>
      </w:r>
      <w:r>
        <w:t>—</w:t>
      </w:r>
      <w:r>
        <w:rPr>
          <w:rFonts w:hint="eastAsia"/>
        </w:rPr>
        <w:t>纤维素和蛋白质也开始被强烈分解。微生物的活动交替出现，通常在</w:t>
      </w:r>
      <w:r>
        <w:t>50</w:t>
      </w:r>
      <w:r>
        <w:rPr>
          <w:rFonts w:hint="eastAsia"/>
        </w:rPr>
        <w:t>℃左右时最活跃的是嗜热真菌和放线菌活动，温度升至</w:t>
      </w:r>
      <w:r>
        <w:t>70</w:t>
      </w:r>
      <w:r>
        <w:rPr>
          <w:rFonts w:hint="eastAsia"/>
        </w:rPr>
        <w:t xml:space="preserve">℃时大多数嗜热微生物已不再适应，并大批进入休眠和死亡阶段。 </w:t>
      </w:r>
    </w:p>
    <w:p>
      <w:pPr>
        <w:ind w:firstLine="480"/>
      </w:pPr>
      <w:r>
        <w:rPr>
          <w:rFonts w:hint="eastAsia"/>
        </w:rPr>
        <w:t>项目采用现代化的工艺生产有机肥，最佳温度为</w:t>
      </w:r>
      <w:r>
        <w:t>55</w:t>
      </w:r>
      <w:r>
        <w:rPr>
          <w:rFonts w:hint="eastAsia"/>
        </w:rPr>
        <w:t xml:space="preserve">℃，这是因为大多数微生物在该温度范围内最活跃，最易分解有机物，而病原菌和寄生虫大多数可被杀死。 </w:t>
      </w:r>
    </w:p>
    <w:p>
      <w:pPr>
        <w:ind w:firstLine="480"/>
      </w:pPr>
      <w:r>
        <w:rPr>
          <w:rFonts w:hint="eastAsia"/>
        </w:rPr>
        <w:t xml:space="preserve">③降温阶段 </w:t>
      </w:r>
    </w:p>
    <w:p>
      <w:pPr>
        <w:ind w:firstLine="480"/>
      </w:pPr>
      <w:r>
        <w:rPr>
          <w:rFonts w:hint="eastAsia"/>
        </w:rPr>
        <w:t xml:space="preserve">高温阶段必然造成微生物的死亡和活动减少，自然进入低温阶段。在这一阶 </w:t>
      </w:r>
    </w:p>
    <w:p>
      <w:pPr>
        <w:ind w:firstLine="0" w:firstLineChars="0"/>
      </w:pPr>
      <w:r>
        <w:rPr>
          <w:rFonts w:hint="eastAsia"/>
        </w:rPr>
        <w:t xml:space="preserve">段，嗜温性微生物又开始占据优势，对残留较难分解的有机物作进一步的分解， 但微生物活性普遍下降，堆体发热量减少，温度开始下降，有机物趋于稳定化，需氧量大大减少，堆肥进入腐熟或后熟阶段。 </w:t>
      </w:r>
    </w:p>
    <w:p>
      <w:pPr>
        <w:ind w:firstLine="480"/>
      </w:pPr>
      <w:r>
        <w:rPr>
          <w:rFonts w:hint="eastAsia"/>
        </w:rPr>
        <w:t xml:space="preserve">④腐熟保肥阶段 </w:t>
      </w:r>
    </w:p>
    <w:p>
      <w:pPr>
        <w:ind w:firstLine="480"/>
      </w:pPr>
      <w:r>
        <w:rPr>
          <w:rFonts w:hint="eastAsia"/>
        </w:rPr>
        <w:t>有机物大部分已经分解和稳定，温度下降，为了保持已形成的腐殖质和微量</w:t>
      </w:r>
    </w:p>
    <w:p>
      <w:pPr>
        <w:ind w:firstLine="0" w:firstLineChars="0"/>
      </w:pPr>
      <w:r>
        <w:rPr>
          <w:rFonts w:hint="eastAsia"/>
        </w:rPr>
        <w:t>的氮、磷、钾肥等，要使腐熟的肥料保持平衡。堆肥腐熟后，体积缩小，堆温下</w:t>
      </w:r>
    </w:p>
    <w:p>
      <w:pPr>
        <w:ind w:firstLine="0" w:firstLineChars="0"/>
      </w:pPr>
      <w:r>
        <w:rPr>
          <w:rFonts w:hint="eastAsia"/>
        </w:rPr>
        <w:t>降至稍高于气温，应将堆体压紧，有机成分处于厌氧条件下，防止出现矿质化，</w:t>
      </w:r>
    </w:p>
    <w:p>
      <w:pPr>
        <w:ind w:firstLine="0" w:firstLineChars="0"/>
      </w:pPr>
      <w:r>
        <w:rPr>
          <w:rFonts w:hint="eastAsia"/>
        </w:rPr>
        <w:t>以利于肥力的保存。</w:t>
      </w:r>
    </w:p>
    <w:p>
      <w:pPr>
        <w:widowControl/>
        <w:ind w:firstLine="480"/>
        <w:jc w:val="left"/>
      </w:pPr>
      <w:r>
        <w:rPr>
          <w:rFonts w:hint="eastAsia"/>
        </w:rPr>
        <w:t>堆肥过程中产生的废气主要为</w:t>
      </w:r>
      <w:r>
        <w:t>粪便在堆肥过程中会产生一定的恶臭气体</w:t>
      </w:r>
      <w:r>
        <w:rPr>
          <w:rFonts w:hint="eastAsia"/>
        </w:rPr>
        <w:t>G3。</w:t>
      </w:r>
    </w:p>
    <w:p>
      <w:pPr>
        <w:pStyle w:val="5"/>
      </w:pPr>
      <w:r>
        <w:rPr>
          <w:rFonts w:hint="eastAsia"/>
        </w:rPr>
        <w:t>病死羊及分娩物无害化处理工艺</w:t>
      </w:r>
    </w:p>
    <w:p>
      <w:pPr>
        <w:ind w:firstLine="480"/>
      </w:pPr>
      <w:r>
        <w:rPr>
          <w:rFonts w:hint="eastAsia"/>
        </w:rPr>
        <w:t>本项目拟采用化制法对病死动物进行无害化处理，属于《产业结构调整指导目录（2019年本）》及其修改单（国家发改委令2019年第29号）中列出的鼓励类“一、农林业，30.有机废弃物无害化处理及有机肥料产业化技术开发与应用”和“三十八、环境保护与资源节约综合利用，20.城镇垃圾及其他固体废弃物减量化、资源化、无害化处理和综合利用工程中的资源化”。</w:t>
      </w:r>
    </w:p>
    <w:p>
      <w:pPr>
        <w:ind w:firstLine="480"/>
        <w:rPr>
          <w:color w:val="000000" w:themeColor="text1"/>
          <w14:textFill>
            <w14:solidFill>
              <w14:schemeClr w14:val="tx1"/>
            </w14:solidFill>
          </w14:textFill>
        </w:rPr>
      </w:pPr>
      <w:r>
        <w:rPr>
          <w:rFonts w:hint="eastAsia"/>
        </w:rPr>
        <w:t>本项目拟采用的化制法对病死动物进行高温高压无害化处理，</w:t>
      </w:r>
      <w:r>
        <w:rPr>
          <w:rFonts w:hint="eastAsia"/>
          <w:color w:val="000000" w:themeColor="text1"/>
          <w14:textFill>
            <w14:solidFill>
              <w14:schemeClr w14:val="tx1"/>
            </w14:solidFill>
          </w14:textFill>
        </w:rPr>
        <w:t>按照动物卫生防疫部门管理要求进行用于病死羊安全处理剩余残渣生产有机肥，</w:t>
      </w:r>
      <w:r>
        <w:rPr>
          <w:rFonts w:hint="eastAsia"/>
        </w:rPr>
        <w:t>整个过程不添加任何辅料，该方法为《病死动物无害化处理技术规范》（</w:t>
      </w:r>
      <w:r>
        <w:rPr>
          <w:rFonts w:hint="eastAsia"/>
          <w:color w:val="000000" w:themeColor="text1"/>
          <w14:textFill>
            <w14:solidFill>
              <w14:schemeClr w14:val="tx1"/>
            </w14:solidFill>
          </w14:textFill>
        </w:rPr>
        <w:t>农医发〔2017〕25号</w:t>
      </w:r>
      <w:r>
        <w:rPr>
          <w:rFonts w:hint="eastAsia"/>
        </w:rPr>
        <w:t>）中推荐的工艺方法，同时满足</w:t>
      </w:r>
      <w:r>
        <w:rPr>
          <w:rFonts w:hint="eastAsia"/>
          <w:color w:val="000000" w:themeColor="text1"/>
          <w14:textFill>
            <w14:solidFill>
              <w14:schemeClr w14:val="tx1"/>
            </w14:solidFill>
          </w14:textFill>
        </w:rPr>
        <w:t>《畜禽养殖业污染治理工程技术规范》（HJ497-2009）、《畜禽养殖业污染防治技术规范》（HJ/T81-2001）中关于病死畜禽尸体处理和处置的要求。</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破碎预处理</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通过全封闭输送带将</w:t>
      </w:r>
      <w:r>
        <w:rPr>
          <w:rFonts w:hint="eastAsia"/>
          <w:color w:val="000000" w:themeColor="text1"/>
          <w14:textFill>
            <w14:solidFill>
              <w14:schemeClr w14:val="tx1"/>
            </w14:solidFill>
          </w14:textFill>
        </w:rPr>
        <w:t>病死动物</w:t>
      </w:r>
      <w:r>
        <w:rPr>
          <w:color w:val="000000" w:themeColor="text1"/>
          <w14:textFill>
            <w14:solidFill>
              <w14:schemeClr w14:val="tx1"/>
            </w14:solidFill>
          </w14:textFill>
        </w:rPr>
        <w:t>输送进入全封闭破碎机内，物料在密闭的环境下被破碎成直径50mm左右的肉块后通过全封闭输送带送入干化机，进行下一步操作。</w:t>
      </w:r>
    </w:p>
    <w:p>
      <w:pPr>
        <w:bidi w:val="0"/>
      </w:pPr>
      <w:r>
        <w:rPr>
          <w:rFonts w:hint="eastAsia"/>
        </w:rPr>
        <w:t>（2）</w:t>
      </w:r>
      <w:r>
        <w:t>化制</w:t>
      </w:r>
    </w:p>
    <w:p>
      <w:pPr>
        <w:bidi w:val="0"/>
      </w:pPr>
      <w:r>
        <w:rPr>
          <w:rFonts w:hint="eastAsia"/>
        </w:rPr>
        <w:t>本项目化制工艺采用《病死动物无害化处理技术规范》（农医发〔2017〕25号）中推荐的高温化制干化法。物料进入高温灭菌炉后，通过</w:t>
      </w:r>
      <w:r>
        <w:rPr>
          <w:rFonts w:hint="eastAsia"/>
          <w:lang w:val="en-US" w:eastAsia="zh-CN"/>
        </w:rPr>
        <w:t>电进行加热</w:t>
      </w:r>
      <w:r>
        <w:rPr>
          <w:rFonts w:hint="eastAsia"/>
        </w:rPr>
        <w:t>，灭菌杀毒过程所用蒸汽是循环蒸汽（蒸汽是在化制罐夹层和空气轴中循环，不直接接触病死羊），在200℃持续90min后，将温度保持在120℃继续保压提炼30min。因病死动物病毒一般在70℃下难以存活，通过该高温灭菌提炼后，能够保证完成杀灭一、二、三类动物疫病病种名录中的所有病毒。120min（</w:t>
      </w:r>
      <w:r>
        <w:t>体处理时间随需处理动物尸体或破碎产物种类和体积大小可调整</w:t>
      </w:r>
      <w:r>
        <w:rPr>
          <w:rFonts w:hint="eastAsia"/>
        </w:rPr>
        <w:t>）后，开启泄压阀门</w:t>
      </w:r>
      <w:r>
        <w:t>，进入干燥阶段</w:t>
      </w:r>
      <w:r>
        <w:rPr>
          <w:rFonts w:hint="eastAsia"/>
        </w:rPr>
        <w:t>。</w:t>
      </w:r>
    </w:p>
    <w:p>
      <w:pPr>
        <w:ind w:left="480" w:leftChars="200" w:firstLine="0" w:firstLineChars="0"/>
      </w:pPr>
      <w:r>
        <w:rPr>
          <w:rFonts w:hint="eastAsia"/>
        </w:rPr>
        <w:t>（3）干燥</w:t>
      </w:r>
    </w:p>
    <w:p>
      <w:pPr>
        <w:ind w:firstLine="480"/>
        <w:rPr>
          <w:color w:val="000000" w:themeColor="text1"/>
          <w14:textFill>
            <w14:solidFill>
              <w14:schemeClr w14:val="tx1"/>
            </w14:solidFill>
          </w14:textFill>
        </w:rPr>
      </w:pPr>
      <w:r>
        <w:rPr>
          <w:rFonts w:hint="eastAsia"/>
        </w:rPr>
        <w:t>罐内物料经提炼后进入</w:t>
      </w:r>
      <w:r>
        <w:rPr>
          <w:color w:val="000000" w:themeColor="text1"/>
          <w14:textFill>
            <w14:solidFill>
              <w14:schemeClr w14:val="tx1"/>
            </w14:solidFill>
          </w14:textFill>
        </w:rPr>
        <w:t>低温真空干燥，干燥4~5小时（可调整）后，得到含水量降至12%的动物尸体残渣，</w:t>
      </w:r>
      <w:r>
        <w:rPr>
          <w:rFonts w:hint="eastAsia"/>
          <w:color w:val="000000" w:themeColor="text1"/>
          <w14:textFill>
            <w14:solidFill>
              <w14:schemeClr w14:val="tx1"/>
            </w14:solidFill>
          </w14:textFill>
        </w:rPr>
        <w:t>动物残渣按投料的50%计，出料后用运至</w:t>
      </w:r>
      <w:r>
        <w:rPr>
          <w:rFonts w:hint="eastAsia"/>
          <w:color w:val="92D050"/>
          <w:lang w:val="en-US" w:eastAsia="zh-CN"/>
        </w:rPr>
        <w:t>有机肥堆场</w:t>
      </w:r>
      <w:r>
        <w:rPr>
          <w:rFonts w:hint="eastAsia"/>
          <w:color w:val="000000" w:themeColor="text1"/>
          <w14:textFill>
            <w14:solidFill>
              <w14:schemeClr w14:val="tx1"/>
            </w14:solidFill>
          </w14:textFill>
        </w:rPr>
        <w:t>进行有机肥制作</w:t>
      </w:r>
      <w:r>
        <w:rPr>
          <w:color w:val="000000" w:themeColor="text1"/>
          <w14:textFill>
            <w14:solidFill>
              <w14:schemeClr w14:val="tx1"/>
            </w14:solidFill>
          </w14:textFill>
        </w:rPr>
        <w:t>。</w:t>
      </w:r>
    </w:p>
    <w:p>
      <w:pPr>
        <w:widowControl/>
        <w:ind w:firstLine="480"/>
        <w:jc w:val="left"/>
      </w:pPr>
      <w:r>
        <w:rPr>
          <w:rFonts w:hint="eastAsia"/>
        </w:rPr>
        <w:t>高温化制干化</w:t>
      </w:r>
      <w:r>
        <w:rPr>
          <w:rFonts w:hint="eastAsia" w:ascii="宋体" w:hAnsi="宋体" w:cs="宋体"/>
          <w:color w:val="000000"/>
          <w:kern w:val="0"/>
          <w:lang w:bidi="ar"/>
        </w:rPr>
        <w:t xml:space="preserve">过程中由于高温作用，处理物所含的水分将以蒸气的形式排放 </w:t>
      </w:r>
    </w:p>
    <w:p>
      <w:pPr>
        <w:widowControl/>
        <w:ind w:firstLine="0" w:firstLineChars="0"/>
        <w:jc w:val="left"/>
        <w:rPr>
          <w:color w:val="000000" w:themeColor="text1"/>
          <w14:textFill>
            <w14:solidFill>
              <w14:schemeClr w14:val="tx1"/>
            </w14:solidFill>
          </w14:textFill>
        </w:rPr>
      </w:pPr>
      <w:r>
        <w:rPr>
          <w:rFonts w:hint="eastAsia" w:ascii="宋体" w:hAnsi="宋体" w:cs="宋体"/>
          <w:color w:val="000000"/>
          <w:kern w:val="0"/>
          <w:lang w:bidi="ar"/>
        </w:rPr>
        <w:t>至空气中，同时还会产生恶臭气体（</w:t>
      </w:r>
      <w:r>
        <w:rPr>
          <w:color w:val="000000"/>
          <w:kern w:val="0"/>
          <w:lang w:bidi="ar"/>
        </w:rPr>
        <w:t>NH</w:t>
      </w:r>
      <w:r>
        <w:rPr>
          <w:color w:val="000000"/>
          <w:kern w:val="0"/>
          <w:sz w:val="15"/>
          <w:szCs w:val="15"/>
          <w:lang w:bidi="ar"/>
        </w:rPr>
        <w:t>3</w:t>
      </w:r>
      <w:r>
        <w:rPr>
          <w:rFonts w:hint="eastAsia" w:ascii="宋体" w:hAnsi="宋体" w:cs="宋体"/>
          <w:color w:val="000000"/>
          <w:kern w:val="0"/>
          <w:lang w:bidi="ar"/>
        </w:rPr>
        <w:t xml:space="preserve">和 </w:t>
      </w:r>
      <w:r>
        <w:rPr>
          <w:color w:val="000000"/>
          <w:kern w:val="0"/>
          <w:lang w:bidi="ar"/>
        </w:rPr>
        <w:t>H</w:t>
      </w:r>
      <w:r>
        <w:rPr>
          <w:color w:val="000000"/>
          <w:kern w:val="0"/>
          <w:sz w:val="15"/>
          <w:szCs w:val="15"/>
          <w:lang w:bidi="ar"/>
        </w:rPr>
        <w:t>2</w:t>
      </w:r>
      <w:r>
        <w:rPr>
          <w:color w:val="000000"/>
          <w:kern w:val="0"/>
          <w:lang w:bidi="ar"/>
        </w:rPr>
        <w:t>S</w:t>
      </w:r>
      <w:r>
        <w:rPr>
          <w:rFonts w:hint="eastAsia" w:ascii="宋体" w:hAnsi="宋体" w:cs="宋体"/>
          <w:color w:val="000000"/>
          <w:kern w:val="0"/>
          <w:lang w:bidi="ar"/>
        </w:rPr>
        <w:t>），产生的废气收集处理后排放，本项目在无害化处理间设置一套生物除臭塔，废气经生物除臭后经过</w:t>
      </w:r>
      <w:r>
        <w:rPr>
          <w:color w:val="000000"/>
          <w:kern w:val="0"/>
          <w:lang w:bidi="ar"/>
        </w:rPr>
        <w:t>15m</w:t>
      </w:r>
      <w:r>
        <w:rPr>
          <w:rFonts w:hint="eastAsia" w:ascii="宋体" w:hAnsi="宋体" w:cs="宋体"/>
          <w:color w:val="000000"/>
          <w:kern w:val="0"/>
          <w:lang w:bidi="ar"/>
        </w:rPr>
        <w:t>高排气筒</w:t>
      </w:r>
      <w:r>
        <w:rPr>
          <w:rFonts w:hint="eastAsia" w:ascii="宋体" w:hAnsi="宋体" w:cs="宋体"/>
          <w:color w:val="000000"/>
          <w:kern w:val="0"/>
          <w:lang w:val="en-US" w:eastAsia="zh-CN" w:bidi="ar"/>
        </w:rPr>
        <w:t>DA001</w:t>
      </w:r>
      <w:r>
        <w:rPr>
          <w:rFonts w:hint="eastAsia" w:ascii="宋体" w:hAnsi="宋体" w:cs="宋体"/>
          <w:color w:val="000000"/>
          <w:kern w:val="0"/>
          <w:lang w:bidi="ar"/>
        </w:rPr>
        <w:t>排放。无害化处理过程中产生的动物尸体残渣送至有机肥生产车间加工成有机肥。水蒸气经过冷凝后</w:t>
      </w:r>
      <w:r>
        <w:rPr>
          <w:rFonts w:hint="eastAsia"/>
          <w:color w:val="000000" w:themeColor="text1"/>
          <w14:textFill>
            <w14:solidFill>
              <w14:schemeClr w14:val="tx1"/>
            </w14:solidFill>
          </w14:textFill>
        </w:rPr>
        <w:t>用于有机肥制作补水，不外排。</w:t>
      </w:r>
    </w:p>
    <w:p>
      <w:pPr>
        <w:ind w:firstLine="480"/>
      </w:pPr>
      <w:r>
        <w:rPr>
          <w:rFonts w:hint="eastAsia"/>
        </w:rPr>
        <w:t>该车间产生的污染物主要为无害化车间废气G</w:t>
      </w:r>
      <w:r>
        <w:rPr>
          <w:rFonts w:hint="eastAsia"/>
          <w:lang w:val="en-US" w:eastAsia="zh-CN"/>
        </w:rPr>
        <w:t>4</w:t>
      </w:r>
      <w:r>
        <w:rPr>
          <w:rFonts w:hint="eastAsia"/>
        </w:rPr>
        <w:t>和噪声N4。</w:t>
      </w:r>
    </w:p>
    <w:p>
      <w:pPr>
        <w:pStyle w:val="6"/>
      </w:pPr>
      <w:r>
        <w:t>表</w:t>
      </w:r>
      <w:r>
        <w:rPr>
          <w:rFonts w:hint="eastAsia"/>
        </w:rPr>
        <w:t xml:space="preserve">3.3.2-1    </w:t>
      </w:r>
      <w:r>
        <w:t>项目排污环节分析一览表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742"/>
        <w:gridCol w:w="1296"/>
        <w:gridCol w:w="1366"/>
        <w:gridCol w:w="4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378"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类别</w:t>
            </w:r>
          </w:p>
        </w:tc>
        <w:tc>
          <w:tcPr>
            <w:tcW w:w="443"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编号</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污染工序</w:t>
            </w:r>
          </w:p>
        </w:tc>
        <w:tc>
          <w:tcPr>
            <w:tcW w:w="816"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主要污染物</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处理措施/去向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restar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废气</w:t>
            </w:r>
          </w:p>
        </w:tc>
        <w:tc>
          <w:tcPr>
            <w:tcW w:w="443"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G1</w:t>
            </w:r>
          </w:p>
        </w:tc>
        <w:tc>
          <w:tcPr>
            <w:tcW w:w="774" w:type="pct"/>
            <w:tcMar>
              <w:left w:w="28" w:type="dxa"/>
              <w:right w:w="28" w:type="dxa"/>
            </w:tcMar>
            <w:vAlign w:val="center"/>
          </w:tcPr>
          <w:p>
            <w:pPr>
              <w:pStyle w:val="232"/>
              <w:rPr>
                <w:color w:val="000000" w:themeColor="text1"/>
                <w:szCs w:val="22"/>
                <w14:textFill>
                  <w14:solidFill>
                    <w14:schemeClr w14:val="tx1"/>
                  </w14:solidFill>
                </w14:textFill>
              </w:rPr>
            </w:pPr>
            <w:r>
              <w:rPr>
                <w:color w:val="000000" w:themeColor="text1"/>
                <w14:textFill>
                  <w14:solidFill>
                    <w14:schemeClr w14:val="tx1"/>
                  </w14:solidFill>
                </w14:textFill>
              </w:rPr>
              <w:t>饲料</w:t>
            </w:r>
            <w:r>
              <w:rPr>
                <w:rFonts w:hint="eastAsia"/>
                <w:color w:val="000000" w:themeColor="text1"/>
                <w14:textFill>
                  <w14:solidFill>
                    <w14:schemeClr w14:val="tx1"/>
                  </w14:solidFill>
                </w14:textFill>
              </w:rPr>
              <w:t>配料</w:t>
            </w:r>
          </w:p>
        </w:tc>
        <w:tc>
          <w:tcPr>
            <w:tcW w:w="816" w:type="pct"/>
            <w:tcMar>
              <w:left w:w="28" w:type="dxa"/>
              <w:right w:w="28" w:type="dxa"/>
            </w:tcMar>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M1：</w:t>
            </w:r>
            <w:r>
              <w:rPr>
                <w:color w:val="000000" w:themeColor="text1"/>
                <w14:textFill>
                  <w14:solidFill>
                    <w14:schemeClr w14:val="tx1"/>
                  </w14:solidFill>
                </w14:textFill>
              </w:rPr>
              <w:t>粉尘</w:t>
            </w:r>
          </w:p>
        </w:tc>
        <w:tc>
          <w:tcPr>
            <w:tcW w:w="2587" w:type="pct"/>
            <w:tcMar>
              <w:left w:w="28" w:type="dxa"/>
              <w:right w:w="28" w:type="dxa"/>
            </w:tcMar>
            <w:vAlign w:val="center"/>
          </w:tcPr>
          <w:p>
            <w:pPr>
              <w:pStyle w:val="232"/>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TMR操作间全密闭无通风口饲料配制期间门窗紧闭，搅拌过程产生的粉尘通过搅拌机配备的布袋除尘器处理后无组织排放，排放粉尘99%被布袋除尘器收集后送至</w:t>
            </w:r>
            <w:r>
              <w:rPr>
                <w:rFonts w:hint="eastAsia"/>
                <w:color w:val="92D050"/>
                <w:szCs w:val="22"/>
                <w:lang w:eastAsia="zh-CN"/>
              </w:rPr>
              <w:t>有机肥堆场</w:t>
            </w:r>
            <w:r>
              <w:rPr>
                <w:rFonts w:hint="eastAsia"/>
                <w:color w:val="000000" w:themeColor="text1"/>
                <w:szCs w:val="22"/>
                <w14:textFill>
                  <w14:solidFill>
                    <w14:schemeClr w14:val="tx1"/>
                  </w14:solidFill>
                </w14:textFill>
              </w:rPr>
              <w:t>生产有机肥，未拦截的1%排放于大气环境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G</w:t>
            </w:r>
            <w:r>
              <w:rPr>
                <w:rFonts w:hint="eastAsia"/>
                <w:color w:val="000000" w:themeColor="text1"/>
                <w14:textFill>
                  <w14:solidFill>
                    <w14:schemeClr w14:val="tx1"/>
                  </w14:solidFill>
                </w14:textFill>
              </w:rPr>
              <w:t>2</w:t>
            </w:r>
          </w:p>
        </w:tc>
        <w:tc>
          <w:tcPr>
            <w:tcW w:w="774" w:type="pct"/>
            <w:tcMar>
              <w:left w:w="28" w:type="dxa"/>
              <w:right w:w="28" w:type="dxa"/>
            </w:tcMar>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羊</w:t>
            </w:r>
            <w:r>
              <w:rPr>
                <w:color w:val="000000" w:themeColor="text1"/>
                <w14:textFill>
                  <w14:solidFill>
                    <w14:schemeClr w14:val="tx1"/>
                  </w14:solidFill>
                </w14:textFill>
              </w:rPr>
              <w:t>舍</w:t>
            </w:r>
          </w:p>
        </w:tc>
        <w:tc>
          <w:tcPr>
            <w:tcW w:w="816" w:type="pct"/>
            <w:tcMar>
              <w:left w:w="28" w:type="dxa"/>
              <w:right w:w="28" w:type="dxa"/>
            </w:tcMar>
            <w:vAlign w:val="center"/>
          </w:tcPr>
          <w:p>
            <w:pPr>
              <w:pStyle w:val="232"/>
              <w:rPr>
                <w:color w:val="000000" w:themeColor="text1"/>
                <w:szCs w:val="22"/>
                <w14:textFill>
                  <w14:solidFill>
                    <w14:schemeClr w14:val="tx1"/>
                  </w14:solidFill>
                </w14:textFill>
              </w:rPr>
            </w:pPr>
            <w:r>
              <w:rPr>
                <w:rFonts w:hint="eastAsia"/>
                <w:color w:val="000000" w:themeColor="text1"/>
                <w14:textFill>
                  <w14:solidFill>
                    <w14:schemeClr w14:val="tx1"/>
                  </w14:solidFill>
                </w14:textFill>
              </w:rPr>
              <w:t>M2：</w:t>
            </w:r>
            <w:r>
              <w:rPr>
                <w:color w:val="000000" w:themeColor="text1"/>
                <w14:textFill>
                  <w14:solidFill>
                    <w14:schemeClr w14:val="tx1"/>
                  </w14:solidFill>
                </w14:textFill>
              </w:rPr>
              <w:t>硫化氢、氨气、臭气浓度</w:t>
            </w:r>
          </w:p>
        </w:tc>
        <w:tc>
          <w:tcPr>
            <w:tcW w:w="2587" w:type="pct"/>
            <w:tcMar>
              <w:left w:w="28" w:type="dxa"/>
              <w:right w:w="28" w:type="dxa"/>
            </w:tcMar>
            <w:vAlign w:val="center"/>
          </w:tcPr>
          <w:p>
            <w:pPr>
              <w:pStyle w:val="232"/>
              <w:rPr>
                <w:color w:val="000000" w:themeColor="text1"/>
                <w:szCs w:val="22"/>
                <w14:textFill>
                  <w14:solidFill>
                    <w14:schemeClr w14:val="tx1"/>
                  </w14:solidFill>
                </w14:textFill>
              </w:rPr>
            </w:pPr>
            <w:r>
              <w:rPr>
                <w:color w:val="000000" w:themeColor="text1"/>
                <w14:textFill>
                  <w14:solidFill>
                    <w14:schemeClr w14:val="tx1"/>
                  </w14:solidFill>
                </w14:textFill>
              </w:rPr>
              <w:t>科学喂养，饲料添加</w:t>
            </w:r>
            <w:r>
              <w:rPr>
                <w:rFonts w:hint="eastAsia"/>
                <w:color w:val="000000" w:themeColor="text1"/>
                <w14:textFill>
                  <w14:solidFill>
                    <w14:schemeClr w14:val="tx1"/>
                  </w14:solidFill>
                </w14:textFill>
              </w:rPr>
              <w:t>EM</w:t>
            </w:r>
            <w:r>
              <w:rPr>
                <w:color w:val="000000" w:themeColor="text1"/>
                <w14:textFill>
                  <w14:solidFill>
                    <w14:schemeClr w14:val="tx1"/>
                  </w14:solidFill>
                </w14:textFill>
              </w:rPr>
              <w:t>剂、干清粪、粪污</w:t>
            </w:r>
            <w:r>
              <w:rPr>
                <w:rFonts w:hint="eastAsia"/>
                <w:color w:val="000000" w:themeColor="text1"/>
                <w:lang w:eastAsia="zh-CN"/>
                <w14:textFill>
                  <w14:solidFill>
                    <w14:schemeClr w14:val="tx1"/>
                  </w14:solidFill>
                </w14:textFill>
              </w:rPr>
              <w:t>及时清理</w:t>
            </w:r>
            <w:r>
              <w:rPr>
                <w:color w:val="000000" w:themeColor="text1"/>
                <w14:textFill>
                  <w14:solidFill>
                    <w14:schemeClr w14:val="tx1"/>
                  </w14:solidFill>
                </w14:textFill>
              </w:rPr>
              <w:t>、加强</w:t>
            </w:r>
            <w:r>
              <w:rPr>
                <w:rFonts w:hint="eastAsia"/>
                <w:color w:val="000000" w:themeColor="text1"/>
                <w14:textFill>
                  <w14:solidFill>
                    <w14:schemeClr w14:val="tx1"/>
                  </w14:solidFill>
                </w14:textFill>
              </w:rPr>
              <w:t>羊</w:t>
            </w:r>
            <w:r>
              <w:rPr>
                <w:color w:val="000000" w:themeColor="text1"/>
                <w14:textFill>
                  <w14:solidFill>
                    <w14:schemeClr w14:val="tx1"/>
                  </w14:solidFill>
                </w14:textFill>
              </w:rPr>
              <w:t>舍通风、喷洒</w:t>
            </w:r>
            <w:r>
              <w:rPr>
                <w:rFonts w:hint="eastAsia"/>
                <w:color w:val="000000" w:themeColor="text1"/>
                <w14:textFill>
                  <w14:solidFill>
                    <w14:schemeClr w14:val="tx1"/>
                  </w14:solidFill>
                </w14:textFill>
              </w:rPr>
              <w:t>生物</w:t>
            </w:r>
            <w:r>
              <w:rPr>
                <w:color w:val="000000" w:themeColor="text1"/>
                <w14:textFill>
                  <w14:solidFill>
                    <w14:schemeClr w14:val="tx1"/>
                  </w14:solidFill>
                </w14:textFill>
              </w:rPr>
              <w:t>除臭剂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G</w:t>
            </w:r>
            <w:r>
              <w:rPr>
                <w:rFonts w:hint="eastAsia"/>
                <w:color w:val="000000" w:themeColor="text1"/>
                <w14:textFill>
                  <w14:solidFill>
                    <w14:schemeClr w14:val="tx1"/>
                  </w14:solidFill>
                </w14:textFill>
              </w:rPr>
              <w:t>3</w:t>
            </w:r>
          </w:p>
        </w:tc>
        <w:tc>
          <w:tcPr>
            <w:tcW w:w="774" w:type="pct"/>
            <w:tcMar>
              <w:left w:w="28" w:type="dxa"/>
              <w:right w:w="28" w:type="dxa"/>
            </w:tcMar>
            <w:vAlign w:val="center"/>
          </w:tcPr>
          <w:p>
            <w:pPr>
              <w:pStyle w:val="232"/>
              <w:rPr>
                <w:rFonts w:hint="eastAsia" w:eastAsia="宋体"/>
                <w:color w:val="000000" w:themeColor="text1"/>
                <w:szCs w:val="22"/>
                <w:lang w:eastAsia="zh-CN"/>
                <w14:textFill>
                  <w14:solidFill>
                    <w14:schemeClr w14:val="tx1"/>
                  </w14:solidFill>
                </w14:textFill>
              </w:rPr>
            </w:pPr>
            <w:r>
              <w:rPr>
                <w:rFonts w:hint="eastAsia"/>
                <w:color w:val="92D050"/>
                <w:szCs w:val="22"/>
                <w:lang w:val="en-US" w:eastAsia="zh-CN"/>
              </w:rPr>
              <w:t>好氧堆肥</w:t>
            </w:r>
          </w:p>
        </w:tc>
        <w:tc>
          <w:tcPr>
            <w:tcW w:w="816" w:type="pct"/>
            <w:tcMar>
              <w:left w:w="28" w:type="dxa"/>
              <w:right w:w="28" w:type="dxa"/>
            </w:tcMar>
            <w:vAlign w:val="center"/>
          </w:tcPr>
          <w:p>
            <w:pPr>
              <w:pStyle w:val="232"/>
              <w:rPr>
                <w:rFonts w:hint="default" w:eastAsia="宋体"/>
                <w:color w:val="000000" w:themeColor="text1"/>
                <w:szCs w:val="22"/>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M3：</w:t>
            </w:r>
            <w:r>
              <w:rPr>
                <w:color w:val="000000" w:themeColor="text1"/>
                <w14:textFill>
                  <w14:solidFill>
                    <w14:schemeClr w14:val="tx1"/>
                  </w14:solidFill>
                </w14:textFill>
              </w:rPr>
              <w:t>氨气、</w:t>
            </w:r>
            <w:r>
              <w:rPr>
                <w:rFonts w:hint="eastAsia"/>
                <w:color w:val="000000" w:themeColor="text1"/>
                <w:lang w:val="en-US" w:eastAsia="zh-CN"/>
                <w14:textFill>
                  <w14:solidFill>
                    <w14:schemeClr w14:val="tx1"/>
                  </w14:solidFill>
                </w14:textFill>
              </w:rPr>
              <w:t>硫化氢、</w:t>
            </w:r>
            <w:r>
              <w:rPr>
                <w:color w:val="000000" w:themeColor="text1"/>
                <w14:textFill>
                  <w14:solidFill>
                    <w14:schemeClr w14:val="tx1"/>
                  </w14:solidFill>
                </w14:textFill>
              </w:rPr>
              <w:t>臭气浓度</w:t>
            </w:r>
          </w:p>
        </w:tc>
        <w:tc>
          <w:tcPr>
            <w:tcW w:w="2587" w:type="pct"/>
            <w:tcMar>
              <w:left w:w="28" w:type="dxa"/>
              <w:right w:w="28" w:type="dxa"/>
            </w:tcMar>
            <w:vAlign w:val="center"/>
          </w:tcPr>
          <w:p>
            <w:pPr>
              <w:pStyle w:val="232"/>
              <w:rPr>
                <w:color w:val="000000" w:themeColor="text1"/>
                <w:szCs w:val="22"/>
                <w14:textFill>
                  <w14:solidFill>
                    <w14:schemeClr w14:val="tx1"/>
                  </w14:solidFill>
                </w14:textFill>
              </w:rPr>
            </w:pPr>
            <w:r>
              <w:rPr>
                <w:rFonts w:hint="eastAsia"/>
                <w:color w:val="FF0000"/>
                <w:szCs w:val="22"/>
              </w:rPr>
              <w:t>本项目从饲料中添加EM菌群，能够从源头上减少氨气和硫化氢的产生，并及时对粪便进行清理，同时在栏舍范围内采用生物除臭技术，利用微生物菌群的分解、固化作用对已产生的臭气进行去除，同时加强四周场地绿化，在加强管理的前提下可有效减少恶臭污染物的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rFonts w:hint="eastAsia" w:eastAsia="宋体"/>
                <w:color w:val="000000" w:themeColor="text1"/>
                <w:szCs w:val="22"/>
                <w:lang w:eastAsia="zh-CN"/>
                <w14:textFill>
                  <w14:solidFill>
                    <w14:schemeClr w14:val="tx1"/>
                  </w14:solidFill>
                </w14:textFill>
              </w:rPr>
            </w:pPr>
            <w:r>
              <w:rPr>
                <w:rFonts w:hint="eastAsia"/>
                <w:color w:val="000000" w:themeColor="text1"/>
                <w14:textFill>
                  <w14:solidFill>
                    <w14:schemeClr w14:val="tx1"/>
                  </w14:solidFill>
                </w14:textFill>
              </w:rPr>
              <w:t>G</w:t>
            </w:r>
            <w:r>
              <w:rPr>
                <w:rFonts w:hint="eastAsia"/>
                <w:color w:val="000000" w:themeColor="text1"/>
                <w:lang w:val="en-US" w:eastAsia="zh-CN"/>
                <w14:textFill>
                  <w14:solidFill>
                    <w14:schemeClr w14:val="tx1"/>
                  </w14:solidFill>
                </w14:textFill>
              </w:rPr>
              <w:t>4</w:t>
            </w:r>
          </w:p>
        </w:tc>
        <w:tc>
          <w:tcPr>
            <w:tcW w:w="774" w:type="pct"/>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14:textFill>
                  <w14:solidFill>
                    <w14:schemeClr w14:val="tx1"/>
                  </w14:solidFill>
                </w14:textFill>
              </w:rPr>
            </w:pPr>
            <w:r>
              <w:rPr>
                <w:rFonts w:hint="eastAsia"/>
                <w:sz w:val="21"/>
                <w:szCs w:val="21"/>
                <w:highlight w:val="green"/>
                <w:lang w:val="en-US" w:eastAsia="zh-CN"/>
              </w:rPr>
              <w:t>病死羊及分娩物无害化处理</w:t>
            </w:r>
          </w:p>
        </w:tc>
        <w:tc>
          <w:tcPr>
            <w:tcW w:w="816" w:type="pct"/>
            <w:tcMar>
              <w:left w:w="28" w:type="dxa"/>
              <w:right w:w="28" w:type="dxa"/>
            </w:tcMar>
            <w:vAlign w:val="center"/>
          </w:tcPr>
          <w:p>
            <w:pPr>
              <w:pStyle w:val="232"/>
              <w:rPr>
                <w:color w:val="000000" w:themeColor="text1"/>
                <w14:textFill>
                  <w14:solidFill>
                    <w14:schemeClr w14:val="tx1"/>
                  </w14:solidFill>
                </w14:textFill>
              </w:rPr>
            </w:pPr>
            <w:r>
              <w:rPr>
                <w:rFonts w:hint="eastAsia"/>
                <w:lang w:val="en-US" w:eastAsia="zh-CN"/>
              </w:rPr>
              <w:t>DA001：</w:t>
            </w:r>
            <w:r>
              <w:rPr>
                <w:rFonts w:hint="eastAsia"/>
              </w:rPr>
              <w:t>NH</w:t>
            </w:r>
            <w:r>
              <w:rPr>
                <w:rFonts w:hint="eastAsia"/>
                <w:vertAlign w:val="subscript"/>
              </w:rPr>
              <w:t>3</w:t>
            </w:r>
            <w:r>
              <w:rPr>
                <w:rFonts w:hint="eastAsia"/>
              </w:rPr>
              <w:t>、H</w:t>
            </w:r>
            <w:r>
              <w:rPr>
                <w:rFonts w:hint="eastAsia"/>
                <w:vertAlign w:val="subscript"/>
              </w:rPr>
              <w:t>2</w:t>
            </w:r>
            <w:r>
              <w:rPr>
                <w:rFonts w:hint="eastAsia"/>
              </w:rPr>
              <w:t>S、臭气</w:t>
            </w:r>
          </w:p>
        </w:tc>
        <w:tc>
          <w:tcPr>
            <w:tcW w:w="2587" w:type="pct"/>
            <w:tcMar>
              <w:left w:w="28" w:type="dxa"/>
              <w:right w:w="28" w:type="dxa"/>
            </w:tcMar>
            <w:vAlign w:val="center"/>
          </w:tcPr>
          <w:p>
            <w:pPr>
              <w:pStyle w:val="232"/>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一体式无害化处理设置密闭车间，做顶部集气装置，</w:t>
            </w:r>
            <w:r>
              <w:rPr>
                <w:rFonts w:hint="eastAsia"/>
                <w:color w:val="000000" w:themeColor="text1"/>
                <w:szCs w:val="22"/>
                <w:lang w:val="en-US" w:eastAsia="zh-CN"/>
                <w14:textFill>
                  <w14:solidFill>
                    <w14:schemeClr w14:val="tx1"/>
                  </w14:solidFill>
                </w14:textFill>
              </w:rPr>
              <w:t>通过一套</w:t>
            </w:r>
            <w:r>
              <w:rPr>
                <w:rFonts w:hint="eastAsia"/>
                <w:color w:val="000000" w:themeColor="text1"/>
                <w:szCs w:val="22"/>
                <w14:textFill>
                  <w14:solidFill>
                    <w14:schemeClr w14:val="tx1"/>
                  </w14:solidFill>
                </w14:textFill>
              </w:rPr>
              <w:t>生物除臭塔进行处理后由车间排气筒DA001（15m高）排放，剩余未吸收部分以无组织形式M4排放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restar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废水</w:t>
            </w:r>
          </w:p>
        </w:tc>
        <w:tc>
          <w:tcPr>
            <w:tcW w:w="443"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W1</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羊尿</w:t>
            </w:r>
          </w:p>
        </w:tc>
        <w:tc>
          <w:tcPr>
            <w:tcW w:w="816"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COD、氨氮</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项目不单独对羊尿进行收集，随粪便漏入羊舍下层粪污通道后，采用干清粪法将其一同清入堆肥平台进行发酵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W2</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生活污水</w:t>
            </w:r>
          </w:p>
        </w:tc>
        <w:tc>
          <w:tcPr>
            <w:tcW w:w="816"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COD、BOD、氨氮、总氮、总磷、SS、动植物油</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生活污水经化粪池处理后定期委托</w:t>
            </w:r>
            <w:r>
              <w:rPr>
                <w:rFonts w:hint="eastAsia"/>
                <w:color w:val="000000" w:themeColor="text1"/>
                <w:kern w:val="0"/>
                <w:highlight w:val="green"/>
                <w:lang w:eastAsia="zh-CN"/>
                <w14:textFill>
                  <w14:solidFill>
                    <w14:schemeClr w14:val="tx1"/>
                  </w14:solidFill>
                </w14:textFill>
              </w:rPr>
              <w:t>五原县塔尔湖污水处理厂</w:t>
            </w:r>
            <w:r>
              <w:rPr>
                <w:rFonts w:hint="eastAsia"/>
                <w:color w:val="000000" w:themeColor="text1"/>
                <w:kern w:val="0"/>
                <w14:textFill>
                  <w14:solidFill>
                    <w14:schemeClr w14:val="tx1"/>
                  </w14:solidFill>
                </w14:textFill>
              </w:rPr>
              <w:t>采用罐车清运处理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W3</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无害化冷凝水</w:t>
            </w:r>
          </w:p>
        </w:tc>
        <w:tc>
          <w:tcPr>
            <w:tcW w:w="816"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SS、动植物油</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用于有机肥制作补水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restar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固废</w:t>
            </w:r>
          </w:p>
        </w:tc>
        <w:tc>
          <w:tcPr>
            <w:tcW w:w="443"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S</w:t>
            </w:r>
            <w:r>
              <w:rPr>
                <w:rFonts w:hint="eastAsia"/>
                <w:color w:val="000000" w:themeColor="text1"/>
                <w14:textFill>
                  <w14:solidFill>
                    <w14:schemeClr w14:val="tx1"/>
                  </w14:solidFill>
                </w14:textFill>
              </w:rPr>
              <w:t>1</w:t>
            </w:r>
          </w:p>
        </w:tc>
        <w:tc>
          <w:tcPr>
            <w:tcW w:w="774"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羊舍</w:t>
            </w:r>
            <w:r>
              <w:rPr>
                <w:color w:val="000000" w:themeColor="text1"/>
                <w14:textFill>
                  <w14:solidFill>
                    <w14:schemeClr w14:val="tx1"/>
                  </w14:solidFill>
                </w14:textFill>
              </w:rPr>
              <w:t>粪尿</w:t>
            </w:r>
          </w:p>
        </w:tc>
        <w:tc>
          <w:tcPr>
            <w:tcW w:w="816"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生产有机肥</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采用</w:t>
            </w:r>
            <w:r>
              <w:rPr>
                <w:color w:val="000000" w:themeColor="text1"/>
                <w14:textFill>
                  <w14:solidFill>
                    <w14:schemeClr w14:val="tx1"/>
                  </w14:solidFill>
                </w14:textFill>
              </w:rPr>
              <w:t>机械干清粪工艺</w:t>
            </w:r>
            <w:r>
              <w:rPr>
                <w:rFonts w:hint="eastAsia"/>
                <w:color w:val="000000" w:themeColor="text1"/>
                <w14:textFill>
                  <w14:solidFill>
                    <w14:schemeClr w14:val="tx1"/>
                  </w14:solidFill>
                </w14:textFill>
              </w:rPr>
              <w:t>（机械清理），集中收集到羊舍外直接装车拉运，通过车辆运输至</w:t>
            </w:r>
            <w:r>
              <w:rPr>
                <w:rFonts w:hint="eastAsia"/>
                <w:color w:val="92D050"/>
                <w:lang w:eastAsia="zh-CN"/>
              </w:rPr>
              <w:t>有机肥堆场</w:t>
            </w:r>
            <w:r>
              <w:rPr>
                <w:rFonts w:hint="eastAsia"/>
                <w:color w:val="000000" w:themeColor="text1"/>
                <w14:textFill>
                  <w14:solidFill>
                    <w14:schemeClr w14:val="tx1"/>
                  </w14:solidFill>
                </w14:textFill>
              </w:rPr>
              <w:t>，进行有机肥制作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S2</w:t>
            </w:r>
          </w:p>
        </w:tc>
        <w:tc>
          <w:tcPr>
            <w:tcW w:w="1590" w:type="pct"/>
            <w:gridSpan w:val="2"/>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病死羊及分娩物</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采用</w:t>
            </w:r>
            <w:r>
              <w:rPr>
                <w:rFonts w:hint="eastAsia"/>
                <w:color w:val="000000" w:themeColor="text1"/>
                <w14:textFill>
                  <w14:solidFill>
                    <w14:schemeClr w14:val="tx1"/>
                  </w14:solidFill>
                </w14:textFill>
              </w:rPr>
              <w:t>化制法对病死动物进行高温高压无害化处理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S3</w:t>
            </w:r>
          </w:p>
        </w:tc>
        <w:tc>
          <w:tcPr>
            <w:tcW w:w="1590" w:type="pct"/>
            <w:gridSpan w:val="2"/>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病死羊及分娩物无害化残渣</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经干化法无害化处理后产生的动物尸体残渣进一步无害化处理制作有机肥，不外排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t>S</w:t>
            </w:r>
            <w:r>
              <w:rPr>
                <w:rFonts w:hint="eastAsia"/>
                <w:color w:val="000000" w:themeColor="text1"/>
                <w:lang w:val="en-US" w:eastAsia="zh-CN"/>
                <w14:textFill>
                  <w14:solidFill>
                    <w14:schemeClr w14:val="tx1"/>
                  </w14:solidFill>
                </w14:textFill>
              </w:rPr>
              <w:t>4</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医疗废物</w:t>
            </w:r>
          </w:p>
        </w:tc>
        <w:tc>
          <w:tcPr>
            <w:tcW w:w="816"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感染性废物</w:t>
            </w:r>
          </w:p>
        </w:tc>
        <w:tc>
          <w:tcPr>
            <w:tcW w:w="2587" w:type="pct"/>
            <w:tcMar>
              <w:left w:w="28" w:type="dxa"/>
              <w:right w:w="28" w:type="dxa"/>
            </w:tcMar>
            <w:vAlign w:val="center"/>
          </w:tcPr>
          <w:p>
            <w:pPr>
              <w:pStyle w:val="232"/>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医疗废物（废弃的消毒器具及针筒等）</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废活性炭：密封装袋暂存于</w:t>
            </w:r>
            <w:r>
              <w:rPr>
                <w:rFonts w:hint="eastAsia"/>
                <w:color w:val="FF0000"/>
                <w:lang w:val="en-US" w:eastAsia="zh-CN"/>
              </w:rPr>
              <w:t>医疗废物</w:t>
            </w:r>
            <w:r>
              <w:rPr>
                <w:color w:val="FF0000"/>
              </w:rPr>
              <w:t>暂存间</w:t>
            </w:r>
            <w:r>
              <w:rPr>
                <w:color w:val="000000" w:themeColor="text1"/>
                <w14:textFill>
                  <w14:solidFill>
                    <w14:schemeClr w14:val="tx1"/>
                  </w14:solidFill>
                </w14:textFill>
              </w:rPr>
              <w:t>，</w:t>
            </w:r>
            <w:r>
              <w:rPr>
                <w:rFonts w:hint="eastAsia"/>
                <w:color w:val="FF0000"/>
                <w:lang w:val="en-US" w:eastAsia="zh-CN"/>
              </w:rPr>
              <w:t>医疗</w:t>
            </w:r>
            <w:r>
              <w:rPr>
                <w:color w:val="FF0000"/>
              </w:rPr>
              <w:t>废物暂存间</w:t>
            </w:r>
            <w:r>
              <w:rPr>
                <w:color w:val="000000" w:themeColor="text1"/>
                <w14:textFill>
                  <w14:solidFill>
                    <w14:schemeClr w14:val="tx1"/>
                  </w14:solidFill>
                </w14:textFill>
              </w:rPr>
              <w:t>按照</w:t>
            </w:r>
            <w:r>
              <w:rPr>
                <w:color w:val="FF0000"/>
              </w:rPr>
              <w:t>《危险废物贮存污染控制标准》（GB18597-20</w:t>
            </w:r>
            <w:r>
              <w:rPr>
                <w:rFonts w:hint="eastAsia"/>
                <w:color w:val="FF0000"/>
                <w:lang w:val="en-US" w:eastAsia="zh-CN"/>
              </w:rPr>
              <w:t>23</w:t>
            </w:r>
            <w:r>
              <w:rPr>
                <w:color w:val="FF0000"/>
              </w:rPr>
              <w:t>）</w:t>
            </w:r>
            <w:r>
              <w:rPr>
                <w:color w:val="000000" w:themeColor="text1"/>
                <w14:textFill>
                  <w14:solidFill>
                    <w14:schemeClr w14:val="tx1"/>
                  </w14:solidFill>
                </w14:textFill>
              </w:rPr>
              <w:t>要求管理、建设，定期由</w:t>
            </w:r>
            <w:r>
              <w:rPr>
                <w:rFonts w:hint="eastAsia"/>
                <w:color w:val="000000" w:themeColor="text1"/>
                <w:kern w:val="0"/>
                <w:highlight w:val="green"/>
                <w:lang w:eastAsia="zh-CN"/>
                <w14:textFill>
                  <w14:solidFill>
                    <w14:schemeClr w14:val="tx1"/>
                  </w14:solidFill>
                </w14:textFill>
              </w:rPr>
              <w:t>五原县塔尔湖污水处理厂</w:t>
            </w:r>
            <w:r>
              <w:rPr>
                <w:rFonts w:hint="eastAsia"/>
                <w:color w:val="000000" w:themeColor="text1"/>
                <w:lang w:val="en-US" w:eastAsia="zh-CN"/>
                <w14:textFill>
                  <w14:solidFill>
                    <w14:schemeClr w14:val="tx1"/>
                  </w14:solidFill>
                </w14:textFill>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vMerge w:val="continue"/>
            <w:tcMar>
              <w:left w:w="28" w:type="dxa"/>
              <w:right w:w="28" w:type="dxa"/>
            </w:tcMar>
            <w:vAlign w:val="center"/>
          </w:tcPr>
          <w:p>
            <w:pPr>
              <w:pStyle w:val="232"/>
              <w:rPr>
                <w:color w:val="000000" w:themeColor="text1"/>
                <w14:textFill>
                  <w14:solidFill>
                    <w14:schemeClr w14:val="tx1"/>
                  </w14:solidFill>
                </w14:textFill>
              </w:rPr>
            </w:pPr>
          </w:p>
        </w:tc>
        <w:tc>
          <w:tcPr>
            <w:tcW w:w="443" w:type="pct"/>
            <w:tcMar>
              <w:left w:w="28" w:type="dxa"/>
              <w:right w:w="28" w:type="dxa"/>
            </w:tcMar>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S</w:t>
            </w:r>
            <w:r>
              <w:rPr>
                <w:rFonts w:hint="eastAsia"/>
                <w:color w:val="000000" w:themeColor="text1"/>
                <w:lang w:val="en-US" w:eastAsia="zh-CN"/>
                <w14:textFill>
                  <w14:solidFill>
                    <w14:schemeClr w14:val="tx1"/>
                  </w14:solidFill>
                </w14:textFill>
              </w:rPr>
              <w:t>5</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职工</w:t>
            </w:r>
          </w:p>
        </w:tc>
        <w:tc>
          <w:tcPr>
            <w:tcW w:w="816"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生活垃圾</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生活垃圾集中</w:t>
            </w:r>
            <w:r>
              <w:rPr>
                <w:rFonts w:hint="eastAsia"/>
                <w:color w:val="000000" w:themeColor="text1"/>
                <w14:textFill>
                  <w14:solidFill>
                    <w14:schemeClr w14:val="tx1"/>
                  </w14:solidFill>
                </w14:textFill>
              </w:rPr>
              <w:t>分类</w:t>
            </w:r>
            <w:r>
              <w:rPr>
                <w:color w:val="000000" w:themeColor="text1"/>
                <w14:textFill>
                  <w14:solidFill>
                    <w14:schemeClr w14:val="tx1"/>
                  </w14:solidFill>
                </w14:textFill>
              </w:rPr>
              <w:t>收集后，</w:t>
            </w:r>
            <w:r>
              <w:rPr>
                <w:rFonts w:hint="eastAsia"/>
                <w:color w:val="000000" w:themeColor="text1"/>
                <w14:textFill>
                  <w14:solidFill>
                    <w14:schemeClr w14:val="tx1"/>
                  </w14:solidFill>
                </w14:textFill>
              </w:rPr>
              <w:t>清运到指定地点委托</w:t>
            </w:r>
            <w:r>
              <w:rPr>
                <w:rFonts w:hint="eastAsia"/>
                <w:color w:val="000000" w:themeColor="text1"/>
                <w:kern w:val="0"/>
                <w14:textFill>
                  <w14:solidFill>
                    <w14:schemeClr w14:val="tx1"/>
                  </w14:solidFill>
                </w14:textFill>
              </w:rPr>
              <w:t>五原县塔尔湖镇</w:t>
            </w:r>
            <w:r>
              <w:rPr>
                <w:rFonts w:hint="eastAsia"/>
                <w:color w:val="000000" w:themeColor="text1"/>
                <w14:textFill>
                  <w14:solidFill>
                    <w14:schemeClr w14:val="tx1"/>
                  </w14:solidFill>
                </w14:textFill>
              </w:rPr>
              <w:t>环卫部门集中处理。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78"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443"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N</w:t>
            </w:r>
          </w:p>
        </w:tc>
        <w:tc>
          <w:tcPr>
            <w:tcW w:w="774"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各工段</w:t>
            </w:r>
          </w:p>
        </w:tc>
        <w:tc>
          <w:tcPr>
            <w:tcW w:w="816"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2587" w:type="pct"/>
            <w:tcMar>
              <w:left w:w="28" w:type="dxa"/>
              <w:right w:w="28"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采取减振、隔声、合理布局等降噪措施</w:t>
            </w:r>
          </w:p>
        </w:tc>
      </w:tr>
    </w:tbl>
    <w:p>
      <w:pPr>
        <w:ind w:firstLine="480"/>
      </w:pPr>
    </w:p>
    <w:p>
      <w:pPr>
        <w:pStyle w:val="3"/>
        <w:spacing w:before="120" w:after="120"/>
      </w:pPr>
      <w:bookmarkStart w:id="148" w:name="_Toc11825"/>
      <w:r>
        <w:rPr>
          <w:rFonts w:hint="eastAsia"/>
        </w:rPr>
        <w:t>项目污染源源强核算</w:t>
      </w:r>
      <w:bookmarkEnd w:id="148"/>
    </w:p>
    <w:p>
      <w:pPr>
        <w:ind w:firstLine="480"/>
      </w:pPr>
      <w:r>
        <w:rPr>
          <w:rFonts w:hint="eastAsia"/>
        </w:rPr>
        <w:t>根据工艺流程，通过产排污分析、物料平衡分析，本工程污染物产排情况按工序分别进行论述。</w:t>
      </w:r>
    </w:p>
    <w:p>
      <w:pPr>
        <w:pStyle w:val="4"/>
      </w:pPr>
      <w:r>
        <w:rPr>
          <w:rFonts w:hint="eastAsia"/>
        </w:rPr>
        <w:t>大气污染物</w:t>
      </w:r>
    </w:p>
    <w:p>
      <w:pPr>
        <w:spacing w:line="360" w:lineRule="auto"/>
        <w:ind w:firstLine="480" w:firstLineChars="200"/>
        <w:rPr>
          <w:color w:val="auto"/>
          <w:sz w:val="24"/>
          <w:szCs w:val="22"/>
        </w:rPr>
      </w:pPr>
      <w:r>
        <w:rPr>
          <w:color w:val="auto"/>
          <w:sz w:val="24"/>
        </w:rPr>
        <w:t>项目运营期间大气污染源源强为饲</w:t>
      </w:r>
      <w:r>
        <w:rPr>
          <w:color w:val="auto"/>
          <w:sz w:val="24"/>
          <w:szCs w:val="22"/>
        </w:rPr>
        <w:t>料配料产生的粉尘</w:t>
      </w:r>
      <w:r>
        <w:rPr>
          <w:rFonts w:hint="eastAsia"/>
          <w:color w:val="auto"/>
          <w:sz w:val="24"/>
          <w:szCs w:val="22"/>
          <w:lang w:eastAsia="zh-CN"/>
        </w:rPr>
        <w:t>（</w:t>
      </w:r>
      <w:r>
        <w:rPr>
          <w:rFonts w:hint="eastAsia"/>
          <w:color w:val="auto"/>
          <w:sz w:val="24"/>
          <w:szCs w:val="22"/>
          <w:lang w:val="en-US" w:eastAsia="zh-CN"/>
        </w:rPr>
        <w:t>无组织</w:t>
      </w:r>
      <w:r>
        <w:rPr>
          <w:rFonts w:hint="eastAsia"/>
          <w:color w:val="auto"/>
          <w:sz w:val="24"/>
          <w:szCs w:val="22"/>
          <w:lang w:eastAsia="zh-CN"/>
        </w:rPr>
        <w:t>）、</w:t>
      </w:r>
      <w:r>
        <w:rPr>
          <w:color w:val="auto"/>
          <w:sz w:val="24"/>
        </w:rPr>
        <w:t>羊舍产生的恶臭气体</w:t>
      </w:r>
      <w:r>
        <w:rPr>
          <w:rFonts w:hint="eastAsia"/>
          <w:color w:val="auto"/>
          <w:sz w:val="24"/>
          <w:lang w:eastAsia="zh-CN"/>
        </w:rPr>
        <w:t>（</w:t>
      </w:r>
      <w:r>
        <w:rPr>
          <w:rFonts w:hint="eastAsia"/>
          <w:color w:val="auto"/>
          <w:sz w:val="24"/>
          <w:lang w:val="en-US" w:eastAsia="zh-CN"/>
        </w:rPr>
        <w:t>无组织</w:t>
      </w:r>
      <w:r>
        <w:rPr>
          <w:rFonts w:hint="eastAsia"/>
          <w:color w:val="auto"/>
          <w:sz w:val="24"/>
          <w:lang w:eastAsia="zh-CN"/>
        </w:rPr>
        <w:t>）</w:t>
      </w:r>
      <w:r>
        <w:rPr>
          <w:rFonts w:hint="eastAsia"/>
          <w:color w:val="auto"/>
          <w:sz w:val="24"/>
          <w:lang w:val="en-US" w:eastAsia="zh-CN"/>
        </w:rPr>
        <w:t>、</w:t>
      </w:r>
      <w:r>
        <w:rPr>
          <w:rFonts w:hint="eastAsia"/>
          <w:color w:val="auto"/>
          <w:sz w:val="24"/>
          <w:lang w:eastAsia="zh-CN"/>
        </w:rPr>
        <w:t>有机肥堆场</w:t>
      </w:r>
      <w:r>
        <w:rPr>
          <w:color w:val="auto"/>
          <w:sz w:val="24"/>
        </w:rPr>
        <w:t>产生的恶臭气体</w:t>
      </w:r>
      <w:r>
        <w:rPr>
          <w:rFonts w:hint="eastAsia"/>
          <w:color w:val="auto"/>
          <w:sz w:val="24"/>
          <w:lang w:eastAsia="zh-CN"/>
        </w:rPr>
        <w:t>（</w:t>
      </w:r>
      <w:r>
        <w:rPr>
          <w:rFonts w:hint="eastAsia"/>
          <w:color w:val="auto"/>
          <w:sz w:val="24"/>
          <w:lang w:val="en-US" w:eastAsia="zh-CN"/>
        </w:rPr>
        <w:t>无组织</w:t>
      </w:r>
      <w:r>
        <w:rPr>
          <w:rFonts w:hint="eastAsia"/>
          <w:color w:val="auto"/>
          <w:sz w:val="24"/>
          <w:lang w:eastAsia="zh-CN"/>
        </w:rPr>
        <w:t>）</w:t>
      </w:r>
      <w:r>
        <w:rPr>
          <w:rFonts w:hint="eastAsia"/>
          <w:color w:val="auto"/>
          <w:sz w:val="24"/>
          <w:lang w:val="en-US" w:eastAsia="zh-CN"/>
        </w:rPr>
        <w:t>和动物尸体无害化车间产生的恶臭气体（有组织）</w:t>
      </w:r>
      <w:r>
        <w:rPr>
          <w:color w:val="auto"/>
          <w:sz w:val="24"/>
          <w:szCs w:val="22"/>
        </w:rPr>
        <w:t>。</w:t>
      </w:r>
    </w:p>
    <w:p>
      <w:pPr>
        <w:pStyle w:val="5"/>
      </w:pPr>
      <w:r>
        <w:rPr>
          <w:rFonts w:hint="eastAsia"/>
        </w:rPr>
        <w:t>饲料混合废气G1</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项目不对饲料进行破碎</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全部外购成品袋装精饲料</w:t>
      </w:r>
      <w:r>
        <w:rPr>
          <w:rFonts w:hint="eastAsia"/>
          <w:color w:val="000000" w:themeColor="text1"/>
          <w14:textFill>
            <w14:solidFill>
              <w14:schemeClr w14:val="tx1"/>
            </w14:solidFill>
          </w14:textFill>
        </w:rPr>
        <w:t>，将粗饲料、精饲料、青贮饲料按比例（精：青贮：粗=1：1：1）搭配好后，装入过TMR日粮混合机进行混合拌匀</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本项目饲料用量14600t/a。项目饲料粉尘产生量参照《第二次全国污染源普查工业污染源系数手册》进行核算，详见下表。</w:t>
      </w:r>
    </w:p>
    <w:p>
      <w:pPr>
        <w:pStyle w:val="6"/>
      </w:pPr>
      <w:r>
        <w:rPr>
          <w:rFonts w:hint="eastAsia"/>
        </w:rPr>
        <w:t>表3.4.1-1  饲料混合产污系数</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161"/>
        <w:gridCol w:w="1941"/>
        <w:gridCol w:w="857"/>
        <w:gridCol w:w="521"/>
        <w:gridCol w:w="616"/>
        <w:gridCol w:w="86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 w:type="pct"/>
            <w:shd w:val="clear" w:color="auto" w:fill="auto"/>
            <w:vAlign w:val="center"/>
          </w:tcPr>
          <w:p>
            <w:pPr>
              <w:spacing w:line="240" w:lineRule="auto"/>
              <w:ind w:firstLine="0" w:firstLineChars="0"/>
              <w:jc w:val="center"/>
              <w:rPr>
                <w:sz w:val="21"/>
                <w:szCs w:val="21"/>
              </w:rPr>
            </w:pPr>
            <w:r>
              <w:rPr>
                <w:rFonts w:hint="eastAsia"/>
                <w:sz w:val="21"/>
                <w:szCs w:val="21"/>
              </w:rPr>
              <w:t>产品名称</w:t>
            </w:r>
          </w:p>
        </w:tc>
        <w:tc>
          <w:tcPr>
            <w:tcW w:w="1266" w:type="pct"/>
            <w:shd w:val="clear" w:color="auto" w:fill="auto"/>
            <w:vAlign w:val="center"/>
          </w:tcPr>
          <w:p>
            <w:pPr>
              <w:spacing w:line="240" w:lineRule="auto"/>
              <w:ind w:firstLine="0" w:firstLineChars="0"/>
              <w:jc w:val="center"/>
              <w:rPr>
                <w:sz w:val="21"/>
                <w:szCs w:val="21"/>
              </w:rPr>
            </w:pPr>
            <w:r>
              <w:rPr>
                <w:rFonts w:hint="eastAsia"/>
                <w:sz w:val="21"/>
                <w:szCs w:val="21"/>
              </w:rPr>
              <w:t>原料名称</w:t>
            </w:r>
          </w:p>
        </w:tc>
        <w:tc>
          <w:tcPr>
            <w:tcW w:w="1137" w:type="pct"/>
            <w:shd w:val="clear" w:color="auto" w:fill="auto"/>
            <w:vAlign w:val="center"/>
          </w:tcPr>
          <w:p>
            <w:pPr>
              <w:spacing w:line="240" w:lineRule="auto"/>
              <w:ind w:firstLine="0" w:firstLineChars="0"/>
              <w:jc w:val="center"/>
              <w:rPr>
                <w:sz w:val="21"/>
                <w:szCs w:val="21"/>
              </w:rPr>
            </w:pPr>
            <w:r>
              <w:rPr>
                <w:rFonts w:hint="eastAsia"/>
                <w:sz w:val="21"/>
                <w:szCs w:val="21"/>
              </w:rPr>
              <w:t>工艺名称</w:t>
            </w:r>
          </w:p>
        </w:tc>
        <w:tc>
          <w:tcPr>
            <w:tcW w:w="502" w:type="pct"/>
            <w:vAlign w:val="center"/>
          </w:tcPr>
          <w:p>
            <w:pPr>
              <w:spacing w:line="240" w:lineRule="auto"/>
              <w:ind w:firstLine="0" w:firstLineChars="0"/>
              <w:jc w:val="center"/>
              <w:rPr>
                <w:sz w:val="21"/>
                <w:szCs w:val="21"/>
              </w:rPr>
            </w:pPr>
            <w:r>
              <w:rPr>
                <w:rFonts w:hint="eastAsia"/>
                <w:sz w:val="21"/>
                <w:szCs w:val="21"/>
              </w:rPr>
              <w:t>规模</w:t>
            </w:r>
          </w:p>
        </w:tc>
        <w:tc>
          <w:tcPr>
            <w:tcW w:w="666" w:type="pct"/>
            <w:gridSpan w:val="2"/>
            <w:shd w:val="clear" w:color="auto" w:fill="auto"/>
            <w:vAlign w:val="center"/>
          </w:tcPr>
          <w:p>
            <w:pPr>
              <w:spacing w:line="240" w:lineRule="auto"/>
              <w:ind w:firstLine="0" w:firstLineChars="0"/>
              <w:jc w:val="center"/>
              <w:rPr>
                <w:sz w:val="21"/>
                <w:szCs w:val="21"/>
              </w:rPr>
            </w:pPr>
            <w:r>
              <w:rPr>
                <w:rFonts w:hint="eastAsia"/>
                <w:sz w:val="21"/>
                <w:szCs w:val="21"/>
              </w:rPr>
              <w:t>污染物指标</w:t>
            </w:r>
          </w:p>
        </w:tc>
        <w:tc>
          <w:tcPr>
            <w:tcW w:w="507" w:type="pct"/>
            <w:shd w:val="clear" w:color="auto" w:fill="auto"/>
            <w:vAlign w:val="center"/>
          </w:tcPr>
          <w:p>
            <w:pPr>
              <w:spacing w:line="240" w:lineRule="auto"/>
              <w:ind w:firstLine="0" w:firstLineChars="0"/>
              <w:jc w:val="center"/>
              <w:rPr>
                <w:sz w:val="21"/>
                <w:szCs w:val="21"/>
              </w:rPr>
            </w:pPr>
            <w:r>
              <w:rPr>
                <w:rFonts w:hint="eastAsia"/>
                <w:sz w:val="21"/>
                <w:szCs w:val="21"/>
              </w:rPr>
              <w:t>系数单位</w:t>
            </w:r>
          </w:p>
        </w:tc>
        <w:tc>
          <w:tcPr>
            <w:tcW w:w="501" w:type="pct"/>
            <w:shd w:val="clear" w:color="auto" w:fill="auto"/>
            <w:vAlign w:val="center"/>
          </w:tcPr>
          <w:p>
            <w:pPr>
              <w:spacing w:line="240" w:lineRule="auto"/>
              <w:ind w:firstLine="0" w:firstLineChars="0"/>
              <w:jc w:val="center"/>
              <w:rPr>
                <w:sz w:val="21"/>
                <w:szCs w:val="21"/>
              </w:rPr>
            </w:pPr>
            <w:r>
              <w:rPr>
                <w:rFonts w:hint="eastAsia"/>
                <w:sz w:val="21"/>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 w:type="pct"/>
            <w:shd w:val="clear" w:color="auto" w:fill="auto"/>
            <w:vAlign w:val="center"/>
          </w:tcPr>
          <w:p>
            <w:pPr>
              <w:spacing w:line="240" w:lineRule="auto"/>
              <w:ind w:firstLine="0" w:firstLineChars="0"/>
              <w:jc w:val="center"/>
              <w:rPr>
                <w:sz w:val="21"/>
                <w:szCs w:val="21"/>
              </w:rPr>
            </w:pPr>
            <w:r>
              <w:rPr>
                <w:rFonts w:hint="eastAsia"/>
                <w:sz w:val="21"/>
                <w:szCs w:val="21"/>
              </w:rPr>
              <w:t>配合饲料</w:t>
            </w:r>
          </w:p>
        </w:tc>
        <w:tc>
          <w:tcPr>
            <w:tcW w:w="1266" w:type="pct"/>
            <w:shd w:val="clear" w:color="auto" w:fill="auto"/>
            <w:vAlign w:val="center"/>
          </w:tcPr>
          <w:p>
            <w:pPr>
              <w:spacing w:line="240" w:lineRule="auto"/>
              <w:ind w:firstLine="0" w:firstLineChars="0"/>
              <w:jc w:val="center"/>
              <w:rPr>
                <w:sz w:val="21"/>
                <w:szCs w:val="21"/>
              </w:rPr>
            </w:pPr>
            <w:r>
              <w:rPr>
                <w:rFonts w:hint="eastAsia"/>
                <w:sz w:val="21"/>
                <w:szCs w:val="21"/>
              </w:rPr>
              <w:t>玉米、蛋白质类原料（豆粕等）维生素等</w:t>
            </w:r>
          </w:p>
        </w:tc>
        <w:tc>
          <w:tcPr>
            <w:tcW w:w="1137" w:type="pct"/>
            <w:shd w:val="clear" w:color="auto" w:fill="auto"/>
            <w:vAlign w:val="center"/>
          </w:tcPr>
          <w:p>
            <w:pPr>
              <w:spacing w:line="240" w:lineRule="auto"/>
              <w:ind w:firstLine="0" w:firstLineChars="0"/>
              <w:jc w:val="center"/>
              <w:rPr>
                <w:sz w:val="21"/>
                <w:szCs w:val="21"/>
              </w:rPr>
            </w:pPr>
            <w:r>
              <w:rPr>
                <w:rFonts w:hint="eastAsia"/>
                <w:sz w:val="21"/>
                <w:szCs w:val="21"/>
              </w:rPr>
              <w:t>粉碎+混合+制粒（可不制粒）+除尘</w:t>
            </w:r>
          </w:p>
        </w:tc>
        <w:tc>
          <w:tcPr>
            <w:tcW w:w="502" w:type="pct"/>
            <w:vAlign w:val="center"/>
          </w:tcPr>
          <w:p>
            <w:pPr>
              <w:spacing w:line="240" w:lineRule="auto"/>
              <w:ind w:firstLine="0" w:firstLineChars="0"/>
              <w:jc w:val="center"/>
              <w:rPr>
                <w:sz w:val="21"/>
                <w:szCs w:val="21"/>
              </w:rPr>
            </w:pPr>
            <w:r>
              <w:rPr>
                <w:rFonts w:hint="eastAsia"/>
                <w:sz w:val="21"/>
                <w:szCs w:val="21"/>
              </w:rPr>
              <w:t>＜10万吨/年</w:t>
            </w:r>
          </w:p>
        </w:tc>
        <w:tc>
          <w:tcPr>
            <w:tcW w:w="305" w:type="pct"/>
            <w:shd w:val="clear" w:color="auto" w:fill="auto"/>
            <w:vAlign w:val="center"/>
          </w:tcPr>
          <w:p>
            <w:pPr>
              <w:spacing w:line="240" w:lineRule="auto"/>
              <w:ind w:firstLine="0" w:firstLineChars="0"/>
              <w:jc w:val="center"/>
              <w:rPr>
                <w:sz w:val="21"/>
                <w:szCs w:val="21"/>
              </w:rPr>
            </w:pPr>
            <w:r>
              <w:rPr>
                <w:rFonts w:hint="eastAsia"/>
                <w:sz w:val="21"/>
                <w:szCs w:val="21"/>
              </w:rPr>
              <w:t>废气</w:t>
            </w:r>
          </w:p>
        </w:tc>
        <w:tc>
          <w:tcPr>
            <w:tcW w:w="361" w:type="pct"/>
            <w:shd w:val="clear" w:color="auto" w:fill="auto"/>
            <w:vAlign w:val="center"/>
          </w:tcPr>
          <w:p>
            <w:pPr>
              <w:spacing w:line="240" w:lineRule="auto"/>
              <w:ind w:firstLine="0" w:firstLineChars="0"/>
              <w:jc w:val="center"/>
              <w:rPr>
                <w:sz w:val="21"/>
                <w:szCs w:val="21"/>
              </w:rPr>
            </w:pPr>
            <w:r>
              <w:rPr>
                <w:rFonts w:hint="eastAsia"/>
                <w:sz w:val="21"/>
                <w:szCs w:val="21"/>
              </w:rPr>
              <w:t>颗粒物</w:t>
            </w:r>
          </w:p>
        </w:tc>
        <w:tc>
          <w:tcPr>
            <w:tcW w:w="507" w:type="pct"/>
            <w:shd w:val="clear" w:color="auto" w:fill="auto"/>
            <w:vAlign w:val="center"/>
          </w:tcPr>
          <w:p>
            <w:pPr>
              <w:spacing w:line="240" w:lineRule="auto"/>
              <w:ind w:firstLine="0" w:firstLineChars="0"/>
              <w:jc w:val="center"/>
              <w:rPr>
                <w:sz w:val="21"/>
                <w:szCs w:val="21"/>
              </w:rPr>
            </w:pPr>
            <w:r>
              <w:rPr>
                <w:rFonts w:hint="eastAsia"/>
                <w:sz w:val="21"/>
                <w:szCs w:val="21"/>
              </w:rPr>
              <w:t>千克/吨-产品</w:t>
            </w:r>
          </w:p>
        </w:tc>
        <w:tc>
          <w:tcPr>
            <w:tcW w:w="501" w:type="pct"/>
            <w:shd w:val="clear" w:color="auto" w:fill="auto"/>
            <w:vAlign w:val="center"/>
          </w:tcPr>
          <w:p>
            <w:pPr>
              <w:spacing w:line="240" w:lineRule="auto"/>
              <w:ind w:firstLine="0" w:firstLineChars="0"/>
              <w:jc w:val="center"/>
              <w:rPr>
                <w:sz w:val="21"/>
                <w:szCs w:val="21"/>
              </w:rPr>
            </w:pPr>
            <w:r>
              <w:rPr>
                <w:rFonts w:hint="eastAsia"/>
                <w:sz w:val="21"/>
                <w:szCs w:val="21"/>
              </w:rPr>
              <w:t>0.043</w:t>
            </w:r>
          </w:p>
        </w:tc>
      </w:tr>
    </w:tbl>
    <w:p>
      <w:pPr>
        <w:ind w:firstLine="0" w:firstLineChars="0"/>
        <w:jc w:val="center"/>
        <w:rPr>
          <w:color w:val="000000" w:themeColor="text1"/>
          <w14:textFill>
            <w14:solidFill>
              <w14:schemeClr w14:val="tx1"/>
            </w14:solidFill>
          </w14:textFill>
        </w:rPr>
      </w:pPr>
    </w:p>
    <w:p>
      <w:pPr>
        <w:ind w:firstLine="480"/>
      </w:pPr>
      <w:r>
        <w:t>项目每日将</w:t>
      </w:r>
      <w:r>
        <w:rPr>
          <w:rFonts w:hint="eastAsia"/>
        </w:rPr>
        <w:t>粗饲料、精饲料、青贮饲料按比例</w:t>
      </w:r>
      <w:r>
        <w:t>投入饲料搅拌机搅拌成</w:t>
      </w:r>
      <w:r>
        <w:rPr>
          <w:rFonts w:hint="eastAsia"/>
        </w:rPr>
        <w:t>肉羊</w:t>
      </w:r>
      <w:r>
        <w:t>口粮，</w:t>
      </w:r>
      <w:r>
        <w:rPr>
          <w:rFonts w:hint="eastAsia"/>
        </w:rPr>
        <w:t>因各类饲料</w:t>
      </w:r>
      <w:r>
        <w:t>均为短段</w:t>
      </w:r>
      <w:r>
        <w:rPr>
          <w:rFonts w:hint="eastAsia"/>
        </w:rPr>
        <w:t>且</w:t>
      </w:r>
      <w:r>
        <w:t>都</w:t>
      </w:r>
      <w:r>
        <w:rPr>
          <w:rFonts w:hint="eastAsia"/>
        </w:rPr>
        <w:t>具有一定的湿度</w:t>
      </w:r>
      <w:r>
        <w:t>，粉尘产生量</w:t>
      </w:r>
      <w:r>
        <w:rPr>
          <w:rFonts w:hint="eastAsia"/>
        </w:rPr>
        <w:t>较</w:t>
      </w:r>
      <w:r>
        <w:t>少，项目</w:t>
      </w:r>
      <w:r>
        <w:rPr>
          <w:rFonts w:hint="eastAsia"/>
        </w:rPr>
        <w:t>投产后，</w:t>
      </w:r>
      <w:r>
        <w:t>配料时间为</w:t>
      </w:r>
      <w:r>
        <w:rPr>
          <w:rFonts w:hint="eastAsia"/>
        </w:rPr>
        <w:t>3h/天（40t/d饲料），</w:t>
      </w:r>
      <w:r>
        <w:t>且</w:t>
      </w:r>
      <w:r>
        <w:rPr>
          <w:rFonts w:hint="eastAsia"/>
        </w:rPr>
        <w:t>TMR操作间</w:t>
      </w:r>
      <w:r>
        <w:t>全密闭无通风口饲料配制期间门窗紧闭</w:t>
      </w:r>
      <w:r>
        <w:rPr>
          <w:rFonts w:hint="eastAsia"/>
          <w:lang w:eastAsia="zh-CN"/>
        </w:rPr>
        <w:t>，</w:t>
      </w:r>
      <w:r>
        <w:rPr>
          <w:rFonts w:hint="eastAsia"/>
        </w:rPr>
        <w:t>搅拌过程产生的粉尘通过搅拌机配备的布袋除尘器处理后无组织排放</w:t>
      </w:r>
      <w:r>
        <w:t>，</w:t>
      </w:r>
      <w:r>
        <w:rPr>
          <w:rFonts w:hint="eastAsia"/>
        </w:rPr>
        <w:t>排放粉尘99%</w:t>
      </w:r>
      <w:r>
        <w:rPr>
          <w:rFonts w:hint="eastAsia"/>
          <w:lang w:val="en-US" w:eastAsia="zh-CN"/>
        </w:rPr>
        <w:t>被布袋除尘器收集后送至有机肥堆场生产有机肥</w:t>
      </w:r>
      <w:r>
        <w:rPr>
          <w:rFonts w:hint="eastAsia"/>
        </w:rPr>
        <w:t>，</w:t>
      </w:r>
      <w:r>
        <w:rPr>
          <w:rFonts w:hint="eastAsia"/>
          <w:lang w:val="en-US" w:eastAsia="zh-CN"/>
        </w:rPr>
        <w:t>未拦截的</w:t>
      </w:r>
      <w:r>
        <w:rPr>
          <w:rFonts w:hint="eastAsia"/>
        </w:rPr>
        <w:t>1%排放于大气环境，项目粉尘产排污情况见下表。</w:t>
      </w:r>
    </w:p>
    <w:p>
      <w:pPr>
        <w:pStyle w:val="6"/>
      </w:pPr>
      <w:r>
        <w:rPr>
          <w:rFonts w:hint="eastAsia"/>
        </w:rPr>
        <w:t>表3.4.1-2  饲草混合加工车间M1粉尘产排污情况表</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67"/>
        <w:gridCol w:w="1368"/>
        <w:gridCol w:w="1368"/>
        <w:gridCol w:w="1500"/>
        <w:gridCol w:w="1368"/>
        <w:gridCol w:w="1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污染物</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产生速率</w:t>
            </w:r>
            <w:r>
              <w:rPr>
                <w:rFonts w:hint="eastAsia"/>
                <w:color w:val="000000" w:themeColor="text1"/>
                <w14:textFill>
                  <w14:solidFill>
                    <w14:schemeClr w14:val="tx1"/>
                  </w14:solidFill>
                </w14:textFill>
              </w:rPr>
              <w:t>kg/h</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产生量</w:t>
            </w:r>
            <w:r>
              <w:rPr>
                <w:rFonts w:hint="eastAsia"/>
                <w:color w:val="000000" w:themeColor="text1"/>
                <w14:textFill>
                  <w14:solidFill>
                    <w14:schemeClr w14:val="tx1"/>
                  </w14:solidFill>
                </w14:textFill>
              </w:rPr>
              <w:t>kg/a</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无组织排放比例</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排放速率</w:t>
            </w:r>
            <w:r>
              <w:rPr>
                <w:rFonts w:hint="eastAsia"/>
                <w:color w:val="000000" w:themeColor="text1"/>
                <w14:textFill>
                  <w14:solidFill>
                    <w14:schemeClr w14:val="tx1"/>
                  </w14:solidFill>
                </w14:textFill>
              </w:rPr>
              <w:t>kg/h</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排放量</w:t>
            </w:r>
            <w:r>
              <w:rPr>
                <w:rFonts w:hint="eastAsia"/>
                <w:color w:val="000000" w:themeColor="text1"/>
                <w14:textFill>
                  <w14:solidFill>
                    <w14:schemeClr w14:val="tx1"/>
                  </w14:solidFill>
                </w14:textFill>
              </w:rPr>
              <w:t>kg/a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TSP</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0.57</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627.8</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0.006</w:t>
            </w:r>
          </w:p>
        </w:tc>
        <w:tc>
          <w:tcPr>
            <w:tcW w:w="833" w:type="pct"/>
            <w:noWrap/>
            <w:tcMar>
              <w:top w:w="15" w:type="dxa"/>
              <w:left w:w="15" w:type="dxa"/>
              <w:right w:w="15" w:type="dxa"/>
            </w:tcMar>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6.28</w:t>
            </w:r>
          </w:p>
        </w:tc>
      </w:tr>
    </w:tbl>
    <w:p>
      <w:pPr>
        <w:pStyle w:val="5"/>
      </w:pPr>
      <w:r>
        <w:rPr>
          <w:rFonts w:hint="eastAsia"/>
        </w:rPr>
        <w:t>栏舍养殖废气G2</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养殖过程中新鲜粪便，消化道排出的气体、皮脂腺和汗腺的分泌物、畜体的外激素、粘附在体表的污染物等，呼出气中的CO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含量比大气中高约100倍）等也会散发特有的难闻气味，但恶臭主要来源为粪便排出体外之后的腐败分解。但是实验表明，只要加强羊舍管理，采取铺设粪污粪道、粪便及时清理干净等措施，可以很好的限制臭气的产生。</w:t>
      </w:r>
    </w:p>
    <w:p>
      <w:pPr>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栏舍</w:t>
      </w:r>
      <w:r>
        <w:rPr>
          <w:color w:val="000000" w:themeColor="text1"/>
          <w14:textFill>
            <w14:solidFill>
              <w14:schemeClr w14:val="tx1"/>
            </w14:solidFill>
          </w14:textFill>
        </w:rPr>
        <w:t>养殖废气主要来自</w:t>
      </w:r>
      <w:r>
        <w:rPr>
          <w:rFonts w:hint="eastAsia"/>
          <w:color w:val="000000" w:themeColor="text1"/>
          <w14:textFill>
            <w14:solidFill>
              <w14:schemeClr w14:val="tx1"/>
            </w14:solidFill>
          </w14:textFill>
        </w:rPr>
        <w:t>羊</w:t>
      </w:r>
      <w:r>
        <w:rPr>
          <w:color w:val="000000" w:themeColor="text1"/>
          <w14:textFill>
            <w14:solidFill>
              <w14:schemeClr w14:val="tx1"/>
            </w14:solidFill>
          </w14:textFill>
        </w:rPr>
        <w:t>舍的</w:t>
      </w:r>
      <w:r>
        <w:rPr>
          <w:rFonts w:hint="eastAsia"/>
          <w:color w:val="000000" w:themeColor="text1"/>
          <w14:textFill>
            <w14:solidFill>
              <w14:schemeClr w14:val="tx1"/>
            </w14:solidFill>
          </w14:textFill>
        </w:rPr>
        <w:t>粪便和尿液</w:t>
      </w:r>
      <w:r>
        <w:rPr>
          <w:color w:val="000000" w:themeColor="text1"/>
          <w14:textFill>
            <w14:solidFill>
              <w14:schemeClr w14:val="tx1"/>
            </w14:solidFill>
          </w14:textFill>
        </w:rPr>
        <w:t>等散发的恶臭，恶臭气体</w:t>
      </w:r>
      <w:r>
        <w:rPr>
          <w:rFonts w:hint="eastAsia"/>
          <w:color w:val="000000" w:themeColor="text1"/>
          <w14:textFill>
            <w14:solidFill>
              <w14:schemeClr w14:val="tx1"/>
            </w14:solidFill>
          </w14:textFill>
        </w:rPr>
        <w:t>成分较复杂，</w:t>
      </w:r>
      <w:r>
        <w:rPr>
          <w:color w:val="000000" w:themeColor="text1"/>
          <w14:textFill>
            <w14:solidFill>
              <w14:schemeClr w14:val="tx1"/>
            </w14:solidFill>
          </w14:textFill>
        </w:rPr>
        <w:t>主要成分为NH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等。</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根据《恶臭的评价与分析》（沈培明等所著，化学工业出版社：2005.7）中的有关资料，在新鲜的羊粪中，N元素含量约0.32%、S元素含量约为0.</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尿液中含有氮元素（蛋白质、氨基酸、腐殖质等）含量大致为0.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，S元素可忽略不计。</w:t>
      </w:r>
      <w:r>
        <w:rPr>
          <w:color w:val="000000" w:themeColor="text1"/>
          <w14:textFill>
            <w14:solidFill>
              <w14:schemeClr w14:val="tx1"/>
            </w14:solidFill>
          </w14:textFill>
        </w:rPr>
        <w:t>总氮、总硫转化成氨气、硫化氢的总量分别约为</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%和1%。</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S最大产生速率见下表。</w:t>
      </w:r>
    </w:p>
    <w:p>
      <w:pPr>
        <w:ind w:firstLine="480"/>
        <w:rPr>
          <w:rFonts w:hint="eastAsia"/>
          <w:color w:val="000000" w:themeColor="text1"/>
          <w14:textFill>
            <w14:solidFill>
              <w14:schemeClr w14:val="tx1"/>
            </w14:solidFill>
          </w14:textFill>
        </w:rPr>
      </w:pPr>
    </w:p>
    <w:p>
      <w:pPr>
        <w:bidi w:val="0"/>
        <w:rPr>
          <w:rFonts w:hint="eastAsia"/>
        </w:rPr>
      </w:pPr>
    </w:p>
    <w:p>
      <w:pPr>
        <w:bidi w:val="0"/>
        <w:rPr>
          <w:rFonts w:hint="eastAsia"/>
        </w:rPr>
      </w:pPr>
    </w:p>
    <w:p>
      <w:pPr>
        <w:bidi w:val="0"/>
        <w:rPr>
          <w:rFonts w:hint="eastAsia"/>
        </w:rPr>
      </w:pPr>
    </w:p>
    <w:p>
      <w:pPr>
        <w:bidi w:val="0"/>
        <w:rPr>
          <w:rFonts w:hint="eastAsia"/>
        </w:rPr>
      </w:pPr>
    </w:p>
    <w:p>
      <w:pPr>
        <w:pStyle w:val="6"/>
      </w:pPr>
      <w:r>
        <w:rPr>
          <w:rFonts w:hint="eastAsia"/>
        </w:rPr>
        <w:t>表3.4.1-3    羊舍NH</w:t>
      </w:r>
      <w:r>
        <w:rPr>
          <w:rFonts w:hint="eastAsia"/>
          <w:vertAlign w:val="subscript"/>
        </w:rPr>
        <w:t>3</w:t>
      </w:r>
      <w:r>
        <w:rPr>
          <w:rFonts w:hint="eastAsia"/>
        </w:rPr>
        <w:t>、H</w:t>
      </w:r>
      <w:r>
        <w:rPr>
          <w:rFonts w:hint="eastAsia"/>
          <w:vertAlign w:val="subscript"/>
        </w:rPr>
        <w:t>2</w:t>
      </w:r>
      <w:r>
        <w:rPr>
          <w:rFonts w:hint="eastAsia"/>
        </w:rPr>
        <w:t>S产生情况一览表</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
        <w:gridCol w:w="791"/>
        <w:gridCol w:w="702"/>
        <w:gridCol w:w="791"/>
        <w:gridCol w:w="467"/>
        <w:gridCol w:w="927"/>
        <w:gridCol w:w="780"/>
        <w:gridCol w:w="702"/>
        <w:gridCol w:w="791"/>
        <w:gridCol w:w="467"/>
        <w:gridCol w:w="927"/>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 w:type="pct"/>
            <w:vMerge w:val="restart"/>
            <w:shd w:val="clear" w:color="auto" w:fill="auto"/>
            <w:vAlign w:val="center"/>
          </w:tcPr>
          <w:p>
            <w:pPr>
              <w:spacing w:line="240" w:lineRule="auto"/>
              <w:ind w:firstLine="0" w:firstLineChars="0"/>
              <w:jc w:val="center"/>
              <w:rPr>
                <w:sz w:val="21"/>
                <w:szCs w:val="21"/>
              </w:rPr>
            </w:pPr>
            <w:r>
              <w:rPr>
                <w:sz w:val="21"/>
                <w:szCs w:val="21"/>
              </w:rPr>
              <w:t>污染物</w:t>
            </w:r>
          </w:p>
        </w:tc>
        <w:tc>
          <w:tcPr>
            <w:tcW w:w="465" w:type="pct"/>
            <w:vMerge w:val="restart"/>
            <w:shd w:val="clear" w:color="auto" w:fill="auto"/>
            <w:vAlign w:val="center"/>
          </w:tcPr>
          <w:p>
            <w:pPr>
              <w:spacing w:line="240" w:lineRule="auto"/>
              <w:ind w:firstLine="0" w:firstLineChars="0"/>
              <w:jc w:val="center"/>
              <w:rPr>
                <w:sz w:val="21"/>
                <w:szCs w:val="21"/>
              </w:rPr>
            </w:pPr>
            <w:r>
              <w:rPr>
                <w:sz w:val="21"/>
                <w:szCs w:val="21"/>
              </w:rPr>
              <w:t>产生量</w:t>
            </w:r>
          </w:p>
          <w:p>
            <w:pPr>
              <w:spacing w:line="240" w:lineRule="auto"/>
              <w:ind w:firstLine="0" w:firstLineChars="0"/>
              <w:jc w:val="center"/>
              <w:rPr>
                <w:sz w:val="21"/>
                <w:szCs w:val="21"/>
              </w:rPr>
            </w:pPr>
            <w:r>
              <w:rPr>
                <w:rFonts w:hint="eastAsia"/>
                <w:sz w:val="21"/>
                <w:szCs w:val="21"/>
              </w:rPr>
              <w:t>（t/d）</w:t>
            </w:r>
          </w:p>
        </w:tc>
        <w:tc>
          <w:tcPr>
            <w:tcW w:w="2152" w:type="pct"/>
            <w:gridSpan w:val="5"/>
            <w:shd w:val="clear" w:color="auto" w:fill="auto"/>
            <w:vAlign w:val="center"/>
          </w:tcPr>
          <w:p>
            <w:pPr>
              <w:spacing w:line="240" w:lineRule="auto"/>
              <w:ind w:firstLine="0" w:firstLineChars="0"/>
              <w:jc w:val="center"/>
              <w:rPr>
                <w:sz w:val="21"/>
                <w:szCs w:val="21"/>
              </w:rPr>
            </w:pPr>
            <w:r>
              <w:rPr>
                <w:sz w:val="21"/>
                <w:szCs w:val="21"/>
              </w:rPr>
              <w:t>NH</w:t>
            </w:r>
            <w:r>
              <w:rPr>
                <w:sz w:val="21"/>
                <w:szCs w:val="21"/>
                <w:vertAlign w:val="subscript"/>
              </w:rPr>
              <w:t>3</w:t>
            </w:r>
          </w:p>
        </w:tc>
        <w:tc>
          <w:tcPr>
            <w:tcW w:w="2152" w:type="pct"/>
            <w:gridSpan w:val="5"/>
            <w:shd w:val="clear" w:color="auto" w:fill="auto"/>
            <w:vAlign w:val="center"/>
          </w:tcPr>
          <w:p>
            <w:pPr>
              <w:spacing w:line="240" w:lineRule="auto"/>
              <w:ind w:firstLine="0" w:firstLineChars="0"/>
              <w:jc w:val="center"/>
              <w:rPr>
                <w:sz w:val="21"/>
                <w:szCs w:val="21"/>
              </w:rPr>
            </w:pPr>
            <w:r>
              <w:rPr>
                <w:sz w:val="21"/>
                <w:szCs w:val="21"/>
              </w:rPr>
              <w:t>H</w:t>
            </w:r>
            <w:r>
              <w:rPr>
                <w:sz w:val="21"/>
                <w:szCs w:val="21"/>
                <w:vertAlign w:val="subscript"/>
              </w:rPr>
              <w:t>2</w:t>
            </w:r>
            <w:r>
              <w:rPr>
                <w:sz w:val="21"/>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 w:type="pct"/>
            <w:vMerge w:val="continue"/>
            <w:shd w:val="clear" w:color="auto" w:fill="auto"/>
            <w:vAlign w:val="center"/>
          </w:tcPr>
          <w:p>
            <w:pPr>
              <w:spacing w:line="240" w:lineRule="auto"/>
              <w:ind w:firstLine="0" w:firstLineChars="0"/>
              <w:jc w:val="center"/>
              <w:rPr>
                <w:sz w:val="21"/>
                <w:szCs w:val="21"/>
              </w:rPr>
            </w:pPr>
          </w:p>
        </w:tc>
        <w:tc>
          <w:tcPr>
            <w:tcW w:w="465" w:type="pct"/>
            <w:vMerge w:val="continue"/>
            <w:shd w:val="clear" w:color="auto" w:fill="auto"/>
            <w:vAlign w:val="center"/>
          </w:tcPr>
          <w:p>
            <w:pPr>
              <w:spacing w:line="240" w:lineRule="auto"/>
              <w:ind w:firstLine="0" w:firstLineChars="0"/>
              <w:jc w:val="center"/>
              <w:rPr>
                <w:sz w:val="21"/>
                <w:szCs w:val="21"/>
              </w:rPr>
            </w:pPr>
          </w:p>
        </w:tc>
        <w:tc>
          <w:tcPr>
            <w:tcW w:w="411" w:type="pct"/>
            <w:shd w:val="clear" w:color="auto" w:fill="auto"/>
            <w:vAlign w:val="center"/>
          </w:tcPr>
          <w:p>
            <w:pPr>
              <w:spacing w:line="240" w:lineRule="auto"/>
              <w:ind w:firstLine="0" w:firstLineChars="0"/>
              <w:jc w:val="center"/>
              <w:rPr>
                <w:sz w:val="21"/>
                <w:szCs w:val="21"/>
              </w:rPr>
            </w:pPr>
            <w:r>
              <w:rPr>
                <w:sz w:val="21"/>
                <w:szCs w:val="21"/>
              </w:rPr>
              <w:t>含氮</w:t>
            </w:r>
          </w:p>
          <w:p>
            <w:pPr>
              <w:spacing w:line="240" w:lineRule="auto"/>
              <w:ind w:firstLine="0" w:firstLineChars="0"/>
              <w:jc w:val="center"/>
              <w:rPr>
                <w:sz w:val="21"/>
                <w:szCs w:val="21"/>
              </w:rPr>
            </w:pPr>
            <w:r>
              <w:rPr>
                <w:sz w:val="21"/>
                <w:szCs w:val="21"/>
              </w:rPr>
              <w:t>系数</w:t>
            </w:r>
          </w:p>
        </w:tc>
        <w:tc>
          <w:tcPr>
            <w:tcW w:w="465" w:type="pct"/>
            <w:shd w:val="clear" w:color="auto" w:fill="auto"/>
            <w:vAlign w:val="center"/>
          </w:tcPr>
          <w:p>
            <w:pPr>
              <w:spacing w:line="240" w:lineRule="auto"/>
              <w:ind w:firstLine="0" w:firstLineChars="0"/>
              <w:jc w:val="center"/>
              <w:rPr>
                <w:sz w:val="21"/>
                <w:szCs w:val="21"/>
              </w:rPr>
            </w:pPr>
            <w:r>
              <w:rPr>
                <w:sz w:val="21"/>
                <w:szCs w:val="21"/>
              </w:rPr>
              <w:t>总氮量</w:t>
            </w:r>
          </w:p>
          <w:p>
            <w:pPr>
              <w:spacing w:line="240" w:lineRule="auto"/>
              <w:ind w:firstLine="0" w:firstLineChars="0"/>
              <w:jc w:val="center"/>
              <w:rPr>
                <w:sz w:val="21"/>
                <w:szCs w:val="21"/>
              </w:rPr>
            </w:pPr>
            <w:r>
              <w:rPr>
                <w:rFonts w:hint="eastAsia"/>
                <w:sz w:val="21"/>
                <w:szCs w:val="21"/>
              </w:rPr>
              <w:t>（t/d）</w:t>
            </w:r>
          </w:p>
        </w:tc>
        <w:tc>
          <w:tcPr>
            <w:tcW w:w="268" w:type="pct"/>
            <w:shd w:val="clear" w:color="auto" w:fill="auto"/>
            <w:vAlign w:val="center"/>
          </w:tcPr>
          <w:p>
            <w:pPr>
              <w:spacing w:line="240" w:lineRule="auto"/>
              <w:ind w:firstLine="0" w:firstLineChars="0"/>
              <w:jc w:val="center"/>
              <w:rPr>
                <w:sz w:val="21"/>
                <w:szCs w:val="21"/>
              </w:rPr>
            </w:pPr>
            <w:r>
              <w:rPr>
                <w:rFonts w:hint="eastAsia"/>
                <w:sz w:val="21"/>
                <w:szCs w:val="21"/>
              </w:rPr>
              <w:t>转化</w:t>
            </w:r>
          </w:p>
          <w:p>
            <w:pPr>
              <w:spacing w:line="240" w:lineRule="auto"/>
              <w:ind w:firstLine="0" w:firstLineChars="0"/>
              <w:jc w:val="center"/>
              <w:rPr>
                <w:sz w:val="21"/>
                <w:szCs w:val="21"/>
              </w:rPr>
            </w:pPr>
            <w:r>
              <w:rPr>
                <w:rFonts w:hint="eastAsia"/>
                <w:sz w:val="21"/>
                <w:szCs w:val="21"/>
              </w:rPr>
              <w:t>比例</w:t>
            </w:r>
          </w:p>
        </w:tc>
        <w:tc>
          <w:tcPr>
            <w:tcW w:w="547" w:type="pct"/>
            <w:shd w:val="clear" w:color="auto" w:fill="auto"/>
            <w:vAlign w:val="center"/>
          </w:tcPr>
          <w:p>
            <w:pPr>
              <w:spacing w:line="240" w:lineRule="auto"/>
              <w:ind w:firstLine="0" w:firstLineChars="0"/>
              <w:jc w:val="center"/>
              <w:rPr>
                <w:sz w:val="21"/>
                <w:szCs w:val="21"/>
              </w:rPr>
            </w:pPr>
            <w:r>
              <w:rPr>
                <w:rFonts w:hint="eastAsia"/>
                <w:sz w:val="21"/>
                <w:szCs w:val="21"/>
              </w:rPr>
              <w:t>产生</w:t>
            </w:r>
            <w:r>
              <w:rPr>
                <w:sz w:val="21"/>
                <w:szCs w:val="21"/>
              </w:rPr>
              <w:t>速率</w:t>
            </w:r>
            <w:r>
              <w:rPr>
                <w:rFonts w:hint="eastAsia"/>
                <w:sz w:val="21"/>
                <w:szCs w:val="21"/>
              </w:rPr>
              <w:t>（kg/h）</w:t>
            </w:r>
          </w:p>
        </w:tc>
        <w:tc>
          <w:tcPr>
            <w:tcW w:w="460" w:type="pct"/>
            <w:shd w:val="clear" w:color="auto" w:fill="auto"/>
            <w:vAlign w:val="center"/>
          </w:tcPr>
          <w:p>
            <w:pPr>
              <w:spacing w:line="240" w:lineRule="auto"/>
              <w:ind w:firstLine="0" w:firstLineChars="0"/>
              <w:jc w:val="center"/>
              <w:rPr>
                <w:sz w:val="21"/>
                <w:szCs w:val="21"/>
              </w:rPr>
            </w:pPr>
            <w:r>
              <w:rPr>
                <w:rFonts w:hint="eastAsia"/>
                <w:sz w:val="21"/>
                <w:szCs w:val="21"/>
              </w:rPr>
              <w:t>产生量（t/a）</w:t>
            </w:r>
          </w:p>
        </w:tc>
        <w:tc>
          <w:tcPr>
            <w:tcW w:w="411" w:type="pct"/>
            <w:shd w:val="clear" w:color="auto" w:fill="auto"/>
            <w:vAlign w:val="center"/>
          </w:tcPr>
          <w:p>
            <w:pPr>
              <w:spacing w:line="240" w:lineRule="auto"/>
              <w:ind w:firstLine="0" w:firstLineChars="0"/>
              <w:jc w:val="center"/>
              <w:rPr>
                <w:sz w:val="21"/>
                <w:szCs w:val="21"/>
              </w:rPr>
            </w:pPr>
            <w:r>
              <w:rPr>
                <w:sz w:val="21"/>
                <w:szCs w:val="21"/>
              </w:rPr>
              <w:t>含硫</w:t>
            </w:r>
          </w:p>
          <w:p>
            <w:pPr>
              <w:spacing w:line="240" w:lineRule="auto"/>
              <w:ind w:firstLine="0" w:firstLineChars="0"/>
              <w:jc w:val="center"/>
              <w:rPr>
                <w:sz w:val="21"/>
                <w:szCs w:val="21"/>
              </w:rPr>
            </w:pPr>
            <w:r>
              <w:rPr>
                <w:sz w:val="21"/>
                <w:szCs w:val="21"/>
              </w:rPr>
              <w:t>系数</w:t>
            </w:r>
          </w:p>
        </w:tc>
        <w:tc>
          <w:tcPr>
            <w:tcW w:w="465" w:type="pct"/>
            <w:shd w:val="clear" w:color="auto" w:fill="auto"/>
            <w:vAlign w:val="center"/>
          </w:tcPr>
          <w:p>
            <w:pPr>
              <w:spacing w:line="240" w:lineRule="auto"/>
              <w:ind w:firstLine="0" w:firstLineChars="0"/>
              <w:jc w:val="center"/>
              <w:rPr>
                <w:sz w:val="21"/>
                <w:szCs w:val="21"/>
              </w:rPr>
            </w:pPr>
            <w:r>
              <w:rPr>
                <w:sz w:val="21"/>
                <w:szCs w:val="21"/>
              </w:rPr>
              <w:t>总硫量</w:t>
            </w:r>
          </w:p>
          <w:p>
            <w:pPr>
              <w:spacing w:line="240" w:lineRule="auto"/>
              <w:ind w:firstLine="0" w:firstLineChars="0"/>
              <w:jc w:val="center"/>
              <w:rPr>
                <w:sz w:val="21"/>
                <w:szCs w:val="21"/>
              </w:rPr>
            </w:pPr>
            <w:r>
              <w:rPr>
                <w:rFonts w:hint="eastAsia"/>
                <w:sz w:val="21"/>
                <w:szCs w:val="21"/>
              </w:rPr>
              <w:t>（t/d）</w:t>
            </w:r>
          </w:p>
        </w:tc>
        <w:tc>
          <w:tcPr>
            <w:tcW w:w="268" w:type="pct"/>
            <w:shd w:val="clear" w:color="auto" w:fill="auto"/>
            <w:vAlign w:val="center"/>
          </w:tcPr>
          <w:p>
            <w:pPr>
              <w:spacing w:line="240" w:lineRule="auto"/>
              <w:ind w:firstLine="0" w:firstLineChars="0"/>
              <w:jc w:val="center"/>
              <w:rPr>
                <w:sz w:val="21"/>
                <w:szCs w:val="21"/>
              </w:rPr>
            </w:pPr>
            <w:r>
              <w:rPr>
                <w:rFonts w:hint="eastAsia"/>
                <w:sz w:val="21"/>
                <w:szCs w:val="21"/>
              </w:rPr>
              <w:t>转化</w:t>
            </w:r>
          </w:p>
          <w:p>
            <w:pPr>
              <w:spacing w:line="240" w:lineRule="auto"/>
              <w:ind w:firstLine="0" w:firstLineChars="0"/>
              <w:jc w:val="center"/>
              <w:rPr>
                <w:sz w:val="21"/>
                <w:szCs w:val="21"/>
              </w:rPr>
            </w:pPr>
            <w:r>
              <w:rPr>
                <w:rFonts w:hint="eastAsia"/>
                <w:sz w:val="21"/>
                <w:szCs w:val="21"/>
              </w:rPr>
              <w:t>比例</w:t>
            </w:r>
          </w:p>
        </w:tc>
        <w:tc>
          <w:tcPr>
            <w:tcW w:w="547" w:type="pct"/>
            <w:shd w:val="clear" w:color="auto" w:fill="auto"/>
            <w:vAlign w:val="center"/>
          </w:tcPr>
          <w:p>
            <w:pPr>
              <w:spacing w:line="240" w:lineRule="auto"/>
              <w:ind w:firstLine="0" w:firstLineChars="0"/>
              <w:jc w:val="center"/>
              <w:rPr>
                <w:sz w:val="21"/>
                <w:szCs w:val="21"/>
              </w:rPr>
            </w:pPr>
            <w:r>
              <w:rPr>
                <w:rFonts w:hint="eastAsia"/>
                <w:sz w:val="21"/>
                <w:szCs w:val="21"/>
              </w:rPr>
              <w:t>产生</w:t>
            </w:r>
            <w:r>
              <w:rPr>
                <w:sz w:val="21"/>
                <w:szCs w:val="21"/>
              </w:rPr>
              <w:t>速率</w:t>
            </w:r>
          </w:p>
          <w:p>
            <w:pPr>
              <w:spacing w:line="240" w:lineRule="auto"/>
              <w:ind w:firstLine="0" w:firstLineChars="0"/>
              <w:jc w:val="center"/>
              <w:rPr>
                <w:sz w:val="21"/>
                <w:szCs w:val="21"/>
              </w:rPr>
            </w:pPr>
            <w:r>
              <w:rPr>
                <w:rFonts w:hint="eastAsia"/>
                <w:sz w:val="21"/>
                <w:szCs w:val="21"/>
              </w:rPr>
              <w:t>（kg/h）</w:t>
            </w:r>
          </w:p>
        </w:tc>
        <w:tc>
          <w:tcPr>
            <w:tcW w:w="460" w:type="pct"/>
            <w:shd w:val="clear" w:color="auto" w:fill="auto"/>
            <w:vAlign w:val="center"/>
          </w:tcPr>
          <w:p>
            <w:pPr>
              <w:spacing w:line="240" w:lineRule="auto"/>
              <w:ind w:firstLine="0" w:firstLineChars="0"/>
              <w:jc w:val="center"/>
              <w:rPr>
                <w:sz w:val="21"/>
                <w:szCs w:val="21"/>
              </w:rPr>
            </w:pPr>
            <w:r>
              <w:rPr>
                <w:rFonts w:hint="eastAsia"/>
                <w:sz w:val="21"/>
                <w:szCs w:val="21"/>
              </w:rPr>
              <w:t>产生量（t/a）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 w:type="pct"/>
            <w:shd w:val="clear" w:color="auto" w:fill="auto"/>
            <w:vAlign w:val="center"/>
          </w:tcPr>
          <w:p>
            <w:pPr>
              <w:spacing w:line="240" w:lineRule="auto"/>
              <w:ind w:firstLine="0" w:firstLineChars="0"/>
              <w:jc w:val="center"/>
              <w:rPr>
                <w:sz w:val="21"/>
                <w:szCs w:val="21"/>
              </w:rPr>
            </w:pPr>
            <w:r>
              <w:rPr>
                <w:rFonts w:hint="eastAsia"/>
                <w:sz w:val="21"/>
                <w:szCs w:val="21"/>
              </w:rPr>
              <w:t>尿液</w:t>
            </w:r>
          </w:p>
        </w:tc>
        <w:tc>
          <w:tcPr>
            <w:tcW w:w="465"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550</w:t>
            </w:r>
          </w:p>
        </w:tc>
        <w:tc>
          <w:tcPr>
            <w:tcW w:w="411" w:type="pct"/>
            <w:shd w:val="clear" w:color="auto" w:fill="auto"/>
            <w:vAlign w:val="center"/>
          </w:tcPr>
          <w:p>
            <w:pPr>
              <w:spacing w:line="240" w:lineRule="auto"/>
              <w:ind w:firstLine="0" w:firstLineChars="0"/>
              <w:jc w:val="center"/>
              <w:rPr>
                <w:sz w:val="21"/>
                <w:szCs w:val="21"/>
              </w:rPr>
            </w:pPr>
            <w:r>
              <w:rPr>
                <w:sz w:val="21"/>
                <w:szCs w:val="21"/>
              </w:rPr>
              <w:t>0.30%</w:t>
            </w:r>
          </w:p>
        </w:tc>
        <w:tc>
          <w:tcPr>
            <w:tcW w:w="465" w:type="pct"/>
            <w:shd w:val="clear" w:color="auto" w:fill="auto"/>
            <w:vAlign w:val="center"/>
          </w:tcPr>
          <w:p>
            <w:pPr>
              <w:spacing w:line="240" w:lineRule="auto"/>
              <w:ind w:firstLine="0" w:firstLineChars="0"/>
              <w:jc w:val="center"/>
              <w:rPr>
                <w:sz w:val="21"/>
                <w:szCs w:val="21"/>
              </w:rPr>
            </w:pPr>
            <w:r>
              <w:rPr>
                <w:rFonts w:hint="eastAsia"/>
                <w:sz w:val="21"/>
                <w:szCs w:val="21"/>
              </w:rPr>
              <w:t>1.65</w:t>
            </w:r>
          </w:p>
        </w:tc>
        <w:tc>
          <w:tcPr>
            <w:tcW w:w="268" w:type="pct"/>
            <w:shd w:val="clear" w:color="auto" w:fill="auto"/>
            <w:vAlign w:val="center"/>
          </w:tcPr>
          <w:p>
            <w:pPr>
              <w:spacing w:line="240" w:lineRule="auto"/>
              <w:ind w:firstLine="0" w:firstLineChars="0"/>
              <w:jc w:val="center"/>
              <w:rPr>
                <w:rFonts w:hint="eastAsia" w:eastAsia="宋体"/>
                <w:sz w:val="21"/>
                <w:szCs w:val="21"/>
                <w:lang w:eastAsia="zh-CN"/>
              </w:rPr>
            </w:pPr>
            <w:r>
              <w:rPr>
                <w:rFonts w:hint="eastAsia"/>
                <w:sz w:val="21"/>
                <w:szCs w:val="21"/>
              </w:rPr>
              <w:t>4</w:t>
            </w:r>
            <w:r>
              <w:rPr>
                <w:sz w:val="21"/>
                <w:szCs w:val="21"/>
              </w:rPr>
              <w:t>%</w:t>
            </w:r>
          </w:p>
        </w:tc>
        <w:tc>
          <w:tcPr>
            <w:tcW w:w="547" w:type="pct"/>
            <w:shd w:val="clear" w:color="auto" w:fill="auto"/>
            <w:vAlign w:val="center"/>
          </w:tcPr>
          <w:p>
            <w:pPr>
              <w:spacing w:line="240" w:lineRule="auto"/>
              <w:ind w:firstLine="0" w:firstLineChars="0"/>
              <w:jc w:val="center"/>
              <w:rPr>
                <w:sz w:val="21"/>
                <w:szCs w:val="21"/>
              </w:rPr>
            </w:pPr>
            <w:r>
              <w:rPr>
                <w:rFonts w:hint="eastAsia"/>
                <w:sz w:val="21"/>
                <w:szCs w:val="21"/>
              </w:rPr>
              <w:t>2.64</w:t>
            </w:r>
          </w:p>
        </w:tc>
        <w:tc>
          <w:tcPr>
            <w:tcW w:w="460" w:type="pct"/>
            <w:shd w:val="clear" w:color="auto" w:fill="auto"/>
            <w:vAlign w:val="center"/>
          </w:tcPr>
          <w:p>
            <w:pPr>
              <w:spacing w:line="240" w:lineRule="auto"/>
              <w:ind w:firstLine="0" w:firstLineChars="0"/>
              <w:jc w:val="center"/>
              <w:rPr>
                <w:sz w:val="21"/>
                <w:szCs w:val="21"/>
              </w:rPr>
            </w:pPr>
            <w:r>
              <w:rPr>
                <w:rFonts w:hint="eastAsia"/>
                <w:sz w:val="21"/>
                <w:szCs w:val="21"/>
              </w:rPr>
              <w:t>23.12</w:t>
            </w:r>
          </w:p>
        </w:tc>
        <w:tc>
          <w:tcPr>
            <w:tcW w:w="411" w:type="pct"/>
            <w:shd w:val="clear" w:color="auto" w:fill="auto"/>
            <w:vAlign w:val="center"/>
          </w:tcPr>
          <w:p>
            <w:pPr>
              <w:spacing w:line="240" w:lineRule="auto"/>
              <w:ind w:firstLine="0" w:firstLineChars="0"/>
              <w:jc w:val="center"/>
              <w:rPr>
                <w:sz w:val="21"/>
                <w:szCs w:val="21"/>
              </w:rPr>
            </w:pPr>
            <w:r>
              <w:rPr>
                <w:sz w:val="21"/>
                <w:szCs w:val="21"/>
              </w:rPr>
              <w:t>/</w:t>
            </w:r>
          </w:p>
        </w:tc>
        <w:tc>
          <w:tcPr>
            <w:tcW w:w="465" w:type="pct"/>
            <w:shd w:val="clear" w:color="auto" w:fill="auto"/>
            <w:vAlign w:val="center"/>
          </w:tcPr>
          <w:p>
            <w:pPr>
              <w:spacing w:line="240" w:lineRule="auto"/>
              <w:ind w:firstLine="0" w:firstLineChars="0"/>
              <w:jc w:val="center"/>
              <w:rPr>
                <w:sz w:val="21"/>
                <w:szCs w:val="21"/>
              </w:rPr>
            </w:pPr>
            <w:r>
              <w:rPr>
                <w:sz w:val="21"/>
                <w:szCs w:val="21"/>
              </w:rPr>
              <w:t>/</w:t>
            </w:r>
          </w:p>
        </w:tc>
        <w:tc>
          <w:tcPr>
            <w:tcW w:w="268" w:type="pct"/>
            <w:shd w:val="clear" w:color="auto" w:fill="auto"/>
            <w:vAlign w:val="center"/>
          </w:tcPr>
          <w:p>
            <w:pPr>
              <w:spacing w:line="240" w:lineRule="auto"/>
              <w:ind w:firstLine="0" w:firstLineChars="0"/>
              <w:jc w:val="center"/>
              <w:rPr>
                <w:sz w:val="21"/>
                <w:szCs w:val="21"/>
              </w:rPr>
            </w:pPr>
            <w:r>
              <w:rPr>
                <w:sz w:val="21"/>
                <w:szCs w:val="21"/>
              </w:rPr>
              <w:t>/</w:t>
            </w:r>
          </w:p>
        </w:tc>
        <w:tc>
          <w:tcPr>
            <w:tcW w:w="547" w:type="pct"/>
            <w:shd w:val="clear" w:color="auto" w:fill="auto"/>
            <w:vAlign w:val="center"/>
          </w:tcPr>
          <w:p>
            <w:pPr>
              <w:spacing w:line="240" w:lineRule="auto"/>
              <w:ind w:firstLine="0" w:firstLineChars="0"/>
              <w:jc w:val="center"/>
              <w:rPr>
                <w:sz w:val="21"/>
                <w:szCs w:val="21"/>
              </w:rPr>
            </w:pPr>
            <w:r>
              <w:rPr>
                <w:sz w:val="21"/>
                <w:szCs w:val="21"/>
              </w:rPr>
              <w:t>/</w:t>
            </w:r>
          </w:p>
        </w:tc>
        <w:tc>
          <w:tcPr>
            <w:tcW w:w="460" w:type="pct"/>
            <w:shd w:val="clear" w:color="auto" w:fill="auto"/>
            <w:vAlign w:val="center"/>
          </w:tcPr>
          <w:p>
            <w:pPr>
              <w:spacing w:line="240" w:lineRule="auto"/>
              <w:ind w:firstLine="0" w:firstLineChars="0"/>
              <w:jc w:val="center"/>
              <w:rPr>
                <w:sz w:val="21"/>
                <w:szCs w:val="21"/>
              </w:rPr>
            </w:pP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 w:type="pct"/>
            <w:shd w:val="clear" w:color="auto" w:fill="auto"/>
            <w:vAlign w:val="center"/>
          </w:tcPr>
          <w:p>
            <w:pPr>
              <w:spacing w:line="240" w:lineRule="auto"/>
              <w:ind w:firstLine="0" w:firstLineChars="0"/>
              <w:jc w:val="center"/>
              <w:rPr>
                <w:sz w:val="21"/>
                <w:szCs w:val="21"/>
              </w:rPr>
            </w:pPr>
            <w:r>
              <w:rPr>
                <w:rFonts w:hint="eastAsia"/>
                <w:sz w:val="21"/>
                <w:szCs w:val="21"/>
              </w:rPr>
              <w:t>粪便</w:t>
            </w:r>
          </w:p>
        </w:tc>
        <w:tc>
          <w:tcPr>
            <w:tcW w:w="465" w:type="pct"/>
            <w:shd w:val="clear" w:color="auto" w:fill="auto"/>
            <w:vAlign w:val="center"/>
          </w:tcPr>
          <w:p>
            <w:pPr>
              <w:spacing w:line="240" w:lineRule="auto"/>
              <w:ind w:firstLine="0" w:firstLineChars="0"/>
              <w:jc w:val="center"/>
              <w:rPr>
                <w:color w:val="FF0000"/>
                <w:sz w:val="21"/>
                <w:szCs w:val="21"/>
              </w:rPr>
            </w:pPr>
            <w:r>
              <w:rPr>
                <w:rFonts w:hint="eastAsia"/>
                <w:color w:val="FF0000"/>
                <w:sz w:val="21"/>
                <w:szCs w:val="21"/>
                <w:lang w:val="en-US" w:eastAsia="zh-CN"/>
              </w:rPr>
              <w:t>207</w:t>
            </w:r>
          </w:p>
        </w:tc>
        <w:tc>
          <w:tcPr>
            <w:tcW w:w="411" w:type="pct"/>
            <w:shd w:val="clear" w:color="auto" w:fill="auto"/>
            <w:vAlign w:val="center"/>
          </w:tcPr>
          <w:p>
            <w:pPr>
              <w:spacing w:line="240" w:lineRule="auto"/>
              <w:ind w:firstLine="0" w:firstLineChars="0"/>
              <w:jc w:val="center"/>
              <w:rPr>
                <w:sz w:val="21"/>
                <w:szCs w:val="21"/>
              </w:rPr>
            </w:pPr>
            <w:r>
              <w:rPr>
                <w:sz w:val="21"/>
                <w:szCs w:val="21"/>
              </w:rPr>
              <w:t>0.3</w:t>
            </w:r>
            <w:r>
              <w:rPr>
                <w:rFonts w:hint="eastAsia"/>
                <w:sz w:val="21"/>
                <w:szCs w:val="21"/>
              </w:rPr>
              <w:t>2</w:t>
            </w:r>
            <w:r>
              <w:rPr>
                <w:sz w:val="21"/>
                <w:szCs w:val="21"/>
              </w:rPr>
              <w:t>%</w:t>
            </w:r>
          </w:p>
        </w:tc>
        <w:tc>
          <w:tcPr>
            <w:tcW w:w="465"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0.66</w:t>
            </w:r>
          </w:p>
        </w:tc>
        <w:tc>
          <w:tcPr>
            <w:tcW w:w="268" w:type="pct"/>
            <w:shd w:val="clear" w:color="auto" w:fill="auto"/>
            <w:vAlign w:val="center"/>
          </w:tcPr>
          <w:p>
            <w:pPr>
              <w:spacing w:line="240" w:lineRule="auto"/>
              <w:ind w:firstLine="0" w:firstLineChars="0"/>
              <w:jc w:val="center"/>
              <w:rPr>
                <w:sz w:val="21"/>
                <w:szCs w:val="21"/>
              </w:rPr>
            </w:pPr>
            <w:r>
              <w:rPr>
                <w:rFonts w:hint="eastAsia"/>
                <w:sz w:val="21"/>
                <w:szCs w:val="21"/>
              </w:rPr>
              <w:t>4</w:t>
            </w:r>
            <w:r>
              <w:rPr>
                <w:sz w:val="21"/>
                <w:szCs w:val="21"/>
              </w:rPr>
              <w:t>%</w:t>
            </w:r>
          </w:p>
        </w:tc>
        <w:tc>
          <w:tcPr>
            <w:tcW w:w="547"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0.03</w:t>
            </w:r>
          </w:p>
        </w:tc>
        <w:tc>
          <w:tcPr>
            <w:tcW w:w="460"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0.26</w:t>
            </w:r>
          </w:p>
        </w:tc>
        <w:tc>
          <w:tcPr>
            <w:tcW w:w="411" w:type="pct"/>
            <w:shd w:val="clear" w:color="auto" w:fill="auto"/>
            <w:vAlign w:val="center"/>
          </w:tcPr>
          <w:p>
            <w:pPr>
              <w:spacing w:line="240" w:lineRule="auto"/>
              <w:ind w:firstLine="0" w:firstLineChars="0"/>
              <w:jc w:val="center"/>
              <w:rPr>
                <w:sz w:val="21"/>
                <w:szCs w:val="21"/>
              </w:rPr>
            </w:pPr>
            <w:r>
              <w:rPr>
                <w:sz w:val="21"/>
                <w:szCs w:val="21"/>
              </w:rPr>
              <w:t>0.</w:t>
            </w:r>
            <w:r>
              <w:rPr>
                <w:rFonts w:hint="eastAsia"/>
                <w:sz w:val="21"/>
                <w:szCs w:val="21"/>
              </w:rPr>
              <w:t>1</w:t>
            </w:r>
            <w:r>
              <w:rPr>
                <w:sz w:val="21"/>
                <w:szCs w:val="21"/>
              </w:rPr>
              <w:t>0%</w:t>
            </w:r>
          </w:p>
        </w:tc>
        <w:tc>
          <w:tcPr>
            <w:tcW w:w="465"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0.2</w:t>
            </w:r>
          </w:p>
        </w:tc>
        <w:tc>
          <w:tcPr>
            <w:tcW w:w="268" w:type="pct"/>
            <w:shd w:val="clear" w:color="auto" w:fill="auto"/>
            <w:vAlign w:val="center"/>
          </w:tcPr>
          <w:p>
            <w:pPr>
              <w:spacing w:line="240" w:lineRule="auto"/>
              <w:ind w:firstLine="0" w:firstLineChars="0"/>
              <w:jc w:val="center"/>
              <w:rPr>
                <w:sz w:val="21"/>
                <w:szCs w:val="21"/>
              </w:rPr>
            </w:pPr>
            <w:r>
              <w:rPr>
                <w:sz w:val="21"/>
                <w:szCs w:val="21"/>
              </w:rPr>
              <w:t>1%</w:t>
            </w:r>
          </w:p>
        </w:tc>
        <w:tc>
          <w:tcPr>
            <w:tcW w:w="547"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0.002</w:t>
            </w:r>
          </w:p>
        </w:tc>
        <w:tc>
          <w:tcPr>
            <w:tcW w:w="460"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 w:type="pct"/>
            <w:shd w:val="clear" w:color="auto" w:fill="auto"/>
            <w:vAlign w:val="center"/>
          </w:tcPr>
          <w:p>
            <w:pPr>
              <w:spacing w:line="240" w:lineRule="auto"/>
              <w:ind w:firstLine="0" w:firstLineChars="0"/>
              <w:jc w:val="center"/>
              <w:rPr>
                <w:sz w:val="21"/>
                <w:szCs w:val="21"/>
              </w:rPr>
            </w:pPr>
            <w:r>
              <w:rPr>
                <w:sz w:val="21"/>
                <w:szCs w:val="21"/>
              </w:rPr>
              <w:t>总计</w:t>
            </w:r>
          </w:p>
        </w:tc>
        <w:tc>
          <w:tcPr>
            <w:tcW w:w="465" w:type="pct"/>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757</w:t>
            </w:r>
          </w:p>
        </w:tc>
        <w:tc>
          <w:tcPr>
            <w:tcW w:w="411" w:type="pct"/>
            <w:shd w:val="clear" w:color="auto" w:fill="auto"/>
            <w:vAlign w:val="center"/>
          </w:tcPr>
          <w:p>
            <w:pPr>
              <w:spacing w:line="240" w:lineRule="auto"/>
              <w:ind w:firstLine="0" w:firstLineChars="0"/>
              <w:jc w:val="center"/>
              <w:rPr>
                <w:sz w:val="21"/>
                <w:szCs w:val="21"/>
              </w:rPr>
            </w:pPr>
            <w:r>
              <w:rPr>
                <w:sz w:val="21"/>
                <w:szCs w:val="21"/>
              </w:rPr>
              <w:t>/</w:t>
            </w:r>
          </w:p>
        </w:tc>
        <w:tc>
          <w:tcPr>
            <w:tcW w:w="465" w:type="pct"/>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1.71</w:t>
            </w:r>
          </w:p>
        </w:tc>
        <w:tc>
          <w:tcPr>
            <w:tcW w:w="268" w:type="pct"/>
            <w:shd w:val="clear" w:color="auto" w:fill="auto"/>
            <w:vAlign w:val="center"/>
          </w:tcPr>
          <w:p>
            <w:pPr>
              <w:spacing w:line="240" w:lineRule="auto"/>
              <w:ind w:firstLine="0" w:firstLineChars="0"/>
              <w:jc w:val="center"/>
              <w:rPr>
                <w:sz w:val="21"/>
                <w:szCs w:val="21"/>
              </w:rPr>
            </w:pPr>
            <w:r>
              <w:rPr>
                <w:rFonts w:hint="eastAsia"/>
                <w:sz w:val="21"/>
                <w:szCs w:val="21"/>
              </w:rPr>
              <w:t>4%</w:t>
            </w:r>
          </w:p>
        </w:tc>
        <w:tc>
          <w:tcPr>
            <w:tcW w:w="547" w:type="pct"/>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2.67</w:t>
            </w:r>
          </w:p>
        </w:tc>
        <w:tc>
          <w:tcPr>
            <w:tcW w:w="460" w:type="pct"/>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23.38</w:t>
            </w:r>
          </w:p>
        </w:tc>
        <w:tc>
          <w:tcPr>
            <w:tcW w:w="411" w:type="pct"/>
            <w:shd w:val="clear" w:color="auto" w:fill="auto"/>
            <w:vAlign w:val="center"/>
          </w:tcPr>
          <w:p>
            <w:pPr>
              <w:spacing w:line="240" w:lineRule="auto"/>
              <w:ind w:firstLine="0" w:firstLineChars="0"/>
              <w:jc w:val="center"/>
              <w:rPr>
                <w:sz w:val="21"/>
                <w:szCs w:val="21"/>
              </w:rPr>
            </w:pPr>
            <w:r>
              <w:rPr>
                <w:sz w:val="21"/>
                <w:szCs w:val="21"/>
              </w:rPr>
              <w:t>/</w:t>
            </w:r>
          </w:p>
        </w:tc>
        <w:tc>
          <w:tcPr>
            <w:tcW w:w="465" w:type="pct"/>
            <w:shd w:val="clear" w:color="auto" w:fill="auto"/>
            <w:vAlign w:val="center"/>
          </w:tcPr>
          <w:p>
            <w:pPr>
              <w:spacing w:line="240" w:lineRule="auto"/>
              <w:ind w:firstLine="0" w:firstLineChars="0"/>
              <w:jc w:val="center"/>
              <w:rPr>
                <w:sz w:val="21"/>
                <w:szCs w:val="21"/>
              </w:rPr>
            </w:pPr>
            <w:r>
              <w:rPr>
                <w:rFonts w:hint="eastAsia"/>
                <w:color w:val="FF0000"/>
                <w:sz w:val="21"/>
                <w:szCs w:val="21"/>
                <w:lang w:val="en-US" w:eastAsia="zh-CN"/>
              </w:rPr>
              <w:t>0.2</w:t>
            </w:r>
          </w:p>
        </w:tc>
        <w:tc>
          <w:tcPr>
            <w:tcW w:w="268" w:type="pct"/>
            <w:shd w:val="clear" w:color="auto" w:fill="auto"/>
            <w:vAlign w:val="center"/>
          </w:tcPr>
          <w:p>
            <w:pPr>
              <w:spacing w:line="240" w:lineRule="auto"/>
              <w:ind w:firstLine="0" w:firstLineChars="0"/>
              <w:jc w:val="center"/>
              <w:rPr>
                <w:sz w:val="21"/>
                <w:szCs w:val="21"/>
              </w:rPr>
            </w:pPr>
            <w:r>
              <w:rPr>
                <w:sz w:val="21"/>
                <w:szCs w:val="21"/>
              </w:rPr>
              <w:t>1%</w:t>
            </w:r>
          </w:p>
        </w:tc>
        <w:tc>
          <w:tcPr>
            <w:tcW w:w="547" w:type="pct"/>
            <w:shd w:val="clear" w:color="auto" w:fill="auto"/>
            <w:vAlign w:val="center"/>
          </w:tcPr>
          <w:p>
            <w:pPr>
              <w:spacing w:line="240" w:lineRule="auto"/>
              <w:ind w:firstLine="0" w:firstLineChars="0"/>
              <w:jc w:val="center"/>
              <w:rPr>
                <w:color w:val="FF0000"/>
                <w:sz w:val="21"/>
                <w:szCs w:val="21"/>
              </w:rPr>
            </w:pPr>
            <w:r>
              <w:rPr>
                <w:rFonts w:hint="eastAsia"/>
                <w:color w:val="FF0000"/>
                <w:sz w:val="21"/>
                <w:szCs w:val="21"/>
                <w:lang w:val="en-US" w:eastAsia="zh-CN"/>
              </w:rPr>
              <w:t>0.002</w:t>
            </w:r>
          </w:p>
        </w:tc>
        <w:tc>
          <w:tcPr>
            <w:tcW w:w="460" w:type="pct"/>
            <w:shd w:val="clear" w:color="auto" w:fill="auto"/>
            <w:vAlign w:val="center"/>
          </w:tcPr>
          <w:p>
            <w:pPr>
              <w:spacing w:line="240" w:lineRule="auto"/>
              <w:ind w:firstLine="0" w:firstLineChars="0"/>
              <w:jc w:val="center"/>
              <w:rPr>
                <w:color w:val="FF0000"/>
                <w:sz w:val="21"/>
                <w:szCs w:val="21"/>
              </w:rPr>
            </w:pPr>
            <w:r>
              <w:rPr>
                <w:rFonts w:hint="eastAsia"/>
                <w:color w:val="FF0000"/>
                <w:sz w:val="21"/>
                <w:szCs w:val="21"/>
                <w:lang w:val="en-US" w:eastAsia="zh-CN"/>
              </w:rPr>
              <w:t>0.02</w:t>
            </w:r>
          </w:p>
        </w:tc>
      </w:tr>
    </w:tbl>
    <w:p>
      <w:pPr>
        <w:ind w:firstLine="480"/>
        <w:rPr>
          <w:bCs/>
        </w:rPr>
      </w:pPr>
      <w:r>
        <w:rPr>
          <w:bCs/>
        </w:rPr>
        <w:t>项目拟严格按照</w:t>
      </w:r>
      <w:r>
        <w:t>《畜禽养殖业污染治理工程技术规范》（HJ 497－2009）进行设计管理，根据（HJ 497－2009）</w:t>
      </w:r>
      <w:r>
        <w:rPr>
          <w:rFonts w:hint="eastAsia"/>
        </w:rPr>
        <w:t>“</w:t>
      </w:r>
      <w:r>
        <w:t>恶臭控制10.1一般规定</w:t>
      </w:r>
      <w:r>
        <w:rPr>
          <w:rFonts w:hint="eastAsia"/>
        </w:rPr>
        <w:t>”</w:t>
      </w:r>
      <w:r>
        <w:t>，</w:t>
      </w:r>
      <w:r>
        <w:rPr>
          <w:szCs w:val="22"/>
        </w:rPr>
        <w:t>根据《畜禽养殖污染防治最佳可行技术指南》（编制说明）</w:t>
      </w:r>
      <w:r>
        <w:rPr>
          <w:rFonts w:hint="eastAsia"/>
          <w:szCs w:val="22"/>
        </w:rPr>
        <w:t>“</w:t>
      </w:r>
      <w:r>
        <w:rPr>
          <w:szCs w:val="22"/>
        </w:rPr>
        <w:t>合理设计的猪舍可对67%的氨产生影响，清除粪便可影响另外25%的氨，调整饲料对氨的影响占15%～20%</w:t>
      </w:r>
      <w:r>
        <w:rPr>
          <w:rFonts w:hint="eastAsia"/>
          <w:szCs w:val="22"/>
        </w:rPr>
        <w:t>”，本</w:t>
      </w:r>
      <w:r>
        <w:rPr>
          <w:szCs w:val="22"/>
        </w:rPr>
        <w:t>项目</w:t>
      </w:r>
      <w:r>
        <w:rPr>
          <w:rFonts w:hint="eastAsia"/>
          <w:szCs w:val="22"/>
        </w:rPr>
        <w:t>从饲料中添加EM菌群，能够从源头上减少氨气和硫化氢的产生</w:t>
      </w:r>
      <w:r>
        <w:t>，</w:t>
      </w:r>
      <w:r>
        <w:rPr>
          <w:rFonts w:hint="eastAsia"/>
        </w:rPr>
        <w:t>并及时对粪便进行清理，同时在栏舍范围内采用生物除臭技术，利用微生物菌群的分解、固化作用对已产生的臭气进行去除，在</w:t>
      </w:r>
      <w:r>
        <w:t>加强管理的前提下可有效减少恶臭污染物的排放，</w:t>
      </w:r>
      <w:r>
        <w:rPr>
          <w:rFonts w:hint="eastAsia"/>
        </w:rPr>
        <w:t>总</w:t>
      </w:r>
      <w:r>
        <w:t>处理效率</w:t>
      </w:r>
      <w:r>
        <w:rPr>
          <w:rFonts w:hint="eastAsia"/>
        </w:rPr>
        <w:t>98</w:t>
      </w:r>
      <w:r>
        <w:t>%，项目恶臭污染物排放情况见下表。</w:t>
      </w:r>
    </w:p>
    <w:p>
      <w:pPr>
        <w:pStyle w:val="6"/>
      </w:pPr>
      <w:r>
        <w:rPr>
          <w:rFonts w:hint="eastAsia"/>
        </w:rPr>
        <w:t>表3.4.1-4  羊舍NH</w:t>
      </w:r>
      <w:r>
        <w:rPr>
          <w:rFonts w:hint="eastAsia"/>
          <w:vertAlign w:val="subscript"/>
        </w:rPr>
        <w:t>3</w:t>
      </w:r>
      <w:r>
        <w:rPr>
          <w:rFonts w:hint="eastAsia"/>
        </w:rPr>
        <w:t>、H</w:t>
      </w:r>
      <w:r>
        <w:rPr>
          <w:rFonts w:hint="eastAsia"/>
          <w:vertAlign w:val="subscript"/>
        </w:rPr>
        <w:t>2</w:t>
      </w:r>
      <w:r>
        <w:rPr>
          <w:rFonts w:hint="eastAsia"/>
        </w:rPr>
        <w:t>S排放情况一览表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836"/>
        <w:gridCol w:w="595"/>
        <w:gridCol w:w="998"/>
        <w:gridCol w:w="836"/>
        <w:gridCol w:w="998"/>
        <w:gridCol w:w="836"/>
        <w:gridCol w:w="595"/>
        <w:gridCol w:w="999"/>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gridSpan w:val="5"/>
            <w:shd w:val="clear" w:color="auto" w:fill="auto"/>
            <w:vAlign w:val="center"/>
          </w:tcPr>
          <w:p>
            <w:pPr>
              <w:spacing w:line="240" w:lineRule="auto"/>
              <w:ind w:firstLine="0" w:firstLineChars="0"/>
              <w:jc w:val="center"/>
              <w:rPr>
                <w:sz w:val="21"/>
                <w:szCs w:val="21"/>
              </w:rPr>
            </w:pPr>
            <w:r>
              <w:rPr>
                <w:sz w:val="21"/>
                <w:szCs w:val="21"/>
              </w:rPr>
              <w:t>NH</w:t>
            </w:r>
            <w:r>
              <w:rPr>
                <w:sz w:val="21"/>
                <w:szCs w:val="21"/>
                <w:vertAlign w:val="subscript"/>
              </w:rPr>
              <w:t>3</w:t>
            </w:r>
          </w:p>
        </w:tc>
        <w:tc>
          <w:tcPr>
            <w:tcW w:w="0" w:type="auto"/>
            <w:gridSpan w:val="5"/>
            <w:shd w:val="clear" w:color="auto" w:fill="auto"/>
            <w:vAlign w:val="center"/>
          </w:tcPr>
          <w:p>
            <w:pPr>
              <w:spacing w:line="240" w:lineRule="auto"/>
              <w:ind w:firstLine="0" w:firstLineChars="0"/>
              <w:jc w:val="center"/>
              <w:rPr>
                <w:sz w:val="21"/>
                <w:szCs w:val="21"/>
              </w:rPr>
            </w:pPr>
            <w:r>
              <w:rPr>
                <w:sz w:val="21"/>
                <w:szCs w:val="21"/>
              </w:rPr>
              <w:t>H</w:t>
            </w:r>
            <w:r>
              <w:rPr>
                <w:sz w:val="21"/>
                <w:szCs w:val="21"/>
                <w:vertAlign w:val="subscript"/>
              </w:rPr>
              <w:t>2</w:t>
            </w:r>
            <w:r>
              <w:rPr>
                <w:sz w:val="21"/>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产生</w:t>
            </w:r>
            <w:r>
              <w:rPr>
                <w:sz w:val="21"/>
                <w:szCs w:val="21"/>
              </w:rPr>
              <w:t>速率</w:t>
            </w:r>
            <w:r>
              <w:rPr>
                <w:rFonts w:hint="eastAsia"/>
                <w:sz w:val="21"/>
                <w:szCs w:val="21"/>
              </w:rPr>
              <w:t>（kg/h）</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产生量（t/a）</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处理效率</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排放</w:t>
            </w:r>
            <w:r>
              <w:rPr>
                <w:sz w:val="21"/>
                <w:szCs w:val="21"/>
              </w:rPr>
              <w:t>速率</w:t>
            </w:r>
            <w:r>
              <w:rPr>
                <w:rFonts w:hint="eastAsia"/>
                <w:sz w:val="21"/>
                <w:szCs w:val="21"/>
              </w:rPr>
              <w:t>（kg/h）</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排放量（t/a）</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产生</w:t>
            </w:r>
            <w:r>
              <w:rPr>
                <w:sz w:val="21"/>
                <w:szCs w:val="21"/>
              </w:rPr>
              <w:t>速率</w:t>
            </w:r>
          </w:p>
          <w:p>
            <w:pPr>
              <w:spacing w:line="240" w:lineRule="auto"/>
              <w:ind w:firstLine="0" w:firstLineChars="0"/>
              <w:jc w:val="center"/>
              <w:rPr>
                <w:sz w:val="21"/>
                <w:szCs w:val="21"/>
              </w:rPr>
            </w:pPr>
            <w:r>
              <w:rPr>
                <w:rFonts w:hint="eastAsia"/>
                <w:sz w:val="21"/>
                <w:szCs w:val="21"/>
              </w:rPr>
              <w:t>（kg/h）</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产生量（t/a）</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处理效率</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排放</w:t>
            </w:r>
            <w:r>
              <w:rPr>
                <w:sz w:val="21"/>
                <w:szCs w:val="21"/>
              </w:rPr>
              <w:t>速率</w:t>
            </w:r>
            <w:r>
              <w:rPr>
                <w:rFonts w:hint="eastAsia"/>
                <w:sz w:val="21"/>
                <w:szCs w:val="21"/>
              </w:rPr>
              <w:t>（kg/h）</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2.67</w:t>
            </w:r>
          </w:p>
        </w:tc>
        <w:tc>
          <w:tcPr>
            <w:tcW w:w="0" w:type="auto"/>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23.38</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98%</w:t>
            </w:r>
          </w:p>
        </w:tc>
        <w:tc>
          <w:tcPr>
            <w:tcW w:w="0" w:type="auto"/>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0.05</w:t>
            </w:r>
          </w:p>
        </w:tc>
        <w:tc>
          <w:tcPr>
            <w:tcW w:w="0" w:type="auto"/>
            <w:shd w:val="clear" w:color="auto" w:fill="auto"/>
            <w:vAlign w:val="center"/>
          </w:tcPr>
          <w:p>
            <w:pPr>
              <w:spacing w:line="240" w:lineRule="auto"/>
              <w:ind w:firstLine="0" w:firstLineChars="0"/>
              <w:jc w:val="center"/>
              <w:rPr>
                <w:rFonts w:hint="default" w:eastAsia="宋体"/>
                <w:sz w:val="21"/>
                <w:szCs w:val="21"/>
                <w:lang w:val="en-US" w:eastAsia="zh-CN"/>
              </w:rPr>
            </w:pPr>
            <w:r>
              <w:rPr>
                <w:rFonts w:hint="eastAsia"/>
                <w:sz w:val="21"/>
                <w:szCs w:val="21"/>
              </w:rPr>
              <w:t>0.</w:t>
            </w:r>
            <w:r>
              <w:rPr>
                <w:rFonts w:hint="eastAsia"/>
                <w:sz w:val="21"/>
                <w:szCs w:val="21"/>
                <w:lang w:val="en-US" w:eastAsia="zh-CN"/>
              </w:rPr>
              <w:t>47</w:t>
            </w:r>
          </w:p>
        </w:tc>
        <w:tc>
          <w:tcPr>
            <w:tcW w:w="0" w:type="auto"/>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rPr>
              <w:t>0.</w:t>
            </w:r>
            <w:r>
              <w:rPr>
                <w:rFonts w:hint="eastAsia"/>
                <w:color w:val="FF0000"/>
                <w:sz w:val="21"/>
                <w:szCs w:val="21"/>
                <w:lang w:val="en-US" w:eastAsia="zh-CN"/>
              </w:rPr>
              <w:t>002</w:t>
            </w:r>
          </w:p>
        </w:tc>
        <w:tc>
          <w:tcPr>
            <w:tcW w:w="0" w:type="auto"/>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0.02</w:t>
            </w:r>
          </w:p>
        </w:tc>
        <w:tc>
          <w:tcPr>
            <w:tcW w:w="0" w:type="auto"/>
            <w:shd w:val="clear" w:color="auto" w:fill="auto"/>
            <w:vAlign w:val="center"/>
          </w:tcPr>
          <w:p>
            <w:pPr>
              <w:spacing w:line="240" w:lineRule="auto"/>
              <w:ind w:firstLine="0" w:firstLineChars="0"/>
              <w:jc w:val="center"/>
              <w:rPr>
                <w:sz w:val="21"/>
                <w:szCs w:val="21"/>
              </w:rPr>
            </w:pPr>
            <w:r>
              <w:rPr>
                <w:rFonts w:hint="eastAsia"/>
                <w:sz w:val="21"/>
                <w:szCs w:val="21"/>
              </w:rPr>
              <w:t>98%</w:t>
            </w:r>
          </w:p>
        </w:tc>
        <w:tc>
          <w:tcPr>
            <w:tcW w:w="0" w:type="auto"/>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rPr>
              <w:t>0.00</w:t>
            </w:r>
            <w:r>
              <w:rPr>
                <w:rFonts w:hint="eastAsia"/>
                <w:color w:val="FF0000"/>
                <w:sz w:val="21"/>
                <w:szCs w:val="21"/>
                <w:lang w:val="en-US" w:eastAsia="zh-CN"/>
              </w:rPr>
              <w:t>004</w:t>
            </w:r>
          </w:p>
        </w:tc>
        <w:tc>
          <w:tcPr>
            <w:tcW w:w="0" w:type="auto"/>
            <w:shd w:val="clear" w:color="auto" w:fill="auto"/>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rPr>
              <w:t>0.0</w:t>
            </w:r>
            <w:r>
              <w:rPr>
                <w:rFonts w:hint="eastAsia"/>
                <w:color w:val="FF0000"/>
                <w:sz w:val="21"/>
                <w:szCs w:val="21"/>
                <w:lang w:val="en-US" w:eastAsia="zh-CN"/>
              </w:rPr>
              <w:t>004</w:t>
            </w:r>
          </w:p>
        </w:tc>
      </w:tr>
    </w:tbl>
    <w:p>
      <w:pPr>
        <w:ind w:firstLine="480"/>
      </w:pPr>
    </w:p>
    <w:p>
      <w:pPr>
        <w:pStyle w:val="5"/>
      </w:pPr>
      <w:r>
        <w:rPr>
          <w:rFonts w:hint="eastAsia"/>
          <w:lang w:eastAsia="zh-CN"/>
        </w:rPr>
        <w:t>有机肥堆场</w:t>
      </w:r>
      <w:r>
        <w:rPr>
          <w:rFonts w:hint="eastAsia"/>
        </w:rPr>
        <w:t>废气G3</w:t>
      </w:r>
    </w:p>
    <w:p>
      <w:pPr>
        <w:keepNext w:val="0"/>
        <w:keepLines w:val="0"/>
        <w:widowControl/>
        <w:suppressLineNumbers w:val="0"/>
        <w:jc w:val="left"/>
        <w:rPr>
          <w:rFonts w:hint="default"/>
          <w:color w:val="FF0000"/>
          <w:lang w:val="en-US"/>
        </w:rPr>
      </w:pPr>
      <w:r>
        <w:rPr>
          <w:color w:val="FF0000"/>
        </w:rPr>
        <w:t>粪便在堆肥过程中会产生一定的恶臭气体，臭气成份复杂，主要是氨、</w:t>
      </w:r>
      <w:r>
        <w:rPr>
          <w:rFonts w:hint="eastAsia"/>
          <w:color w:val="FF0000"/>
        </w:rPr>
        <w:t>含</w:t>
      </w:r>
      <w:r>
        <w:rPr>
          <w:color w:val="FF0000"/>
        </w:rPr>
        <w:t>硫化合物、胺类和一些低级脂肪酸类等化学物质，NH</w:t>
      </w:r>
      <w:r>
        <w:rPr>
          <w:color w:val="FF0000"/>
          <w:vertAlign w:val="subscript"/>
        </w:rPr>
        <w:t>3</w:t>
      </w:r>
      <w:r>
        <w:rPr>
          <w:color w:val="FF0000"/>
        </w:rPr>
        <w:t>是臭气中最主要的成份。</w:t>
      </w:r>
      <w:r>
        <w:rPr>
          <w:rFonts w:hint="eastAsia"/>
          <w:color w:val="FF0000"/>
        </w:rPr>
        <w:t>本项目采用干清粪方式进行清粪，粪便进入有机</w:t>
      </w:r>
      <w:r>
        <w:rPr>
          <w:rFonts w:hint="eastAsia"/>
          <w:color w:val="FF0000"/>
          <w:lang w:eastAsia="zh-CN"/>
        </w:rPr>
        <w:t>有机肥堆场</w:t>
      </w:r>
      <w:r>
        <w:rPr>
          <w:rFonts w:hint="eastAsia"/>
          <w:color w:val="FF0000"/>
        </w:rPr>
        <w:t>堆肥。</w:t>
      </w:r>
      <w:r>
        <w:rPr>
          <w:color w:val="FF0000"/>
        </w:rPr>
        <w:t>本项目</w:t>
      </w:r>
      <w:r>
        <w:rPr>
          <w:rFonts w:hint="eastAsia"/>
          <w:color w:val="FF0000"/>
          <w:lang w:val="en-US" w:eastAsia="zh-CN"/>
        </w:rPr>
        <w:t>处理粪便</w:t>
      </w:r>
      <w:r>
        <w:rPr>
          <w:rFonts w:hint="eastAsia"/>
          <w:color w:val="FF0000"/>
        </w:rPr>
        <w:t>75555t/a，有机肥产生量约为堆肥量的78%，年产生有机肥量为</w:t>
      </w:r>
      <w:r>
        <w:rPr>
          <w:rFonts w:hint="eastAsia"/>
          <w:color w:val="FF0000"/>
          <w:lang w:eastAsia="zh-CN"/>
        </w:rPr>
        <w:t>58933</w:t>
      </w:r>
      <w:r>
        <w:rPr>
          <w:rFonts w:hint="eastAsia"/>
          <w:color w:val="FF0000"/>
        </w:rPr>
        <w:t>t/a。根据《第二次污染源排查污染物排放系数手册》2625有机肥及微生物肥制造行业计算项目污染物产生情况</w:t>
      </w:r>
      <w:r>
        <w:rPr>
          <w:rFonts w:hint="eastAsia"/>
          <w:color w:val="FF0000"/>
          <w:lang w:eastAsia="zh-CN"/>
        </w:rPr>
        <w:t>，</w:t>
      </w:r>
      <w:r>
        <w:rPr>
          <w:rFonts w:hint="eastAsia"/>
          <w:color w:val="FF0000"/>
          <w:lang w:val="en-US" w:eastAsia="zh-CN"/>
        </w:rPr>
        <w:t>同时根据</w:t>
      </w:r>
      <w:r>
        <w:rPr>
          <w:rFonts w:hint="eastAsia" w:ascii="宋体" w:hAnsi="宋体" w:eastAsia="宋体" w:cs="宋体"/>
          <w:color w:val="FF0000"/>
          <w:kern w:val="0"/>
          <w:sz w:val="24"/>
          <w:szCs w:val="24"/>
          <w:lang w:val="en-US" w:eastAsia="zh-CN" w:bidi="ar"/>
        </w:rPr>
        <w:t xml:space="preserve">《农业环境影响评价技术手册》（化学工业出版社 </w:t>
      </w:r>
      <w:r>
        <w:rPr>
          <w:rFonts w:hint="default" w:ascii="Times New Roman" w:hAnsi="Times New Roman" w:eastAsia="宋体" w:cs="Times New Roman"/>
          <w:color w:val="FF0000"/>
          <w:kern w:val="0"/>
          <w:sz w:val="24"/>
          <w:szCs w:val="24"/>
          <w:lang w:val="en-US" w:eastAsia="zh-CN" w:bidi="ar"/>
        </w:rPr>
        <w:t>2007</w:t>
      </w:r>
      <w:r>
        <w:rPr>
          <w:rFonts w:hint="eastAsia" w:ascii="宋体" w:hAnsi="宋体" w:eastAsia="宋体" w:cs="宋体"/>
          <w:color w:val="FF0000"/>
          <w:kern w:val="0"/>
          <w:sz w:val="24"/>
          <w:szCs w:val="24"/>
          <w:lang w:val="en-US" w:eastAsia="zh-CN" w:bidi="ar"/>
        </w:rPr>
        <w:t xml:space="preserve">），硫化氢的产生量一般为氨气的 </w:t>
      </w:r>
      <w:r>
        <w:rPr>
          <w:rFonts w:hint="default" w:ascii="Times New Roman" w:hAnsi="Times New Roman" w:eastAsia="宋体" w:cs="Times New Roman"/>
          <w:color w:val="FF0000"/>
          <w:kern w:val="0"/>
          <w:sz w:val="24"/>
          <w:szCs w:val="24"/>
          <w:lang w:val="en-US" w:eastAsia="zh-CN" w:bidi="ar"/>
        </w:rPr>
        <w:t>1</w:t>
      </w:r>
      <w:r>
        <w:rPr>
          <w:rFonts w:hint="eastAsia" w:ascii="宋体" w:hAnsi="宋体" w:eastAsia="宋体" w:cs="宋体"/>
          <w:color w:val="FF0000"/>
          <w:kern w:val="0"/>
          <w:sz w:val="24"/>
          <w:szCs w:val="24"/>
          <w:lang w:val="en-US" w:eastAsia="zh-CN" w:bidi="ar"/>
        </w:rPr>
        <w:t>～</w:t>
      </w:r>
      <w:r>
        <w:rPr>
          <w:rFonts w:hint="default" w:ascii="Times New Roman" w:hAnsi="Times New Roman" w:eastAsia="宋体" w:cs="Times New Roman"/>
          <w:color w:val="FF0000"/>
          <w:kern w:val="0"/>
          <w:sz w:val="24"/>
          <w:szCs w:val="24"/>
          <w:lang w:val="en-US" w:eastAsia="zh-CN" w:bidi="ar"/>
        </w:rPr>
        <w:t>5%</w:t>
      </w:r>
      <w:r>
        <w:rPr>
          <w:rFonts w:hint="eastAsia" w:ascii="宋体" w:hAnsi="宋体" w:eastAsia="宋体" w:cs="宋体"/>
          <w:color w:val="FF0000"/>
          <w:kern w:val="0"/>
          <w:sz w:val="24"/>
          <w:szCs w:val="24"/>
          <w:lang w:val="en-US" w:eastAsia="zh-CN" w:bidi="ar"/>
        </w:rPr>
        <w:t xml:space="preserve">，本次评价取 </w:t>
      </w:r>
      <w:r>
        <w:rPr>
          <w:rFonts w:hint="eastAsia" w:cs="Times New Roman"/>
          <w:color w:val="FF0000"/>
          <w:kern w:val="0"/>
          <w:sz w:val="24"/>
          <w:szCs w:val="24"/>
          <w:lang w:val="en-US" w:eastAsia="zh-CN" w:bidi="ar"/>
        </w:rPr>
        <w:t>3</w:t>
      </w:r>
      <w:r>
        <w:rPr>
          <w:rFonts w:hint="default" w:ascii="Times New Roman" w:hAnsi="Times New Roman" w:eastAsia="宋体" w:cs="Times New Roman"/>
          <w:color w:val="FF0000"/>
          <w:kern w:val="0"/>
          <w:sz w:val="24"/>
          <w:szCs w:val="24"/>
          <w:lang w:val="en-US" w:eastAsia="zh-CN" w:bidi="ar"/>
        </w:rPr>
        <w:t>%</w:t>
      </w:r>
      <w:r>
        <w:rPr>
          <w:rFonts w:hint="eastAsia" w:ascii="宋体" w:hAnsi="宋体" w:eastAsia="宋体" w:cs="宋体"/>
          <w:color w:val="FF0000"/>
          <w:kern w:val="0"/>
          <w:sz w:val="24"/>
          <w:szCs w:val="24"/>
          <w:lang w:val="en-US" w:eastAsia="zh-CN" w:bidi="ar"/>
        </w:rPr>
        <w:t>。</w:t>
      </w:r>
    </w:p>
    <w:p>
      <w:pPr>
        <w:ind w:firstLine="480"/>
        <w:rPr>
          <w:color w:val="FF0000"/>
        </w:rPr>
      </w:pPr>
      <w:r>
        <w:rPr>
          <w:color w:val="FF0000"/>
        </w:rPr>
        <w:t>项目污染物产生情况见下表。</w:t>
      </w:r>
    </w:p>
    <w:p>
      <w:pPr>
        <w:pStyle w:val="6"/>
        <w:rPr>
          <w:color w:val="FF0000"/>
        </w:rPr>
      </w:pPr>
      <w:r>
        <w:rPr>
          <w:rFonts w:hint="eastAsia"/>
          <w:color w:val="FF0000"/>
        </w:rPr>
        <w:t xml:space="preserve">表3.4.1-5   </w:t>
      </w:r>
      <w:r>
        <w:rPr>
          <w:rFonts w:hint="eastAsia"/>
          <w:color w:val="FF0000"/>
          <w:lang w:eastAsia="zh-CN"/>
        </w:rPr>
        <w:t>有机肥堆场</w:t>
      </w:r>
      <w:r>
        <w:rPr>
          <w:rFonts w:hint="eastAsia"/>
          <w:color w:val="FF0000"/>
        </w:rPr>
        <w:t>恶臭气体产</w:t>
      </w:r>
      <w:r>
        <w:rPr>
          <w:rFonts w:hint="eastAsia"/>
          <w:color w:val="FF0000"/>
          <w:lang w:val="en-US" w:eastAsia="zh-CN"/>
        </w:rPr>
        <w:t>生</w:t>
      </w:r>
      <w:r>
        <w:rPr>
          <w:rFonts w:hint="eastAsia"/>
          <w:color w:val="FF0000"/>
        </w:rPr>
        <w:t>情况估算表</w:t>
      </w:r>
    </w:p>
    <w:tbl>
      <w:tblPr>
        <w:tblStyle w:val="3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277"/>
        <w:gridCol w:w="1419"/>
        <w:gridCol w:w="1298"/>
        <w:gridCol w:w="1716"/>
        <w:gridCol w:w="1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pc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核算环节</w:t>
            </w:r>
          </w:p>
        </w:tc>
        <w:tc>
          <w:tcPr>
            <w:tcW w:w="749" w:type="pc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产品名称</w:t>
            </w:r>
          </w:p>
        </w:tc>
        <w:tc>
          <w:tcPr>
            <w:tcW w:w="832" w:type="pc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原料名称</w:t>
            </w:r>
          </w:p>
        </w:tc>
        <w:tc>
          <w:tcPr>
            <w:tcW w:w="761" w:type="pc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污染物</w:t>
            </w:r>
          </w:p>
        </w:tc>
        <w:tc>
          <w:tcPr>
            <w:tcW w:w="1006" w:type="pc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产污系数</w:t>
            </w:r>
          </w:p>
        </w:tc>
        <w:tc>
          <w:tcPr>
            <w:tcW w:w="937" w:type="pct"/>
            <w:tcBorders>
              <w:tl2br w:val="nil"/>
              <w:tr2bl w:val="nil"/>
            </w:tcBorders>
            <w:vAlign w:val="center"/>
          </w:tcPr>
          <w:p>
            <w:pPr>
              <w:spacing w:line="240" w:lineRule="auto"/>
              <w:ind w:firstLine="0" w:firstLineChars="0"/>
              <w:jc w:val="center"/>
              <w:rPr>
                <w:color w:val="FF0000"/>
                <w:sz w:val="21"/>
                <w:szCs w:val="21"/>
              </w:rPr>
            </w:pPr>
            <w:r>
              <w:rPr>
                <w:rFonts w:hint="eastAsia"/>
                <w:color w:val="FF0000"/>
                <w:sz w:val="21"/>
                <w:szCs w:val="21"/>
              </w:rPr>
              <w:t>产生量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pct"/>
            <w:vMerge w:val="restar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熟化过程</w:t>
            </w:r>
          </w:p>
        </w:tc>
        <w:tc>
          <w:tcPr>
            <w:tcW w:w="749" w:type="pct"/>
            <w:vMerge w:val="restar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有机肥</w:t>
            </w:r>
          </w:p>
        </w:tc>
        <w:tc>
          <w:tcPr>
            <w:tcW w:w="832" w:type="pct"/>
            <w:vMerge w:val="restart"/>
            <w:tcBorders>
              <w:tl2br w:val="nil"/>
              <w:tr2bl w:val="nil"/>
            </w:tcBorders>
            <w:vAlign w:val="center"/>
          </w:tcPr>
          <w:p>
            <w:pPr>
              <w:spacing w:line="240" w:lineRule="auto"/>
              <w:ind w:firstLine="0" w:firstLineChars="0"/>
              <w:jc w:val="center"/>
              <w:rPr>
                <w:color w:val="FF0000"/>
                <w:sz w:val="21"/>
                <w:szCs w:val="21"/>
              </w:rPr>
            </w:pPr>
            <w:r>
              <w:rPr>
                <w:rFonts w:hint="eastAsia"/>
                <w:color w:val="FF0000"/>
                <w:sz w:val="21"/>
                <w:szCs w:val="21"/>
              </w:rPr>
              <w:t>粪便、动物无害化残渣等</w:t>
            </w:r>
          </w:p>
        </w:tc>
        <w:tc>
          <w:tcPr>
            <w:tcW w:w="761" w:type="pct"/>
            <w:tcBorders>
              <w:tl2br w:val="nil"/>
              <w:tr2bl w:val="nil"/>
            </w:tcBorders>
            <w:vAlign w:val="center"/>
          </w:tcPr>
          <w:p>
            <w:pPr>
              <w:spacing w:line="240" w:lineRule="auto"/>
              <w:ind w:firstLine="0" w:firstLineChars="0"/>
              <w:jc w:val="center"/>
              <w:rPr>
                <w:color w:val="FF0000"/>
                <w:sz w:val="21"/>
                <w:szCs w:val="21"/>
              </w:rPr>
            </w:pPr>
            <w:r>
              <w:rPr>
                <w:color w:val="FF0000"/>
                <w:sz w:val="21"/>
                <w:szCs w:val="21"/>
              </w:rPr>
              <w:t>废气量</w:t>
            </w:r>
          </w:p>
        </w:tc>
        <w:tc>
          <w:tcPr>
            <w:tcW w:w="1006" w:type="pct"/>
            <w:tcBorders>
              <w:tl2br w:val="nil"/>
              <w:tr2bl w:val="nil"/>
            </w:tcBorders>
            <w:vAlign w:val="center"/>
          </w:tcPr>
          <w:p>
            <w:pPr>
              <w:spacing w:line="240" w:lineRule="auto"/>
              <w:ind w:firstLine="0" w:firstLineChars="0"/>
              <w:jc w:val="center"/>
              <w:rPr>
                <w:color w:val="FF0000"/>
                <w:sz w:val="21"/>
                <w:szCs w:val="21"/>
              </w:rPr>
            </w:pPr>
            <w:r>
              <w:rPr>
                <w:rFonts w:hint="eastAsia"/>
                <w:color w:val="FF0000"/>
                <w:sz w:val="21"/>
                <w:szCs w:val="21"/>
              </w:rPr>
              <w:t>2400</w:t>
            </w:r>
          </w:p>
          <w:p>
            <w:pPr>
              <w:spacing w:line="240" w:lineRule="auto"/>
              <w:ind w:firstLine="0" w:firstLineChars="0"/>
              <w:jc w:val="center"/>
              <w:rPr>
                <w:color w:val="FF0000"/>
                <w:sz w:val="21"/>
                <w:szCs w:val="21"/>
              </w:rPr>
            </w:pPr>
            <w:r>
              <w:rPr>
                <w:color w:val="FF0000"/>
                <w:sz w:val="21"/>
                <w:szCs w:val="21"/>
              </w:rPr>
              <w:t>Nm³/t-产品</w:t>
            </w:r>
          </w:p>
        </w:tc>
        <w:tc>
          <w:tcPr>
            <w:tcW w:w="937" w:type="pct"/>
            <w:tcBorders>
              <w:tl2br w:val="nil"/>
              <w:tr2bl w:val="nil"/>
            </w:tcBorders>
            <w:vAlign w:val="center"/>
          </w:tcPr>
          <w:p>
            <w:pPr>
              <w:spacing w:line="240" w:lineRule="auto"/>
              <w:ind w:firstLine="0" w:firstLineChars="0"/>
              <w:jc w:val="center"/>
              <w:rPr>
                <w:color w:val="FF0000"/>
                <w:sz w:val="21"/>
                <w:szCs w:val="21"/>
              </w:rPr>
            </w:pPr>
            <w:r>
              <w:rPr>
                <w:rFonts w:hint="eastAsia"/>
                <w:color w:val="FF0000"/>
                <w:sz w:val="21"/>
                <w:szCs w:val="21"/>
                <w:lang w:val="en-US" w:eastAsia="zh-CN"/>
              </w:rPr>
              <w:t>14144</w:t>
            </w:r>
            <w:r>
              <w:rPr>
                <w:rFonts w:hint="eastAsia"/>
                <w:color w:val="FF0000"/>
                <w:sz w:val="21"/>
                <w:szCs w:val="21"/>
              </w:rPr>
              <w:t>万</w:t>
            </w:r>
            <w:r>
              <w:rPr>
                <w:color w:val="FF0000"/>
                <w:sz w:val="21"/>
                <w:szCs w:val="21"/>
              </w:rPr>
              <w:t>m³</w:t>
            </w:r>
            <w:r>
              <w:rPr>
                <w:rFonts w:hint="eastAsia"/>
                <w:color w:val="FF0000"/>
                <w:sz w:val="21"/>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3" w:type="pct"/>
            <w:vMerge w:val="continue"/>
            <w:tcBorders>
              <w:tl2br w:val="nil"/>
              <w:tr2bl w:val="nil"/>
            </w:tcBorders>
            <w:vAlign w:val="center"/>
          </w:tcPr>
          <w:p>
            <w:pPr>
              <w:spacing w:line="240" w:lineRule="auto"/>
              <w:ind w:firstLine="0" w:firstLineChars="0"/>
              <w:jc w:val="center"/>
              <w:rPr>
                <w:color w:val="FF0000"/>
                <w:sz w:val="21"/>
                <w:szCs w:val="21"/>
              </w:rPr>
            </w:pPr>
          </w:p>
        </w:tc>
        <w:tc>
          <w:tcPr>
            <w:tcW w:w="749" w:type="pct"/>
            <w:vMerge w:val="continue"/>
            <w:tcBorders>
              <w:tl2br w:val="nil"/>
              <w:tr2bl w:val="nil"/>
            </w:tcBorders>
            <w:vAlign w:val="center"/>
          </w:tcPr>
          <w:p>
            <w:pPr>
              <w:spacing w:line="240" w:lineRule="auto"/>
              <w:ind w:firstLine="0" w:firstLineChars="0"/>
              <w:jc w:val="center"/>
              <w:rPr>
                <w:color w:val="FF0000"/>
                <w:sz w:val="21"/>
                <w:szCs w:val="21"/>
              </w:rPr>
            </w:pPr>
          </w:p>
        </w:tc>
        <w:tc>
          <w:tcPr>
            <w:tcW w:w="832" w:type="pct"/>
            <w:vMerge w:val="continue"/>
            <w:tcBorders>
              <w:tl2br w:val="nil"/>
              <w:tr2bl w:val="nil"/>
            </w:tcBorders>
            <w:vAlign w:val="center"/>
          </w:tcPr>
          <w:p>
            <w:pPr>
              <w:spacing w:line="240" w:lineRule="auto"/>
              <w:ind w:firstLine="0" w:firstLineChars="0"/>
              <w:jc w:val="center"/>
              <w:rPr>
                <w:color w:val="FF0000"/>
                <w:sz w:val="21"/>
                <w:szCs w:val="21"/>
              </w:rPr>
            </w:pPr>
          </w:p>
        </w:tc>
        <w:tc>
          <w:tcPr>
            <w:tcW w:w="761" w:type="pct"/>
            <w:tcBorders>
              <w:tl2br w:val="nil"/>
              <w:tr2bl w:val="nil"/>
            </w:tcBorders>
            <w:vAlign w:val="center"/>
          </w:tcPr>
          <w:p>
            <w:pPr>
              <w:spacing w:line="240" w:lineRule="auto"/>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olor w:val="FF0000"/>
                <w:sz w:val="21"/>
                <w:szCs w:val="21"/>
              </w:rPr>
              <w:t>氨</w:t>
            </w:r>
          </w:p>
        </w:tc>
        <w:tc>
          <w:tcPr>
            <w:tcW w:w="1006" w:type="pct"/>
            <w:tcBorders>
              <w:tl2br w:val="nil"/>
              <w:tr2bl w:val="nil"/>
            </w:tcBorders>
            <w:vAlign w:val="center"/>
          </w:tcPr>
          <w:p>
            <w:pPr>
              <w:spacing w:line="240" w:lineRule="auto"/>
              <w:ind w:firstLine="0" w:firstLineChars="0"/>
              <w:jc w:val="center"/>
              <w:rPr>
                <w:color w:val="FF0000"/>
                <w:sz w:val="21"/>
                <w:szCs w:val="21"/>
              </w:rPr>
            </w:pPr>
            <w:r>
              <w:rPr>
                <w:rFonts w:hint="eastAsia"/>
                <w:color w:val="FF0000"/>
                <w:sz w:val="21"/>
                <w:szCs w:val="21"/>
              </w:rPr>
              <w:t>0.07</w:t>
            </w:r>
          </w:p>
          <w:p>
            <w:pPr>
              <w:spacing w:line="240" w:lineRule="auto"/>
              <w:ind w:firstLine="0" w:firstLineChars="0"/>
              <w:jc w:val="center"/>
              <w:rPr>
                <w:rFonts w:ascii="Times New Roman" w:hAnsi="Times New Roman" w:eastAsia="宋体" w:cs="Times New Roman"/>
                <w:color w:val="FF0000"/>
                <w:kern w:val="2"/>
                <w:sz w:val="21"/>
                <w:szCs w:val="21"/>
                <w:lang w:val="en-US" w:eastAsia="zh-CN" w:bidi="ar-SA"/>
              </w:rPr>
            </w:pPr>
            <w:r>
              <w:rPr>
                <w:color w:val="FF0000"/>
                <w:sz w:val="21"/>
                <w:szCs w:val="21"/>
              </w:rPr>
              <w:t>kg/t-产品</w:t>
            </w:r>
          </w:p>
        </w:tc>
        <w:tc>
          <w:tcPr>
            <w:tcW w:w="937" w:type="pct"/>
            <w:tcBorders>
              <w:tl2br w:val="nil"/>
              <w:tr2bl w:val="nil"/>
            </w:tcBorders>
            <w:vAlign w:val="center"/>
          </w:tcPr>
          <w:p>
            <w:pPr>
              <w:spacing w:line="240" w:lineRule="auto"/>
              <w:ind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color w:val="FF0000"/>
                <w:sz w:val="21"/>
                <w:szCs w:val="21"/>
                <w:lang w:val="en-US" w:eastAsia="zh-CN"/>
              </w:rPr>
              <w:t>4.13</w:t>
            </w:r>
            <w:r>
              <w:rPr>
                <w:rFonts w:hint="eastAsia"/>
                <w:color w:val="FF0000"/>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3" w:type="pct"/>
            <w:vMerge w:val="continue"/>
            <w:tcBorders>
              <w:tl2br w:val="nil"/>
              <w:tr2bl w:val="nil"/>
            </w:tcBorders>
            <w:vAlign w:val="center"/>
          </w:tcPr>
          <w:p>
            <w:pPr>
              <w:spacing w:line="240" w:lineRule="auto"/>
              <w:ind w:firstLine="0" w:firstLineChars="0"/>
              <w:jc w:val="center"/>
              <w:rPr>
                <w:color w:val="FF0000"/>
                <w:sz w:val="21"/>
                <w:szCs w:val="21"/>
              </w:rPr>
            </w:pPr>
          </w:p>
        </w:tc>
        <w:tc>
          <w:tcPr>
            <w:tcW w:w="749" w:type="pct"/>
            <w:vMerge w:val="continue"/>
            <w:tcBorders>
              <w:tl2br w:val="nil"/>
              <w:tr2bl w:val="nil"/>
            </w:tcBorders>
            <w:vAlign w:val="center"/>
          </w:tcPr>
          <w:p>
            <w:pPr>
              <w:spacing w:line="240" w:lineRule="auto"/>
              <w:ind w:firstLine="0" w:firstLineChars="0"/>
              <w:jc w:val="center"/>
              <w:rPr>
                <w:color w:val="FF0000"/>
                <w:sz w:val="21"/>
                <w:szCs w:val="21"/>
              </w:rPr>
            </w:pPr>
          </w:p>
        </w:tc>
        <w:tc>
          <w:tcPr>
            <w:tcW w:w="832" w:type="pct"/>
            <w:vMerge w:val="continue"/>
            <w:tcBorders>
              <w:tl2br w:val="nil"/>
              <w:tr2bl w:val="nil"/>
            </w:tcBorders>
            <w:vAlign w:val="center"/>
          </w:tcPr>
          <w:p>
            <w:pPr>
              <w:spacing w:line="240" w:lineRule="auto"/>
              <w:ind w:firstLine="0" w:firstLineChars="0"/>
              <w:jc w:val="center"/>
              <w:rPr>
                <w:color w:val="FF0000"/>
                <w:sz w:val="21"/>
                <w:szCs w:val="21"/>
              </w:rPr>
            </w:pPr>
          </w:p>
        </w:tc>
        <w:tc>
          <w:tcPr>
            <w:tcW w:w="761" w:type="pct"/>
            <w:vMerge w:val="restart"/>
            <w:tcBorders>
              <w:tl2br w:val="nil"/>
              <w:tr2bl w:val="nil"/>
            </w:tcBorders>
            <w:vAlign w:val="center"/>
          </w:tcPr>
          <w:p>
            <w:pPr>
              <w:spacing w:line="240" w:lineRule="auto"/>
              <w:ind w:firstLine="0" w:firstLineChars="0"/>
              <w:jc w:val="center"/>
              <w:rPr>
                <w:color w:val="FF0000"/>
                <w:sz w:val="21"/>
                <w:szCs w:val="21"/>
              </w:rPr>
            </w:pPr>
            <w:r>
              <w:rPr>
                <w:rFonts w:hint="eastAsia" w:ascii="宋体" w:hAnsi="宋体" w:eastAsia="宋体" w:cs="宋体"/>
                <w:color w:val="FF0000"/>
                <w:kern w:val="0"/>
                <w:sz w:val="21"/>
                <w:szCs w:val="21"/>
                <w:lang w:val="en-US" w:eastAsia="zh-CN" w:bidi="ar"/>
              </w:rPr>
              <w:t>硫化氢</w:t>
            </w:r>
          </w:p>
        </w:tc>
        <w:tc>
          <w:tcPr>
            <w:tcW w:w="1006" w:type="pct"/>
            <w:vMerge w:val="restart"/>
            <w:tcBorders>
              <w:tl2br w:val="nil"/>
              <w:tr2bl w:val="nil"/>
            </w:tcBorders>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3%.氨气</w:t>
            </w:r>
          </w:p>
        </w:tc>
        <w:tc>
          <w:tcPr>
            <w:tcW w:w="937" w:type="pct"/>
            <w:vMerge w:val="restart"/>
            <w:tcBorders>
              <w:tl2br w:val="nil"/>
              <w:tr2bl w:val="nil"/>
            </w:tcBorders>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0.12t/a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3" w:type="pct"/>
            <w:vMerge w:val="continue"/>
            <w:tcBorders>
              <w:tl2br w:val="nil"/>
              <w:tr2bl w:val="nil"/>
            </w:tcBorders>
            <w:vAlign w:val="center"/>
          </w:tcPr>
          <w:p>
            <w:pPr>
              <w:spacing w:line="240" w:lineRule="auto"/>
              <w:ind w:firstLine="0" w:firstLineChars="0"/>
              <w:jc w:val="center"/>
              <w:rPr>
                <w:color w:val="FF0000"/>
                <w:sz w:val="21"/>
                <w:szCs w:val="21"/>
              </w:rPr>
            </w:pPr>
          </w:p>
        </w:tc>
        <w:tc>
          <w:tcPr>
            <w:tcW w:w="749" w:type="pct"/>
            <w:vMerge w:val="continue"/>
            <w:tcBorders>
              <w:tl2br w:val="nil"/>
              <w:tr2bl w:val="nil"/>
            </w:tcBorders>
            <w:vAlign w:val="center"/>
          </w:tcPr>
          <w:p>
            <w:pPr>
              <w:spacing w:line="240" w:lineRule="auto"/>
              <w:ind w:firstLine="0" w:firstLineChars="0"/>
              <w:jc w:val="center"/>
              <w:rPr>
                <w:color w:val="FF0000"/>
                <w:sz w:val="21"/>
                <w:szCs w:val="21"/>
              </w:rPr>
            </w:pPr>
          </w:p>
        </w:tc>
        <w:tc>
          <w:tcPr>
            <w:tcW w:w="832" w:type="pct"/>
            <w:vMerge w:val="continue"/>
            <w:tcBorders>
              <w:tl2br w:val="nil"/>
              <w:tr2bl w:val="nil"/>
            </w:tcBorders>
            <w:vAlign w:val="center"/>
          </w:tcPr>
          <w:p>
            <w:pPr>
              <w:spacing w:line="240" w:lineRule="auto"/>
              <w:ind w:firstLine="0" w:firstLineChars="0"/>
              <w:jc w:val="center"/>
              <w:rPr>
                <w:color w:val="FF0000"/>
                <w:sz w:val="21"/>
                <w:szCs w:val="21"/>
              </w:rPr>
            </w:pPr>
          </w:p>
        </w:tc>
        <w:tc>
          <w:tcPr>
            <w:tcW w:w="761" w:type="pct"/>
            <w:vMerge w:val="continue"/>
            <w:tcBorders>
              <w:tl2br w:val="nil"/>
              <w:tr2bl w:val="nil"/>
            </w:tcBorders>
            <w:vAlign w:val="center"/>
          </w:tcPr>
          <w:p>
            <w:pPr>
              <w:spacing w:line="240" w:lineRule="auto"/>
              <w:ind w:firstLine="0" w:firstLineChars="0"/>
              <w:jc w:val="center"/>
              <w:rPr>
                <w:color w:val="FF0000"/>
                <w:sz w:val="21"/>
                <w:szCs w:val="21"/>
              </w:rPr>
            </w:pPr>
          </w:p>
        </w:tc>
        <w:tc>
          <w:tcPr>
            <w:tcW w:w="1006" w:type="pct"/>
            <w:vMerge w:val="continue"/>
            <w:tcBorders>
              <w:tl2br w:val="nil"/>
              <w:tr2bl w:val="nil"/>
            </w:tcBorders>
            <w:vAlign w:val="center"/>
          </w:tcPr>
          <w:p>
            <w:pPr>
              <w:spacing w:line="240" w:lineRule="auto"/>
              <w:ind w:firstLine="0" w:firstLineChars="0"/>
              <w:jc w:val="center"/>
              <w:rPr>
                <w:color w:val="FF0000"/>
                <w:sz w:val="21"/>
                <w:szCs w:val="21"/>
              </w:rPr>
            </w:pPr>
          </w:p>
        </w:tc>
        <w:tc>
          <w:tcPr>
            <w:tcW w:w="937" w:type="pct"/>
            <w:vMerge w:val="continue"/>
            <w:tcBorders>
              <w:tl2br w:val="nil"/>
              <w:tr2bl w:val="nil"/>
            </w:tcBorders>
            <w:vAlign w:val="center"/>
          </w:tcPr>
          <w:p>
            <w:pPr>
              <w:spacing w:line="240" w:lineRule="auto"/>
              <w:ind w:firstLine="0" w:firstLineChars="0"/>
              <w:jc w:val="center"/>
              <w:rPr>
                <w:color w:val="FF0000"/>
                <w:sz w:val="21"/>
                <w:szCs w:val="21"/>
              </w:rPr>
            </w:pPr>
          </w:p>
        </w:tc>
      </w:tr>
    </w:tbl>
    <w:p>
      <w:pPr>
        <w:ind w:firstLine="480"/>
        <w:rPr>
          <w:color w:val="FF0000"/>
        </w:rPr>
      </w:pPr>
    </w:p>
    <w:p>
      <w:pPr>
        <w:keepNext w:val="0"/>
        <w:keepLines w:val="0"/>
        <w:widowControl/>
        <w:suppressLineNumbers w:val="0"/>
        <w:jc w:val="left"/>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项目在粪污发酵过程中添加发酵生物菌种、腐植酸，调节合适的水分和</w:t>
      </w:r>
      <w:r>
        <w:rPr>
          <w:rFonts w:hint="default" w:ascii="Times New Roman" w:hAnsi="Times New Roman" w:eastAsia="宋体" w:cs="Times New Roman"/>
          <w:color w:val="FF0000"/>
          <w:kern w:val="0"/>
          <w:sz w:val="24"/>
          <w:szCs w:val="24"/>
          <w:lang w:val="en-US" w:eastAsia="zh-CN" w:bidi="ar"/>
        </w:rPr>
        <w:t xml:space="preserve">C/N </w:t>
      </w:r>
      <w:r>
        <w:rPr>
          <w:rFonts w:hint="eastAsia" w:ascii="宋体" w:hAnsi="宋体" w:eastAsia="宋体" w:cs="宋体"/>
          <w:color w:val="FF0000"/>
          <w:kern w:val="0"/>
          <w:sz w:val="24"/>
          <w:szCs w:val="24"/>
          <w:lang w:val="en-US" w:eastAsia="zh-CN" w:bidi="ar"/>
        </w:rPr>
        <w:t>比等科学的发酵方法，可以有效地降低恶臭气体的挥发。参照《</w:t>
      </w:r>
      <w:r>
        <w:rPr>
          <w:rFonts w:hint="default" w:ascii="Times New Roman" w:hAnsi="Times New Roman" w:eastAsia="宋体" w:cs="Times New Roman"/>
          <w:color w:val="FF0000"/>
          <w:kern w:val="0"/>
          <w:sz w:val="24"/>
          <w:szCs w:val="24"/>
          <w:lang w:val="en-US" w:eastAsia="zh-CN" w:bidi="ar"/>
        </w:rPr>
        <w:t xml:space="preserve">BM1259 </w:t>
      </w:r>
      <w:r>
        <w:rPr>
          <w:rFonts w:hint="eastAsia" w:ascii="宋体" w:hAnsi="宋体" w:eastAsia="宋体" w:cs="宋体"/>
          <w:color w:val="FF0000"/>
          <w:kern w:val="0"/>
          <w:sz w:val="24"/>
          <w:szCs w:val="24"/>
          <w:lang w:val="en-US" w:eastAsia="zh-CN" w:bidi="ar"/>
        </w:rPr>
        <w:t>制剂对粪便中氨气产生量的影响》（扬州大学动物科学与技术学院）和《畜禽粪便堆肥过程中氮素的损失与控制》（应用生态学报2</w:t>
      </w:r>
      <w:r>
        <w:rPr>
          <w:rFonts w:hint="default" w:ascii="Times New Roman" w:hAnsi="Times New Roman" w:eastAsia="宋体" w:cs="Times New Roman"/>
          <w:color w:val="FF0000"/>
          <w:kern w:val="0"/>
          <w:sz w:val="24"/>
          <w:szCs w:val="24"/>
          <w:lang w:val="en-US" w:eastAsia="zh-CN" w:bidi="ar"/>
        </w:rPr>
        <w:t>010</w:t>
      </w:r>
      <w:r>
        <w:rPr>
          <w:rFonts w:hint="eastAsia" w:ascii="宋体" w:hAnsi="宋体" w:eastAsia="宋体" w:cs="宋体"/>
          <w:color w:val="FF0000"/>
          <w:kern w:val="0"/>
          <w:sz w:val="24"/>
          <w:szCs w:val="24"/>
          <w:lang w:val="en-US" w:eastAsia="zh-CN" w:bidi="ar"/>
        </w:rPr>
        <w:t>年第</w:t>
      </w:r>
      <w:r>
        <w:rPr>
          <w:rFonts w:hint="default" w:ascii="Times New Roman" w:hAnsi="Times New Roman" w:eastAsia="宋体" w:cs="Times New Roman"/>
          <w:color w:val="FF0000"/>
          <w:kern w:val="0"/>
          <w:sz w:val="24"/>
          <w:szCs w:val="24"/>
          <w:lang w:val="en-US" w:eastAsia="zh-CN" w:bidi="ar"/>
        </w:rPr>
        <w:t>21</w:t>
      </w:r>
      <w:r>
        <w:rPr>
          <w:rFonts w:hint="eastAsia" w:ascii="宋体" w:hAnsi="宋体" w:eastAsia="宋体" w:cs="宋体"/>
          <w:color w:val="FF0000"/>
          <w:kern w:val="0"/>
          <w:sz w:val="24"/>
          <w:szCs w:val="24"/>
          <w:lang w:val="en-US" w:eastAsia="zh-CN" w:bidi="ar"/>
        </w:rPr>
        <w:t>卷）的数据资料，使用生物菌种后可以减少</w:t>
      </w:r>
      <w:r>
        <w:rPr>
          <w:rFonts w:hint="default" w:ascii="Times New Roman" w:hAnsi="Times New Roman" w:eastAsia="宋体" w:cs="Times New Roman"/>
          <w:color w:val="FF0000"/>
          <w:kern w:val="0"/>
          <w:sz w:val="24"/>
          <w:szCs w:val="24"/>
          <w:lang w:val="en-US" w:eastAsia="zh-CN" w:bidi="ar"/>
        </w:rPr>
        <w:t>60%</w:t>
      </w:r>
      <w:r>
        <w:rPr>
          <w:rFonts w:hint="eastAsia" w:ascii="宋体" w:hAnsi="宋体" w:eastAsia="宋体" w:cs="宋体"/>
          <w:color w:val="FF0000"/>
          <w:kern w:val="0"/>
          <w:sz w:val="24"/>
          <w:szCs w:val="24"/>
          <w:lang w:val="en-US" w:eastAsia="zh-CN" w:bidi="ar"/>
        </w:rPr>
        <w:t>的恶臭气体挥发量。同时在堆肥发酵场内定期喷洒生物除臭剂，目前市场上主要销售的养殖场生物除臭剂对</w:t>
      </w:r>
      <w:r>
        <w:rPr>
          <w:rFonts w:hint="default" w:ascii="Times New Roman" w:hAnsi="Times New Roman" w:eastAsia="宋体" w:cs="Times New Roman"/>
          <w:color w:val="FF0000"/>
          <w:kern w:val="0"/>
          <w:sz w:val="24"/>
          <w:szCs w:val="24"/>
          <w:lang w:val="en-US" w:eastAsia="zh-CN" w:bidi="ar"/>
        </w:rPr>
        <w:t>NH</w:t>
      </w:r>
      <w:r>
        <w:rPr>
          <w:rFonts w:hint="default" w:ascii="Times New Roman" w:hAnsi="Times New Roman" w:eastAsia="宋体" w:cs="Times New Roman"/>
          <w:color w:val="FF0000"/>
          <w:kern w:val="0"/>
          <w:sz w:val="24"/>
          <w:szCs w:val="24"/>
          <w:vertAlign w:val="subscript"/>
          <w:lang w:val="en-US" w:eastAsia="zh-CN" w:bidi="ar"/>
        </w:rPr>
        <w:t>3</w:t>
      </w:r>
      <w:r>
        <w:rPr>
          <w:rFonts w:hint="eastAsia" w:ascii="宋体" w:hAnsi="宋体" w:eastAsia="宋体" w:cs="宋体"/>
          <w:color w:val="FF0000"/>
          <w:kern w:val="0"/>
          <w:sz w:val="24"/>
          <w:szCs w:val="24"/>
          <w:lang w:val="en-US" w:eastAsia="zh-CN" w:bidi="ar"/>
        </w:rPr>
        <w:t>和</w:t>
      </w:r>
      <w:r>
        <w:rPr>
          <w:rFonts w:hint="default" w:ascii="Times New Roman" w:hAnsi="Times New Roman" w:eastAsia="宋体" w:cs="Times New Roman"/>
          <w:color w:val="FF0000"/>
          <w:kern w:val="0"/>
          <w:sz w:val="24"/>
          <w:szCs w:val="24"/>
          <w:lang w:val="en-US" w:eastAsia="zh-CN" w:bidi="ar"/>
        </w:rPr>
        <w:t>H</w:t>
      </w:r>
      <w:r>
        <w:rPr>
          <w:rFonts w:hint="default" w:ascii="Times New Roman" w:hAnsi="Times New Roman" w:eastAsia="宋体" w:cs="Times New Roman"/>
          <w:color w:val="FF0000"/>
          <w:kern w:val="0"/>
          <w:sz w:val="24"/>
          <w:szCs w:val="24"/>
          <w:vertAlign w:val="subscript"/>
          <w:lang w:val="en-US" w:eastAsia="zh-CN" w:bidi="ar"/>
        </w:rPr>
        <w:t>2</w:t>
      </w:r>
      <w:r>
        <w:rPr>
          <w:rFonts w:hint="default" w:ascii="Times New Roman" w:hAnsi="Times New Roman" w:eastAsia="宋体" w:cs="Times New Roman"/>
          <w:color w:val="FF0000"/>
          <w:kern w:val="0"/>
          <w:sz w:val="24"/>
          <w:szCs w:val="24"/>
          <w:lang w:val="en-US" w:eastAsia="zh-CN" w:bidi="ar"/>
        </w:rPr>
        <w:t>S</w:t>
      </w:r>
      <w:r>
        <w:rPr>
          <w:rFonts w:hint="eastAsia" w:ascii="宋体" w:hAnsi="宋体" w:eastAsia="宋体" w:cs="宋体"/>
          <w:color w:val="FF0000"/>
          <w:kern w:val="0"/>
          <w:sz w:val="24"/>
          <w:szCs w:val="24"/>
          <w:lang w:val="en-US" w:eastAsia="zh-CN" w:bidi="ar"/>
        </w:rPr>
        <w:t>的去除效率分别为</w:t>
      </w:r>
      <w:r>
        <w:rPr>
          <w:rFonts w:hint="default" w:ascii="Times New Roman" w:hAnsi="Times New Roman" w:eastAsia="宋体" w:cs="Times New Roman"/>
          <w:color w:val="FF0000"/>
          <w:kern w:val="0"/>
          <w:sz w:val="24"/>
          <w:szCs w:val="24"/>
          <w:lang w:val="en-US" w:eastAsia="zh-CN" w:bidi="ar"/>
        </w:rPr>
        <w:t>92.6%</w:t>
      </w:r>
      <w:r>
        <w:rPr>
          <w:rFonts w:hint="eastAsia" w:ascii="宋体" w:hAnsi="宋体" w:eastAsia="宋体" w:cs="宋体"/>
          <w:color w:val="FF0000"/>
          <w:kern w:val="0"/>
          <w:sz w:val="24"/>
          <w:szCs w:val="24"/>
          <w:lang w:val="en-US" w:eastAsia="zh-CN" w:bidi="ar"/>
        </w:rPr>
        <w:t>和</w:t>
      </w:r>
      <w:r>
        <w:rPr>
          <w:rFonts w:hint="default" w:ascii="Times New Roman" w:hAnsi="Times New Roman" w:eastAsia="宋体" w:cs="Times New Roman"/>
          <w:color w:val="FF0000"/>
          <w:kern w:val="0"/>
          <w:sz w:val="24"/>
          <w:szCs w:val="24"/>
          <w:lang w:val="en-US" w:eastAsia="zh-CN" w:bidi="ar"/>
        </w:rPr>
        <w:t>89%</w:t>
      </w:r>
      <w:r>
        <w:rPr>
          <w:rFonts w:hint="eastAsia" w:ascii="宋体" w:hAnsi="宋体" w:eastAsia="宋体" w:cs="宋体"/>
          <w:color w:val="FF0000"/>
          <w:kern w:val="0"/>
          <w:sz w:val="24"/>
          <w:szCs w:val="24"/>
          <w:lang w:val="en-US" w:eastAsia="zh-CN" w:bidi="ar"/>
        </w:rPr>
        <w:t>。则项目</w:t>
      </w:r>
      <w:r>
        <w:rPr>
          <w:rFonts w:hint="eastAsia" w:ascii="宋体" w:hAnsi="宋体" w:cs="宋体"/>
          <w:color w:val="FF0000"/>
          <w:kern w:val="0"/>
          <w:sz w:val="24"/>
          <w:szCs w:val="24"/>
          <w:lang w:val="en-US" w:eastAsia="zh-CN" w:bidi="ar"/>
        </w:rPr>
        <w:t>有机肥堆场</w:t>
      </w:r>
      <w:r>
        <w:rPr>
          <w:rFonts w:hint="eastAsia" w:ascii="宋体" w:hAnsi="宋体" w:eastAsia="宋体" w:cs="宋体"/>
          <w:color w:val="FF0000"/>
          <w:kern w:val="0"/>
          <w:sz w:val="24"/>
          <w:szCs w:val="24"/>
          <w:lang w:val="en-US" w:eastAsia="zh-CN" w:bidi="ar"/>
        </w:rPr>
        <w:t>废气排放情况见下表。</w:t>
      </w:r>
    </w:p>
    <w:p>
      <w:pPr>
        <w:pStyle w:val="6"/>
        <w:bidi w:val="0"/>
        <w:rPr>
          <w:rFonts w:hint="eastAsia" w:ascii="宋体" w:hAnsi="宋体" w:cs="宋体"/>
          <w:color w:val="FF0000"/>
          <w:kern w:val="0"/>
          <w:sz w:val="24"/>
          <w:szCs w:val="24"/>
          <w:lang w:val="en-US" w:eastAsia="zh-CN" w:bidi="ar"/>
        </w:rPr>
      </w:pPr>
      <w:r>
        <w:rPr>
          <w:rFonts w:hint="eastAsia"/>
          <w:color w:val="FF0000"/>
          <w:lang w:val="en-US" w:eastAsia="zh-CN"/>
        </w:rPr>
        <w:t>表3.4.1-6   有机肥堆场</w:t>
      </w:r>
      <w:r>
        <w:rPr>
          <w:rFonts w:hint="eastAsia" w:ascii="宋体" w:hAnsi="宋体" w:eastAsia="宋体" w:cs="宋体"/>
          <w:color w:val="FF0000"/>
          <w:kern w:val="0"/>
          <w:sz w:val="24"/>
          <w:szCs w:val="24"/>
          <w:lang w:val="en-US" w:eastAsia="zh-CN" w:bidi="ar"/>
        </w:rPr>
        <w:t>废气排放情况</w:t>
      </w:r>
      <w:r>
        <w:rPr>
          <w:rFonts w:hint="eastAsia" w:ascii="宋体" w:hAnsi="宋体" w:cs="宋体"/>
          <w:color w:val="FF0000"/>
          <w:kern w:val="0"/>
          <w:sz w:val="24"/>
          <w:szCs w:val="24"/>
          <w:lang w:val="en-US" w:eastAsia="zh-CN" w:bidi="ar"/>
        </w:rPr>
        <w:t>表</w:t>
      </w:r>
    </w:p>
    <w:tbl>
      <w:tblPr>
        <w:tblStyle w:val="3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930"/>
        <w:gridCol w:w="1257"/>
        <w:gridCol w:w="1419"/>
        <w:gridCol w:w="1064"/>
        <w:gridCol w:w="1069"/>
        <w:gridCol w:w="1066"/>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项目</w:t>
            </w:r>
          </w:p>
        </w:tc>
        <w:tc>
          <w:tcPr>
            <w:tcW w:w="545"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FF0000"/>
                <w:sz w:val="21"/>
                <w:szCs w:val="21"/>
                <w:vertAlign w:val="baseline"/>
                <w:lang w:val="en-US" w:eastAsia="zh-CN"/>
              </w:rPr>
            </w:pPr>
            <w:r>
              <w:rPr>
                <w:rFonts w:hint="eastAsia"/>
                <w:color w:val="FF0000"/>
                <w:sz w:val="21"/>
                <w:szCs w:val="21"/>
                <w:vertAlign w:val="baseline"/>
                <w:lang w:val="en-US" w:eastAsia="zh-CN"/>
              </w:rPr>
              <w:t>产生量</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t/a</w:t>
            </w:r>
          </w:p>
        </w:tc>
        <w:tc>
          <w:tcPr>
            <w:tcW w:w="1569"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采用生物菌种</w:t>
            </w:r>
          </w:p>
        </w:tc>
        <w:tc>
          <w:tcPr>
            <w:tcW w:w="1251"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喷洒生物除臭剂</w:t>
            </w:r>
          </w:p>
        </w:tc>
        <w:tc>
          <w:tcPr>
            <w:tcW w:w="625"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排放量t/a</w:t>
            </w:r>
          </w:p>
        </w:tc>
        <w:tc>
          <w:tcPr>
            <w:tcW w:w="625"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排放速率kg/h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vMerge w:val="continue"/>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p>
        </w:tc>
        <w:tc>
          <w:tcPr>
            <w:tcW w:w="545" w:type="pct"/>
            <w:vMerge w:val="continue"/>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p>
        </w:tc>
        <w:tc>
          <w:tcPr>
            <w:tcW w:w="737"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除臭效率</w:t>
            </w:r>
          </w:p>
        </w:tc>
        <w:tc>
          <w:tcPr>
            <w:tcW w:w="832"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除臭效率</w:t>
            </w:r>
          </w:p>
        </w:tc>
        <w:tc>
          <w:tcPr>
            <w:tcW w:w="624"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eastAsia"/>
                <w:color w:val="FF0000"/>
                <w:sz w:val="21"/>
                <w:szCs w:val="21"/>
                <w:vertAlign w:val="baseline"/>
                <w:lang w:val="en-US" w:eastAsia="zh-CN"/>
              </w:rPr>
              <w:t>除臭效率</w:t>
            </w:r>
          </w:p>
        </w:tc>
        <w:tc>
          <w:tcPr>
            <w:tcW w:w="626" w:type="pct"/>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eastAsia"/>
                <w:color w:val="FF0000"/>
                <w:sz w:val="21"/>
                <w:szCs w:val="21"/>
                <w:vertAlign w:val="baseline"/>
                <w:lang w:val="en-US" w:eastAsia="zh-CN"/>
              </w:rPr>
              <w:t>除臭效率</w:t>
            </w:r>
          </w:p>
        </w:tc>
        <w:tc>
          <w:tcPr>
            <w:tcW w:w="625" w:type="pct"/>
            <w:vMerge w:val="continue"/>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p>
        </w:tc>
        <w:tc>
          <w:tcPr>
            <w:tcW w:w="625" w:type="pct"/>
            <w:vMerge w:val="continue"/>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NH</w:t>
            </w:r>
            <w:r>
              <w:rPr>
                <w:rFonts w:hint="eastAsia"/>
                <w:color w:val="FF0000"/>
                <w:sz w:val="21"/>
                <w:szCs w:val="21"/>
                <w:vertAlign w:val="subscript"/>
                <w:lang w:val="en-US" w:eastAsia="zh-CN"/>
              </w:rPr>
              <w:t>3</w:t>
            </w:r>
          </w:p>
        </w:tc>
        <w:tc>
          <w:tcPr>
            <w:tcW w:w="54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lang w:val="en-US" w:eastAsia="zh-CN"/>
              </w:rPr>
              <w:t>4.13</w:t>
            </w:r>
          </w:p>
        </w:tc>
        <w:tc>
          <w:tcPr>
            <w:tcW w:w="73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60%</w:t>
            </w:r>
          </w:p>
        </w:tc>
        <w:tc>
          <w:tcPr>
            <w:tcW w:w="83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eastAsia" w:cs="Times New Roman"/>
                <w:color w:val="FF0000"/>
                <w:kern w:val="2"/>
                <w:sz w:val="21"/>
                <w:szCs w:val="21"/>
                <w:vertAlign w:val="baseline"/>
                <w:lang w:val="en-US" w:eastAsia="zh-CN" w:bidi="ar-SA"/>
              </w:rPr>
              <w:t>/</w:t>
            </w:r>
          </w:p>
        </w:tc>
        <w:tc>
          <w:tcPr>
            <w:tcW w:w="62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92.6%</w:t>
            </w:r>
          </w:p>
        </w:tc>
        <w:tc>
          <w:tcPr>
            <w:tcW w:w="6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w:t>
            </w:r>
          </w:p>
        </w:tc>
        <w:tc>
          <w:tcPr>
            <w:tcW w:w="62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0.122</w:t>
            </w:r>
          </w:p>
        </w:tc>
        <w:tc>
          <w:tcPr>
            <w:tcW w:w="62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0.014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H</w:t>
            </w:r>
            <w:r>
              <w:rPr>
                <w:rFonts w:hint="eastAsia"/>
                <w:color w:val="FF0000"/>
                <w:sz w:val="21"/>
                <w:szCs w:val="21"/>
                <w:vertAlign w:val="subscript"/>
                <w:lang w:val="en-US" w:eastAsia="zh-CN"/>
              </w:rPr>
              <w:t>2</w:t>
            </w:r>
            <w:r>
              <w:rPr>
                <w:rFonts w:hint="eastAsia"/>
                <w:color w:val="FF0000"/>
                <w:sz w:val="21"/>
                <w:szCs w:val="21"/>
                <w:vertAlign w:val="baseline"/>
                <w:lang w:val="en-US" w:eastAsia="zh-CN"/>
              </w:rPr>
              <w:t>S</w:t>
            </w:r>
          </w:p>
        </w:tc>
        <w:tc>
          <w:tcPr>
            <w:tcW w:w="54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default"/>
                <w:color w:val="FF0000"/>
                <w:sz w:val="21"/>
                <w:szCs w:val="21"/>
                <w:vertAlign w:val="baseline"/>
                <w:lang w:val="en-US" w:eastAsia="zh-CN"/>
              </w:rPr>
              <w:t>0.12</w:t>
            </w:r>
          </w:p>
        </w:tc>
        <w:tc>
          <w:tcPr>
            <w:tcW w:w="73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w:t>
            </w:r>
          </w:p>
        </w:tc>
        <w:tc>
          <w:tcPr>
            <w:tcW w:w="83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eastAsia"/>
                <w:color w:val="FF0000"/>
                <w:sz w:val="21"/>
                <w:szCs w:val="21"/>
                <w:vertAlign w:val="baseline"/>
                <w:lang w:val="en-US" w:eastAsia="zh-CN"/>
              </w:rPr>
              <w:t>60%</w:t>
            </w:r>
          </w:p>
        </w:tc>
        <w:tc>
          <w:tcPr>
            <w:tcW w:w="62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w:t>
            </w:r>
          </w:p>
        </w:tc>
        <w:tc>
          <w:tcPr>
            <w:tcW w:w="6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89%</w:t>
            </w:r>
          </w:p>
        </w:tc>
        <w:tc>
          <w:tcPr>
            <w:tcW w:w="62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0.005</w:t>
            </w:r>
          </w:p>
        </w:tc>
        <w:tc>
          <w:tcPr>
            <w:tcW w:w="62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vertAlign w:val="baseline"/>
                <w:lang w:val="en-US" w:eastAsia="zh-CN"/>
              </w:rPr>
            </w:pPr>
            <w:r>
              <w:rPr>
                <w:rFonts w:hint="eastAsia"/>
                <w:color w:val="FF0000"/>
                <w:sz w:val="21"/>
                <w:szCs w:val="21"/>
                <w:vertAlign w:val="baseline"/>
                <w:lang w:val="en-US" w:eastAsia="zh-CN"/>
              </w:rPr>
              <w:t>0.0006</w:t>
            </w:r>
          </w:p>
        </w:tc>
      </w:tr>
    </w:tbl>
    <w:p>
      <w:pPr>
        <w:pStyle w:val="5"/>
      </w:pPr>
      <w:r>
        <w:rPr>
          <w:rFonts w:hint="eastAsia"/>
        </w:rPr>
        <w:t>病死羊及分娩物无害化车间废气G</w:t>
      </w:r>
      <w:r>
        <w:rPr>
          <w:rFonts w:hint="eastAsia"/>
          <w:lang w:val="en-US" w:eastAsia="zh-CN"/>
        </w:rPr>
        <w:t>4</w:t>
      </w:r>
    </w:p>
    <w:p>
      <w:pPr>
        <w:ind w:firstLine="480"/>
      </w:pPr>
      <w:bookmarkStart w:id="149" w:name="_Hlk91430793"/>
      <w:r>
        <w:rPr>
          <w:rFonts w:hint="eastAsia"/>
          <w:lang w:eastAsia="zh-CN"/>
        </w:rPr>
        <w:t>（</w:t>
      </w:r>
      <w:r>
        <w:rPr>
          <w:rFonts w:hint="eastAsia"/>
          <w:lang w:val="en-US" w:eastAsia="zh-CN"/>
        </w:rPr>
        <w:t>1</w:t>
      </w:r>
      <w:r>
        <w:rPr>
          <w:rFonts w:hint="eastAsia"/>
          <w:lang w:eastAsia="zh-CN"/>
        </w:rPr>
        <w:t>）病死羊及分娩物无害化车间</w:t>
      </w:r>
      <w:r>
        <w:rPr>
          <w:rFonts w:hint="eastAsia"/>
        </w:rPr>
        <w:t>废气产生情况</w:t>
      </w:r>
    </w:p>
    <w:p>
      <w:pPr>
        <w:ind w:firstLine="480"/>
      </w:pPr>
      <w:r>
        <w:rPr>
          <w:rFonts w:hint="eastAsia"/>
        </w:rPr>
        <w:t>根据集团公司其他养殖场类比分析</w:t>
      </w:r>
      <w:bookmarkEnd w:id="149"/>
      <w:r>
        <w:rPr>
          <w:rFonts w:hint="eastAsia"/>
        </w:rPr>
        <w:t>，羊的死亡率按0.</w:t>
      </w:r>
      <w:r>
        <w:t>1</w:t>
      </w:r>
      <w:r>
        <w:rPr>
          <w:rFonts w:hint="eastAsia"/>
        </w:rPr>
        <w:t>%计，羊存栏量50万只，则年死亡羊500只，每只羊重约</w:t>
      </w:r>
      <w:r>
        <w:rPr>
          <w:rFonts w:hint="eastAsia"/>
          <w:lang w:val="en-US" w:eastAsia="zh-CN"/>
        </w:rPr>
        <w:t>3</w:t>
      </w:r>
      <w:r>
        <w:rPr>
          <w:rFonts w:hint="eastAsia"/>
        </w:rPr>
        <w:t>0kg，合计</w:t>
      </w:r>
      <w:r>
        <w:rPr>
          <w:rFonts w:hint="eastAsia"/>
          <w:lang w:val="en-US" w:eastAsia="zh-CN"/>
        </w:rPr>
        <w:t>15</w:t>
      </w:r>
      <w:r>
        <w:rPr>
          <w:rFonts w:hint="eastAsia"/>
        </w:rPr>
        <w:t>t</w:t>
      </w:r>
      <w:r>
        <w:t>/</w:t>
      </w:r>
      <w:r>
        <w:rPr>
          <w:rFonts w:hint="eastAsia"/>
        </w:rPr>
        <w:t>a；每年母羊生育时的分娩胎衣约为3.0t/a。</w:t>
      </w:r>
    </w:p>
    <w:p>
      <w:pPr>
        <w:ind w:firstLine="480"/>
      </w:pPr>
      <w:r>
        <w:rPr>
          <w:rFonts w:hint="eastAsia"/>
        </w:rPr>
        <w:t>项目采用高温化制干化法对死亡羊和分娩胎衣进行无害化处置，物料进入高温灭菌炉后，通</w:t>
      </w:r>
      <w:r>
        <w:rPr>
          <w:rFonts w:hint="eastAsia"/>
          <w:lang w:val="en-US" w:eastAsia="zh-CN"/>
        </w:rPr>
        <w:t>电对炉内</w:t>
      </w:r>
      <w:r>
        <w:rPr>
          <w:rFonts w:hint="eastAsia"/>
        </w:rPr>
        <w:t>进行加热，灭菌杀毒过程所用蒸汽是循环蒸汽（蒸汽是在化制罐夹层和空气轴中循环，不直接接触死羊），该法工艺成熟，类比山东省济南市商河县盛和源生物科技有限公司畜禽无害化处理建设项目验收报告中NH</w:t>
      </w:r>
      <w:r>
        <w:rPr>
          <w:rFonts w:hint="eastAsia"/>
          <w:vertAlign w:val="subscript"/>
        </w:rPr>
        <w:t>3</w:t>
      </w:r>
      <w:r>
        <w:rPr>
          <w:rFonts w:hint="eastAsia"/>
        </w:rPr>
        <w:t>、H</w:t>
      </w:r>
      <w:r>
        <w:rPr>
          <w:rFonts w:hint="eastAsia"/>
          <w:vertAlign w:val="subscript"/>
        </w:rPr>
        <w:t>2</w:t>
      </w:r>
      <w:r>
        <w:rPr>
          <w:rFonts w:hint="eastAsia"/>
        </w:rPr>
        <w:t>S、臭气的产生情况，该项目同样采用高温化制干化法处理动物尸体，具有可类比性，商河县盛和源生物科技有限公司年处理</w:t>
      </w:r>
      <w:r>
        <w:t>2000</w:t>
      </w:r>
      <w:r>
        <w:rPr>
          <w:rFonts w:hint="eastAsia"/>
        </w:rPr>
        <w:t>吨病死畜禽项目，该项目每天工作</w:t>
      </w:r>
      <w:r>
        <w:t>10</w:t>
      </w:r>
      <w:r>
        <w:rPr>
          <w:rFonts w:hint="eastAsia"/>
        </w:rPr>
        <w:t>小时，年工作</w:t>
      </w:r>
      <w:r>
        <w:t>300</w:t>
      </w:r>
      <w:r>
        <w:rPr>
          <w:rFonts w:hint="eastAsia"/>
        </w:rPr>
        <w:t>天，</w:t>
      </w:r>
      <w:r>
        <w:t>NH</w:t>
      </w:r>
      <w:r>
        <w:rPr>
          <w:vertAlign w:val="subscript"/>
        </w:rPr>
        <w:t>3</w:t>
      </w:r>
      <w:r>
        <w:t xml:space="preserve"> </w:t>
      </w:r>
      <w:r>
        <w:rPr>
          <w:rFonts w:hint="eastAsia"/>
        </w:rPr>
        <w:t xml:space="preserve">和 </w:t>
      </w:r>
      <w:r>
        <w:t>H</w:t>
      </w:r>
      <w:r>
        <w:rPr>
          <w:vertAlign w:val="subscript"/>
        </w:rPr>
        <w:t>2</w:t>
      </w:r>
      <w:r>
        <w:t xml:space="preserve">S </w:t>
      </w:r>
      <w:r>
        <w:rPr>
          <w:rFonts w:hint="eastAsia"/>
        </w:rPr>
        <w:t>的产生速率为</w:t>
      </w:r>
      <w:r>
        <w:t xml:space="preserve">0.15kg/h </w:t>
      </w:r>
      <w:r>
        <w:rPr>
          <w:rFonts w:hint="eastAsia"/>
        </w:rPr>
        <w:t xml:space="preserve">和 </w:t>
      </w:r>
      <w:r>
        <w:t>0.05kg/h</w:t>
      </w:r>
      <w:r>
        <w:rPr>
          <w:rFonts w:hint="eastAsia"/>
        </w:rPr>
        <w:t>，由此可以计算出：</w:t>
      </w:r>
      <w:r>
        <w:t>NH</w:t>
      </w:r>
      <w:r>
        <w:rPr>
          <w:vertAlign w:val="subscript"/>
        </w:rPr>
        <w:t>3</w:t>
      </w:r>
      <w:r>
        <w:t xml:space="preserve"> </w:t>
      </w:r>
      <w:r>
        <w:rPr>
          <w:rFonts w:hint="eastAsia"/>
        </w:rPr>
        <w:t>产生系数为</w:t>
      </w:r>
      <w:r>
        <w:t>0.225kg/</w:t>
      </w:r>
      <w:r>
        <w:rPr>
          <w:rFonts w:hint="eastAsia"/>
        </w:rPr>
        <w:t>吨处理量，</w:t>
      </w:r>
      <w:r>
        <w:t>H</w:t>
      </w:r>
      <w:r>
        <w:rPr>
          <w:vertAlign w:val="subscript"/>
        </w:rPr>
        <w:t>2</w:t>
      </w:r>
      <w:r>
        <w:t xml:space="preserve">S </w:t>
      </w:r>
      <w:r>
        <w:rPr>
          <w:rFonts w:hint="eastAsia"/>
        </w:rPr>
        <w:t>产生系数为</w:t>
      </w:r>
      <w:r>
        <w:t>0.075kg/</w:t>
      </w:r>
      <w:r>
        <w:rPr>
          <w:rFonts w:hint="eastAsia"/>
        </w:rPr>
        <w:t>吨处理量。本项目年处理量</w:t>
      </w:r>
      <w:r>
        <w:rPr>
          <w:rFonts w:hint="eastAsia"/>
          <w:lang w:val="en-US" w:eastAsia="zh-CN"/>
        </w:rPr>
        <w:t>18</w:t>
      </w:r>
      <w:r>
        <w:rPr>
          <w:rFonts w:hint="eastAsia"/>
        </w:rPr>
        <w:t>t/a，</w:t>
      </w:r>
      <w:r>
        <w:rPr>
          <w:rFonts w:hint="eastAsia"/>
          <w:lang w:val="en-US" w:eastAsia="zh-CN"/>
        </w:rPr>
        <w:t>因不对病死羊做暂存，有死亡羊后及时进行化制处理</w:t>
      </w:r>
      <w:r>
        <w:rPr>
          <w:rFonts w:hint="eastAsia"/>
        </w:rPr>
        <w:t xml:space="preserve">。 </w:t>
      </w:r>
    </w:p>
    <w:p>
      <w:pPr>
        <w:ind w:firstLine="480"/>
      </w:pPr>
      <w:r>
        <w:rPr>
          <w:rFonts w:hint="eastAsia"/>
        </w:rPr>
        <w:t>因此本项目无害化处理过程中</w:t>
      </w:r>
      <w:r>
        <w:t>NH</w:t>
      </w:r>
      <w:r>
        <w:rPr>
          <w:vertAlign w:val="subscript"/>
        </w:rPr>
        <w:t>3</w:t>
      </w:r>
      <w:r>
        <w:rPr>
          <w:rFonts w:hint="eastAsia"/>
        </w:rPr>
        <w:t>和</w:t>
      </w:r>
      <w:r>
        <w:t>H</w:t>
      </w:r>
      <w:r>
        <w:rPr>
          <w:vertAlign w:val="subscript"/>
        </w:rPr>
        <w:t>2</w:t>
      </w:r>
      <w:r>
        <w:t>S</w:t>
      </w:r>
      <w:r>
        <w:rPr>
          <w:rFonts w:hint="eastAsia"/>
        </w:rPr>
        <w:t>，产生量为5.2kg</w:t>
      </w:r>
      <w:r>
        <w:t>/a</w:t>
      </w:r>
      <w:r>
        <w:rPr>
          <w:rFonts w:hint="eastAsia"/>
        </w:rPr>
        <w:t>和1.73kg</w:t>
      </w:r>
      <w:r>
        <w:t>/a</w:t>
      </w:r>
      <w:r>
        <w:rPr>
          <w:rFonts w:hint="eastAsia"/>
        </w:rPr>
        <w:t>，产生速率取</w:t>
      </w:r>
      <w:r>
        <w:t>0.</w:t>
      </w:r>
      <w:r>
        <w:rPr>
          <w:rFonts w:hint="eastAsia"/>
        </w:rPr>
        <w:t>002</w:t>
      </w:r>
      <w:r>
        <w:t>kg/h</w:t>
      </w:r>
      <w:r>
        <w:rPr>
          <w:rFonts w:hint="eastAsia"/>
        </w:rPr>
        <w:t>和</w:t>
      </w:r>
      <w:r>
        <w:t>0.</w:t>
      </w:r>
      <w:r>
        <w:rPr>
          <w:rFonts w:hint="eastAsia"/>
        </w:rPr>
        <w:t>0006</w:t>
      </w:r>
      <w:r>
        <w:t>kg/h</w:t>
      </w:r>
      <w:r>
        <w:rPr>
          <w:rFonts w:hint="eastAsia"/>
        </w:rPr>
        <w:t>。</w:t>
      </w:r>
    </w:p>
    <w:p>
      <w:pPr>
        <w:ind w:firstLine="480"/>
        <w:rPr>
          <w:color w:val="FF0000"/>
        </w:rPr>
      </w:pPr>
      <w:r>
        <w:rPr>
          <w:rFonts w:hint="eastAsia"/>
          <w:color w:val="FF0000"/>
          <w:lang w:eastAsia="zh-CN"/>
        </w:rPr>
        <w:t>（</w:t>
      </w:r>
      <w:r>
        <w:rPr>
          <w:rFonts w:hint="eastAsia"/>
          <w:color w:val="FF0000"/>
          <w:lang w:val="en-US" w:eastAsia="zh-CN"/>
        </w:rPr>
        <w:t>2</w:t>
      </w:r>
      <w:r>
        <w:rPr>
          <w:rFonts w:hint="eastAsia"/>
          <w:color w:val="FF0000"/>
          <w:lang w:eastAsia="zh-CN"/>
        </w:rPr>
        <w:t>）病死羊及分娩物无害化车间</w:t>
      </w:r>
      <w:r>
        <w:rPr>
          <w:rFonts w:hint="eastAsia"/>
          <w:color w:val="FF0000"/>
        </w:rPr>
        <w:t>废气处理措施及排放情况</w:t>
      </w:r>
    </w:p>
    <w:p>
      <w:pPr>
        <w:ind w:firstLine="480"/>
      </w:pPr>
      <w:r>
        <w:rPr>
          <w:color w:val="FF0000"/>
        </w:rPr>
        <w:t>根据建设单位提供资料，一体式无害化处理设置密闭车间，做顶部集气装置，</w:t>
      </w:r>
      <w:r>
        <w:rPr>
          <w:rFonts w:hint="eastAsia"/>
          <w:color w:val="FF0000"/>
          <w:lang w:val="en-US" w:eastAsia="zh-CN"/>
        </w:rPr>
        <w:t>通过</w:t>
      </w:r>
      <w:r>
        <w:rPr>
          <w:rFonts w:hint="eastAsia"/>
          <w:color w:val="FF0000"/>
        </w:rPr>
        <w:t>一套生物除臭塔进行处理</w:t>
      </w:r>
      <w:r>
        <w:rPr>
          <w:color w:val="FF0000"/>
        </w:rPr>
        <w:t>，采用生物处理工艺除臭，处理效率90%，</w:t>
      </w:r>
      <w:r>
        <w:rPr>
          <w:rFonts w:hint="eastAsia"/>
          <w:color w:val="FF0000"/>
        </w:rPr>
        <w:t>同时配套1台风量为1000m</w:t>
      </w:r>
      <w:r>
        <w:rPr>
          <w:rFonts w:hint="eastAsia"/>
          <w:color w:val="FF0000"/>
          <w:vertAlign w:val="superscript"/>
        </w:rPr>
        <w:t>3</w:t>
      </w:r>
      <w:r>
        <w:rPr>
          <w:rFonts w:hint="eastAsia"/>
          <w:color w:val="FF0000"/>
        </w:rPr>
        <w:t>/h的风机，</w:t>
      </w:r>
      <w:r>
        <w:rPr>
          <w:color w:val="FF0000"/>
        </w:rPr>
        <w:t>处理后通过</w:t>
      </w:r>
      <w:r>
        <w:rPr>
          <w:rFonts w:hint="eastAsia"/>
          <w:color w:val="FF0000"/>
        </w:rPr>
        <w:t>车间排气筒DA001（15m）达标排放</w:t>
      </w:r>
      <w:r>
        <w:rPr>
          <w:color w:val="FF0000"/>
        </w:rPr>
        <w:t>。本项目无害化处理车间恶臭产生及排放情况见下表。</w:t>
      </w:r>
      <w:r>
        <w:rPr>
          <w:rFonts w:hint="eastAsia"/>
        </w:rPr>
        <w:t xml:space="preserve"> </w:t>
      </w:r>
    </w:p>
    <w:p>
      <w:pPr>
        <w:pStyle w:val="6"/>
      </w:pPr>
      <w:r>
        <w:rPr>
          <w:rFonts w:hint="eastAsia"/>
        </w:rPr>
        <w:t>表3.4.1-</w:t>
      </w:r>
      <w:r>
        <w:rPr>
          <w:rFonts w:hint="eastAsia"/>
          <w:lang w:val="en-US" w:eastAsia="zh-CN"/>
        </w:rPr>
        <w:t>7</w:t>
      </w:r>
      <w:r>
        <w:rPr>
          <w:rFonts w:hint="eastAsia"/>
        </w:rPr>
        <w:t xml:space="preserve">   </w:t>
      </w:r>
      <w:r>
        <w:rPr>
          <w:rFonts w:hint="eastAsia" w:ascii="Times New Roman" w:eastAsia="宋体"/>
          <w:color w:val="auto"/>
          <w:szCs w:val="21"/>
        </w:rPr>
        <w:t>病死羊及分娩物无害化车间</w:t>
      </w:r>
      <w:r>
        <w:rPr>
          <w:rFonts w:hint="eastAsia"/>
        </w:rPr>
        <w:t>废气产生及排放情况一览表</w:t>
      </w:r>
    </w:p>
    <w:tbl>
      <w:tblPr>
        <w:tblStyle w:val="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065"/>
        <w:gridCol w:w="1665"/>
        <w:gridCol w:w="1269"/>
        <w:gridCol w:w="1491"/>
        <w:gridCol w:w="119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80" w:type="pct"/>
            <w:vMerge w:val="restart"/>
            <w:vAlign w:val="center"/>
          </w:tcPr>
          <w:p>
            <w:pPr>
              <w:widowControl/>
              <w:spacing w:line="240" w:lineRule="auto"/>
              <w:ind w:firstLine="0" w:firstLineChars="0"/>
              <w:jc w:val="center"/>
              <w:rPr>
                <w:sz w:val="21"/>
                <w:szCs w:val="21"/>
              </w:rPr>
            </w:pPr>
            <w:r>
              <w:rPr>
                <w:rFonts w:hint="eastAsia"/>
                <w:sz w:val="21"/>
                <w:szCs w:val="21"/>
              </w:rPr>
              <w:t>污染物</w:t>
            </w:r>
          </w:p>
        </w:tc>
        <w:tc>
          <w:tcPr>
            <w:tcW w:w="624" w:type="pct"/>
            <w:vMerge w:val="restart"/>
            <w:vAlign w:val="center"/>
          </w:tcPr>
          <w:p>
            <w:pPr>
              <w:widowControl/>
              <w:spacing w:line="240" w:lineRule="auto"/>
              <w:ind w:firstLine="0" w:firstLineChars="0"/>
              <w:jc w:val="center"/>
              <w:rPr>
                <w:sz w:val="21"/>
                <w:szCs w:val="21"/>
              </w:rPr>
            </w:pPr>
            <w:r>
              <w:rPr>
                <w:rFonts w:hint="eastAsia"/>
                <w:sz w:val="21"/>
                <w:szCs w:val="21"/>
              </w:rPr>
              <w:t>污染物产生情况</w:t>
            </w:r>
          </w:p>
        </w:tc>
        <w:tc>
          <w:tcPr>
            <w:tcW w:w="976" w:type="pct"/>
            <w:vMerge w:val="restart"/>
            <w:vAlign w:val="center"/>
          </w:tcPr>
          <w:p>
            <w:pPr>
              <w:widowControl/>
              <w:spacing w:line="240" w:lineRule="auto"/>
              <w:ind w:firstLine="0" w:firstLineChars="0"/>
              <w:jc w:val="center"/>
              <w:rPr>
                <w:sz w:val="21"/>
                <w:szCs w:val="21"/>
              </w:rPr>
            </w:pPr>
            <w:r>
              <w:rPr>
                <w:rFonts w:hint="eastAsia"/>
                <w:sz w:val="21"/>
                <w:szCs w:val="21"/>
              </w:rPr>
              <w:t>拟采取的治理措施</w:t>
            </w:r>
          </w:p>
        </w:tc>
        <w:tc>
          <w:tcPr>
            <w:tcW w:w="3018" w:type="pct"/>
            <w:gridSpan w:val="4"/>
            <w:vAlign w:val="center"/>
          </w:tcPr>
          <w:p>
            <w:pPr>
              <w:widowControl/>
              <w:spacing w:line="240" w:lineRule="auto"/>
              <w:ind w:firstLine="0" w:firstLineChars="0"/>
              <w:jc w:val="center"/>
              <w:rPr>
                <w:sz w:val="21"/>
                <w:szCs w:val="21"/>
              </w:rPr>
            </w:pPr>
            <w:r>
              <w:rPr>
                <w:rFonts w:hint="eastAsia"/>
                <w:sz w:val="21"/>
                <w:szCs w:val="21"/>
              </w:rPr>
              <w:t>污染物排放情况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0" w:type="pct"/>
            <w:vMerge w:val="continue"/>
            <w:vAlign w:val="center"/>
          </w:tcPr>
          <w:p>
            <w:pPr>
              <w:widowControl/>
              <w:spacing w:line="240" w:lineRule="auto"/>
              <w:ind w:firstLine="0" w:firstLineChars="0"/>
              <w:jc w:val="center"/>
              <w:rPr>
                <w:sz w:val="21"/>
                <w:szCs w:val="21"/>
              </w:rPr>
            </w:pPr>
          </w:p>
        </w:tc>
        <w:tc>
          <w:tcPr>
            <w:tcW w:w="624" w:type="pct"/>
            <w:vMerge w:val="continue"/>
            <w:vAlign w:val="center"/>
          </w:tcPr>
          <w:p>
            <w:pPr>
              <w:widowControl/>
              <w:spacing w:line="240" w:lineRule="auto"/>
              <w:ind w:firstLine="0" w:firstLineChars="0"/>
              <w:jc w:val="center"/>
              <w:rPr>
                <w:sz w:val="21"/>
                <w:szCs w:val="21"/>
              </w:rPr>
            </w:pPr>
          </w:p>
        </w:tc>
        <w:tc>
          <w:tcPr>
            <w:tcW w:w="976" w:type="pct"/>
            <w:vMerge w:val="continue"/>
            <w:vAlign w:val="center"/>
          </w:tcPr>
          <w:p>
            <w:pPr>
              <w:widowControl/>
              <w:spacing w:line="240" w:lineRule="auto"/>
              <w:ind w:firstLine="0" w:firstLineChars="0"/>
              <w:jc w:val="center"/>
              <w:rPr>
                <w:sz w:val="21"/>
                <w:szCs w:val="21"/>
              </w:rPr>
            </w:pPr>
          </w:p>
        </w:tc>
        <w:tc>
          <w:tcPr>
            <w:tcW w:w="2315" w:type="pct"/>
            <w:gridSpan w:val="3"/>
            <w:vAlign w:val="center"/>
          </w:tcPr>
          <w:p>
            <w:pPr>
              <w:widowControl/>
              <w:spacing w:line="240" w:lineRule="auto"/>
              <w:ind w:firstLine="0" w:firstLineChars="0"/>
              <w:jc w:val="center"/>
              <w:rPr>
                <w:sz w:val="21"/>
                <w:szCs w:val="21"/>
              </w:rPr>
            </w:pPr>
            <w:r>
              <w:rPr>
                <w:rFonts w:hint="eastAsia"/>
                <w:sz w:val="21"/>
                <w:szCs w:val="21"/>
              </w:rPr>
              <w:t>有组织</w:t>
            </w:r>
          </w:p>
        </w:tc>
        <w:tc>
          <w:tcPr>
            <w:tcW w:w="702" w:type="pct"/>
            <w:vMerge w:val="restart"/>
            <w:vAlign w:val="center"/>
          </w:tcPr>
          <w:p>
            <w:pPr>
              <w:widowControl/>
              <w:spacing w:line="240" w:lineRule="auto"/>
              <w:ind w:firstLine="0" w:firstLineChars="0"/>
              <w:jc w:val="center"/>
              <w:rPr>
                <w:sz w:val="21"/>
                <w:szCs w:val="21"/>
              </w:rPr>
            </w:pPr>
            <w:r>
              <w:rPr>
                <w:rFonts w:hint="eastAsia"/>
                <w:sz w:val="21"/>
                <w:szCs w:val="21"/>
              </w:rPr>
              <w:t>无组织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0" w:type="pct"/>
            <w:vMerge w:val="continue"/>
            <w:vAlign w:val="center"/>
          </w:tcPr>
          <w:p>
            <w:pPr>
              <w:widowControl/>
              <w:spacing w:line="240" w:lineRule="auto"/>
              <w:ind w:firstLine="0" w:firstLineChars="0"/>
              <w:jc w:val="center"/>
              <w:rPr>
                <w:sz w:val="21"/>
                <w:szCs w:val="21"/>
              </w:rPr>
            </w:pPr>
          </w:p>
        </w:tc>
        <w:tc>
          <w:tcPr>
            <w:tcW w:w="624" w:type="pct"/>
            <w:vMerge w:val="continue"/>
            <w:vAlign w:val="center"/>
          </w:tcPr>
          <w:p>
            <w:pPr>
              <w:widowControl/>
              <w:spacing w:line="240" w:lineRule="auto"/>
              <w:ind w:firstLine="0" w:firstLineChars="0"/>
              <w:jc w:val="center"/>
              <w:rPr>
                <w:sz w:val="21"/>
                <w:szCs w:val="21"/>
              </w:rPr>
            </w:pPr>
          </w:p>
        </w:tc>
        <w:tc>
          <w:tcPr>
            <w:tcW w:w="976" w:type="pct"/>
            <w:vMerge w:val="continue"/>
            <w:vAlign w:val="center"/>
          </w:tcPr>
          <w:p>
            <w:pPr>
              <w:widowControl/>
              <w:spacing w:line="240" w:lineRule="auto"/>
              <w:ind w:firstLine="0" w:firstLineChars="0"/>
              <w:jc w:val="center"/>
              <w:rPr>
                <w:sz w:val="21"/>
                <w:szCs w:val="21"/>
              </w:rPr>
            </w:pPr>
          </w:p>
        </w:tc>
        <w:tc>
          <w:tcPr>
            <w:tcW w:w="744" w:type="pct"/>
            <w:vAlign w:val="center"/>
          </w:tcPr>
          <w:p>
            <w:pPr>
              <w:widowControl/>
              <w:spacing w:line="240" w:lineRule="auto"/>
              <w:ind w:firstLine="0" w:firstLineChars="0"/>
              <w:jc w:val="center"/>
              <w:rPr>
                <w:sz w:val="21"/>
                <w:szCs w:val="21"/>
              </w:rPr>
            </w:pPr>
            <w:r>
              <w:rPr>
                <w:rFonts w:hint="eastAsia"/>
                <w:sz w:val="21"/>
                <w:szCs w:val="21"/>
              </w:rPr>
              <w:t>排放量</w:t>
            </w:r>
          </w:p>
        </w:tc>
        <w:tc>
          <w:tcPr>
            <w:tcW w:w="874" w:type="pct"/>
            <w:vAlign w:val="center"/>
          </w:tcPr>
          <w:p>
            <w:pPr>
              <w:widowControl/>
              <w:spacing w:line="240" w:lineRule="auto"/>
              <w:ind w:firstLine="0" w:firstLineChars="0"/>
              <w:jc w:val="center"/>
              <w:rPr>
                <w:sz w:val="21"/>
                <w:szCs w:val="21"/>
              </w:rPr>
            </w:pPr>
            <w:r>
              <w:rPr>
                <w:rFonts w:hint="eastAsia"/>
                <w:sz w:val="21"/>
                <w:szCs w:val="21"/>
              </w:rPr>
              <w:t>排放速率</w:t>
            </w:r>
          </w:p>
        </w:tc>
        <w:tc>
          <w:tcPr>
            <w:tcW w:w="697" w:type="pct"/>
            <w:vAlign w:val="center"/>
          </w:tcPr>
          <w:p>
            <w:pPr>
              <w:widowControl/>
              <w:spacing w:line="240" w:lineRule="auto"/>
              <w:ind w:firstLine="0" w:firstLineChars="0"/>
              <w:jc w:val="center"/>
              <w:rPr>
                <w:sz w:val="21"/>
                <w:szCs w:val="21"/>
              </w:rPr>
            </w:pPr>
            <w:r>
              <w:rPr>
                <w:rFonts w:hint="eastAsia"/>
                <w:sz w:val="21"/>
                <w:szCs w:val="21"/>
              </w:rPr>
              <w:t>排放浓度</w:t>
            </w:r>
          </w:p>
        </w:tc>
        <w:tc>
          <w:tcPr>
            <w:tcW w:w="702" w:type="pct"/>
            <w:vMerge w:val="continue"/>
            <w:vAlign w:val="center"/>
          </w:tcPr>
          <w:p>
            <w:pPr>
              <w:widowControl/>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Align w:val="center"/>
          </w:tcPr>
          <w:p>
            <w:pPr>
              <w:widowControl/>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624" w:type="pct"/>
            <w:vAlign w:val="center"/>
          </w:tcPr>
          <w:p>
            <w:pPr>
              <w:widowControl/>
              <w:spacing w:line="240" w:lineRule="auto"/>
              <w:ind w:firstLine="0" w:firstLineChars="0"/>
              <w:jc w:val="center"/>
              <w:rPr>
                <w:sz w:val="21"/>
                <w:szCs w:val="21"/>
              </w:rPr>
            </w:pPr>
            <w:r>
              <w:rPr>
                <w:rFonts w:hint="eastAsia"/>
                <w:sz w:val="21"/>
                <w:szCs w:val="21"/>
              </w:rPr>
              <w:t>5.2kg</w:t>
            </w:r>
            <w:r>
              <w:rPr>
                <w:sz w:val="21"/>
                <w:szCs w:val="21"/>
              </w:rPr>
              <w:t>/a</w:t>
            </w:r>
          </w:p>
        </w:tc>
        <w:tc>
          <w:tcPr>
            <w:tcW w:w="976" w:type="pct"/>
            <w:vMerge w:val="restart"/>
            <w:vAlign w:val="center"/>
          </w:tcPr>
          <w:p>
            <w:pPr>
              <w:widowControl/>
              <w:spacing w:line="240" w:lineRule="auto"/>
              <w:ind w:firstLine="0" w:firstLineChars="0"/>
              <w:jc w:val="center"/>
              <w:rPr>
                <w:sz w:val="21"/>
                <w:szCs w:val="21"/>
              </w:rPr>
            </w:pPr>
            <w:r>
              <w:rPr>
                <w:rFonts w:hint="eastAsia"/>
                <w:sz w:val="21"/>
                <w:szCs w:val="21"/>
              </w:rPr>
              <w:t>负压收集效率 95%，处理效率 95%</w:t>
            </w:r>
          </w:p>
        </w:tc>
        <w:tc>
          <w:tcPr>
            <w:tcW w:w="744" w:type="pct"/>
            <w:vAlign w:val="center"/>
          </w:tcPr>
          <w:p>
            <w:pPr>
              <w:widowControl/>
              <w:spacing w:line="240" w:lineRule="auto"/>
              <w:ind w:firstLine="0" w:firstLineChars="0"/>
              <w:jc w:val="center"/>
              <w:rPr>
                <w:sz w:val="21"/>
                <w:szCs w:val="21"/>
              </w:rPr>
            </w:pPr>
            <w:r>
              <w:rPr>
                <w:rFonts w:hint="eastAsia"/>
                <w:sz w:val="21"/>
                <w:szCs w:val="21"/>
              </w:rPr>
              <w:t>0.23kg</w:t>
            </w:r>
            <w:r>
              <w:rPr>
                <w:sz w:val="21"/>
                <w:szCs w:val="21"/>
              </w:rPr>
              <w:t>/a</w:t>
            </w:r>
          </w:p>
        </w:tc>
        <w:tc>
          <w:tcPr>
            <w:tcW w:w="874" w:type="pct"/>
            <w:vAlign w:val="center"/>
          </w:tcPr>
          <w:p>
            <w:pPr>
              <w:widowControl/>
              <w:spacing w:line="240" w:lineRule="auto"/>
              <w:ind w:firstLine="0" w:firstLineChars="0"/>
              <w:jc w:val="center"/>
              <w:rPr>
                <w:sz w:val="21"/>
                <w:szCs w:val="21"/>
              </w:rPr>
            </w:pPr>
            <w:r>
              <w:rPr>
                <w:rFonts w:hint="eastAsia"/>
                <w:sz w:val="21"/>
                <w:szCs w:val="21"/>
              </w:rPr>
              <w:t>0.08×10</w:t>
            </w:r>
            <w:r>
              <w:rPr>
                <w:rFonts w:hint="eastAsia"/>
                <w:sz w:val="21"/>
                <w:szCs w:val="21"/>
                <w:vertAlign w:val="superscript"/>
              </w:rPr>
              <w:t>-3</w:t>
            </w:r>
            <w:r>
              <w:rPr>
                <w:rFonts w:hint="eastAsia"/>
                <w:sz w:val="21"/>
                <w:szCs w:val="21"/>
              </w:rPr>
              <w:t>kg/h</w:t>
            </w:r>
          </w:p>
        </w:tc>
        <w:tc>
          <w:tcPr>
            <w:tcW w:w="697" w:type="pct"/>
            <w:vAlign w:val="center"/>
          </w:tcPr>
          <w:p>
            <w:pPr>
              <w:widowControl/>
              <w:spacing w:line="240" w:lineRule="auto"/>
              <w:ind w:firstLine="0" w:firstLineChars="0"/>
              <w:jc w:val="center"/>
              <w:rPr>
                <w:sz w:val="21"/>
                <w:szCs w:val="21"/>
              </w:rPr>
            </w:pPr>
            <w:r>
              <w:rPr>
                <w:rFonts w:hint="eastAsia"/>
                <w:sz w:val="21"/>
                <w:szCs w:val="21"/>
              </w:rPr>
              <w:t>0.16mg/m</w:t>
            </w:r>
            <w:r>
              <w:rPr>
                <w:rFonts w:hint="eastAsia"/>
                <w:sz w:val="21"/>
                <w:szCs w:val="21"/>
                <w:vertAlign w:val="superscript"/>
              </w:rPr>
              <w:t>3</w:t>
            </w:r>
          </w:p>
        </w:tc>
        <w:tc>
          <w:tcPr>
            <w:tcW w:w="702" w:type="pct"/>
            <w:vAlign w:val="center"/>
          </w:tcPr>
          <w:p>
            <w:pPr>
              <w:widowControl/>
              <w:spacing w:line="240" w:lineRule="auto"/>
              <w:ind w:firstLine="0" w:firstLineChars="0"/>
              <w:jc w:val="center"/>
              <w:rPr>
                <w:sz w:val="21"/>
                <w:szCs w:val="21"/>
              </w:rPr>
            </w:pPr>
            <w:r>
              <w:rPr>
                <w:rFonts w:hint="eastAsia"/>
                <w:color w:val="FF0000"/>
                <w:sz w:val="21"/>
                <w:szCs w:val="21"/>
              </w:rPr>
              <w:t>0.</w:t>
            </w:r>
            <w:r>
              <w:rPr>
                <w:rFonts w:hint="eastAsia"/>
                <w:color w:val="FF0000"/>
                <w:sz w:val="21"/>
                <w:szCs w:val="21"/>
                <w:lang w:val="en-US" w:eastAsia="zh-CN"/>
              </w:rPr>
              <w:t>26</w:t>
            </w:r>
            <w:r>
              <w:rPr>
                <w:rFonts w:hint="eastAsia"/>
                <w:color w:val="FF0000"/>
                <w:sz w:val="21"/>
                <w:szCs w:val="21"/>
              </w:rPr>
              <w:t>kg</w:t>
            </w:r>
            <w:r>
              <w:rPr>
                <w:color w:val="FF0000"/>
                <w:sz w:val="21"/>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Align w:val="center"/>
          </w:tcPr>
          <w:p>
            <w:pPr>
              <w:widowControl/>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p>
        </w:tc>
        <w:tc>
          <w:tcPr>
            <w:tcW w:w="624" w:type="pct"/>
            <w:vAlign w:val="center"/>
          </w:tcPr>
          <w:p>
            <w:pPr>
              <w:widowControl/>
              <w:spacing w:line="240" w:lineRule="auto"/>
              <w:ind w:firstLine="0" w:firstLineChars="0"/>
              <w:jc w:val="center"/>
              <w:rPr>
                <w:sz w:val="21"/>
                <w:szCs w:val="21"/>
              </w:rPr>
            </w:pPr>
            <w:r>
              <w:rPr>
                <w:rFonts w:hint="eastAsia"/>
                <w:sz w:val="21"/>
                <w:szCs w:val="21"/>
              </w:rPr>
              <w:t>1.73kg</w:t>
            </w:r>
            <w:r>
              <w:rPr>
                <w:sz w:val="21"/>
                <w:szCs w:val="21"/>
              </w:rPr>
              <w:t>/a</w:t>
            </w:r>
          </w:p>
        </w:tc>
        <w:tc>
          <w:tcPr>
            <w:tcW w:w="976" w:type="pct"/>
            <w:vMerge w:val="continue"/>
            <w:vAlign w:val="center"/>
          </w:tcPr>
          <w:p>
            <w:pPr>
              <w:widowControl/>
              <w:spacing w:line="240" w:lineRule="auto"/>
              <w:ind w:firstLine="0" w:firstLineChars="0"/>
              <w:jc w:val="center"/>
              <w:rPr>
                <w:sz w:val="21"/>
                <w:szCs w:val="21"/>
              </w:rPr>
            </w:pPr>
          </w:p>
        </w:tc>
        <w:tc>
          <w:tcPr>
            <w:tcW w:w="744" w:type="pct"/>
            <w:vAlign w:val="center"/>
          </w:tcPr>
          <w:p>
            <w:pPr>
              <w:widowControl/>
              <w:spacing w:line="240" w:lineRule="auto"/>
              <w:ind w:firstLine="0" w:firstLineChars="0"/>
              <w:jc w:val="center"/>
              <w:rPr>
                <w:sz w:val="21"/>
                <w:szCs w:val="21"/>
              </w:rPr>
            </w:pPr>
            <w:r>
              <w:rPr>
                <w:rFonts w:hint="eastAsia"/>
                <w:sz w:val="21"/>
                <w:szCs w:val="21"/>
              </w:rPr>
              <w:t>0.08kg</w:t>
            </w:r>
            <w:r>
              <w:rPr>
                <w:sz w:val="21"/>
                <w:szCs w:val="21"/>
              </w:rPr>
              <w:t>/a</w:t>
            </w:r>
          </w:p>
        </w:tc>
        <w:tc>
          <w:tcPr>
            <w:tcW w:w="874" w:type="pct"/>
            <w:vAlign w:val="center"/>
          </w:tcPr>
          <w:p>
            <w:pPr>
              <w:widowControl/>
              <w:spacing w:line="240" w:lineRule="auto"/>
              <w:ind w:firstLine="0" w:firstLineChars="0"/>
              <w:jc w:val="center"/>
              <w:rPr>
                <w:sz w:val="21"/>
                <w:szCs w:val="21"/>
              </w:rPr>
            </w:pPr>
            <w:r>
              <w:rPr>
                <w:rFonts w:hint="eastAsia"/>
                <w:sz w:val="21"/>
                <w:szCs w:val="21"/>
              </w:rPr>
              <w:t>0.03×10</w:t>
            </w:r>
            <w:r>
              <w:rPr>
                <w:rFonts w:hint="eastAsia"/>
                <w:sz w:val="21"/>
                <w:szCs w:val="21"/>
                <w:vertAlign w:val="superscript"/>
              </w:rPr>
              <w:t>-3</w:t>
            </w:r>
            <w:r>
              <w:rPr>
                <w:rFonts w:hint="eastAsia"/>
                <w:sz w:val="21"/>
                <w:szCs w:val="21"/>
              </w:rPr>
              <w:t>kg/h</w:t>
            </w:r>
          </w:p>
        </w:tc>
        <w:tc>
          <w:tcPr>
            <w:tcW w:w="697" w:type="pct"/>
            <w:vAlign w:val="center"/>
          </w:tcPr>
          <w:p>
            <w:pPr>
              <w:widowControl/>
              <w:spacing w:line="240" w:lineRule="auto"/>
              <w:ind w:firstLine="0" w:firstLineChars="0"/>
              <w:jc w:val="center"/>
              <w:rPr>
                <w:sz w:val="21"/>
                <w:szCs w:val="21"/>
              </w:rPr>
            </w:pPr>
            <w:r>
              <w:rPr>
                <w:rFonts w:hint="eastAsia"/>
                <w:sz w:val="21"/>
                <w:szCs w:val="21"/>
              </w:rPr>
              <w:t>0.06mg/m</w:t>
            </w:r>
            <w:r>
              <w:rPr>
                <w:rFonts w:hint="eastAsia"/>
                <w:sz w:val="21"/>
                <w:szCs w:val="21"/>
                <w:vertAlign w:val="superscript"/>
              </w:rPr>
              <w:t>3</w:t>
            </w:r>
          </w:p>
        </w:tc>
        <w:tc>
          <w:tcPr>
            <w:tcW w:w="702" w:type="pct"/>
            <w:vAlign w:val="center"/>
          </w:tcPr>
          <w:p>
            <w:pPr>
              <w:widowControl/>
              <w:spacing w:line="240" w:lineRule="auto"/>
              <w:ind w:firstLine="0" w:firstLineChars="0"/>
              <w:jc w:val="center"/>
              <w:rPr>
                <w:sz w:val="21"/>
                <w:szCs w:val="21"/>
              </w:rPr>
            </w:pPr>
            <w:r>
              <w:rPr>
                <w:rFonts w:hint="eastAsia"/>
                <w:color w:val="FF0000"/>
                <w:sz w:val="21"/>
                <w:szCs w:val="21"/>
              </w:rPr>
              <w:t>0.</w:t>
            </w:r>
            <w:r>
              <w:rPr>
                <w:rFonts w:hint="eastAsia"/>
                <w:color w:val="FF0000"/>
                <w:sz w:val="21"/>
                <w:szCs w:val="21"/>
                <w:lang w:val="en-US" w:eastAsia="zh-CN"/>
              </w:rPr>
              <w:t>09</w:t>
            </w:r>
            <w:r>
              <w:rPr>
                <w:rFonts w:hint="eastAsia"/>
                <w:color w:val="FF0000"/>
                <w:sz w:val="21"/>
                <w:szCs w:val="21"/>
              </w:rPr>
              <w:t>kg</w:t>
            </w:r>
            <w:r>
              <w:rPr>
                <w:color w:val="FF0000"/>
                <w:sz w:val="21"/>
                <w:szCs w:val="21"/>
              </w:rPr>
              <w:t>/a</w:t>
            </w:r>
          </w:p>
        </w:tc>
      </w:tr>
    </w:tbl>
    <w:p>
      <w:pPr>
        <w:widowControl/>
        <w:ind w:firstLine="480"/>
        <w:jc w:val="left"/>
      </w:pPr>
    </w:p>
    <w:p>
      <w:pPr>
        <w:pStyle w:val="4"/>
      </w:pPr>
      <w:r>
        <w:rPr>
          <w:rFonts w:hint="eastAsia"/>
        </w:rPr>
        <w:t>水污染物</w:t>
      </w:r>
    </w:p>
    <w:p>
      <w:pPr>
        <w:ind w:firstLine="480"/>
        <w:rPr>
          <w:color w:val="000000" w:themeColor="text1"/>
          <w14:textFill>
            <w14:solidFill>
              <w14:schemeClr w14:val="tx1"/>
            </w14:solidFill>
          </w14:textFill>
        </w:rPr>
      </w:pPr>
      <w:r>
        <w:rPr>
          <w:rFonts w:ascii="宋体" w:hAnsi="宋体" w:cs="宋体"/>
        </w:rPr>
        <w:t>本项目用水主要为羊饮用水、消毒用水、职工生活用水等</w:t>
      </w:r>
      <w:r>
        <w:rPr>
          <w:rFonts w:hint="eastAsia" w:ascii="宋体" w:hAnsi="宋体" w:cs="宋体"/>
        </w:rPr>
        <w:t>,对应产生的废水为</w:t>
      </w:r>
      <w:r>
        <w:rPr>
          <w:rFonts w:hint="eastAsia" w:ascii="宋体" w:hAnsi="宋体" w:cs="宋体"/>
          <w:lang w:val="en-US" w:eastAsia="zh-CN"/>
        </w:rPr>
        <w:t>羊</w:t>
      </w:r>
      <w:r>
        <w:rPr>
          <w:rFonts w:hint="eastAsia" w:ascii="宋体" w:hAnsi="宋体" w:cs="宋体"/>
        </w:rPr>
        <w:t>尿、生活污水</w:t>
      </w:r>
      <w:r>
        <w:rPr>
          <w:rFonts w:ascii="宋体" w:hAnsi="宋体" w:cs="宋体"/>
        </w:rPr>
        <w:t>。</w:t>
      </w:r>
    </w:p>
    <w:p>
      <w:pPr>
        <w:pStyle w:val="5"/>
      </w:pPr>
      <w:r>
        <w:rPr>
          <w:rFonts w:hint="eastAsia"/>
        </w:rPr>
        <w:t xml:space="preserve"> 生活污水</w:t>
      </w:r>
    </w:p>
    <w:p>
      <w:pPr>
        <w:ind w:firstLine="480"/>
        <w:rPr>
          <w:rFonts w:hint="eastAsia"/>
          <w:color w:val="000000" w:themeColor="text1"/>
          <w14:textFill>
            <w14:solidFill>
              <w14:schemeClr w14:val="tx1"/>
            </w14:solidFill>
          </w14:textFill>
        </w:rPr>
      </w:pPr>
      <w:r>
        <w:rPr>
          <w:color w:val="FF0000"/>
        </w:rPr>
        <w:t>生活污水排</w:t>
      </w:r>
      <w:r>
        <w:rPr>
          <w:rFonts w:hint="eastAsia"/>
          <w:color w:val="FF0000"/>
        </w:rPr>
        <w:t>水</w:t>
      </w:r>
      <w:r>
        <w:rPr>
          <w:color w:val="FF0000"/>
        </w:rPr>
        <w:t>量</w:t>
      </w:r>
      <w:r>
        <w:rPr>
          <w:rFonts w:hint="eastAsia"/>
          <w:color w:val="FF0000"/>
        </w:rPr>
        <w:t>21.6</w:t>
      </w:r>
      <w:r>
        <w:rPr>
          <w:color w:val="FF0000"/>
        </w:rPr>
        <w:t>m</w:t>
      </w:r>
      <w:r>
        <w:rPr>
          <w:rFonts w:hint="eastAsia"/>
          <w:color w:val="FF0000"/>
          <w:vertAlign w:val="superscript"/>
        </w:rPr>
        <w:t>3</w:t>
      </w:r>
      <w:r>
        <w:rPr>
          <w:color w:val="FF0000"/>
        </w:rPr>
        <w:t>/d</w:t>
      </w:r>
      <w:r>
        <w:rPr>
          <w:rFonts w:hint="eastAsia"/>
          <w:color w:val="FF0000"/>
        </w:rPr>
        <w:t>（7884</w:t>
      </w:r>
      <w:r>
        <w:rPr>
          <w:color w:val="FF0000"/>
        </w:rPr>
        <w:t>m</w:t>
      </w:r>
      <w:r>
        <w:rPr>
          <w:rFonts w:hint="eastAsia"/>
          <w:color w:val="FF0000"/>
          <w:vertAlign w:val="superscript"/>
        </w:rPr>
        <w:t>3</w:t>
      </w:r>
      <w:r>
        <w:rPr>
          <w:color w:val="FF0000"/>
        </w:rPr>
        <w:t>/a</w:t>
      </w:r>
      <w:r>
        <w:rPr>
          <w:rFonts w:hint="eastAsia"/>
          <w:color w:val="FF0000"/>
        </w:rPr>
        <w:t>），</w:t>
      </w:r>
      <w:r>
        <w:rPr>
          <w:rFonts w:hint="eastAsia" w:ascii="Times New Roman" w:eastAsia="宋体"/>
          <w:color w:val="FF0000"/>
          <w:szCs w:val="21"/>
          <w:lang w:val="zh-CN"/>
        </w:rPr>
        <w:t>经化粪池处理后定期委托</w:t>
      </w:r>
      <w:r>
        <w:rPr>
          <w:rFonts w:hint="eastAsia"/>
          <w:color w:val="FF0000"/>
          <w:szCs w:val="21"/>
          <w:highlight w:val="green"/>
          <w:lang w:val="zh-CN"/>
        </w:rPr>
        <w:t>五原县塔尔湖污水处理厂</w:t>
      </w:r>
      <w:r>
        <w:rPr>
          <w:rFonts w:hint="eastAsia" w:ascii="Times New Roman" w:eastAsia="宋体"/>
          <w:color w:val="FF0000"/>
          <w:szCs w:val="21"/>
          <w:lang w:val="zh-CN"/>
        </w:rPr>
        <w:t>采用罐车清运处理</w:t>
      </w:r>
      <w:r>
        <w:rPr>
          <w:rFonts w:hint="eastAsia"/>
          <w:color w:val="000000" w:themeColor="text1"/>
          <w14:textFill>
            <w14:solidFill>
              <w14:schemeClr w14:val="tx1"/>
            </w14:solidFill>
          </w14:textFill>
        </w:rPr>
        <w:t>。</w:t>
      </w:r>
    </w:p>
    <w:p>
      <w:pPr>
        <w:spacing w:line="360" w:lineRule="auto"/>
        <w:ind w:firstLine="480" w:firstLineChars="200"/>
        <w:rPr>
          <w:color w:val="auto"/>
          <w:sz w:val="24"/>
        </w:rPr>
      </w:pPr>
      <w:r>
        <w:rPr>
          <w:color w:val="auto"/>
          <w:sz w:val="24"/>
        </w:rPr>
        <w:t>项目生活污水污染物产生情况见下表。</w:t>
      </w:r>
    </w:p>
    <w:p>
      <w:pPr>
        <w:pStyle w:val="6"/>
        <w:bidi w:val="0"/>
      </w:pPr>
      <w:r>
        <w:t>表</w:t>
      </w:r>
      <w:r>
        <w:rPr>
          <w:rFonts w:hint="eastAsia"/>
          <w:lang w:val="en-US" w:eastAsia="zh-CN"/>
        </w:rPr>
        <w:t xml:space="preserve">3.4.1-8   </w:t>
      </w:r>
      <w:r>
        <w:t>生活污水污染物产生情况列表</w:t>
      </w:r>
    </w:p>
    <w:tbl>
      <w:tblPr>
        <w:tblStyle w:val="3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151"/>
        <w:gridCol w:w="1226"/>
        <w:gridCol w:w="1287"/>
        <w:gridCol w:w="1279"/>
        <w:gridCol w:w="846"/>
        <w:gridCol w:w="621"/>
        <w:gridCol w:w="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污染物</w:t>
            </w:r>
          </w:p>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种类</w:t>
            </w:r>
          </w:p>
        </w:tc>
        <w:tc>
          <w:tcPr>
            <w:tcW w:w="675"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污染物产生浓度</w:t>
            </w:r>
          </w:p>
        </w:tc>
        <w:tc>
          <w:tcPr>
            <w:tcW w:w="71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污染物产生量</w:t>
            </w:r>
          </w:p>
        </w:tc>
        <w:tc>
          <w:tcPr>
            <w:tcW w:w="755"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污染物排放浓度</w:t>
            </w:r>
          </w:p>
        </w:tc>
        <w:tc>
          <w:tcPr>
            <w:tcW w:w="75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污染物排放量</w:t>
            </w:r>
          </w:p>
        </w:tc>
        <w:tc>
          <w:tcPr>
            <w:tcW w:w="496"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限值</w:t>
            </w:r>
          </w:p>
        </w:tc>
        <w:tc>
          <w:tcPr>
            <w:tcW w:w="364"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治理设施</w:t>
            </w:r>
          </w:p>
        </w:tc>
        <w:tc>
          <w:tcPr>
            <w:tcW w:w="556"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排放</w:t>
            </w:r>
          </w:p>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auto"/>
                <w:spacing w:val="-10"/>
                <w:sz w:val="21"/>
                <w:szCs w:val="21"/>
              </w:rPr>
            </w:pPr>
            <w:r>
              <w:rPr>
                <w:b/>
                <w:bCs/>
                <w:color w:val="auto"/>
                <w:spacing w:val="-10"/>
                <w:sz w:val="21"/>
                <w:szCs w:val="21"/>
              </w:rPr>
              <w:t>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auto"/>
                <w:sz w:val="21"/>
                <w:szCs w:val="21"/>
              </w:rPr>
            </w:pPr>
            <w:r>
              <w:rPr>
                <w:color w:val="auto"/>
                <w:kern w:val="0"/>
                <w:sz w:val="21"/>
                <w:szCs w:val="21"/>
                <w:lang w:bidi="ar"/>
              </w:rPr>
              <w:t>COD</w:t>
            </w:r>
          </w:p>
        </w:tc>
        <w:tc>
          <w:tcPr>
            <w:tcW w:w="67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400mg/L</w:t>
            </w:r>
          </w:p>
        </w:tc>
        <w:tc>
          <w:tcPr>
            <w:tcW w:w="719"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rFonts w:hint="eastAsia"/>
                <w:color w:val="auto"/>
                <w:kern w:val="0"/>
                <w:sz w:val="21"/>
                <w:szCs w:val="21"/>
                <w:lang w:val="en-US" w:eastAsia="zh-CN" w:bidi="ar"/>
              </w:rPr>
              <w:t>3.1</w:t>
            </w:r>
            <w:r>
              <w:rPr>
                <w:color w:val="auto"/>
                <w:kern w:val="0"/>
                <w:sz w:val="21"/>
                <w:szCs w:val="21"/>
                <w:lang w:bidi="ar"/>
              </w:rPr>
              <w:t>t/a</w:t>
            </w:r>
          </w:p>
        </w:tc>
        <w:tc>
          <w:tcPr>
            <w:tcW w:w="75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300mg/L</w:t>
            </w:r>
          </w:p>
        </w:tc>
        <w:tc>
          <w:tcPr>
            <w:tcW w:w="750"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0.42t/a</w:t>
            </w:r>
          </w:p>
        </w:tc>
        <w:tc>
          <w:tcPr>
            <w:tcW w:w="496" w:type="pct"/>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color w:val="auto"/>
                <w:sz w:val="21"/>
                <w:szCs w:val="21"/>
              </w:rPr>
            </w:pPr>
            <w:r>
              <w:rPr>
                <w:color w:val="auto"/>
                <w:sz w:val="21"/>
                <w:szCs w:val="21"/>
              </w:rPr>
              <w:t>500</w:t>
            </w:r>
          </w:p>
        </w:tc>
        <w:tc>
          <w:tcPr>
            <w:tcW w:w="364" w:type="pct"/>
            <w:vMerge w:val="restar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化粪池</w:t>
            </w:r>
          </w:p>
        </w:tc>
        <w:tc>
          <w:tcPr>
            <w:tcW w:w="556" w:type="pct"/>
            <w:vMerge w:val="restar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委托</w:t>
            </w:r>
            <w:r>
              <w:rPr>
                <w:rFonts w:hint="eastAsia" w:cs="Times New Roman"/>
                <w:color w:val="auto"/>
                <w:sz w:val="21"/>
                <w:szCs w:val="21"/>
                <w:highlight w:val="green"/>
                <w:lang w:val="en-US" w:eastAsia="zh-CN"/>
              </w:rPr>
              <w:t>五原县塔尔湖污水处理厂</w:t>
            </w:r>
            <w:r>
              <w:rPr>
                <w:rFonts w:hint="default" w:ascii="Times New Roman" w:hAnsi="Times New Roman" w:eastAsia="宋体" w:cs="Times New Roman"/>
                <w:color w:val="auto"/>
                <w:sz w:val="21"/>
                <w:szCs w:val="21"/>
                <w:lang w:val="en-US" w:eastAsia="zh-CN"/>
              </w:rPr>
              <w:t>采用罐车清运处理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auto"/>
                <w:sz w:val="21"/>
                <w:szCs w:val="21"/>
              </w:rPr>
            </w:pPr>
            <w:r>
              <w:rPr>
                <w:color w:val="auto"/>
                <w:kern w:val="0"/>
                <w:sz w:val="21"/>
                <w:szCs w:val="21"/>
                <w:lang w:bidi="ar"/>
              </w:rPr>
              <w:t>BOD</w:t>
            </w:r>
            <w:r>
              <w:rPr>
                <w:rStyle w:val="136"/>
                <w:color w:val="auto"/>
                <w:sz w:val="21"/>
                <w:szCs w:val="21"/>
                <w:vertAlign w:val="subscript"/>
                <w:lang w:bidi="ar"/>
              </w:rPr>
              <w:t>5</w:t>
            </w:r>
          </w:p>
        </w:tc>
        <w:tc>
          <w:tcPr>
            <w:tcW w:w="67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300mg/L</w:t>
            </w:r>
          </w:p>
        </w:tc>
        <w:tc>
          <w:tcPr>
            <w:tcW w:w="719"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rFonts w:hint="eastAsia"/>
                <w:color w:val="auto"/>
                <w:kern w:val="0"/>
                <w:sz w:val="21"/>
                <w:szCs w:val="21"/>
                <w:lang w:val="en-US" w:eastAsia="zh-CN" w:bidi="ar"/>
              </w:rPr>
              <w:t>2.635</w:t>
            </w:r>
            <w:r>
              <w:rPr>
                <w:color w:val="auto"/>
                <w:kern w:val="0"/>
                <w:sz w:val="21"/>
                <w:szCs w:val="21"/>
                <w:lang w:bidi="ar"/>
              </w:rPr>
              <w:t>t/a</w:t>
            </w:r>
          </w:p>
        </w:tc>
        <w:tc>
          <w:tcPr>
            <w:tcW w:w="75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200mg/L</w:t>
            </w:r>
          </w:p>
        </w:tc>
        <w:tc>
          <w:tcPr>
            <w:tcW w:w="750"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0.28t/a</w:t>
            </w:r>
          </w:p>
        </w:tc>
        <w:tc>
          <w:tcPr>
            <w:tcW w:w="496" w:type="pct"/>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color w:val="auto"/>
                <w:sz w:val="21"/>
                <w:szCs w:val="21"/>
              </w:rPr>
            </w:pPr>
            <w:r>
              <w:rPr>
                <w:color w:val="auto"/>
                <w:sz w:val="21"/>
                <w:szCs w:val="21"/>
              </w:rPr>
              <w:t>300</w:t>
            </w:r>
          </w:p>
        </w:tc>
        <w:tc>
          <w:tcPr>
            <w:tcW w:w="364"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color w:val="auto"/>
                <w:sz w:val="21"/>
                <w:szCs w:val="21"/>
              </w:rPr>
            </w:pPr>
          </w:p>
        </w:tc>
        <w:tc>
          <w:tcPr>
            <w:tcW w:w="556"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Cs/>
                <w:color w:val="auto"/>
                <w:spacing w:val="-1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SS</w:t>
            </w:r>
          </w:p>
        </w:tc>
        <w:tc>
          <w:tcPr>
            <w:tcW w:w="67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200mg/L</w:t>
            </w:r>
          </w:p>
        </w:tc>
        <w:tc>
          <w:tcPr>
            <w:tcW w:w="719"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w:t>
            </w:r>
            <w:r>
              <w:rPr>
                <w:rFonts w:hint="eastAsia"/>
                <w:color w:val="auto"/>
                <w:kern w:val="0"/>
                <w:sz w:val="21"/>
                <w:szCs w:val="21"/>
                <w:lang w:val="en-US" w:eastAsia="zh-CN" w:bidi="ar"/>
              </w:rPr>
              <w:t>32</w:t>
            </w:r>
            <w:r>
              <w:rPr>
                <w:color w:val="auto"/>
                <w:kern w:val="0"/>
                <w:sz w:val="21"/>
                <w:szCs w:val="21"/>
                <w:lang w:bidi="ar"/>
              </w:rPr>
              <w:t>t/a</w:t>
            </w:r>
          </w:p>
        </w:tc>
        <w:tc>
          <w:tcPr>
            <w:tcW w:w="75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100mg/L</w:t>
            </w:r>
          </w:p>
        </w:tc>
        <w:tc>
          <w:tcPr>
            <w:tcW w:w="750"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0.014</w:t>
            </w:r>
            <w:r>
              <w:rPr>
                <w:rStyle w:val="138"/>
                <w:rFonts w:hint="default" w:ascii="Times New Roman" w:hAnsi="Times New Roman"/>
                <w:color w:val="auto"/>
                <w:sz w:val="21"/>
                <w:szCs w:val="21"/>
                <w:lang w:bidi="ar"/>
              </w:rPr>
              <w:t>t/a</w:t>
            </w:r>
          </w:p>
        </w:tc>
        <w:tc>
          <w:tcPr>
            <w:tcW w:w="496" w:type="pct"/>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color w:val="auto"/>
                <w:sz w:val="21"/>
                <w:szCs w:val="21"/>
              </w:rPr>
            </w:pPr>
            <w:r>
              <w:rPr>
                <w:color w:val="auto"/>
                <w:sz w:val="21"/>
                <w:szCs w:val="21"/>
              </w:rPr>
              <w:t>400</w:t>
            </w:r>
          </w:p>
        </w:tc>
        <w:tc>
          <w:tcPr>
            <w:tcW w:w="364"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color w:val="auto"/>
                <w:sz w:val="21"/>
                <w:szCs w:val="21"/>
              </w:rPr>
            </w:pPr>
          </w:p>
        </w:tc>
        <w:tc>
          <w:tcPr>
            <w:tcW w:w="556"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Cs/>
                <w:color w:val="auto"/>
                <w:spacing w:val="-1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bCs/>
                <w:color w:val="auto"/>
                <w:spacing w:val="-10"/>
                <w:sz w:val="21"/>
                <w:szCs w:val="21"/>
              </w:rPr>
              <w:t>动植物油</w:t>
            </w:r>
          </w:p>
        </w:tc>
        <w:tc>
          <w:tcPr>
            <w:tcW w:w="67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30mg/L</w:t>
            </w:r>
          </w:p>
        </w:tc>
        <w:tc>
          <w:tcPr>
            <w:tcW w:w="719"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w:t>
            </w:r>
            <w:r>
              <w:rPr>
                <w:rFonts w:hint="eastAsia"/>
                <w:color w:val="auto"/>
                <w:kern w:val="0"/>
                <w:sz w:val="21"/>
                <w:szCs w:val="21"/>
                <w:lang w:val="en-US" w:eastAsia="zh-CN" w:bidi="ar"/>
              </w:rPr>
              <w:t>24</w:t>
            </w:r>
            <w:r>
              <w:rPr>
                <w:color w:val="auto"/>
                <w:kern w:val="0"/>
                <w:sz w:val="21"/>
                <w:szCs w:val="21"/>
                <w:lang w:bidi="ar"/>
              </w:rPr>
              <w:t>t/a</w:t>
            </w:r>
          </w:p>
        </w:tc>
        <w:tc>
          <w:tcPr>
            <w:tcW w:w="75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25mg/L</w:t>
            </w:r>
          </w:p>
        </w:tc>
        <w:tc>
          <w:tcPr>
            <w:tcW w:w="750"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0.035</w:t>
            </w:r>
            <w:r>
              <w:rPr>
                <w:rStyle w:val="138"/>
                <w:rFonts w:hint="default" w:ascii="Times New Roman" w:hAnsi="Times New Roman"/>
                <w:color w:val="auto"/>
                <w:sz w:val="21"/>
                <w:szCs w:val="21"/>
                <w:lang w:bidi="ar"/>
              </w:rPr>
              <w:t>t/a</w:t>
            </w:r>
          </w:p>
        </w:tc>
        <w:tc>
          <w:tcPr>
            <w:tcW w:w="496" w:type="pct"/>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color w:val="auto"/>
                <w:sz w:val="21"/>
                <w:szCs w:val="21"/>
              </w:rPr>
            </w:pPr>
            <w:r>
              <w:rPr>
                <w:color w:val="auto"/>
                <w:sz w:val="21"/>
                <w:szCs w:val="21"/>
              </w:rPr>
              <w:t>100</w:t>
            </w:r>
          </w:p>
        </w:tc>
        <w:tc>
          <w:tcPr>
            <w:tcW w:w="364"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Cs/>
                <w:color w:val="auto"/>
                <w:spacing w:val="-10"/>
                <w:sz w:val="21"/>
                <w:szCs w:val="21"/>
              </w:rPr>
            </w:pPr>
          </w:p>
        </w:tc>
        <w:tc>
          <w:tcPr>
            <w:tcW w:w="556"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Cs/>
                <w:color w:val="auto"/>
                <w:spacing w:val="-1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sz w:val="21"/>
                <w:szCs w:val="21"/>
              </w:rPr>
              <w:t>NH</w:t>
            </w:r>
            <w:r>
              <w:rPr>
                <w:color w:val="auto"/>
                <w:sz w:val="21"/>
                <w:szCs w:val="21"/>
                <w:vertAlign w:val="subscript"/>
              </w:rPr>
              <w:t>3</w:t>
            </w:r>
            <w:r>
              <w:rPr>
                <w:color w:val="auto"/>
                <w:sz w:val="21"/>
                <w:szCs w:val="21"/>
              </w:rPr>
              <w:t>-N</w:t>
            </w:r>
          </w:p>
        </w:tc>
        <w:tc>
          <w:tcPr>
            <w:tcW w:w="67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45mg/L</w:t>
            </w:r>
          </w:p>
        </w:tc>
        <w:tc>
          <w:tcPr>
            <w:tcW w:w="719"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w:t>
            </w:r>
            <w:r>
              <w:rPr>
                <w:rFonts w:hint="eastAsia"/>
                <w:color w:val="auto"/>
                <w:kern w:val="0"/>
                <w:sz w:val="21"/>
                <w:szCs w:val="21"/>
                <w:lang w:val="en-US" w:eastAsia="zh-CN" w:bidi="ar"/>
              </w:rPr>
              <w:t>35</w:t>
            </w:r>
            <w:r>
              <w:rPr>
                <w:color w:val="auto"/>
                <w:kern w:val="0"/>
                <w:sz w:val="21"/>
                <w:szCs w:val="21"/>
                <w:lang w:bidi="ar"/>
              </w:rPr>
              <w:t>t/a</w:t>
            </w:r>
          </w:p>
        </w:tc>
        <w:tc>
          <w:tcPr>
            <w:tcW w:w="75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45mg/L</w:t>
            </w:r>
          </w:p>
        </w:tc>
        <w:tc>
          <w:tcPr>
            <w:tcW w:w="750"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bCs/>
                <w:color w:val="auto"/>
                <w:spacing w:val="-10"/>
                <w:sz w:val="21"/>
                <w:szCs w:val="21"/>
              </w:rPr>
            </w:pPr>
            <w:r>
              <w:rPr>
                <w:color w:val="auto"/>
                <w:kern w:val="0"/>
                <w:sz w:val="21"/>
                <w:szCs w:val="21"/>
                <w:lang w:bidi="ar"/>
              </w:rPr>
              <w:t>0.063t/a</w:t>
            </w:r>
          </w:p>
        </w:tc>
        <w:tc>
          <w:tcPr>
            <w:tcW w:w="496"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auto"/>
                <w:kern w:val="0"/>
                <w:sz w:val="21"/>
                <w:szCs w:val="21"/>
                <w:lang w:bidi="ar"/>
              </w:rPr>
            </w:pPr>
            <w:r>
              <w:rPr>
                <w:color w:val="auto"/>
                <w:kern w:val="0"/>
                <w:sz w:val="21"/>
                <w:szCs w:val="21"/>
                <w:lang w:bidi="ar"/>
              </w:rPr>
              <w:t>/</w:t>
            </w:r>
          </w:p>
        </w:tc>
        <w:tc>
          <w:tcPr>
            <w:tcW w:w="364"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Cs/>
                <w:color w:val="auto"/>
                <w:spacing w:val="-10"/>
                <w:sz w:val="21"/>
                <w:szCs w:val="21"/>
              </w:rPr>
            </w:pPr>
          </w:p>
        </w:tc>
        <w:tc>
          <w:tcPr>
            <w:tcW w:w="556" w:type="pct"/>
            <w:vMerge w:val="continu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Cs/>
                <w:color w:val="auto"/>
                <w:spacing w:val="-10"/>
                <w:sz w:val="21"/>
                <w:szCs w:val="21"/>
              </w:rPr>
            </w:pPr>
          </w:p>
        </w:tc>
      </w:tr>
    </w:tbl>
    <w:p>
      <w:pPr>
        <w:bidi w:val="0"/>
      </w:pPr>
    </w:p>
    <w:p>
      <w:pPr>
        <w:pStyle w:val="5"/>
      </w:pPr>
      <w:r>
        <w:rPr>
          <w:rFonts w:hint="eastAsia"/>
        </w:rPr>
        <w:t>羊尿</w:t>
      </w:r>
    </w:p>
    <w:p>
      <w:pPr>
        <w:ind w:firstLine="48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根据</w:t>
      </w:r>
      <w:r>
        <w:rPr>
          <w:rFonts w:hint="eastAsia"/>
          <w:lang w:val="en-US" w:eastAsia="zh-CN"/>
        </w:rPr>
        <w:t>《排污许可证申请与核发技术规范 畜禽养殖行业》（HJ 1029—2019）</w:t>
      </w:r>
      <w:r>
        <w:rPr>
          <w:rFonts w:hint="eastAsia"/>
          <w:color w:val="000000" w:themeColor="text1"/>
          <w14:textFill>
            <w14:solidFill>
              <w14:schemeClr w14:val="tx1"/>
            </w14:solidFill>
          </w14:textFill>
        </w:rPr>
        <w:t>中表</w:t>
      </w:r>
      <w:r>
        <w:rPr>
          <w:rFonts w:hint="eastAsia"/>
          <w:color w:val="000000" w:themeColor="text1"/>
          <w:lang w:val="en-US" w:eastAsia="zh-CN"/>
          <w14:textFill>
            <w14:solidFill>
              <w14:schemeClr w14:val="tx1"/>
            </w14:solidFill>
          </w14:textFill>
        </w:rPr>
        <w:t>9各类畜禽污染物产生量及换算关系</w:t>
      </w:r>
      <w:r>
        <w:rPr>
          <w:rFonts w:hint="eastAsia"/>
          <w:color w:val="000000" w:themeColor="text1"/>
          <w14:textFill>
            <w14:solidFill>
              <w14:schemeClr w14:val="tx1"/>
            </w14:solidFill>
          </w14:textFill>
        </w:rPr>
        <w:t>可知，猪粪产生量为</w:t>
      </w:r>
      <w:r>
        <w:rPr>
          <w:rFonts w:hint="eastAsia"/>
          <w:color w:val="000000" w:themeColor="text1"/>
          <w:lang w:val="en-US" w:eastAsia="zh-CN"/>
          <w14:textFill>
            <w14:solidFill>
              <w14:schemeClr w14:val="tx1"/>
            </w14:solidFill>
          </w14:textFill>
        </w:rPr>
        <w:t>1.24</w:t>
      </w:r>
      <w:r>
        <w:rPr>
          <w:rFonts w:hint="eastAsia"/>
          <w:color w:val="000000" w:themeColor="text1"/>
          <w14:textFill>
            <w14:solidFill>
              <w14:schemeClr w14:val="tx1"/>
            </w14:solidFill>
          </w14:textFill>
        </w:rPr>
        <w:t>kg/d.</w:t>
      </w:r>
      <w:r>
        <w:rPr>
          <w:rFonts w:hint="eastAsia"/>
          <w:color w:val="000000" w:themeColor="text1"/>
          <w:lang w:val="en-US" w:eastAsia="zh-CN"/>
          <w14:textFill>
            <w14:solidFill>
              <w14:schemeClr w14:val="tx1"/>
            </w14:solidFill>
          </w14:textFill>
        </w:rPr>
        <w:t>头</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则项目</w:t>
      </w:r>
      <w:r>
        <w:rPr>
          <w:rFonts w:hint="eastAsia"/>
          <w:color w:val="000000" w:themeColor="text1"/>
          <w14:textFill>
            <w14:solidFill>
              <w14:schemeClr w14:val="tx1"/>
            </w14:solidFill>
          </w14:textFill>
        </w:rPr>
        <w:t>50万只羊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折合为16.7万头猪</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产生粪便量为207</w:t>
      </w:r>
      <w:r>
        <w:rPr>
          <w:rFonts w:hint="eastAsia"/>
          <w:color w:val="000000" w:themeColor="text1"/>
          <w14:textFill>
            <w14:solidFill>
              <w14:schemeClr w14:val="tx1"/>
            </w14:solidFill>
          </w14:textFill>
        </w:rPr>
        <w:t>t/d（</w:t>
      </w:r>
      <w:r>
        <w:rPr>
          <w:rFonts w:hint="eastAsia"/>
          <w:color w:val="000000" w:themeColor="text1"/>
          <w:lang w:val="en-US" w:eastAsia="zh-CN"/>
          <w14:textFill>
            <w14:solidFill>
              <w14:schemeClr w14:val="tx1"/>
            </w14:solidFill>
          </w14:textFill>
        </w:rPr>
        <w:t>75555</w:t>
      </w:r>
      <w:r>
        <w:rPr>
          <w:rFonts w:hint="eastAsia"/>
          <w:color w:val="000000" w:themeColor="text1"/>
          <w14:textFill>
            <w14:solidFill>
              <w14:schemeClr w14:val="tx1"/>
            </w14:solidFill>
          </w14:textFill>
        </w:rPr>
        <w:t>t/a）</w:t>
      </w:r>
      <w:r>
        <w:rPr>
          <w:rFonts w:hint="eastAsia"/>
          <w:color w:val="000000" w:themeColor="text1"/>
          <w:lang w:eastAsia="zh-CN"/>
          <w14:textFill>
            <w14:solidFill>
              <w14:schemeClr w14:val="tx1"/>
            </w14:solidFill>
          </w14:textFill>
        </w:rPr>
        <w:t>。</w:t>
      </w:r>
    </w:p>
    <w:p>
      <w:pPr>
        <w:bidi w:val="0"/>
        <w:rPr>
          <w:rFonts w:hint="eastAsia"/>
        </w:rPr>
      </w:pPr>
      <w:r>
        <w:rPr>
          <w:rFonts w:hint="eastAsia"/>
          <w:lang w:val="en-US" w:eastAsia="zh-CN"/>
        </w:rPr>
        <w:t>同时</w:t>
      </w:r>
      <w:r>
        <w:rPr>
          <w:rFonts w:hint="eastAsia"/>
        </w:rPr>
        <w:t>根据《畜禽养殖业污染治理工程技术规范》（HJ497-2009）中表A.2不同畜禽粪污日排放量</w:t>
      </w:r>
      <w:r>
        <w:rPr>
          <w:rFonts w:hint="eastAsia"/>
          <w:lang w:val="en-US" w:eastAsia="zh-CN"/>
        </w:rPr>
        <w:t>及换算关系可知，</w:t>
      </w:r>
      <w:r>
        <w:rPr>
          <w:rFonts w:hint="eastAsia"/>
        </w:rPr>
        <w:t>猪尿产生量为3.3kg/只.d，</w:t>
      </w:r>
      <w:r>
        <w:rPr>
          <w:rFonts w:hint="eastAsia"/>
          <w:lang w:val="en-US" w:eastAsia="zh-CN"/>
        </w:rPr>
        <w:t>则</w:t>
      </w:r>
      <w:r>
        <w:rPr>
          <w:rFonts w:hint="eastAsia"/>
        </w:rPr>
        <w:t>本项目50万只羊</w:t>
      </w:r>
      <w:r>
        <w:rPr>
          <w:rFonts w:hint="eastAsia"/>
          <w:lang w:eastAsia="zh-CN"/>
        </w:rPr>
        <w:t>（</w:t>
      </w:r>
      <w:r>
        <w:rPr>
          <w:rFonts w:hint="eastAsia"/>
        </w:rPr>
        <w:t>折合为16.7万头猪</w:t>
      </w:r>
      <w:r>
        <w:rPr>
          <w:rFonts w:hint="eastAsia"/>
          <w:lang w:eastAsia="zh-CN"/>
        </w:rPr>
        <w:t>）</w:t>
      </w:r>
      <w:r>
        <w:rPr>
          <w:rFonts w:hint="eastAsia"/>
          <w:lang w:val="en-US" w:eastAsia="zh-CN"/>
        </w:rPr>
        <w:t>产生</w:t>
      </w:r>
      <w:r>
        <w:rPr>
          <w:rFonts w:hint="eastAsia"/>
        </w:rPr>
        <w:t>羊尿量为550t/d</w:t>
      </w:r>
      <w:r>
        <w:rPr>
          <w:rFonts w:hint="eastAsia"/>
          <w:lang w:eastAsia="zh-CN"/>
        </w:rPr>
        <w:t>，</w:t>
      </w:r>
      <w:r>
        <w:rPr>
          <w:rFonts w:hint="eastAsia"/>
          <w:lang w:val="en-US" w:eastAsia="zh-CN"/>
        </w:rPr>
        <w:t>根据</w:t>
      </w:r>
      <w:r>
        <w:rPr>
          <w:rFonts w:hint="eastAsia"/>
        </w:rPr>
        <w:t>集团公司其他养殖场类比分析</w:t>
      </w:r>
      <w:r>
        <w:rPr>
          <w:rFonts w:hint="eastAsia"/>
          <w:lang w:eastAsia="zh-CN"/>
        </w:rPr>
        <w:t>，</w:t>
      </w:r>
      <w:r>
        <w:rPr>
          <w:rFonts w:hint="eastAsia"/>
          <w:lang w:val="en-US" w:eastAsia="zh-CN"/>
        </w:rPr>
        <w:t>夏天按1.2倍进行计算</w:t>
      </w:r>
      <w:r>
        <w:rPr>
          <w:rFonts w:hint="eastAsia"/>
        </w:rPr>
        <w:t>。</w:t>
      </w:r>
    </w:p>
    <w:p>
      <w:pPr>
        <w:bidi w:val="0"/>
        <w:rPr>
          <w:rFonts w:hint="eastAsia"/>
          <w:color w:val="000000" w:themeColor="text1"/>
          <w:lang w:val="en-US" w:eastAsia="zh-CN"/>
          <w14:textFill>
            <w14:solidFill>
              <w14:schemeClr w14:val="tx1"/>
            </w14:solidFill>
          </w14:textFill>
        </w:rPr>
      </w:pPr>
      <w:r>
        <w:rPr>
          <w:rFonts w:hint="eastAsia"/>
          <w:lang w:val="en-US" w:eastAsia="zh-CN"/>
        </w:rPr>
        <w:t>项目养殖过程粪便产生量及含水情况、尿液产生量见下表</w:t>
      </w:r>
      <w:r>
        <w:rPr>
          <w:rFonts w:hint="eastAsia"/>
          <w:color w:val="000000" w:themeColor="text1"/>
          <w:lang w:val="en-US" w:eastAsia="zh-CN"/>
          <w14:textFill>
            <w14:solidFill>
              <w14:schemeClr w14:val="tx1"/>
            </w14:solidFill>
          </w14:textFill>
        </w:rPr>
        <w:t>。</w:t>
      </w:r>
    </w:p>
    <w:p>
      <w:pPr>
        <w:pStyle w:val="6"/>
        <w:bidi w:val="0"/>
        <w:rPr>
          <w:rFonts w:hint="eastAsia"/>
          <w:lang w:val="en-US" w:eastAsia="zh-CN"/>
        </w:rPr>
      </w:pPr>
      <w:r>
        <w:rPr>
          <w:rFonts w:hint="eastAsia"/>
          <w:lang w:val="en-US" w:eastAsia="zh-CN"/>
        </w:rPr>
        <w:t>表3.4.1-8   养殖单元粪便产生情况表</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2570"/>
        <w:gridCol w:w="2092"/>
        <w:gridCol w:w="2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2" w:type="pct"/>
            <w:gridSpan w:val="2"/>
            <w:shd w:val="clear" w:color="auto" w:fill="auto"/>
            <w:vAlign w:val="center"/>
          </w:tcPr>
          <w:p>
            <w:pPr>
              <w:pStyle w:val="232"/>
            </w:pPr>
            <w:r>
              <w:rPr>
                <w:rFonts w:hint="eastAsia"/>
              </w:rPr>
              <w:t>粪便产生量</w:t>
            </w:r>
          </w:p>
        </w:tc>
        <w:tc>
          <w:tcPr>
            <w:tcW w:w="2547" w:type="pct"/>
            <w:gridSpan w:val="2"/>
            <w:shd w:val="clear" w:color="auto" w:fill="auto"/>
            <w:vAlign w:val="center"/>
          </w:tcPr>
          <w:p>
            <w:pPr>
              <w:pStyle w:val="232"/>
            </w:pPr>
            <w:r>
              <w:rPr>
                <w:rFonts w:hint="eastAsia"/>
              </w:rPr>
              <w:t>粪便含水量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pct"/>
            <w:shd w:val="clear" w:color="auto" w:fill="auto"/>
            <w:vAlign w:val="center"/>
          </w:tcPr>
          <w:p>
            <w:pPr>
              <w:pStyle w:val="232"/>
            </w:pPr>
            <w:r>
              <w:t>t/d</w:t>
            </w:r>
          </w:p>
        </w:tc>
        <w:tc>
          <w:tcPr>
            <w:tcW w:w="1506" w:type="pct"/>
            <w:shd w:val="clear" w:color="auto" w:fill="auto"/>
            <w:vAlign w:val="center"/>
          </w:tcPr>
          <w:p>
            <w:pPr>
              <w:pStyle w:val="232"/>
            </w:pPr>
            <w:r>
              <w:t>t/a</w:t>
            </w:r>
          </w:p>
        </w:tc>
        <w:tc>
          <w:tcPr>
            <w:tcW w:w="1227" w:type="pct"/>
            <w:shd w:val="clear" w:color="auto" w:fill="auto"/>
            <w:vAlign w:val="center"/>
          </w:tcPr>
          <w:p>
            <w:pPr>
              <w:pStyle w:val="232"/>
            </w:pPr>
            <w:r>
              <w:t>t/d</w:t>
            </w:r>
          </w:p>
        </w:tc>
        <w:tc>
          <w:tcPr>
            <w:tcW w:w="1319" w:type="pct"/>
            <w:shd w:val="clear" w:color="auto" w:fill="auto"/>
            <w:vAlign w:val="center"/>
          </w:tcPr>
          <w:p>
            <w:pPr>
              <w:pStyle w:val="232"/>
            </w:pPr>
            <w: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pct"/>
            <w:shd w:val="clear" w:color="auto" w:fill="auto"/>
            <w:vAlign w:val="center"/>
          </w:tcPr>
          <w:p>
            <w:pPr>
              <w:pStyle w:val="232"/>
              <w:rPr>
                <w:rFonts w:hint="default" w:eastAsia="宋体"/>
                <w:lang w:val="en-US" w:eastAsia="zh-CN"/>
              </w:rPr>
            </w:pPr>
            <w:r>
              <w:rPr>
                <w:rFonts w:hint="eastAsia"/>
                <w:lang w:val="en-US" w:eastAsia="zh-CN"/>
              </w:rPr>
              <w:t>207</w:t>
            </w:r>
          </w:p>
        </w:tc>
        <w:tc>
          <w:tcPr>
            <w:tcW w:w="1506" w:type="pct"/>
            <w:shd w:val="clear" w:color="auto" w:fill="auto"/>
            <w:vAlign w:val="center"/>
          </w:tcPr>
          <w:p>
            <w:pPr>
              <w:pStyle w:val="232"/>
              <w:rPr>
                <w:rFonts w:hint="default" w:eastAsia="宋体"/>
                <w:lang w:val="en-US" w:eastAsia="zh-CN"/>
              </w:rPr>
            </w:pPr>
            <w:r>
              <w:rPr>
                <w:rFonts w:hint="eastAsia"/>
                <w:lang w:val="en-US" w:eastAsia="zh-CN"/>
              </w:rPr>
              <w:t>75555</w:t>
            </w:r>
          </w:p>
        </w:tc>
        <w:tc>
          <w:tcPr>
            <w:tcW w:w="1227" w:type="pct"/>
            <w:shd w:val="clear" w:color="auto" w:fill="auto"/>
            <w:vAlign w:val="center"/>
          </w:tcPr>
          <w:p>
            <w:pPr>
              <w:pStyle w:val="232"/>
              <w:rPr>
                <w:rFonts w:hint="default" w:eastAsia="宋体"/>
                <w:lang w:val="en-US" w:eastAsia="zh-CN"/>
              </w:rPr>
            </w:pPr>
            <w:r>
              <w:rPr>
                <w:rFonts w:hint="eastAsia"/>
                <w:lang w:val="en-US" w:eastAsia="zh-CN"/>
              </w:rPr>
              <w:t>62.1</w:t>
            </w:r>
          </w:p>
        </w:tc>
        <w:tc>
          <w:tcPr>
            <w:tcW w:w="1319" w:type="pct"/>
            <w:shd w:val="clear" w:color="auto" w:fill="auto"/>
            <w:vAlign w:val="center"/>
          </w:tcPr>
          <w:p>
            <w:pPr>
              <w:pStyle w:val="232"/>
              <w:rPr>
                <w:rFonts w:hint="default"/>
                <w:lang w:val="en-US" w:eastAsia="zh-CN"/>
              </w:rPr>
            </w:pPr>
            <w:r>
              <w:rPr>
                <w:rFonts w:hint="eastAsia"/>
                <w:lang w:val="en-US" w:eastAsia="zh-CN"/>
              </w:rPr>
              <w:t>22666.5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auto"/>
            <w:vAlign w:val="center"/>
          </w:tcPr>
          <w:p>
            <w:pPr>
              <w:pStyle w:val="232"/>
              <w:jc w:val="left"/>
              <w:rPr>
                <w:rFonts w:hint="eastAsia"/>
              </w:rPr>
            </w:pPr>
            <w:r>
              <w:rPr>
                <w:rFonts w:hint="eastAsia"/>
              </w:rPr>
              <w:t>注：</w:t>
            </w:r>
            <w:r>
              <w:rPr>
                <w:rFonts w:hint="eastAsia"/>
                <w:color w:val="FF0000"/>
              </w:rPr>
              <w:t>湿</w:t>
            </w:r>
            <w:r>
              <w:rPr>
                <w:rFonts w:hint="eastAsia"/>
                <w:color w:val="FF0000"/>
                <w:lang w:val="en-US" w:eastAsia="zh-CN"/>
              </w:rPr>
              <w:t>羊</w:t>
            </w:r>
            <w:r>
              <w:rPr>
                <w:rFonts w:hint="eastAsia"/>
                <w:color w:val="FF0000"/>
              </w:rPr>
              <w:t>粪含水率</w:t>
            </w:r>
            <w:r>
              <w:rPr>
                <w:rFonts w:hint="eastAsia"/>
                <w:color w:val="FF0000"/>
                <w:lang w:val="en-US" w:eastAsia="zh-CN"/>
              </w:rPr>
              <w:t>30</w:t>
            </w:r>
            <w:r>
              <w:rPr>
                <w:color w:val="FF0000"/>
              </w:rPr>
              <w:t>%</w:t>
            </w:r>
            <w:r>
              <w:rPr>
                <w:rFonts w:hint="eastAsia"/>
                <w:color w:val="FF0000"/>
              </w:rPr>
              <w:t>计</w:t>
            </w:r>
          </w:p>
        </w:tc>
      </w:tr>
    </w:tbl>
    <w:p>
      <w:pPr>
        <w:pStyle w:val="6"/>
        <w:bidi w:val="0"/>
        <w:rPr>
          <w:rFonts w:hint="eastAsia"/>
          <w:lang w:val="en-US" w:eastAsia="zh-CN"/>
        </w:rPr>
      </w:pPr>
      <w:r>
        <w:rPr>
          <w:rFonts w:hint="eastAsia"/>
          <w:lang w:val="en-US" w:eastAsia="zh-CN"/>
        </w:rPr>
        <w:t>表3.4.1-9   养殖单元尿液产生情况表</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2570"/>
        <w:gridCol w:w="2092"/>
        <w:gridCol w:w="2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2" w:type="pct"/>
            <w:gridSpan w:val="2"/>
            <w:shd w:val="clear" w:color="auto" w:fill="auto"/>
            <w:vAlign w:val="center"/>
          </w:tcPr>
          <w:p>
            <w:pPr>
              <w:pStyle w:val="232"/>
              <w:rPr>
                <w:rFonts w:hint="eastAsia" w:eastAsia="宋体"/>
                <w:lang w:eastAsia="zh-CN"/>
              </w:rPr>
            </w:pPr>
            <w:r>
              <w:rPr>
                <w:rFonts w:hint="eastAsia"/>
                <w:lang w:val="en-US" w:eastAsia="zh-CN"/>
              </w:rPr>
              <w:t>冬季尿液</w:t>
            </w:r>
            <w:r>
              <w:rPr>
                <w:rFonts w:hint="eastAsia"/>
              </w:rPr>
              <w:t>产生量</w:t>
            </w:r>
            <w:r>
              <w:rPr>
                <w:rFonts w:hint="eastAsia"/>
                <w:lang w:eastAsia="zh-CN"/>
              </w:rPr>
              <w:t>（</w:t>
            </w:r>
            <w:r>
              <w:rPr>
                <w:rFonts w:hint="eastAsia"/>
                <w:lang w:val="en-US" w:eastAsia="zh-CN"/>
              </w:rPr>
              <w:t>按185天计</w:t>
            </w:r>
            <w:r>
              <w:rPr>
                <w:rFonts w:hint="eastAsia"/>
                <w:lang w:eastAsia="zh-CN"/>
              </w:rPr>
              <w:t>）</w:t>
            </w:r>
          </w:p>
        </w:tc>
        <w:tc>
          <w:tcPr>
            <w:tcW w:w="2547" w:type="pct"/>
            <w:gridSpan w:val="2"/>
            <w:shd w:val="clear" w:color="auto" w:fill="auto"/>
            <w:vAlign w:val="center"/>
          </w:tcPr>
          <w:p>
            <w:pPr>
              <w:pStyle w:val="232"/>
            </w:pPr>
            <w:r>
              <w:rPr>
                <w:rFonts w:hint="eastAsia"/>
                <w:lang w:val="en-US" w:eastAsia="zh-CN"/>
              </w:rPr>
              <w:t>夏季尿液</w:t>
            </w:r>
            <w:r>
              <w:rPr>
                <w:rFonts w:hint="eastAsia"/>
              </w:rPr>
              <w:t>产生量</w:t>
            </w:r>
            <w:r>
              <w:rPr>
                <w:rFonts w:hint="eastAsia"/>
                <w:lang w:eastAsia="zh-CN"/>
              </w:rPr>
              <w:t>（</w:t>
            </w:r>
            <w:r>
              <w:rPr>
                <w:rFonts w:hint="eastAsia"/>
                <w:lang w:val="en-US" w:eastAsia="zh-CN"/>
              </w:rPr>
              <w:t>按180天计</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pct"/>
            <w:shd w:val="clear" w:color="auto" w:fill="auto"/>
            <w:vAlign w:val="center"/>
          </w:tcPr>
          <w:p>
            <w:pPr>
              <w:pStyle w:val="232"/>
            </w:pPr>
            <w:r>
              <w:t>t/d</w:t>
            </w:r>
          </w:p>
        </w:tc>
        <w:tc>
          <w:tcPr>
            <w:tcW w:w="1506" w:type="pct"/>
            <w:shd w:val="clear" w:color="auto" w:fill="auto"/>
            <w:vAlign w:val="center"/>
          </w:tcPr>
          <w:p>
            <w:pPr>
              <w:pStyle w:val="232"/>
            </w:pPr>
            <w:r>
              <w:t>t/a</w:t>
            </w:r>
          </w:p>
        </w:tc>
        <w:tc>
          <w:tcPr>
            <w:tcW w:w="1227" w:type="pct"/>
            <w:shd w:val="clear" w:color="auto" w:fill="auto"/>
            <w:vAlign w:val="center"/>
          </w:tcPr>
          <w:p>
            <w:pPr>
              <w:pStyle w:val="232"/>
            </w:pPr>
            <w:r>
              <w:t>t/d</w:t>
            </w:r>
          </w:p>
        </w:tc>
        <w:tc>
          <w:tcPr>
            <w:tcW w:w="1319" w:type="pct"/>
            <w:shd w:val="clear" w:color="auto" w:fill="auto"/>
            <w:vAlign w:val="center"/>
          </w:tcPr>
          <w:p>
            <w:pPr>
              <w:pStyle w:val="232"/>
            </w:pPr>
            <w: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pct"/>
            <w:shd w:val="clear" w:color="auto" w:fill="auto"/>
            <w:vAlign w:val="center"/>
          </w:tcPr>
          <w:p>
            <w:pPr>
              <w:pStyle w:val="232"/>
              <w:rPr>
                <w:rFonts w:hint="default" w:eastAsia="宋体"/>
                <w:lang w:val="en-US" w:eastAsia="zh-CN"/>
              </w:rPr>
            </w:pPr>
            <w:r>
              <w:rPr>
                <w:rFonts w:hint="eastAsia"/>
                <w:lang w:val="en-US" w:eastAsia="zh-CN"/>
              </w:rPr>
              <w:t>550</w:t>
            </w:r>
          </w:p>
        </w:tc>
        <w:tc>
          <w:tcPr>
            <w:tcW w:w="1506" w:type="pct"/>
            <w:shd w:val="clear" w:color="auto" w:fill="auto"/>
            <w:vAlign w:val="center"/>
          </w:tcPr>
          <w:p>
            <w:pPr>
              <w:pStyle w:val="232"/>
              <w:rPr>
                <w:rFonts w:hint="default" w:eastAsia="宋体"/>
                <w:lang w:val="en-US" w:eastAsia="zh-CN"/>
              </w:rPr>
            </w:pPr>
            <w:r>
              <w:rPr>
                <w:rFonts w:hint="eastAsia"/>
                <w:lang w:val="en-US" w:eastAsia="zh-CN"/>
              </w:rPr>
              <w:t>101750</w:t>
            </w:r>
          </w:p>
        </w:tc>
        <w:tc>
          <w:tcPr>
            <w:tcW w:w="1227" w:type="pct"/>
            <w:shd w:val="clear" w:color="auto" w:fill="auto"/>
            <w:vAlign w:val="center"/>
          </w:tcPr>
          <w:p>
            <w:pPr>
              <w:pStyle w:val="232"/>
              <w:rPr>
                <w:rFonts w:hint="default" w:eastAsia="宋体"/>
                <w:lang w:val="en-US" w:eastAsia="zh-CN"/>
              </w:rPr>
            </w:pPr>
            <w:r>
              <w:rPr>
                <w:rFonts w:hint="eastAsia"/>
                <w:lang w:val="en-US" w:eastAsia="zh-CN"/>
              </w:rPr>
              <w:t>660</w:t>
            </w:r>
          </w:p>
        </w:tc>
        <w:tc>
          <w:tcPr>
            <w:tcW w:w="1319" w:type="pct"/>
            <w:shd w:val="clear" w:color="auto" w:fill="auto"/>
            <w:vAlign w:val="center"/>
          </w:tcPr>
          <w:p>
            <w:pPr>
              <w:pStyle w:val="232"/>
              <w:rPr>
                <w:rFonts w:hint="default" w:eastAsia="宋体"/>
                <w:lang w:val="en-US" w:eastAsia="zh-CN"/>
              </w:rPr>
            </w:pPr>
            <w:r>
              <w:rPr>
                <w:rFonts w:hint="eastAsia"/>
                <w:lang w:val="en-US" w:eastAsia="zh-CN"/>
              </w:rPr>
              <w:t>118800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auto"/>
            <w:vAlign w:val="center"/>
          </w:tcPr>
          <w:p>
            <w:pPr>
              <w:pStyle w:val="232"/>
              <w:jc w:val="left"/>
              <w:rPr>
                <w:rFonts w:hint="default" w:eastAsia="宋体"/>
                <w:lang w:val="en-US" w:eastAsia="zh-CN"/>
              </w:rPr>
            </w:pPr>
            <w:r>
              <w:rPr>
                <w:rFonts w:hint="eastAsia"/>
                <w:lang w:val="en-US" w:eastAsia="zh-CN"/>
              </w:rPr>
              <w:t>合计:220550t/a</w:t>
            </w:r>
          </w:p>
        </w:tc>
      </w:tr>
    </w:tbl>
    <w:p>
      <w:pPr>
        <w:ind w:firstLine="480"/>
        <w:rPr>
          <w:rFonts w:hint="eastAsia"/>
          <w:color w:val="000000" w:themeColor="text1"/>
          <w14:textFill>
            <w14:solidFill>
              <w14:schemeClr w14:val="tx1"/>
            </w14:solidFill>
          </w14:textFill>
        </w:rPr>
      </w:pPr>
    </w:p>
    <w:p>
      <w:pPr>
        <w:ind w:firstLine="48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项目不单独对羊尿进行收集，随粪便漏入羊舍下层粪污通道后，采用干清粪法将其一同清入堆肥平台进行发酵</w:t>
      </w:r>
      <w:r>
        <w:rPr>
          <w:rFonts w:hint="eastAsia"/>
          <w:color w:val="000000" w:themeColor="text1"/>
          <w14:textFill>
            <w14:solidFill>
              <w14:schemeClr w14:val="tx1"/>
            </w14:solidFill>
          </w14:textFill>
        </w:rPr>
        <w:t>。</w:t>
      </w:r>
    </w:p>
    <w:p>
      <w:pPr>
        <w:pStyle w:val="5"/>
      </w:pPr>
      <w:r>
        <w:rPr>
          <w:rFonts w:hint="eastAsia"/>
        </w:rPr>
        <w:t>无害化冷凝水</w:t>
      </w:r>
    </w:p>
    <w:p>
      <w:pPr>
        <w:ind w:firstLine="480"/>
      </w:pPr>
      <w:r>
        <w:rPr>
          <w:rFonts w:hint="eastAsia"/>
        </w:rPr>
        <w:t>本项目所处理的病死羊及分娩物含水率以</w:t>
      </w:r>
      <w:r>
        <w:t>70%</w:t>
      </w:r>
      <w:r>
        <w:rPr>
          <w:rFonts w:hint="eastAsia"/>
        </w:rPr>
        <w:t>计，处理病死羊及分娩物 23</w:t>
      </w:r>
      <w:r>
        <w:t>t/a</w:t>
      </w:r>
      <w:r>
        <w:rPr>
          <w:rFonts w:hint="eastAsia"/>
        </w:rPr>
        <w:t>（病死羊20t</w:t>
      </w:r>
      <w:r>
        <w:t>/</w:t>
      </w:r>
      <w:r>
        <w:rPr>
          <w:rFonts w:hint="eastAsia"/>
        </w:rPr>
        <w:t>a，分娩物3.0t/a），则病死羊及分娩物的含水量为16t/a；病死羊及分娩物所含水中</w:t>
      </w:r>
      <w:r>
        <w:t>80%</w:t>
      </w:r>
      <w:r>
        <w:rPr>
          <w:rFonts w:hint="eastAsia"/>
        </w:rPr>
        <w:t>（12.8t/a）在干化过程中转化为水蒸气形式，剩余</w:t>
      </w:r>
      <w:r>
        <w:t>20%</w:t>
      </w:r>
      <w:r>
        <w:rPr>
          <w:rFonts w:hint="eastAsia"/>
        </w:rPr>
        <w:t>（3.2t/a）留在无害化残渣中，所转化的水蒸气有</w:t>
      </w:r>
      <w:r>
        <w:t>90%</w:t>
      </w:r>
      <w:r>
        <w:rPr>
          <w:rFonts w:hint="eastAsia"/>
        </w:rPr>
        <w:t>在冷凝器中冷凝下来，剩余</w:t>
      </w:r>
      <w:r>
        <w:t>10%</w:t>
      </w:r>
      <w:r>
        <w:rPr>
          <w:rFonts w:hint="eastAsia"/>
        </w:rPr>
        <w:t>以水蒸气形式伴随其他废气排出，则本项目冷凝废水产生量为11.5t/a，</w:t>
      </w:r>
      <w:r>
        <w:rPr>
          <w:rFonts w:hint="eastAsia"/>
          <w:color w:val="000000" w:themeColor="text1"/>
          <w14:textFill>
            <w14:solidFill>
              <w14:schemeClr w14:val="tx1"/>
            </w14:solidFill>
          </w14:textFill>
        </w:rPr>
        <w:t>用于有机肥生产补水，不外排</w:t>
      </w:r>
      <w:r>
        <w:rPr>
          <w:rFonts w:hint="eastAsia"/>
        </w:rPr>
        <w:t xml:space="preserve">。 </w:t>
      </w:r>
    </w:p>
    <w:p>
      <w:pPr>
        <w:pStyle w:val="5"/>
      </w:pPr>
      <w:r>
        <w:rPr>
          <w:rFonts w:hint="eastAsia"/>
        </w:rPr>
        <w:t xml:space="preserve">堆肥渗滤液 </w:t>
      </w:r>
    </w:p>
    <w:p>
      <w:pPr>
        <w:widowControl/>
        <w:ind w:firstLine="480"/>
        <w:jc w:val="left"/>
      </w:pPr>
      <w:r>
        <w:rPr>
          <w:rFonts w:hint="eastAsia" w:ascii="宋体" w:hAnsi="宋体" w:cs="宋体"/>
          <w:color w:val="000000"/>
          <w:kern w:val="0"/>
          <w:lang w:bidi="ar"/>
        </w:rPr>
        <w:t>根据《畜禽养殖业污染治理工程技术规范》（</w:t>
      </w:r>
      <w:r>
        <w:rPr>
          <w:color w:val="000000"/>
          <w:kern w:val="0"/>
          <w:lang w:bidi="ar"/>
        </w:rPr>
        <w:t>HJ497-2009</w:t>
      </w:r>
      <w:r>
        <w:rPr>
          <w:rFonts w:hint="eastAsia" w:ascii="宋体" w:hAnsi="宋体" w:cs="宋体"/>
          <w:color w:val="000000"/>
          <w:kern w:val="0"/>
          <w:lang w:bidi="ar"/>
        </w:rPr>
        <w:t xml:space="preserve">）中的内容，项目 </w:t>
      </w:r>
    </w:p>
    <w:p>
      <w:pPr>
        <w:widowControl/>
        <w:ind w:firstLine="0" w:firstLineChars="0"/>
        <w:jc w:val="left"/>
      </w:pPr>
      <w:r>
        <w:rPr>
          <w:rFonts w:hint="eastAsia" w:ascii="宋体" w:hAnsi="宋体" w:cs="宋体"/>
          <w:color w:val="000000"/>
          <w:kern w:val="0"/>
          <w:lang w:bidi="ar"/>
        </w:rPr>
        <w:t>采用好氧堆肥工艺，堆肥粪便起始含水率为</w:t>
      </w:r>
      <w:r>
        <w:rPr>
          <w:rFonts w:hint="eastAsia"/>
          <w:color w:val="000000"/>
          <w:kern w:val="0"/>
          <w:lang w:bidi="ar"/>
        </w:rPr>
        <w:t>5</w:t>
      </w:r>
      <w:r>
        <w:rPr>
          <w:color w:val="000000"/>
          <w:kern w:val="0"/>
          <w:lang w:bidi="ar"/>
        </w:rPr>
        <w:t>0%~60%</w:t>
      </w:r>
      <w:r>
        <w:rPr>
          <w:rFonts w:hint="eastAsia" w:ascii="宋体" w:hAnsi="宋体" w:cs="宋体"/>
          <w:color w:val="000000"/>
          <w:kern w:val="0"/>
          <w:lang w:bidi="ar"/>
        </w:rPr>
        <w:t>，堆肥产品含水率不高于</w:t>
      </w:r>
      <w:r>
        <w:rPr>
          <w:color w:val="000000"/>
          <w:kern w:val="0"/>
          <w:lang w:bidi="ar"/>
        </w:rPr>
        <w:t xml:space="preserve"> </w:t>
      </w:r>
      <w:r>
        <w:rPr>
          <w:rFonts w:hint="eastAsia"/>
          <w:color w:val="000000"/>
          <w:kern w:val="0"/>
          <w:lang w:bidi="ar"/>
        </w:rPr>
        <w:t>3</w:t>
      </w:r>
      <w:r>
        <w:rPr>
          <w:color w:val="000000"/>
          <w:kern w:val="0"/>
          <w:lang w:bidi="ar"/>
        </w:rPr>
        <w:t>0%</w:t>
      </w:r>
      <w:r>
        <w:rPr>
          <w:rFonts w:hint="eastAsia" w:ascii="宋体" w:hAnsi="宋体" w:cs="宋体"/>
          <w:color w:val="000000"/>
          <w:kern w:val="0"/>
          <w:lang w:bidi="ar"/>
        </w:rPr>
        <w:t>，由于羊粪堆肥发酵时，添加了发酵用酵母菌和真菌，以及部分干草，通过发酵内部产生高温，使得水分蒸发。可满足好氧堆肥生产中含水率，因此本项目好氧堆肥生产工程中不产生废水。</w:t>
      </w:r>
    </w:p>
    <w:p>
      <w:pPr>
        <w:pStyle w:val="4"/>
        <w:rPr>
          <w:color w:val="auto"/>
        </w:rPr>
      </w:pPr>
      <w:r>
        <w:rPr>
          <w:rFonts w:hint="eastAsia"/>
          <w:color w:val="auto"/>
        </w:rPr>
        <w:t>噪声源强分析</w:t>
      </w:r>
    </w:p>
    <w:p>
      <w:pPr>
        <w:ind w:firstLine="480"/>
        <w:jc w:val="left"/>
      </w:pPr>
      <w:r>
        <w:t>该项目噪声源主要为羊叫声、各类机械运行设备噪声。噪声声级范围为60</w:t>
      </w:r>
      <w:r>
        <w:rPr>
          <w:rFonts w:hint="eastAsia"/>
        </w:rPr>
        <w:t>~</w:t>
      </w:r>
      <w:r>
        <w:t>85dB（A）。本项目的噪声产生源强情况见下表。</w:t>
      </w:r>
    </w:p>
    <w:p>
      <w:pPr>
        <w:pStyle w:val="11"/>
        <w:spacing w:after="0" w:line="360" w:lineRule="auto"/>
        <w:ind w:left="0" w:leftChars="0" w:firstLine="0" w:firstLineChars="0"/>
        <w:jc w:val="center"/>
      </w:pPr>
      <w:r>
        <w:rPr>
          <w:rFonts w:hint="eastAsia"/>
        </w:rPr>
        <w:t>表3.4.3-1   项目噪声源强一览表</w:t>
      </w:r>
    </w:p>
    <w:tbl>
      <w:tblPr>
        <w:tblStyle w:val="38"/>
        <w:tblW w:w="8674" w:type="dxa"/>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0" w:type="dxa"/>
          <w:bottom w:w="0" w:type="dxa"/>
          <w:right w:w="0" w:type="dxa"/>
        </w:tblCellMar>
      </w:tblPr>
      <w:tblGrid>
        <w:gridCol w:w="482"/>
        <w:gridCol w:w="1064"/>
        <w:gridCol w:w="1485"/>
        <w:gridCol w:w="1185"/>
        <w:gridCol w:w="2580"/>
        <w:gridCol w:w="915"/>
        <w:gridCol w:w="963"/>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blHeader/>
          <w:jc w:val="center"/>
        </w:trPr>
        <w:tc>
          <w:tcPr>
            <w:tcW w:w="482" w:type="dxa"/>
            <w:vAlign w:val="center"/>
          </w:tcPr>
          <w:p>
            <w:pPr>
              <w:spacing w:line="240" w:lineRule="auto"/>
              <w:ind w:firstLine="0" w:firstLineChars="0"/>
              <w:jc w:val="center"/>
              <w:rPr>
                <w:b/>
                <w:bCs/>
                <w:sz w:val="21"/>
                <w:szCs w:val="21"/>
              </w:rPr>
            </w:pPr>
            <w:r>
              <w:rPr>
                <w:b/>
                <w:bCs/>
                <w:sz w:val="21"/>
                <w:szCs w:val="21"/>
              </w:rPr>
              <w:t>序号</w:t>
            </w:r>
          </w:p>
        </w:tc>
        <w:tc>
          <w:tcPr>
            <w:tcW w:w="2549" w:type="dxa"/>
            <w:gridSpan w:val="2"/>
            <w:vAlign w:val="center"/>
          </w:tcPr>
          <w:p>
            <w:pPr>
              <w:spacing w:line="240" w:lineRule="auto"/>
              <w:ind w:firstLine="0" w:firstLineChars="0"/>
              <w:jc w:val="center"/>
              <w:rPr>
                <w:b/>
                <w:bCs/>
                <w:sz w:val="21"/>
                <w:szCs w:val="21"/>
              </w:rPr>
            </w:pPr>
            <w:r>
              <w:rPr>
                <w:b/>
                <w:bCs/>
                <w:sz w:val="21"/>
                <w:szCs w:val="21"/>
              </w:rPr>
              <w:t>噪声源</w:t>
            </w:r>
          </w:p>
        </w:tc>
        <w:tc>
          <w:tcPr>
            <w:tcW w:w="1185" w:type="dxa"/>
            <w:vAlign w:val="center"/>
          </w:tcPr>
          <w:p>
            <w:pPr>
              <w:spacing w:line="240" w:lineRule="auto"/>
              <w:ind w:firstLine="0" w:firstLineChars="0"/>
              <w:jc w:val="center"/>
              <w:rPr>
                <w:b/>
                <w:bCs/>
                <w:sz w:val="21"/>
                <w:szCs w:val="21"/>
              </w:rPr>
            </w:pPr>
            <w:r>
              <w:rPr>
                <w:b/>
                <w:bCs/>
                <w:sz w:val="21"/>
                <w:szCs w:val="21"/>
              </w:rPr>
              <w:t>数量</w:t>
            </w:r>
          </w:p>
        </w:tc>
        <w:tc>
          <w:tcPr>
            <w:tcW w:w="2580" w:type="dxa"/>
            <w:vAlign w:val="center"/>
          </w:tcPr>
          <w:p>
            <w:pPr>
              <w:spacing w:line="240" w:lineRule="auto"/>
              <w:ind w:firstLine="0" w:firstLineChars="0"/>
              <w:jc w:val="center"/>
              <w:rPr>
                <w:b/>
                <w:bCs/>
                <w:sz w:val="21"/>
                <w:szCs w:val="21"/>
              </w:rPr>
            </w:pPr>
            <w:r>
              <w:rPr>
                <w:b/>
                <w:bCs/>
                <w:sz w:val="21"/>
                <w:szCs w:val="21"/>
              </w:rPr>
              <w:t>治理措施</w:t>
            </w:r>
          </w:p>
        </w:tc>
        <w:tc>
          <w:tcPr>
            <w:tcW w:w="915" w:type="dxa"/>
            <w:vAlign w:val="center"/>
          </w:tcPr>
          <w:p>
            <w:pPr>
              <w:spacing w:line="240" w:lineRule="auto"/>
              <w:ind w:firstLine="0" w:firstLineChars="0"/>
              <w:jc w:val="center"/>
              <w:rPr>
                <w:b/>
                <w:bCs/>
                <w:sz w:val="21"/>
                <w:szCs w:val="21"/>
              </w:rPr>
            </w:pPr>
            <w:r>
              <w:rPr>
                <w:b/>
                <w:bCs/>
                <w:sz w:val="21"/>
                <w:szCs w:val="21"/>
              </w:rPr>
              <w:t>源强dB</w:t>
            </w:r>
            <w:r>
              <w:rPr>
                <w:rFonts w:hint="eastAsia"/>
                <w:b/>
                <w:bCs/>
                <w:sz w:val="21"/>
                <w:szCs w:val="21"/>
                <w:lang w:eastAsia="zh-CN"/>
              </w:rPr>
              <w:t>（</w:t>
            </w:r>
            <w:r>
              <w:rPr>
                <w:b/>
                <w:bCs/>
                <w:sz w:val="21"/>
                <w:szCs w:val="21"/>
              </w:rPr>
              <w:t>A</w:t>
            </w:r>
            <w:r>
              <w:rPr>
                <w:rFonts w:hint="eastAsia"/>
                <w:b/>
                <w:bCs/>
                <w:sz w:val="21"/>
                <w:szCs w:val="21"/>
                <w:lang w:eastAsia="zh-CN"/>
              </w:rPr>
              <w:t>）</w:t>
            </w:r>
          </w:p>
        </w:tc>
        <w:tc>
          <w:tcPr>
            <w:tcW w:w="963" w:type="dxa"/>
            <w:vAlign w:val="center"/>
          </w:tcPr>
          <w:p>
            <w:pPr>
              <w:spacing w:line="240" w:lineRule="auto"/>
              <w:ind w:firstLine="0" w:firstLineChars="0"/>
              <w:jc w:val="center"/>
              <w:rPr>
                <w:b/>
                <w:bCs/>
                <w:sz w:val="21"/>
                <w:szCs w:val="21"/>
              </w:rPr>
            </w:pPr>
            <w:r>
              <w:rPr>
                <w:b/>
                <w:bCs/>
                <w:sz w:val="21"/>
                <w:szCs w:val="21"/>
              </w:rPr>
              <w:t>排放强度dB</w:t>
            </w:r>
            <w:r>
              <w:rPr>
                <w:rFonts w:hint="eastAsia"/>
                <w:b/>
                <w:bCs/>
                <w:sz w:val="21"/>
                <w:szCs w:val="21"/>
                <w:lang w:eastAsia="zh-CN"/>
              </w:rPr>
              <w:t>（</w:t>
            </w:r>
            <w:r>
              <w:rPr>
                <w:b/>
                <w:bCs/>
                <w:sz w:val="21"/>
                <w:szCs w:val="21"/>
              </w:rPr>
              <w:t>A</w:t>
            </w:r>
            <w:r>
              <w:rPr>
                <w:rFonts w:hint="eastAsia"/>
                <w:b/>
                <w:bCs/>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371" w:hRule="atLeast"/>
          <w:jc w:val="center"/>
        </w:trPr>
        <w:tc>
          <w:tcPr>
            <w:tcW w:w="482" w:type="dxa"/>
            <w:vMerge w:val="restart"/>
            <w:vAlign w:val="center"/>
          </w:tcPr>
          <w:p>
            <w:pPr>
              <w:spacing w:line="240" w:lineRule="auto"/>
              <w:ind w:firstLine="0" w:firstLineChars="0"/>
              <w:jc w:val="center"/>
              <w:rPr>
                <w:sz w:val="21"/>
                <w:szCs w:val="21"/>
              </w:rPr>
            </w:pPr>
            <w:r>
              <w:rPr>
                <w:sz w:val="21"/>
                <w:szCs w:val="21"/>
              </w:rPr>
              <w:t>1</w:t>
            </w:r>
          </w:p>
        </w:tc>
        <w:tc>
          <w:tcPr>
            <w:tcW w:w="1064" w:type="dxa"/>
            <w:vMerge w:val="restart"/>
            <w:vAlign w:val="center"/>
          </w:tcPr>
          <w:p>
            <w:pPr>
              <w:spacing w:line="240" w:lineRule="auto"/>
              <w:ind w:firstLine="0" w:firstLineChars="0"/>
              <w:jc w:val="center"/>
              <w:rPr>
                <w:sz w:val="21"/>
                <w:szCs w:val="21"/>
              </w:rPr>
            </w:pPr>
            <w:r>
              <w:rPr>
                <w:rFonts w:hint="eastAsia"/>
                <w:sz w:val="21"/>
                <w:szCs w:val="21"/>
              </w:rPr>
              <w:t>养殖区</w:t>
            </w:r>
          </w:p>
        </w:tc>
        <w:tc>
          <w:tcPr>
            <w:tcW w:w="1485" w:type="dxa"/>
            <w:vAlign w:val="center"/>
          </w:tcPr>
          <w:p>
            <w:pPr>
              <w:spacing w:line="240" w:lineRule="auto"/>
              <w:ind w:firstLine="0" w:firstLineChars="0"/>
              <w:jc w:val="center"/>
              <w:rPr>
                <w:sz w:val="21"/>
                <w:szCs w:val="21"/>
              </w:rPr>
            </w:pPr>
            <w:r>
              <w:rPr>
                <w:rFonts w:hint="eastAsia"/>
                <w:sz w:val="21"/>
                <w:szCs w:val="21"/>
              </w:rPr>
              <w:t>羊叫</w:t>
            </w:r>
          </w:p>
        </w:tc>
        <w:tc>
          <w:tcPr>
            <w:tcW w:w="1185" w:type="dxa"/>
            <w:vAlign w:val="center"/>
          </w:tcPr>
          <w:p>
            <w:pPr>
              <w:spacing w:line="240" w:lineRule="auto"/>
              <w:ind w:firstLine="0" w:firstLineChars="0"/>
              <w:jc w:val="center"/>
              <w:rPr>
                <w:sz w:val="21"/>
                <w:szCs w:val="21"/>
              </w:rPr>
            </w:pPr>
            <w:r>
              <w:rPr>
                <w:sz w:val="21"/>
                <w:szCs w:val="21"/>
              </w:rPr>
              <w:t>若干头</w:t>
            </w:r>
            <w:r>
              <w:rPr>
                <w:rFonts w:hint="eastAsia"/>
                <w:sz w:val="21"/>
                <w:szCs w:val="21"/>
              </w:rPr>
              <w:t>（</w:t>
            </w:r>
            <w:r>
              <w:rPr>
                <w:sz w:val="21"/>
                <w:szCs w:val="21"/>
              </w:rPr>
              <w:t>只</w:t>
            </w:r>
            <w:r>
              <w:rPr>
                <w:rFonts w:hint="eastAsia"/>
                <w:sz w:val="21"/>
                <w:szCs w:val="21"/>
              </w:rPr>
              <w:t>）</w:t>
            </w:r>
          </w:p>
        </w:tc>
        <w:tc>
          <w:tcPr>
            <w:tcW w:w="2580" w:type="dxa"/>
            <w:vAlign w:val="center"/>
          </w:tcPr>
          <w:p>
            <w:pPr>
              <w:spacing w:line="240" w:lineRule="auto"/>
              <w:ind w:firstLine="0" w:firstLineChars="0"/>
              <w:jc w:val="center"/>
              <w:rPr>
                <w:sz w:val="21"/>
                <w:szCs w:val="21"/>
              </w:rPr>
            </w:pPr>
            <w:r>
              <w:rPr>
                <w:sz w:val="21"/>
                <w:szCs w:val="21"/>
              </w:rPr>
              <w:t>墙壁设吸声材料、建筑隔声</w:t>
            </w:r>
          </w:p>
        </w:tc>
        <w:tc>
          <w:tcPr>
            <w:tcW w:w="915" w:type="dxa"/>
            <w:vAlign w:val="center"/>
          </w:tcPr>
          <w:p>
            <w:pPr>
              <w:spacing w:line="240" w:lineRule="auto"/>
              <w:ind w:firstLine="0" w:firstLineChars="0"/>
              <w:jc w:val="center"/>
              <w:rPr>
                <w:sz w:val="21"/>
                <w:szCs w:val="21"/>
              </w:rPr>
            </w:pPr>
            <w:r>
              <w:rPr>
                <w:sz w:val="21"/>
                <w:szCs w:val="21"/>
              </w:rPr>
              <w:t>75-80</w:t>
            </w:r>
          </w:p>
        </w:tc>
        <w:tc>
          <w:tcPr>
            <w:tcW w:w="963" w:type="dxa"/>
            <w:vAlign w:val="center"/>
          </w:tcPr>
          <w:p>
            <w:pPr>
              <w:spacing w:line="240" w:lineRule="auto"/>
              <w:ind w:firstLine="0" w:firstLineChars="0"/>
              <w:jc w:val="center"/>
              <w:rPr>
                <w:sz w:val="21"/>
                <w:szCs w:val="21"/>
              </w:rPr>
            </w:pPr>
            <w:r>
              <w:rPr>
                <w:sz w:val="21"/>
                <w:szCs w:val="21"/>
              </w:rPr>
              <w:t>65</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371" w:hRule="atLeast"/>
          <w:jc w:val="center"/>
        </w:trPr>
        <w:tc>
          <w:tcPr>
            <w:tcW w:w="482" w:type="dxa"/>
            <w:vMerge w:val="continue"/>
            <w:vAlign w:val="center"/>
          </w:tcPr>
          <w:p>
            <w:pPr>
              <w:spacing w:line="240" w:lineRule="auto"/>
              <w:ind w:firstLine="0" w:firstLineChars="0"/>
              <w:jc w:val="center"/>
              <w:rPr>
                <w:sz w:val="21"/>
                <w:szCs w:val="21"/>
              </w:rPr>
            </w:pPr>
          </w:p>
        </w:tc>
        <w:tc>
          <w:tcPr>
            <w:tcW w:w="1064" w:type="dxa"/>
            <w:vMerge w:val="continue"/>
            <w:vAlign w:val="center"/>
          </w:tcPr>
          <w:p>
            <w:pPr>
              <w:spacing w:line="240" w:lineRule="auto"/>
              <w:ind w:firstLine="0" w:firstLineChars="0"/>
              <w:jc w:val="center"/>
              <w:rPr>
                <w:sz w:val="21"/>
                <w:szCs w:val="21"/>
              </w:rPr>
            </w:pPr>
          </w:p>
        </w:tc>
        <w:tc>
          <w:tcPr>
            <w:tcW w:w="1485" w:type="dxa"/>
            <w:vAlign w:val="center"/>
          </w:tcPr>
          <w:p>
            <w:pPr>
              <w:spacing w:line="240" w:lineRule="auto"/>
              <w:ind w:firstLine="0" w:firstLineChars="0"/>
              <w:jc w:val="center"/>
              <w:rPr>
                <w:sz w:val="21"/>
                <w:szCs w:val="21"/>
              </w:rPr>
            </w:pPr>
            <w:r>
              <w:rPr>
                <w:rFonts w:hint="eastAsia"/>
                <w:sz w:val="21"/>
                <w:szCs w:val="21"/>
              </w:rPr>
              <w:t>自动刮粪系统</w:t>
            </w:r>
          </w:p>
        </w:tc>
        <w:tc>
          <w:tcPr>
            <w:tcW w:w="1185" w:type="dxa"/>
            <w:vAlign w:val="center"/>
          </w:tcPr>
          <w:p>
            <w:pPr>
              <w:spacing w:line="240" w:lineRule="auto"/>
              <w:ind w:firstLine="0" w:firstLineChars="0"/>
              <w:jc w:val="center"/>
              <w:rPr>
                <w:sz w:val="21"/>
                <w:szCs w:val="21"/>
              </w:rPr>
            </w:pPr>
            <w:r>
              <w:rPr>
                <w:rFonts w:hint="eastAsia"/>
                <w:sz w:val="21"/>
                <w:szCs w:val="21"/>
              </w:rPr>
              <w:t>18</w:t>
            </w:r>
          </w:p>
        </w:tc>
        <w:tc>
          <w:tcPr>
            <w:tcW w:w="2580" w:type="dxa"/>
            <w:vMerge w:val="restart"/>
            <w:vAlign w:val="center"/>
          </w:tcPr>
          <w:p>
            <w:pPr>
              <w:spacing w:line="240" w:lineRule="auto"/>
              <w:ind w:firstLine="0" w:firstLineChars="0"/>
              <w:jc w:val="center"/>
              <w:rPr>
                <w:sz w:val="21"/>
                <w:szCs w:val="21"/>
              </w:rPr>
            </w:pPr>
            <w:r>
              <w:rPr>
                <w:sz w:val="21"/>
                <w:szCs w:val="21"/>
              </w:rPr>
              <w:t>基础减振、建筑隔声</w:t>
            </w:r>
          </w:p>
        </w:tc>
        <w:tc>
          <w:tcPr>
            <w:tcW w:w="915" w:type="dxa"/>
            <w:vAlign w:val="center"/>
          </w:tcPr>
          <w:p>
            <w:pPr>
              <w:spacing w:line="240" w:lineRule="auto"/>
              <w:ind w:firstLine="0" w:firstLineChars="0"/>
              <w:jc w:val="center"/>
              <w:rPr>
                <w:sz w:val="21"/>
                <w:szCs w:val="21"/>
              </w:rPr>
            </w:pPr>
            <w:r>
              <w:rPr>
                <w:sz w:val="21"/>
                <w:szCs w:val="21"/>
              </w:rPr>
              <w:t>80-85</w:t>
            </w:r>
          </w:p>
        </w:tc>
        <w:tc>
          <w:tcPr>
            <w:tcW w:w="963" w:type="dxa"/>
            <w:vAlign w:val="center"/>
          </w:tcPr>
          <w:p>
            <w:pPr>
              <w:spacing w:line="240" w:lineRule="auto"/>
              <w:ind w:firstLine="0" w:firstLineChars="0"/>
              <w:jc w:val="center"/>
              <w:rPr>
                <w:sz w:val="21"/>
                <w:szCs w:val="21"/>
              </w:rPr>
            </w:pPr>
            <w:r>
              <w:rPr>
                <w:sz w:val="21"/>
                <w:szCs w:val="21"/>
              </w:rPr>
              <w:t>75</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69" w:hRule="atLeast"/>
          <w:jc w:val="center"/>
        </w:trPr>
        <w:tc>
          <w:tcPr>
            <w:tcW w:w="482" w:type="dxa"/>
            <w:vMerge w:val="restart"/>
            <w:vAlign w:val="center"/>
          </w:tcPr>
          <w:p>
            <w:pPr>
              <w:spacing w:line="240" w:lineRule="auto"/>
              <w:ind w:firstLine="0" w:firstLineChars="0"/>
              <w:jc w:val="center"/>
              <w:rPr>
                <w:sz w:val="21"/>
                <w:szCs w:val="21"/>
              </w:rPr>
            </w:pPr>
            <w:r>
              <w:rPr>
                <w:sz w:val="21"/>
                <w:szCs w:val="21"/>
              </w:rPr>
              <w:t>2</w:t>
            </w:r>
          </w:p>
        </w:tc>
        <w:tc>
          <w:tcPr>
            <w:tcW w:w="1064" w:type="dxa"/>
            <w:vMerge w:val="restart"/>
            <w:vAlign w:val="center"/>
          </w:tcPr>
          <w:p>
            <w:pPr>
              <w:spacing w:line="240" w:lineRule="auto"/>
              <w:ind w:firstLine="0" w:firstLineChars="0"/>
              <w:jc w:val="center"/>
              <w:rPr>
                <w:sz w:val="21"/>
                <w:szCs w:val="21"/>
              </w:rPr>
            </w:pPr>
            <w:r>
              <w:rPr>
                <w:sz w:val="21"/>
                <w:szCs w:val="21"/>
              </w:rPr>
              <w:t>饲料</w:t>
            </w:r>
            <w:r>
              <w:rPr>
                <w:rFonts w:hint="eastAsia"/>
                <w:sz w:val="21"/>
                <w:szCs w:val="21"/>
              </w:rPr>
              <w:t>区</w:t>
            </w:r>
          </w:p>
        </w:tc>
        <w:tc>
          <w:tcPr>
            <w:tcW w:w="1485" w:type="dxa"/>
            <w:vAlign w:val="center"/>
          </w:tcPr>
          <w:p>
            <w:pPr>
              <w:widowControl/>
              <w:adjustRightInd w:val="0"/>
              <w:snapToGrid w:val="0"/>
              <w:spacing w:line="240" w:lineRule="auto"/>
              <w:ind w:firstLine="0" w:firstLineChars="0"/>
              <w:jc w:val="center"/>
              <w:rPr>
                <w:sz w:val="21"/>
                <w:szCs w:val="21"/>
              </w:rPr>
            </w:pPr>
            <w:r>
              <w:rPr>
                <w:rFonts w:hint="eastAsia"/>
                <w:sz w:val="21"/>
                <w:szCs w:val="21"/>
              </w:rPr>
              <w:t>装载机</w:t>
            </w:r>
          </w:p>
        </w:tc>
        <w:tc>
          <w:tcPr>
            <w:tcW w:w="1185" w:type="dxa"/>
            <w:vAlign w:val="center"/>
          </w:tcPr>
          <w:p>
            <w:pPr>
              <w:spacing w:line="240" w:lineRule="auto"/>
              <w:ind w:firstLine="0" w:firstLineChars="0"/>
              <w:jc w:val="center"/>
              <w:rPr>
                <w:sz w:val="21"/>
                <w:szCs w:val="21"/>
              </w:rPr>
            </w:pPr>
            <w:r>
              <w:rPr>
                <w:rFonts w:hint="eastAsia"/>
                <w:sz w:val="21"/>
                <w:szCs w:val="21"/>
              </w:rPr>
              <w:t>3</w:t>
            </w:r>
          </w:p>
        </w:tc>
        <w:tc>
          <w:tcPr>
            <w:tcW w:w="2580" w:type="dxa"/>
            <w:vMerge w:val="continue"/>
            <w:vAlign w:val="center"/>
          </w:tcPr>
          <w:p>
            <w:pPr>
              <w:spacing w:line="240" w:lineRule="auto"/>
              <w:ind w:firstLine="0" w:firstLineChars="0"/>
              <w:jc w:val="center"/>
              <w:rPr>
                <w:sz w:val="21"/>
                <w:szCs w:val="21"/>
              </w:rPr>
            </w:pPr>
          </w:p>
        </w:tc>
        <w:tc>
          <w:tcPr>
            <w:tcW w:w="915" w:type="dxa"/>
            <w:vAlign w:val="center"/>
          </w:tcPr>
          <w:p>
            <w:pPr>
              <w:spacing w:line="240" w:lineRule="auto"/>
              <w:ind w:firstLine="0" w:firstLineChars="0"/>
              <w:jc w:val="center"/>
              <w:rPr>
                <w:sz w:val="21"/>
                <w:szCs w:val="21"/>
              </w:rPr>
            </w:pPr>
            <w:r>
              <w:rPr>
                <w:sz w:val="21"/>
                <w:szCs w:val="21"/>
              </w:rPr>
              <w:t>80-85</w:t>
            </w:r>
          </w:p>
        </w:tc>
        <w:tc>
          <w:tcPr>
            <w:tcW w:w="963" w:type="dxa"/>
            <w:vAlign w:val="center"/>
          </w:tcPr>
          <w:p>
            <w:pPr>
              <w:spacing w:line="240" w:lineRule="auto"/>
              <w:ind w:firstLine="0" w:firstLineChars="0"/>
              <w:jc w:val="center"/>
              <w:rPr>
                <w:sz w:val="21"/>
                <w:szCs w:val="21"/>
              </w:rPr>
            </w:pPr>
            <w:r>
              <w:rPr>
                <w:sz w:val="21"/>
                <w:szCs w:val="21"/>
              </w:rPr>
              <w:t>75</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69" w:hRule="atLeast"/>
          <w:jc w:val="center"/>
        </w:trPr>
        <w:tc>
          <w:tcPr>
            <w:tcW w:w="482" w:type="dxa"/>
            <w:vMerge w:val="continue"/>
            <w:vAlign w:val="center"/>
          </w:tcPr>
          <w:p>
            <w:pPr>
              <w:spacing w:line="240" w:lineRule="auto"/>
              <w:ind w:firstLine="0" w:firstLineChars="0"/>
              <w:jc w:val="center"/>
              <w:rPr>
                <w:sz w:val="21"/>
                <w:szCs w:val="21"/>
              </w:rPr>
            </w:pPr>
          </w:p>
        </w:tc>
        <w:tc>
          <w:tcPr>
            <w:tcW w:w="1064" w:type="dxa"/>
            <w:vMerge w:val="continue"/>
            <w:vAlign w:val="center"/>
          </w:tcPr>
          <w:p>
            <w:pPr>
              <w:spacing w:line="240" w:lineRule="auto"/>
              <w:ind w:firstLine="0" w:firstLineChars="0"/>
              <w:jc w:val="center"/>
              <w:rPr>
                <w:sz w:val="21"/>
                <w:szCs w:val="21"/>
              </w:rPr>
            </w:pPr>
          </w:p>
        </w:tc>
        <w:tc>
          <w:tcPr>
            <w:tcW w:w="1485" w:type="dxa"/>
            <w:vAlign w:val="center"/>
          </w:tcPr>
          <w:p>
            <w:pPr>
              <w:widowControl/>
              <w:adjustRightInd w:val="0"/>
              <w:snapToGrid w:val="0"/>
              <w:spacing w:line="240" w:lineRule="auto"/>
              <w:ind w:firstLine="0" w:firstLineChars="0"/>
              <w:jc w:val="center"/>
              <w:rPr>
                <w:sz w:val="21"/>
                <w:szCs w:val="21"/>
              </w:rPr>
            </w:pPr>
            <w:r>
              <w:rPr>
                <w:rFonts w:hint="eastAsia"/>
                <w:sz w:val="21"/>
                <w:szCs w:val="21"/>
              </w:rPr>
              <w:t>叉车</w:t>
            </w:r>
          </w:p>
        </w:tc>
        <w:tc>
          <w:tcPr>
            <w:tcW w:w="1185" w:type="dxa"/>
            <w:vAlign w:val="center"/>
          </w:tcPr>
          <w:p>
            <w:pPr>
              <w:spacing w:line="240" w:lineRule="auto"/>
              <w:ind w:firstLine="0" w:firstLineChars="0"/>
              <w:jc w:val="center"/>
              <w:rPr>
                <w:sz w:val="21"/>
                <w:szCs w:val="21"/>
              </w:rPr>
            </w:pPr>
            <w:r>
              <w:rPr>
                <w:rFonts w:hint="eastAsia"/>
                <w:sz w:val="21"/>
                <w:szCs w:val="21"/>
              </w:rPr>
              <w:t>3</w:t>
            </w:r>
          </w:p>
        </w:tc>
        <w:tc>
          <w:tcPr>
            <w:tcW w:w="2580" w:type="dxa"/>
            <w:vMerge w:val="continue"/>
            <w:vAlign w:val="center"/>
          </w:tcPr>
          <w:p>
            <w:pPr>
              <w:spacing w:line="240" w:lineRule="auto"/>
              <w:ind w:firstLine="0" w:firstLineChars="0"/>
              <w:jc w:val="center"/>
              <w:rPr>
                <w:sz w:val="21"/>
                <w:szCs w:val="21"/>
              </w:rPr>
            </w:pPr>
          </w:p>
        </w:tc>
        <w:tc>
          <w:tcPr>
            <w:tcW w:w="915" w:type="dxa"/>
            <w:vAlign w:val="center"/>
          </w:tcPr>
          <w:p>
            <w:pPr>
              <w:spacing w:line="240" w:lineRule="auto"/>
              <w:ind w:firstLine="0" w:firstLineChars="0"/>
              <w:jc w:val="center"/>
              <w:rPr>
                <w:sz w:val="21"/>
                <w:szCs w:val="21"/>
              </w:rPr>
            </w:pPr>
            <w:r>
              <w:rPr>
                <w:sz w:val="21"/>
                <w:szCs w:val="21"/>
              </w:rPr>
              <w:t>60~70</w:t>
            </w:r>
          </w:p>
        </w:tc>
        <w:tc>
          <w:tcPr>
            <w:tcW w:w="963" w:type="dxa"/>
            <w:vAlign w:val="center"/>
          </w:tcPr>
          <w:p>
            <w:pPr>
              <w:spacing w:line="240" w:lineRule="auto"/>
              <w:ind w:firstLine="0" w:firstLineChars="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482" w:type="dxa"/>
            <w:vMerge w:val="continue"/>
            <w:vAlign w:val="center"/>
          </w:tcPr>
          <w:p>
            <w:pPr>
              <w:spacing w:line="240" w:lineRule="auto"/>
              <w:ind w:firstLine="0" w:firstLineChars="0"/>
              <w:jc w:val="center"/>
              <w:rPr>
                <w:sz w:val="21"/>
                <w:szCs w:val="21"/>
              </w:rPr>
            </w:pPr>
          </w:p>
        </w:tc>
        <w:tc>
          <w:tcPr>
            <w:tcW w:w="1064" w:type="dxa"/>
            <w:vMerge w:val="continue"/>
            <w:vAlign w:val="center"/>
          </w:tcPr>
          <w:p>
            <w:pPr>
              <w:spacing w:line="240" w:lineRule="auto"/>
              <w:ind w:firstLine="0" w:firstLineChars="0"/>
              <w:jc w:val="center"/>
              <w:rPr>
                <w:sz w:val="21"/>
                <w:szCs w:val="21"/>
              </w:rPr>
            </w:pPr>
          </w:p>
        </w:tc>
        <w:tc>
          <w:tcPr>
            <w:tcW w:w="1485" w:type="dxa"/>
            <w:vAlign w:val="center"/>
          </w:tcPr>
          <w:p>
            <w:pPr>
              <w:widowControl/>
              <w:adjustRightInd w:val="0"/>
              <w:snapToGrid w:val="0"/>
              <w:spacing w:line="240" w:lineRule="auto"/>
              <w:ind w:firstLine="0" w:firstLineChars="0"/>
              <w:jc w:val="center"/>
              <w:rPr>
                <w:sz w:val="21"/>
                <w:szCs w:val="21"/>
              </w:rPr>
            </w:pPr>
            <w:r>
              <w:rPr>
                <w:sz w:val="21"/>
                <w:szCs w:val="21"/>
              </w:rPr>
              <w:t>饲料搅拌</w:t>
            </w:r>
          </w:p>
        </w:tc>
        <w:tc>
          <w:tcPr>
            <w:tcW w:w="1185" w:type="dxa"/>
            <w:vAlign w:val="center"/>
          </w:tcPr>
          <w:p>
            <w:pPr>
              <w:spacing w:line="240" w:lineRule="auto"/>
              <w:ind w:firstLine="0" w:firstLineChars="0"/>
              <w:jc w:val="center"/>
              <w:rPr>
                <w:sz w:val="21"/>
                <w:szCs w:val="21"/>
              </w:rPr>
            </w:pPr>
            <w:r>
              <w:rPr>
                <w:rFonts w:hint="eastAsia"/>
                <w:sz w:val="21"/>
                <w:szCs w:val="21"/>
              </w:rPr>
              <w:t>1</w:t>
            </w:r>
            <w:r>
              <w:rPr>
                <w:sz w:val="21"/>
                <w:szCs w:val="21"/>
              </w:rPr>
              <w:t>2</w:t>
            </w:r>
          </w:p>
        </w:tc>
        <w:tc>
          <w:tcPr>
            <w:tcW w:w="2580" w:type="dxa"/>
            <w:vMerge w:val="continue"/>
            <w:vAlign w:val="center"/>
          </w:tcPr>
          <w:p>
            <w:pPr>
              <w:spacing w:line="240" w:lineRule="auto"/>
              <w:ind w:firstLine="0" w:firstLineChars="0"/>
              <w:jc w:val="center"/>
              <w:rPr>
                <w:sz w:val="21"/>
                <w:szCs w:val="21"/>
              </w:rPr>
            </w:pPr>
          </w:p>
        </w:tc>
        <w:tc>
          <w:tcPr>
            <w:tcW w:w="915" w:type="dxa"/>
            <w:vAlign w:val="center"/>
          </w:tcPr>
          <w:p>
            <w:pPr>
              <w:spacing w:line="240" w:lineRule="auto"/>
              <w:ind w:firstLine="0" w:firstLineChars="0"/>
              <w:jc w:val="center"/>
              <w:rPr>
                <w:sz w:val="21"/>
                <w:szCs w:val="21"/>
              </w:rPr>
            </w:pPr>
            <w:r>
              <w:rPr>
                <w:sz w:val="21"/>
                <w:szCs w:val="21"/>
              </w:rPr>
              <w:t>80-85</w:t>
            </w:r>
          </w:p>
        </w:tc>
        <w:tc>
          <w:tcPr>
            <w:tcW w:w="963" w:type="dxa"/>
            <w:vAlign w:val="center"/>
          </w:tcPr>
          <w:p>
            <w:pPr>
              <w:spacing w:line="240" w:lineRule="auto"/>
              <w:ind w:firstLine="0" w:firstLineChars="0"/>
              <w:jc w:val="center"/>
              <w:rPr>
                <w:sz w:val="21"/>
                <w:szCs w:val="21"/>
              </w:rPr>
            </w:pPr>
            <w:r>
              <w:rPr>
                <w:sz w:val="21"/>
                <w:szCs w:val="21"/>
              </w:rPr>
              <w:t>70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482" w:type="dxa"/>
            <w:vMerge w:val="restart"/>
            <w:vAlign w:val="center"/>
          </w:tcPr>
          <w:p>
            <w:pPr>
              <w:spacing w:line="240" w:lineRule="auto"/>
              <w:ind w:firstLine="0" w:firstLineChars="0"/>
              <w:jc w:val="center"/>
              <w:rPr>
                <w:sz w:val="21"/>
                <w:szCs w:val="21"/>
              </w:rPr>
            </w:pPr>
            <w:r>
              <w:rPr>
                <w:sz w:val="21"/>
                <w:szCs w:val="21"/>
              </w:rPr>
              <w:t>3</w:t>
            </w:r>
          </w:p>
        </w:tc>
        <w:tc>
          <w:tcPr>
            <w:tcW w:w="1064" w:type="dxa"/>
            <w:vMerge w:val="restart"/>
            <w:vAlign w:val="center"/>
          </w:tcPr>
          <w:p>
            <w:pPr>
              <w:spacing w:line="240" w:lineRule="auto"/>
              <w:ind w:firstLine="0" w:firstLineChars="0"/>
              <w:jc w:val="center"/>
              <w:rPr>
                <w:sz w:val="21"/>
                <w:szCs w:val="21"/>
              </w:rPr>
            </w:pPr>
            <w:r>
              <w:rPr>
                <w:rFonts w:hint="eastAsia"/>
                <w:sz w:val="21"/>
                <w:szCs w:val="21"/>
              </w:rPr>
              <w:t>有机肥堆场</w:t>
            </w:r>
          </w:p>
        </w:tc>
        <w:tc>
          <w:tcPr>
            <w:tcW w:w="1485" w:type="dxa"/>
            <w:vAlign w:val="center"/>
          </w:tcPr>
          <w:p>
            <w:pPr>
              <w:widowControl/>
              <w:adjustRightInd w:val="0"/>
              <w:snapToGrid w:val="0"/>
              <w:spacing w:line="240" w:lineRule="auto"/>
              <w:ind w:firstLine="0" w:firstLineChars="0"/>
              <w:jc w:val="center"/>
              <w:rPr>
                <w:sz w:val="21"/>
                <w:szCs w:val="21"/>
              </w:rPr>
            </w:pPr>
            <w:r>
              <w:rPr>
                <w:rFonts w:hint="eastAsia"/>
                <w:sz w:val="21"/>
                <w:szCs w:val="21"/>
              </w:rPr>
              <w:t>混合搅拌机</w:t>
            </w:r>
          </w:p>
        </w:tc>
        <w:tc>
          <w:tcPr>
            <w:tcW w:w="1185" w:type="dxa"/>
            <w:vAlign w:val="center"/>
          </w:tcPr>
          <w:p>
            <w:pPr>
              <w:spacing w:line="240" w:lineRule="auto"/>
              <w:ind w:firstLine="0" w:firstLineChars="0"/>
              <w:jc w:val="center"/>
              <w:rPr>
                <w:sz w:val="21"/>
                <w:szCs w:val="21"/>
              </w:rPr>
            </w:pPr>
            <w:r>
              <w:rPr>
                <w:rFonts w:hint="eastAsia"/>
                <w:sz w:val="21"/>
                <w:szCs w:val="21"/>
              </w:rPr>
              <w:t>2</w:t>
            </w:r>
          </w:p>
        </w:tc>
        <w:tc>
          <w:tcPr>
            <w:tcW w:w="2580" w:type="dxa"/>
            <w:vMerge w:val="continue"/>
            <w:vAlign w:val="center"/>
          </w:tcPr>
          <w:p>
            <w:pPr>
              <w:spacing w:line="240" w:lineRule="auto"/>
              <w:ind w:firstLine="0" w:firstLineChars="0"/>
              <w:jc w:val="center"/>
              <w:rPr>
                <w:sz w:val="21"/>
                <w:szCs w:val="21"/>
              </w:rPr>
            </w:pPr>
          </w:p>
        </w:tc>
        <w:tc>
          <w:tcPr>
            <w:tcW w:w="915" w:type="dxa"/>
            <w:vAlign w:val="center"/>
          </w:tcPr>
          <w:p>
            <w:pPr>
              <w:spacing w:line="240" w:lineRule="auto"/>
              <w:ind w:firstLine="0" w:firstLineChars="0"/>
              <w:jc w:val="center"/>
              <w:rPr>
                <w:sz w:val="21"/>
                <w:szCs w:val="21"/>
              </w:rPr>
            </w:pPr>
            <w:r>
              <w:rPr>
                <w:sz w:val="21"/>
                <w:szCs w:val="21"/>
              </w:rPr>
              <w:t>60~70</w:t>
            </w:r>
          </w:p>
        </w:tc>
        <w:tc>
          <w:tcPr>
            <w:tcW w:w="963" w:type="dxa"/>
            <w:vAlign w:val="center"/>
          </w:tcPr>
          <w:p>
            <w:pPr>
              <w:spacing w:line="240" w:lineRule="auto"/>
              <w:ind w:firstLine="0" w:firstLineChars="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482" w:type="dxa"/>
            <w:vMerge w:val="continue"/>
            <w:vAlign w:val="center"/>
          </w:tcPr>
          <w:p>
            <w:pPr>
              <w:spacing w:line="240" w:lineRule="auto"/>
              <w:ind w:firstLine="0" w:firstLineChars="0"/>
              <w:jc w:val="center"/>
              <w:rPr>
                <w:sz w:val="21"/>
                <w:szCs w:val="21"/>
              </w:rPr>
            </w:pPr>
          </w:p>
        </w:tc>
        <w:tc>
          <w:tcPr>
            <w:tcW w:w="1064" w:type="dxa"/>
            <w:vMerge w:val="continue"/>
            <w:vAlign w:val="center"/>
          </w:tcPr>
          <w:p>
            <w:pPr>
              <w:spacing w:line="240" w:lineRule="auto"/>
              <w:ind w:firstLine="0" w:firstLineChars="0"/>
              <w:jc w:val="center"/>
              <w:rPr>
                <w:sz w:val="21"/>
                <w:szCs w:val="21"/>
              </w:rPr>
            </w:pPr>
          </w:p>
        </w:tc>
        <w:tc>
          <w:tcPr>
            <w:tcW w:w="1485" w:type="dxa"/>
            <w:vAlign w:val="center"/>
          </w:tcPr>
          <w:p>
            <w:pPr>
              <w:widowControl/>
              <w:adjustRightInd w:val="0"/>
              <w:snapToGrid w:val="0"/>
              <w:spacing w:line="240" w:lineRule="auto"/>
              <w:ind w:firstLine="0" w:firstLineChars="0"/>
              <w:jc w:val="center"/>
              <w:rPr>
                <w:sz w:val="21"/>
                <w:szCs w:val="21"/>
              </w:rPr>
            </w:pPr>
            <w:r>
              <w:rPr>
                <w:sz w:val="21"/>
                <w:szCs w:val="21"/>
              </w:rPr>
              <w:t>翻抛机</w:t>
            </w:r>
          </w:p>
        </w:tc>
        <w:tc>
          <w:tcPr>
            <w:tcW w:w="1185" w:type="dxa"/>
            <w:vAlign w:val="center"/>
          </w:tcPr>
          <w:p>
            <w:pPr>
              <w:spacing w:line="240" w:lineRule="auto"/>
              <w:ind w:firstLine="0" w:firstLineChars="0"/>
              <w:jc w:val="center"/>
              <w:rPr>
                <w:sz w:val="21"/>
                <w:szCs w:val="21"/>
              </w:rPr>
            </w:pPr>
            <w:r>
              <w:rPr>
                <w:rFonts w:hint="eastAsia"/>
                <w:sz w:val="21"/>
                <w:szCs w:val="21"/>
              </w:rPr>
              <w:t>2</w:t>
            </w:r>
          </w:p>
        </w:tc>
        <w:tc>
          <w:tcPr>
            <w:tcW w:w="2580" w:type="dxa"/>
            <w:vMerge w:val="continue"/>
            <w:vAlign w:val="center"/>
          </w:tcPr>
          <w:p>
            <w:pPr>
              <w:spacing w:line="240" w:lineRule="auto"/>
              <w:ind w:firstLine="0" w:firstLineChars="0"/>
              <w:jc w:val="center"/>
              <w:rPr>
                <w:sz w:val="21"/>
                <w:szCs w:val="21"/>
              </w:rPr>
            </w:pPr>
          </w:p>
        </w:tc>
        <w:tc>
          <w:tcPr>
            <w:tcW w:w="915" w:type="dxa"/>
            <w:vAlign w:val="center"/>
          </w:tcPr>
          <w:p>
            <w:pPr>
              <w:spacing w:line="240" w:lineRule="auto"/>
              <w:ind w:firstLine="0" w:firstLineChars="0"/>
              <w:jc w:val="center"/>
              <w:rPr>
                <w:sz w:val="21"/>
                <w:szCs w:val="21"/>
              </w:rPr>
            </w:pPr>
            <w:r>
              <w:rPr>
                <w:sz w:val="21"/>
                <w:szCs w:val="21"/>
              </w:rPr>
              <w:t>60~70</w:t>
            </w:r>
          </w:p>
        </w:tc>
        <w:tc>
          <w:tcPr>
            <w:tcW w:w="963" w:type="dxa"/>
            <w:vAlign w:val="center"/>
          </w:tcPr>
          <w:p>
            <w:pPr>
              <w:spacing w:line="240" w:lineRule="auto"/>
              <w:ind w:firstLine="0" w:firstLineChars="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482" w:type="dxa"/>
            <w:vAlign w:val="center"/>
          </w:tcPr>
          <w:p>
            <w:pPr>
              <w:spacing w:line="240" w:lineRule="auto"/>
              <w:ind w:firstLine="0" w:firstLineChars="0"/>
              <w:jc w:val="center"/>
              <w:rPr>
                <w:sz w:val="21"/>
                <w:szCs w:val="21"/>
              </w:rPr>
            </w:pPr>
            <w:r>
              <w:rPr>
                <w:sz w:val="21"/>
                <w:szCs w:val="21"/>
              </w:rPr>
              <w:t>4</w:t>
            </w:r>
          </w:p>
        </w:tc>
        <w:tc>
          <w:tcPr>
            <w:tcW w:w="1064" w:type="dxa"/>
            <w:vAlign w:val="center"/>
          </w:tcPr>
          <w:p>
            <w:pPr>
              <w:spacing w:line="240" w:lineRule="auto"/>
              <w:ind w:firstLine="0" w:firstLineChars="0"/>
              <w:jc w:val="center"/>
              <w:rPr>
                <w:sz w:val="21"/>
                <w:szCs w:val="21"/>
              </w:rPr>
            </w:pPr>
            <w:r>
              <w:rPr>
                <w:rFonts w:hint="eastAsia"/>
                <w:sz w:val="21"/>
                <w:szCs w:val="21"/>
              </w:rPr>
              <w:t>无害化处理</w:t>
            </w:r>
          </w:p>
        </w:tc>
        <w:tc>
          <w:tcPr>
            <w:tcW w:w="1485" w:type="dxa"/>
            <w:vAlign w:val="center"/>
          </w:tcPr>
          <w:p>
            <w:pPr>
              <w:widowControl/>
              <w:adjustRightInd w:val="0"/>
              <w:snapToGrid w:val="0"/>
              <w:spacing w:line="240" w:lineRule="auto"/>
              <w:ind w:firstLine="0" w:firstLineChars="0"/>
              <w:jc w:val="center"/>
              <w:rPr>
                <w:sz w:val="21"/>
                <w:szCs w:val="21"/>
              </w:rPr>
            </w:pPr>
            <w:r>
              <w:rPr>
                <w:rFonts w:hint="eastAsia"/>
                <w:sz w:val="21"/>
                <w:szCs w:val="21"/>
              </w:rPr>
              <w:t>无害化处理设备</w:t>
            </w:r>
          </w:p>
        </w:tc>
        <w:tc>
          <w:tcPr>
            <w:tcW w:w="1185" w:type="dxa"/>
            <w:vAlign w:val="center"/>
          </w:tcPr>
          <w:p>
            <w:pPr>
              <w:spacing w:line="240" w:lineRule="auto"/>
              <w:ind w:firstLine="0" w:firstLineChars="0"/>
              <w:jc w:val="center"/>
              <w:rPr>
                <w:sz w:val="21"/>
                <w:szCs w:val="21"/>
              </w:rPr>
            </w:pPr>
            <w:r>
              <w:rPr>
                <w:sz w:val="21"/>
                <w:szCs w:val="21"/>
              </w:rPr>
              <w:t>6</w:t>
            </w:r>
          </w:p>
        </w:tc>
        <w:tc>
          <w:tcPr>
            <w:tcW w:w="2580" w:type="dxa"/>
            <w:vMerge w:val="continue"/>
            <w:vAlign w:val="center"/>
          </w:tcPr>
          <w:p>
            <w:pPr>
              <w:spacing w:line="240" w:lineRule="auto"/>
              <w:ind w:firstLine="0" w:firstLineChars="0"/>
              <w:jc w:val="center"/>
              <w:rPr>
                <w:sz w:val="21"/>
                <w:szCs w:val="21"/>
              </w:rPr>
            </w:pPr>
          </w:p>
        </w:tc>
        <w:tc>
          <w:tcPr>
            <w:tcW w:w="915" w:type="dxa"/>
            <w:vAlign w:val="center"/>
          </w:tcPr>
          <w:p>
            <w:pPr>
              <w:spacing w:line="240" w:lineRule="auto"/>
              <w:ind w:firstLine="0" w:firstLineChars="0"/>
              <w:jc w:val="center"/>
              <w:rPr>
                <w:sz w:val="21"/>
                <w:szCs w:val="21"/>
              </w:rPr>
            </w:pPr>
            <w:r>
              <w:rPr>
                <w:sz w:val="21"/>
                <w:szCs w:val="21"/>
              </w:rPr>
              <w:t>80-85</w:t>
            </w:r>
          </w:p>
        </w:tc>
        <w:tc>
          <w:tcPr>
            <w:tcW w:w="963" w:type="dxa"/>
            <w:vAlign w:val="center"/>
          </w:tcPr>
          <w:p>
            <w:pPr>
              <w:spacing w:line="240" w:lineRule="auto"/>
              <w:ind w:firstLine="0" w:firstLineChars="0"/>
              <w:jc w:val="center"/>
              <w:rPr>
                <w:sz w:val="21"/>
                <w:szCs w:val="21"/>
              </w:rPr>
            </w:pPr>
            <w:r>
              <w:rPr>
                <w:sz w:val="21"/>
                <w:szCs w:val="21"/>
              </w:rPr>
              <w:t>70</w:t>
            </w:r>
          </w:p>
        </w:tc>
      </w:tr>
    </w:tbl>
    <w:p>
      <w:pPr>
        <w:pStyle w:val="4"/>
      </w:pPr>
      <w:r>
        <w:rPr>
          <w:rFonts w:hint="eastAsia"/>
        </w:rPr>
        <w:t>固废污染物</w:t>
      </w:r>
    </w:p>
    <w:p>
      <w:pPr>
        <w:ind w:firstLine="480"/>
      </w:pPr>
      <w:r>
        <w:rPr>
          <w:rFonts w:hint="eastAsia"/>
          <w:color w:val="000000" w:themeColor="text1"/>
          <w14:textFill>
            <w14:solidFill>
              <w14:schemeClr w14:val="tx1"/>
            </w14:solidFill>
          </w14:textFill>
        </w:rPr>
        <w:t>项目产生的固体废弃物主要包括一般固废（羊粪、动物尸体及胞衣）、危险固废（防疫废弃物）和生活垃圾。</w:t>
      </w:r>
    </w:p>
    <w:p>
      <w:pPr>
        <w:pStyle w:val="5"/>
      </w:pPr>
      <w:r>
        <w:rPr>
          <w:rFonts w:hint="eastAsia"/>
        </w:rPr>
        <w:t>一般固废</w:t>
      </w:r>
    </w:p>
    <w:p>
      <w:pPr>
        <w:numPr>
          <w:ilvl w:val="0"/>
          <w:numId w:val="0"/>
        </w:numPr>
        <w:ind w:firstLine="480" w:firstLineChars="200"/>
      </w:pPr>
      <w:r>
        <w:rPr>
          <w:rFonts w:ascii="Times New Roman" w:hAnsi="Times New Roman" w:eastAsia="宋体" w:cs="Times New Roman"/>
          <w:kern w:val="2"/>
          <w:sz w:val="24"/>
          <w:szCs w:val="24"/>
          <w:lang w:val="en-US" w:eastAsia="zh-CN" w:bidi="ar-SA"/>
        </w:rPr>
        <w:t>（1）</w:t>
      </w:r>
      <w:r>
        <w:rPr>
          <w:rFonts w:hint="eastAsia"/>
        </w:rPr>
        <w:t>羊粪</w:t>
      </w:r>
    </w:p>
    <w:p>
      <w:pPr>
        <w:ind w:firstLine="480"/>
      </w:pPr>
      <w:r>
        <w:rPr>
          <w:rFonts w:hint="eastAsia"/>
          <w:color w:val="000000" w:themeColor="text1"/>
          <w14:textFill>
            <w14:solidFill>
              <w14:schemeClr w14:val="tx1"/>
            </w14:solidFill>
          </w14:textFill>
        </w:rPr>
        <w:t>根据</w:t>
      </w:r>
      <w:r>
        <w:rPr>
          <w:rFonts w:hint="eastAsia"/>
          <w:lang w:val="en-US" w:eastAsia="zh-CN"/>
        </w:rPr>
        <w:t>《排污许可证申请与核发技术规范 畜禽养殖行业》（HJ 1029—2019）</w:t>
      </w:r>
      <w:r>
        <w:rPr>
          <w:rFonts w:hint="eastAsia"/>
          <w:color w:val="000000" w:themeColor="text1"/>
          <w14:textFill>
            <w14:solidFill>
              <w14:schemeClr w14:val="tx1"/>
            </w14:solidFill>
          </w14:textFill>
        </w:rPr>
        <w:t>中表</w:t>
      </w:r>
      <w:r>
        <w:rPr>
          <w:rFonts w:hint="eastAsia"/>
          <w:color w:val="000000" w:themeColor="text1"/>
          <w:lang w:val="en-US" w:eastAsia="zh-CN"/>
          <w14:textFill>
            <w14:solidFill>
              <w14:schemeClr w14:val="tx1"/>
            </w14:solidFill>
          </w14:textFill>
        </w:rPr>
        <w:t>9各类畜禽污染物产生量及换算关系</w:t>
      </w:r>
      <w:r>
        <w:rPr>
          <w:rFonts w:hint="eastAsia"/>
          <w:color w:val="000000" w:themeColor="text1"/>
          <w14:textFill>
            <w14:solidFill>
              <w14:schemeClr w14:val="tx1"/>
            </w14:solidFill>
          </w14:textFill>
        </w:rPr>
        <w:t>可知，</w:t>
      </w:r>
      <w:r>
        <w:rPr>
          <w:rFonts w:hint="eastAsia"/>
          <w:color w:val="FF0000"/>
        </w:rPr>
        <w:t>猪粪产生量为</w:t>
      </w:r>
      <w:r>
        <w:rPr>
          <w:rFonts w:hint="eastAsia"/>
          <w:color w:val="FF0000"/>
          <w:lang w:val="en-US" w:eastAsia="zh-CN"/>
        </w:rPr>
        <w:t>1.24</w:t>
      </w:r>
      <w:r>
        <w:rPr>
          <w:rFonts w:hint="eastAsia"/>
          <w:color w:val="FF0000"/>
        </w:rPr>
        <w:t>kg/d.</w:t>
      </w:r>
      <w:r>
        <w:rPr>
          <w:rFonts w:hint="eastAsia"/>
          <w:color w:val="FF0000"/>
          <w:lang w:val="en-US" w:eastAsia="zh-CN"/>
        </w:rPr>
        <w:t>头</w:t>
      </w:r>
      <w:r>
        <w:rPr>
          <w:rFonts w:hint="eastAsia"/>
          <w:color w:val="FF0000"/>
          <w:lang w:eastAsia="zh-CN"/>
        </w:rPr>
        <w:t>，</w:t>
      </w:r>
      <w:r>
        <w:rPr>
          <w:rFonts w:hint="eastAsia"/>
          <w:color w:val="FF0000"/>
          <w:lang w:val="en-US" w:eastAsia="zh-CN"/>
        </w:rPr>
        <w:t>则项目</w:t>
      </w:r>
      <w:r>
        <w:rPr>
          <w:rFonts w:hint="eastAsia"/>
          <w:color w:val="FF0000"/>
        </w:rPr>
        <w:t>50万只羊</w:t>
      </w:r>
      <w:r>
        <w:rPr>
          <w:rFonts w:hint="eastAsia"/>
          <w:color w:val="FF0000"/>
          <w:lang w:eastAsia="zh-CN"/>
        </w:rPr>
        <w:t>（</w:t>
      </w:r>
      <w:r>
        <w:rPr>
          <w:rFonts w:hint="eastAsia"/>
          <w:color w:val="FF0000"/>
        </w:rPr>
        <w:t>折合为16.7万头猪</w:t>
      </w:r>
      <w:r>
        <w:rPr>
          <w:rFonts w:hint="eastAsia"/>
          <w:color w:val="FF0000"/>
          <w:lang w:eastAsia="zh-CN"/>
        </w:rPr>
        <w:t>）</w:t>
      </w:r>
      <w:r>
        <w:rPr>
          <w:rFonts w:hint="eastAsia"/>
          <w:color w:val="FF0000"/>
          <w:lang w:val="en-US" w:eastAsia="zh-CN"/>
        </w:rPr>
        <w:t>产生粪便量为207</w:t>
      </w:r>
      <w:r>
        <w:rPr>
          <w:rFonts w:hint="eastAsia"/>
          <w:color w:val="FF0000"/>
        </w:rPr>
        <w:t>t/d（</w:t>
      </w:r>
      <w:r>
        <w:rPr>
          <w:rFonts w:hint="eastAsia"/>
          <w:color w:val="FF0000"/>
          <w:lang w:val="en-US" w:eastAsia="zh-CN"/>
        </w:rPr>
        <w:t>75555</w:t>
      </w:r>
      <w:r>
        <w:rPr>
          <w:rFonts w:hint="eastAsia"/>
          <w:color w:val="FF0000"/>
        </w:rPr>
        <w:t>t/a）</w:t>
      </w:r>
      <w:r>
        <w:rPr>
          <w:rFonts w:hint="eastAsia"/>
        </w:rPr>
        <w:t>，同时本项目羊尿排放量为</w:t>
      </w:r>
      <w:r>
        <w:rPr>
          <w:rFonts w:hint="eastAsia"/>
          <w:lang w:val="en-US" w:eastAsia="zh-CN"/>
        </w:rPr>
        <w:t>550</w:t>
      </w:r>
      <w:r>
        <w:rPr>
          <w:rFonts w:hint="eastAsia"/>
        </w:rPr>
        <w:t>m</w:t>
      </w:r>
      <w:r>
        <w:rPr>
          <w:rFonts w:hint="eastAsia"/>
          <w:vertAlign w:val="superscript"/>
        </w:rPr>
        <w:t>3</w:t>
      </w:r>
      <w:r>
        <w:rPr>
          <w:rFonts w:hint="eastAsia"/>
        </w:rPr>
        <w:t>/d（</w:t>
      </w:r>
      <w:r>
        <w:rPr>
          <w:rFonts w:hint="eastAsia"/>
          <w:lang w:val="en-US" w:eastAsia="zh-CN"/>
        </w:rPr>
        <w:t>200750</w:t>
      </w:r>
      <w:r>
        <w:rPr>
          <w:rFonts w:hint="eastAsia"/>
        </w:rPr>
        <w:t>m</w:t>
      </w:r>
      <w:r>
        <w:rPr>
          <w:rFonts w:hint="eastAsia"/>
          <w:vertAlign w:val="superscript"/>
        </w:rPr>
        <w:t>3</w:t>
      </w:r>
      <w:r>
        <w:rPr>
          <w:rFonts w:hint="eastAsia"/>
        </w:rPr>
        <w:t>/a），该部分尿液随粪便一起采用干清粪</w:t>
      </w:r>
      <w:r>
        <w:rPr>
          <w:rFonts w:hint="eastAsia" w:ascii="Times New Roman" w:eastAsia="宋体"/>
          <w:color w:val="auto"/>
          <w:szCs w:val="21"/>
          <w:lang w:eastAsia="zh-CN"/>
        </w:rPr>
        <w:t>（</w:t>
      </w:r>
      <w:r>
        <w:rPr>
          <w:rFonts w:hint="eastAsia" w:ascii="Times New Roman" w:eastAsia="宋体"/>
          <w:color w:val="auto"/>
          <w:szCs w:val="21"/>
          <w:lang w:val="en-US" w:eastAsia="zh-CN"/>
        </w:rPr>
        <w:t>机械清理</w:t>
      </w:r>
      <w:r>
        <w:rPr>
          <w:rFonts w:hint="eastAsia" w:ascii="Times New Roman" w:eastAsia="宋体"/>
          <w:color w:val="auto"/>
          <w:szCs w:val="21"/>
          <w:lang w:eastAsia="zh-CN"/>
        </w:rPr>
        <w:t>）</w:t>
      </w:r>
      <w:r>
        <w:rPr>
          <w:rFonts w:ascii="Times New Roman" w:eastAsia="宋体"/>
          <w:color w:val="auto"/>
          <w:szCs w:val="21"/>
        </w:rPr>
        <w:t>，集中收集到羊舍外</w:t>
      </w:r>
      <w:r>
        <w:rPr>
          <w:rFonts w:hint="eastAsia" w:ascii="Times New Roman" w:eastAsia="宋体"/>
          <w:color w:val="auto"/>
          <w:szCs w:val="21"/>
          <w:lang w:val="en-US" w:eastAsia="zh-CN"/>
        </w:rPr>
        <w:t>直接装车拉运，</w:t>
      </w:r>
      <w:r>
        <w:rPr>
          <w:rFonts w:ascii="Times New Roman" w:eastAsia="宋体"/>
          <w:color w:val="auto"/>
          <w:szCs w:val="21"/>
        </w:rPr>
        <w:t>通过车辆运输至有机肥</w:t>
      </w:r>
      <w:r>
        <w:rPr>
          <w:rFonts w:hint="eastAsia" w:ascii="Times New Roman" w:eastAsia="宋体"/>
          <w:color w:val="auto"/>
          <w:szCs w:val="21"/>
          <w:lang w:val="en-US" w:eastAsia="zh-CN"/>
        </w:rPr>
        <w:t>堆场，进行有机肥制作</w:t>
      </w:r>
      <w:r>
        <w:rPr>
          <w:rFonts w:hint="eastAsia"/>
        </w:rPr>
        <w:t>。</w:t>
      </w:r>
    </w:p>
    <w:p>
      <w:pPr>
        <w:bidi w:val="0"/>
        <w:rPr>
          <w:color w:val="FF0000"/>
        </w:rPr>
      </w:pPr>
      <w:r>
        <w:rPr>
          <w:rFonts w:hint="eastAsia"/>
          <w:color w:val="FF0000"/>
        </w:rPr>
        <w:t>（2）动物尸体及胞衣</w:t>
      </w:r>
    </w:p>
    <w:p>
      <w:pPr>
        <w:bidi w:val="0"/>
        <w:rPr>
          <w:rFonts w:hint="eastAsia"/>
          <w:color w:val="FF0000"/>
        </w:rPr>
      </w:pPr>
      <w:r>
        <w:rPr>
          <w:rFonts w:hint="eastAsia"/>
          <w:color w:val="FF0000"/>
        </w:rPr>
        <w:t>根据集团公司其他养殖场类比分析，羊的死亡率按0.</w:t>
      </w:r>
      <w:r>
        <w:rPr>
          <w:color w:val="FF0000"/>
        </w:rPr>
        <w:t>1</w:t>
      </w:r>
      <w:r>
        <w:rPr>
          <w:rFonts w:hint="eastAsia"/>
          <w:color w:val="FF0000"/>
        </w:rPr>
        <w:t>%计，羊存栏量50万只，则年死亡羊500只，每只羊重约</w:t>
      </w:r>
      <w:r>
        <w:rPr>
          <w:rFonts w:hint="eastAsia"/>
          <w:color w:val="FF0000"/>
          <w:lang w:val="en-US" w:eastAsia="zh-CN"/>
        </w:rPr>
        <w:t>3</w:t>
      </w:r>
      <w:r>
        <w:rPr>
          <w:rFonts w:hint="eastAsia"/>
          <w:color w:val="FF0000"/>
        </w:rPr>
        <w:t>0kg，合计</w:t>
      </w:r>
      <w:r>
        <w:rPr>
          <w:rFonts w:hint="eastAsia"/>
          <w:color w:val="FF0000"/>
          <w:lang w:val="en-US" w:eastAsia="zh-CN"/>
        </w:rPr>
        <w:t>15</w:t>
      </w:r>
      <w:r>
        <w:rPr>
          <w:rFonts w:hint="eastAsia"/>
          <w:color w:val="FF0000"/>
        </w:rPr>
        <w:t>t</w:t>
      </w:r>
      <w:r>
        <w:rPr>
          <w:color w:val="FF0000"/>
        </w:rPr>
        <w:t>/</w:t>
      </w:r>
      <w:r>
        <w:rPr>
          <w:rFonts w:hint="eastAsia"/>
          <w:color w:val="FF0000"/>
        </w:rPr>
        <w:t>a；每年母羊生育时的分娩胎衣约为3.0t/a</w:t>
      </w:r>
      <w:r>
        <w:rPr>
          <w:rFonts w:hint="eastAsia"/>
          <w:color w:val="FF0000"/>
          <w:lang w:eastAsia="zh-CN"/>
        </w:rPr>
        <w:t>，</w:t>
      </w:r>
      <w:r>
        <w:rPr>
          <w:rFonts w:hint="eastAsia"/>
          <w:color w:val="FF0000"/>
          <w:lang w:val="en-US" w:eastAsia="zh-CN"/>
        </w:rPr>
        <w:t>不对产生的尸体及胞衣进行贮存，直接进入无害化车间进行化制，产生的</w:t>
      </w:r>
      <w:r>
        <w:rPr>
          <w:rFonts w:hint="eastAsia"/>
          <w:color w:val="FF0000"/>
        </w:rPr>
        <w:t>动物残渣按5</w:t>
      </w:r>
      <w:r>
        <w:rPr>
          <w:color w:val="FF0000"/>
        </w:rPr>
        <w:t>0</w:t>
      </w:r>
      <w:r>
        <w:rPr>
          <w:rFonts w:hint="eastAsia"/>
          <w:color w:val="FF0000"/>
        </w:rPr>
        <w:t>%计</w:t>
      </w:r>
      <w:r>
        <w:rPr>
          <w:rFonts w:hint="eastAsia"/>
          <w:color w:val="FF0000"/>
          <w:lang w:eastAsia="zh-CN"/>
        </w:rPr>
        <w:t>，</w:t>
      </w:r>
      <w:r>
        <w:rPr>
          <w:rFonts w:hint="eastAsia"/>
          <w:color w:val="FF0000"/>
          <w:lang w:val="en-US" w:eastAsia="zh-CN"/>
        </w:rPr>
        <w:t>则</w:t>
      </w:r>
      <w:r>
        <w:rPr>
          <w:rFonts w:hint="eastAsia"/>
          <w:color w:val="FF0000"/>
        </w:rPr>
        <w:t>产生量为</w:t>
      </w:r>
      <w:r>
        <w:rPr>
          <w:rFonts w:hint="eastAsia"/>
          <w:color w:val="FF0000"/>
          <w:lang w:val="en-US" w:eastAsia="zh-CN"/>
        </w:rPr>
        <w:t>9</w:t>
      </w:r>
      <w:r>
        <w:rPr>
          <w:rFonts w:hint="eastAsia"/>
          <w:color w:val="FF0000"/>
        </w:rPr>
        <w:t>t/a</w:t>
      </w:r>
      <w:r>
        <w:rPr>
          <w:rFonts w:hint="eastAsia"/>
          <w:color w:val="FF0000"/>
          <w:lang w:eastAsia="zh-CN"/>
        </w:rPr>
        <w:t>，</w:t>
      </w:r>
      <w:r>
        <w:rPr>
          <w:rFonts w:hint="eastAsia"/>
          <w:color w:val="FF0000"/>
          <w:lang w:val="en-US" w:eastAsia="zh-CN"/>
        </w:rPr>
        <w:t>进入堆肥平台</w:t>
      </w:r>
      <w:r>
        <w:rPr>
          <w:rFonts w:hint="eastAsia"/>
          <w:color w:val="FF0000"/>
        </w:rPr>
        <w:t>进行有机肥制作。</w:t>
      </w:r>
    </w:p>
    <w:p>
      <w:pPr>
        <w:pStyle w:val="5"/>
      </w:pPr>
      <w:r>
        <w:rPr>
          <w:rFonts w:hint="eastAsia"/>
        </w:rPr>
        <w:t>危险废物</w:t>
      </w:r>
    </w:p>
    <w:p>
      <w:pPr>
        <w:numPr>
          <w:ilvl w:val="0"/>
          <w:numId w:val="10"/>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防疫废弃物</w:t>
      </w:r>
    </w:p>
    <w:p>
      <w:pPr>
        <w:ind w:firstLine="480"/>
      </w:pPr>
      <w:r>
        <w:t>项目配套设置</w:t>
      </w:r>
      <w:r>
        <w:rPr>
          <w:rFonts w:hint="eastAsia"/>
        </w:rPr>
        <w:t>兽医</w:t>
      </w:r>
      <w:r>
        <w:t>室，负责日常保健及疾病治疗，运营期在检疫、治疗过程中会产生废弃医疗试剂、一次性医疗用品及一次性医疗器械等具有感染性的医疗</w:t>
      </w:r>
      <w:r>
        <w:rPr>
          <w:rFonts w:hint="eastAsia"/>
        </w:rPr>
        <w:t>废物</w:t>
      </w:r>
      <w:r>
        <w:t>，携带有病原微生物，易引发感染性疾病的传播，属于感染性医疗废物</w:t>
      </w:r>
      <w:r>
        <w:rPr>
          <w:rFonts w:hint="eastAsia"/>
        </w:rPr>
        <w:t>，类比集团公司其他养殖场就诊规模，在防治传染病医治过程中，羊饲养过程中的医疗废物约为1.0t/a，</w:t>
      </w:r>
      <w:r>
        <w:t>根据</w:t>
      </w:r>
      <w:r>
        <w:rPr>
          <w:highlight w:val="green"/>
        </w:rPr>
        <w:t>《国家危险废物名录（2021年版）》，</w:t>
      </w:r>
      <w:r>
        <w:rPr>
          <w:rFonts w:hint="eastAsia"/>
          <w:highlight w:val="green"/>
        </w:rPr>
        <w:t>本项目医疗废物属于“HW01医疗废物”中“840-001-01感染性废物”</w:t>
      </w:r>
      <w:r>
        <w:rPr>
          <w:rFonts w:hint="eastAsia"/>
        </w:rPr>
        <w:t>，</w:t>
      </w:r>
      <w:r>
        <w:t>根据《医疗废物管理条例》中的要求</w:t>
      </w:r>
      <w:r>
        <w:rPr>
          <w:rFonts w:hint="eastAsia"/>
        </w:rPr>
        <w:t>，将其</w:t>
      </w:r>
      <w:r>
        <w:t>收集于医疗废物包装袋中，暂存于</w:t>
      </w:r>
      <w:r>
        <w:rPr>
          <w:rFonts w:hint="eastAsia"/>
          <w:color w:val="FF0000"/>
          <w:lang w:val="en-US" w:eastAsia="zh-CN"/>
        </w:rPr>
        <w:t>医疗废物</w:t>
      </w:r>
      <w:r>
        <w:rPr>
          <w:color w:val="FF0000"/>
        </w:rPr>
        <w:t>暂存间</w:t>
      </w:r>
      <w:r>
        <w:t>，经临时储存后</w:t>
      </w:r>
      <w:r>
        <w:rPr>
          <w:rFonts w:hint="eastAsia"/>
        </w:rPr>
        <w:t>定期</w:t>
      </w:r>
      <w:r>
        <w:t>交由</w:t>
      </w:r>
      <w:r>
        <w:rPr>
          <w:rFonts w:hint="eastAsia" w:ascii="Times New Roman" w:eastAsia="宋体"/>
          <w:color w:val="auto"/>
          <w:szCs w:val="21"/>
          <w:highlight w:val="green"/>
          <w:lang w:val="en-US" w:eastAsia="zh-CN"/>
        </w:rPr>
        <w:t>巴彦淖尔市维康环保有限公司</w:t>
      </w:r>
      <w:r>
        <w:t>进行集中清运、处理。</w:t>
      </w:r>
    </w:p>
    <w:p>
      <w:pPr>
        <w:pStyle w:val="5"/>
      </w:pPr>
      <w:r>
        <w:rPr>
          <w:rFonts w:hint="eastAsia"/>
        </w:rPr>
        <w:t>生活垃圾</w:t>
      </w:r>
    </w:p>
    <w:p>
      <w:pPr>
        <w:ind w:firstLine="480"/>
      </w:pPr>
      <w:r>
        <w:rPr>
          <w:rFonts w:hint="eastAsia"/>
        </w:rPr>
        <w:t>本</w:t>
      </w:r>
      <w:r>
        <w:t>项目劳动定员</w:t>
      </w:r>
      <w:r>
        <w:rPr>
          <w:rFonts w:hint="eastAsia"/>
        </w:rPr>
        <w:t>450</w:t>
      </w:r>
      <w:r>
        <w:t>人，生活垃圾产生量0.5kg/人·d，生活垃圾产生量</w:t>
      </w:r>
      <w:r>
        <w:rPr>
          <w:rFonts w:hint="eastAsia"/>
        </w:rPr>
        <w:t>225kg/d（82.13</w:t>
      </w:r>
      <w:r>
        <w:t>t/a</w:t>
      </w:r>
      <w:r>
        <w:rPr>
          <w:rFonts w:hint="eastAsia"/>
        </w:rPr>
        <w:t>）</w:t>
      </w:r>
      <w:r>
        <w:t>，项目场区设置</w:t>
      </w:r>
      <w:r>
        <w:rPr>
          <w:rFonts w:hint="eastAsia"/>
        </w:rPr>
        <w:t>有</w:t>
      </w:r>
      <w:r>
        <w:t>封闭式垃圾桶，生活垃圾收集后定期按照环卫部门要求清运至项目附近生活垃圾转运点。</w:t>
      </w:r>
    </w:p>
    <w:p>
      <w:pPr>
        <w:pStyle w:val="3"/>
        <w:spacing w:before="120" w:after="120"/>
      </w:pPr>
      <w:bookmarkStart w:id="150" w:name="_Toc9397"/>
      <w:r>
        <w:rPr>
          <w:rFonts w:hint="eastAsia"/>
        </w:rPr>
        <w:t>污染物排放清单</w:t>
      </w:r>
      <w:bookmarkEnd w:id="150"/>
    </w:p>
    <w:p>
      <w:pPr>
        <w:ind w:firstLine="480"/>
        <w:sectPr>
          <w:headerReference r:id="rId19" w:type="default"/>
          <w:footerReference r:id="rId20" w:type="default"/>
          <w:pgSz w:w="11906" w:h="16838"/>
          <w:pgMar w:top="1440" w:right="1797" w:bottom="1440" w:left="1797" w:header="851" w:footer="992" w:gutter="0"/>
          <w:pgNumType w:fmt="decimal"/>
          <w:cols w:space="425" w:num="1"/>
          <w:docGrid w:linePitch="312" w:charSpace="0"/>
        </w:sectPr>
      </w:pPr>
    </w:p>
    <w:p>
      <w:pPr>
        <w:pStyle w:val="6"/>
      </w:pPr>
      <w:r>
        <w:t>表</w:t>
      </w:r>
      <w:r>
        <w:rPr>
          <w:rFonts w:hint="eastAsia"/>
        </w:rPr>
        <w:t>3.5-1   污染物排放清单</w:t>
      </w:r>
    </w:p>
    <w:tbl>
      <w:tblPr>
        <w:tblStyle w:val="3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11"/>
        <w:gridCol w:w="677"/>
        <w:gridCol w:w="870"/>
        <w:gridCol w:w="3879"/>
        <w:gridCol w:w="775"/>
        <w:gridCol w:w="1327"/>
        <w:gridCol w:w="861"/>
        <w:gridCol w:w="627"/>
        <w:gridCol w:w="636"/>
        <w:gridCol w:w="1117"/>
        <w:gridCol w:w="1943"/>
        <w:gridCol w:w="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48"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类别</w:t>
            </w:r>
          </w:p>
        </w:tc>
        <w:tc>
          <w:tcPr>
            <w:tcW w:w="282"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编号</w:t>
            </w:r>
          </w:p>
        </w:tc>
        <w:tc>
          <w:tcPr>
            <w:tcW w:w="2618" w:type="pct"/>
            <w:gridSpan w:val="5"/>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污染源</w:t>
            </w:r>
          </w:p>
        </w:tc>
        <w:tc>
          <w:tcPr>
            <w:tcW w:w="738" w:type="pct"/>
            <w:gridSpan w:val="3"/>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排放参数</w:t>
            </w:r>
          </w:p>
        </w:tc>
        <w:tc>
          <w:tcPr>
            <w:tcW w:w="388"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新增总量指标</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t/a</w:t>
            </w:r>
          </w:p>
        </w:tc>
        <w:tc>
          <w:tcPr>
            <w:tcW w:w="675"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执行环境标准</w:t>
            </w:r>
          </w:p>
        </w:tc>
        <w:tc>
          <w:tcPr>
            <w:tcW w:w="148" w:type="pct"/>
            <w:vMerge w:val="restar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名称</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污染物</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环保措施</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排放浓度</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mg/m</w:t>
            </w:r>
            <w:r>
              <w:rPr>
                <w:rFonts w:hint="eastAsia"/>
                <w:color w:val="000000" w:themeColor="text1"/>
                <w:kern w:val="0"/>
                <w:vertAlign w:val="superscript"/>
                <w14:textFill>
                  <w14:solidFill>
                    <w14:schemeClr w14:val="tx1"/>
                  </w14:solidFill>
                </w14:textFill>
              </w:rPr>
              <w:t>3</w:t>
            </w:r>
          </w:p>
        </w:tc>
        <w:tc>
          <w:tcPr>
            <w:tcW w:w="460"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排放量</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t/a</w:t>
            </w:r>
          </w:p>
        </w:tc>
        <w:tc>
          <w:tcPr>
            <w:tcW w:w="29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H/Φ（m）</w:t>
            </w:r>
          </w:p>
        </w:tc>
        <w:tc>
          <w:tcPr>
            <w:tcW w:w="21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温度/℃</w:t>
            </w:r>
          </w:p>
        </w:tc>
        <w:tc>
          <w:tcPr>
            <w:tcW w:w="221"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工作时间</w:t>
            </w:r>
          </w:p>
        </w:tc>
        <w:tc>
          <w:tcPr>
            <w:tcW w:w="388" w:type="pct"/>
            <w:vMerge w:val="continue"/>
            <w:shd w:val="clear" w:color="auto" w:fill="auto"/>
            <w:vAlign w:val="center"/>
          </w:tcPr>
          <w:p>
            <w:pPr>
              <w:pStyle w:val="232"/>
              <w:rPr>
                <w:color w:val="000000" w:themeColor="text1"/>
                <w:kern w:val="0"/>
                <w14:textFill>
                  <w14:solidFill>
                    <w14:schemeClr w14:val="tx1"/>
                  </w14:solidFill>
                </w14:textFill>
              </w:rPr>
            </w:pPr>
          </w:p>
        </w:tc>
        <w:tc>
          <w:tcPr>
            <w:tcW w:w="675" w:type="pct"/>
            <w:vMerge w:val="continue"/>
            <w:shd w:val="clear" w:color="auto" w:fill="auto"/>
            <w:vAlign w:val="center"/>
          </w:tcPr>
          <w:p>
            <w:pPr>
              <w:pStyle w:val="232"/>
              <w:rPr>
                <w:color w:val="000000" w:themeColor="text1"/>
                <w:kern w:val="0"/>
                <w14:textFill>
                  <w14:solidFill>
                    <w14:schemeClr w14:val="tx1"/>
                  </w14:solidFill>
                </w14:textFill>
              </w:rPr>
            </w:pPr>
          </w:p>
        </w:tc>
        <w:tc>
          <w:tcPr>
            <w:tcW w:w="148" w:type="pct"/>
            <w:vMerge w:val="continue"/>
            <w:vAlign w:val="center"/>
          </w:tcPr>
          <w:p>
            <w:pPr>
              <w:pStyle w:val="232"/>
              <w:rPr>
                <w:color w:val="000000" w:themeColor="text1"/>
                <w:kern w:val="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废气</w:t>
            </w: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M1</w:t>
            </w: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饲料混合加工车间</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TSP</w:t>
            </w:r>
          </w:p>
        </w:tc>
        <w:tc>
          <w:tcPr>
            <w:tcW w:w="1349" w:type="pct"/>
            <w:shd w:val="clear" w:color="auto" w:fill="auto"/>
            <w:vAlign w:val="center"/>
          </w:tcPr>
          <w:p>
            <w:pPr>
              <w:pStyle w:val="232"/>
              <w:rPr>
                <w:color w:val="000000" w:themeColor="text1"/>
                <w:szCs w:val="22"/>
                <w14:textFill>
                  <w14:solidFill>
                    <w14:schemeClr w14:val="tx1"/>
                  </w14:solidFill>
                </w14:textFill>
              </w:rPr>
            </w:pPr>
            <w:r>
              <w:rPr>
                <w:color w:val="000000" w:themeColor="text1"/>
                <w:sz w:val="21"/>
                <w:szCs w:val="21"/>
                <w14:textFill>
                  <w14:solidFill>
                    <w14:schemeClr w14:val="tx1"/>
                  </w14:solidFill>
                </w14:textFill>
              </w:rPr>
              <w:t>采</w:t>
            </w:r>
            <w:r>
              <w:rPr>
                <w:rFonts w:hint="eastAsia"/>
                <w:color w:val="000000" w:themeColor="text1"/>
                <w:sz w:val="21"/>
                <w:szCs w:val="21"/>
                <w14:textFill>
                  <w14:solidFill>
                    <w14:schemeClr w14:val="tx1"/>
                  </w14:solidFill>
                </w14:textFill>
              </w:rPr>
              <w:t>购</w:t>
            </w:r>
            <w:r>
              <w:rPr>
                <w:color w:val="000000" w:themeColor="text1"/>
                <w:sz w:val="21"/>
                <w:szCs w:val="21"/>
                <w14:textFill>
                  <w14:solidFill>
                    <w14:schemeClr w14:val="tx1"/>
                  </w14:solidFill>
                </w14:textFill>
              </w:rPr>
              <w:t>具有一定粒度的成品饲料</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饲料配制车间全封闭，</w:t>
            </w:r>
            <w:r>
              <w:rPr>
                <w:rFonts w:hint="eastAsia"/>
                <w:sz w:val="21"/>
                <w:szCs w:val="21"/>
              </w:rPr>
              <w:t>搅拌过程产生的粉尘通过搅拌机配备的布袋除尘器处理后无组织排放</w:t>
            </w:r>
            <w:r>
              <w:rPr>
                <w:sz w:val="21"/>
                <w:szCs w:val="21"/>
              </w:rPr>
              <w:t>，</w:t>
            </w:r>
            <w:r>
              <w:rPr>
                <w:rFonts w:hint="eastAsia"/>
                <w:sz w:val="21"/>
                <w:szCs w:val="21"/>
              </w:rPr>
              <w:t>排放粉尘99%</w:t>
            </w:r>
            <w:r>
              <w:rPr>
                <w:rFonts w:hint="eastAsia"/>
                <w:sz w:val="21"/>
                <w:szCs w:val="21"/>
                <w:lang w:val="en-US" w:eastAsia="zh-CN"/>
              </w:rPr>
              <w:t>被布袋除尘器收集后送至有机肥堆场生产有机肥</w:t>
            </w:r>
            <w:r>
              <w:rPr>
                <w:rFonts w:hint="eastAsia"/>
                <w:sz w:val="21"/>
                <w:szCs w:val="21"/>
              </w:rPr>
              <w:t>，</w:t>
            </w:r>
            <w:r>
              <w:rPr>
                <w:rFonts w:hint="eastAsia"/>
                <w:sz w:val="21"/>
                <w:szCs w:val="21"/>
                <w:lang w:val="en-US" w:eastAsia="zh-CN"/>
              </w:rPr>
              <w:t>未拦截的</w:t>
            </w:r>
            <w:r>
              <w:rPr>
                <w:rFonts w:hint="eastAsia"/>
                <w:sz w:val="21"/>
                <w:szCs w:val="21"/>
              </w:rPr>
              <w:t>1%排放于大气环境</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6.28×10</w:t>
            </w:r>
            <w:r>
              <w:rPr>
                <w:rFonts w:hint="eastAsia"/>
                <w:color w:val="000000" w:themeColor="text1"/>
                <w:kern w:val="0"/>
                <w:vertAlign w:val="superscript"/>
                <w14:textFill>
                  <w14:solidFill>
                    <w14:schemeClr w14:val="tx1"/>
                  </w14:solidFill>
                </w14:textFill>
              </w:rPr>
              <w:t>-3</w:t>
            </w:r>
          </w:p>
        </w:tc>
        <w:tc>
          <w:tcPr>
            <w:tcW w:w="517" w:type="pct"/>
            <w:gridSpan w:val="2"/>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140m×50m</w:t>
            </w:r>
          </w:p>
        </w:tc>
        <w:tc>
          <w:tcPr>
            <w:tcW w:w="221"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间断</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1100</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6.28×10</w:t>
            </w:r>
            <w:r>
              <w:rPr>
                <w:rFonts w:hint="eastAsia"/>
                <w:color w:val="000000" w:themeColor="text1"/>
                <w:kern w:val="0"/>
                <w:vertAlign w:val="superscript"/>
                <w14:textFill>
                  <w14:solidFill>
                    <w14:schemeClr w14:val="tx1"/>
                  </w14:solidFill>
                </w14:textFill>
              </w:rPr>
              <w:t>-3</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《大气污染物综合排放标准》（GB16297-1996）中新建污染源二级标准周界外浓度最高点</w:t>
            </w: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M2</w:t>
            </w:r>
          </w:p>
        </w:tc>
        <w:tc>
          <w:tcPr>
            <w:tcW w:w="236"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养殖区</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NH</w:t>
            </w:r>
            <w:r>
              <w:rPr>
                <w:rFonts w:hint="eastAsia"/>
                <w:color w:val="000000" w:themeColor="text1"/>
                <w:vertAlign w:val="subscript"/>
                <w14:textFill>
                  <w14:solidFill>
                    <w14:schemeClr w14:val="tx1"/>
                  </w14:solidFill>
                </w14:textFill>
              </w:rPr>
              <w:t>3</w:t>
            </w:r>
          </w:p>
        </w:tc>
        <w:tc>
          <w:tcPr>
            <w:tcW w:w="1349"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本项目从饲料中添加EM菌群，能够从源头上减少氨气和硫化氢的产生，并及时对粪便进行清理，同时在栏舍范围内采用生物除臭技术，利用微生物菌群的分解、固化作用对已产生的臭气进行去除，同时加强四周场地绿化，在加强管理的前提下可有效减少恶臭污染物的排放</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rFonts w:hint="default"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0.47</w:t>
            </w:r>
          </w:p>
        </w:tc>
        <w:tc>
          <w:tcPr>
            <w:tcW w:w="517" w:type="pct"/>
            <w:gridSpan w:val="2"/>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1000m×600m</w:t>
            </w:r>
          </w:p>
        </w:tc>
        <w:tc>
          <w:tcPr>
            <w:tcW w:w="221"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连续8760</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《恶臭污染物排放标准》</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（GB14554-1993）</w:t>
            </w:r>
            <w:r>
              <w:rPr>
                <w:rFonts w:hint="eastAsia"/>
                <w:color w:val="000000" w:themeColor="text1"/>
                <w:lang w:bidi="en-US"/>
                <w14:textFill>
                  <w14:solidFill>
                    <w14:schemeClr w14:val="tx1"/>
                  </w14:solidFill>
                </w14:textFill>
              </w:rPr>
              <w:t>厂界标准值</w:t>
            </w: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H</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S</w:t>
            </w:r>
          </w:p>
        </w:tc>
        <w:tc>
          <w:tcPr>
            <w:tcW w:w="1349" w:type="pct"/>
            <w:vMerge w:val="continue"/>
            <w:shd w:val="clear" w:color="auto" w:fill="auto"/>
            <w:vAlign w:val="center"/>
          </w:tcPr>
          <w:p>
            <w:pPr>
              <w:pStyle w:val="232"/>
              <w:rPr>
                <w:color w:val="000000" w:themeColor="text1"/>
                <w:kern w:val="0"/>
                <w14:textFill>
                  <w14:solidFill>
                    <w14:schemeClr w14:val="tx1"/>
                  </w14:solidFill>
                </w14:textFill>
              </w:rPr>
            </w:pP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rFonts w:hint="default"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0.0004</w:t>
            </w:r>
          </w:p>
        </w:tc>
        <w:tc>
          <w:tcPr>
            <w:tcW w:w="517" w:type="pct"/>
            <w:gridSpan w:val="2"/>
            <w:vMerge w:val="continue"/>
            <w:shd w:val="clear" w:color="auto" w:fill="auto"/>
            <w:vAlign w:val="center"/>
          </w:tcPr>
          <w:p>
            <w:pPr>
              <w:pStyle w:val="232"/>
              <w:rPr>
                <w:color w:val="000000" w:themeColor="text1"/>
                <w:kern w:val="0"/>
                <w14:textFill>
                  <w14:solidFill>
                    <w14:schemeClr w14:val="tx1"/>
                  </w14:solidFill>
                </w14:textFill>
              </w:rPr>
            </w:pPr>
          </w:p>
        </w:tc>
        <w:tc>
          <w:tcPr>
            <w:tcW w:w="221" w:type="pct"/>
            <w:vMerge w:val="continue"/>
            <w:shd w:val="clear" w:color="auto" w:fill="auto"/>
            <w:vAlign w:val="center"/>
          </w:tcPr>
          <w:p>
            <w:pPr>
              <w:pStyle w:val="232"/>
              <w:rPr>
                <w:color w:val="000000" w:themeColor="text1"/>
                <w:kern w:val="0"/>
                <w14:textFill>
                  <w14:solidFill>
                    <w14:schemeClr w14:val="tx1"/>
                  </w14:solidFill>
                </w14:textFill>
              </w:rPr>
            </w:pP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vMerge w:val="continue"/>
            <w:shd w:val="clear" w:color="auto" w:fill="auto"/>
            <w:vAlign w:val="center"/>
          </w:tcPr>
          <w:p>
            <w:pPr>
              <w:pStyle w:val="232"/>
              <w:rPr>
                <w:color w:val="000000" w:themeColor="text1"/>
                <w:kern w:val="0"/>
                <w14:textFill>
                  <w14:solidFill>
                    <w14:schemeClr w14:val="tx1"/>
                  </w14:solidFill>
                </w14:textFill>
              </w:rPr>
            </w:pP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rPr>
                <w:rFonts w:hint="default" w:eastAsia="宋体"/>
                <w:color w:val="000000" w:themeColor="text1"/>
                <w:highlight w:val="green"/>
                <w:lang w:val="en-US" w:eastAsia="zh-CN"/>
                <w14:textFill>
                  <w14:solidFill>
                    <w14:schemeClr w14:val="tx1"/>
                  </w14:solidFill>
                </w14:textFill>
              </w:rPr>
            </w:pPr>
            <w:r>
              <w:rPr>
                <w:rFonts w:hint="eastAsia"/>
                <w:color w:val="000000" w:themeColor="text1"/>
                <w:highlight w:val="green"/>
                <w:lang w:val="en-US" w:eastAsia="zh-CN"/>
                <w14:textFill>
                  <w14:solidFill>
                    <w14:schemeClr w14:val="tx1"/>
                  </w14:solidFill>
                </w14:textFill>
              </w:rPr>
              <w:t>臭气浓度</w:t>
            </w:r>
          </w:p>
        </w:tc>
        <w:tc>
          <w:tcPr>
            <w:tcW w:w="1349" w:type="pct"/>
            <w:vMerge w:val="continue"/>
            <w:shd w:val="clear" w:color="auto" w:fill="auto"/>
            <w:vAlign w:val="center"/>
          </w:tcPr>
          <w:p>
            <w:pPr>
              <w:pStyle w:val="232"/>
              <w:rPr>
                <w:color w:val="000000" w:themeColor="text1"/>
                <w:kern w:val="0"/>
                <w:highlight w:val="green"/>
                <w14:textFill>
                  <w14:solidFill>
                    <w14:schemeClr w14:val="tx1"/>
                  </w14:solidFill>
                </w14:textFill>
              </w:rPr>
            </w:pPr>
          </w:p>
        </w:tc>
        <w:tc>
          <w:tcPr>
            <w:tcW w:w="269" w:type="pct"/>
            <w:shd w:val="clear" w:color="auto" w:fill="auto"/>
            <w:vAlign w:val="center"/>
          </w:tcPr>
          <w:p>
            <w:pPr>
              <w:pStyle w:val="232"/>
              <w:rPr>
                <w:rFonts w:hint="eastAsia" w:eastAsia="宋体"/>
                <w:color w:val="000000" w:themeColor="text1"/>
                <w:kern w:val="0"/>
                <w:highlight w:val="green"/>
                <w:lang w:val="en-US" w:eastAsia="zh-CN"/>
                <w14:textFill>
                  <w14:solidFill>
                    <w14:schemeClr w14:val="tx1"/>
                  </w14:solidFill>
                </w14:textFill>
              </w:rPr>
            </w:pPr>
            <w:r>
              <w:rPr>
                <w:rFonts w:hint="eastAsia"/>
                <w:color w:val="000000" w:themeColor="text1"/>
                <w:kern w:val="0"/>
                <w:highlight w:val="green"/>
                <w:lang w:val="en-US" w:eastAsia="zh-CN"/>
                <w14:textFill>
                  <w14:solidFill>
                    <w14:schemeClr w14:val="tx1"/>
                  </w14:solidFill>
                </w14:textFill>
              </w:rPr>
              <w:t>/</w:t>
            </w:r>
          </w:p>
        </w:tc>
        <w:tc>
          <w:tcPr>
            <w:tcW w:w="460" w:type="pct"/>
            <w:shd w:val="clear" w:color="auto" w:fill="auto"/>
            <w:vAlign w:val="center"/>
          </w:tcPr>
          <w:p>
            <w:pPr>
              <w:pStyle w:val="232"/>
              <w:rPr>
                <w:rFonts w:hint="default"/>
                <w:color w:val="000000" w:themeColor="text1"/>
                <w:kern w:val="0"/>
                <w:highlight w:val="green"/>
                <w:lang w:val="en-US" w:eastAsia="zh-CN"/>
                <w14:textFill>
                  <w14:solidFill>
                    <w14:schemeClr w14:val="tx1"/>
                  </w14:solidFill>
                </w14:textFill>
              </w:rPr>
            </w:pPr>
            <w:r>
              <w:rPr>
                <w:rFonts w:hint="eastAsia"/>
                <w:color w:val="000000" w:themeColor="text1"/>
                <w:kern w:val="0"/>
                <w:highlight w:val="green"/>
                <w:lang w:val="en-US" w:eastAsia="zh-CN"/>
                <w14:textFill>
                  <w14:solidFill>
                    <w14:schemeClr w14:val="tx1"/>
                  </w14:solidFill>
                </w14:textFill>
              </w:rPr>
              <w:t>/</w:t>
            </w:r>
          </w:p>
        </w:tc>
        <w:tc>
          <w:tcPr>
            <w:tcW w:w="517" w:type="pct"/>
            <w:gridSpan w:val="2"/>
            <w:vMerge w:val="continue"/>
            <w:shd w:val="clear" w:color="auto" w:fill="auto"/>
            <w:vAlign w:val="center"/>
          </w:tcPr>
          <w:p>
            <w:pPr>
              <w:pStyle w:val="232"/>
              <w:rPr>
                <w:color w:val="000000" w:themeColor="text1"/>
                <w:kern w:val="0"/>
                <w:highlight w:val="green"/>
                <w14:textFill>
                  <w14:solidFill>
                    <w14:schemeClr w14:val="tx1"/>
                  </w14:solidFill>
                </w14:textFill>
              </w:rPr>
            </w:pPr>
          </w:p>
        </w:tc>
        <w:tc>
          <w:tcPr>
            <w:tcW w:w="221" w:type="pct"/>
            <w:vMerge w:val="continue"/>
            <w:shd w:val="clear" w:color="auto" w:fill="auto"/>
            <w:vAlign w:val="center"/>
          </w:tcPr>
          <w:p>
            <w:pPr>
              <w:pStyle w:val="232"/>
              <w:rPr>
                <w:color w:val="000000" w:themeColor="text1"/>
                <w:kern w:val="0"/>
                <w:highlight w:val="green"/>
                <w14:textFill>
                  <w14:solidFill>
                    <w14:schemeClr w14:val="tx1"/>
                  </w14:solidFill>
                </w14:textFill>
              </w:rPr>
            </w:pPr>
          </w:p>
        </w:tc>
        <w:tc>
          <w:tcPr>
            <w:tcW w:w="388" w:type="pct"/>
            <w:shd w:val="clear" w:color="auto" w:fill="auto"/>
            <w:vAlign w:val="center"/>
          </w:tcPr>
          <w:p>
            <w:pPr>
              <w:pStyle w:val="232"/>
              <w:rPr>
                <w:rFonts w:hint="default" w:eastAsia="宋体"/>
                <w:color w:val="000000" w:themeColor="text1"/>
                <w:kern w:val="0"/>
                <w:highlight w:val="green"/>
                <w:lang w:val="en-US" w:eastAsia="zh-CN"/>
                <w14:textFill>
                  <w14:solidFill>
                    <w14:schemeClr w14:val="tx1"/>
                  </w14:solidFill>
                </w14:textFill>
              </w:rPr>
            </w:pPr>
            <w:r>
              <w:rPr>
                <w:rFonts w:hint="eastAsia"/>
                <w:color w:val="000000" w:themeColor="text1"/>
                <w:kern w:val="0"/>
                <w:highlight w:val="green"/>
                <w:lang w:val="en-US" w:eastAsia="zh-CN"/>
                <w14:textFill>
                  <w14:solidFill>
                    <w14:schemeClr w14:val="tx1"/>
                  </w14:solidFill>
                </w14:textFill>
              </w:rPr>
              <w:t>/</w:t>
            </w:r>
          </w:p>
        </w:tc>
        <w:tc>
          <w:tcPr>
            <w:tcW w:w="675" w:type="pct"/>
            <w:shd w:val="clear" w:color="auto" w:fill="auto"/>
            <w:vAlign w:val="center"/>
          </w:tcPr>
          <w:p>
            <w:pPr>
              <w:pStyle w:val="232"/>
              <w:rPr>
                <w:color w:val="000000" w:themeColor="text1"/>
                <w:kern w:val="0"/>
                <w:highlight w:val="green"/>
                <w14:textFill>
                  <w14:solidFill>
                    <w14:schemeClr w14:val="tx1"/>
                  </w14:solidFill>
                </w14:textFill>
              </w:rPr>
            </w:pPr>
            <w:r>
              <w:rPr>
                <w:rFonts w:hint="eastAsia"/>
                <w:color w:val="000000" w:themeColor="text1"/>
                <w:kern w:val="0"/>
                <w:highlight w:val="green"/>
                <w14:textFill>
                  <w14:solidFill>
                    <w14:schemeClr w14:val="tx1"/>
                  </w14:solidFill>
                </w14:textFill>
              </w:rPr>
              <w:t>《畜禽养殖业污染物排放标准》（GB18596-2001）</w:t>
            </w:r>
          </w:p>
        </w:tc>
        <w:tc>
          <w:tcPr>
            <w:tcW w:w="148" w:type="pct"/>
            <w:vAlign w:val="center"/>
          </w:tcPr>
          <w:p>
            <w:pPr>
              <w:pStyle w:val="232"/>
              <w:rPr>
                <w:rFonts w:hint="eastAsia"/>
                <w:color w:val="000000" w:themeColor="text1"/>
                <w:kern w:val="0"/>
                <w:highlight w:val="green"/>
                <w14:textFill>
                  <w14:solidFill>
                    <w14:schemeClr w14:val="tx1"/>
                  </w14:solidFill>
                </w14:textFill>
              </w:rPr>
            </w:pPr>
            <w:r>
              <w:rPr>
                <w:rFonts w:hint="eastAsia"/>
                <w:color w:val="000000" w:themeColor="text1"/>
                <w:kern w:val="0"/>
                <w:highlight w:val="green"/>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M3</w:t>
            </w:r>
          </w:p>
        </w:tc>
        <w:tc>
          <w:tcPr>
            <w:tcW w:w="236" w:type="pct"/>
            <w:vMerge w:val="restart"/>
            <w:shd w:val="clear" w:color="auto" w:fill="auto"/>
            <w:vAlign w:val="center"/>
          </w:tcPr>
          <w:p>
            <w:pPr>
              <w:pStyle w:val="232"/>
              <w:rPr>
                <w:rFonts w:hint="eastAsia" w:eastAsia="宋体"/>
                <w:color w:val="000000" w:themeColor="text1"/>
                <w:kern w:val="0"/>
                <w:lang w:eastAsia="zh-CN"/>
                <w14:textFill>
                  <w14:solidFill>
                    <w14:schemeClr w14:val="tx1"/>
                  </w14:solidFill>
                </w14:textFill>
              </w:rPr>
            </w:pPr>
            <w:r>
              <w:rPr>
                <w:rFonts w:hint="eastAsia"/>
                <w:color w:val="92D050"/>
                <w:kern w:val="0"/>
                <w:lang w:eastAsia="zh-CN"/>
              </w:rPr>
              <w:t>有机肥堆场</w:t>
            </w:r>
          </w:p>
        </w:tc>
        <w:tc>
          <w:tcPr>
            <w:tcW w:w="302"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NH</w:t>
            </w:r>
            <w:r>
              <w:rPr>
                <w:rFonts w:hint="eastAsia"/>
                <w:color w:val="000000" w:themeColor="text1"/>
                <w:vertAlign w:val="subscript"/>
                <w14:textFill>
                  <w14:solidFill>
                    <w14:schemeClr w14:val="tx1"/>
                  </w14:solidFill>
                </w14:textFill>
              </w:rPr>
              <w:t>3</w:t>
            </w:r>
          </w:p>
        </w:tc>
        <w:tc>
          <w:tcPr>
            <w:tcW w:w="1349"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FF0000"/>
                <w:szCs w:val="22"/>
              </w:rPr>
              <w:t>本</w:t>
            </w:r>
            <w:r>
              <w:rPr>
                <w:color w:val="FF0000"/>
                <w:szCs w:val="22"/>
              </w:rPr>
              <w:t>项目</w:t>
            </w:r>
            <w:r>
              <w:rPr>
                <w:rFonts w:hint="eastAsia"/>
                <w:color w:val="FF0000"/>
                <w:szCs w:val="22"/>
              </w:rPr>
              <w:t>从饲料中添加EM菌群，能够从源头上减少氨气和硫化氢的产生</w:t>
            </w:r>
            <w:r>
              <w:rPr>
                <w:color w:val="FF0000"/>
              </w:rPr>
              <w:t>，</w:t>
            </w:r>
            <w:r>
              <w:rPr>
                <w:rFonts w:hint="eastAsia"/>
                <w:color w:val="FF0000"/>
              </w:rPr>
              <w:t>并及时对粪便进行清理，同时在栏舍范围内采用生物除臭技术，利用微生物菌群的分解、固化作用对已产生的臭气进行去除，</w:t>
            </w:r>
            <w:r>
              <w:rPr>
                <w:rFonts w:hint="eastAsia"/>
                <w:color w:val="FF0000"/>
                <w:lang w:val="en-US" w:eastAsia="zh-CN"/>
              </w:rPr>
              <w:t>同时</w:t>
            </w:r>
            <w:r>
              <w:rPr>
                <w:rFonts w:hint="eastAsia"/>
                <w:color w:val="FF0000"/>
              </w:rPr>
              <w:t>加强四周场地绿化</w:t>
            </w:r>
            <w:r>
              <w:rPr>
                <w:rFonts w:hint="eastAsia"/>
                <w:color w:val="FF0000"/>
                <w:lang w:eastAsia="zh-CN"/>
              </w:rPr>
              <w:t>，</w:t>
            </w:r>
            <w:r>
              <w:rPr>
                <w:rFonts w:hint="eastAsia"/>
                <w:color w:val="FF0000"/>
              </w:rPr>
              <w:t>在</w:t>
            </w:r>
            <w:r>
              <w:rPr>
                <w:color w:val="FF0000"/>
              </w:rPr>
              <w:t>加强管理的前提下可有效减少恶臭污染物的排放</w:t>
            </w:r>
          </w:p>
        </w:tc>
        <w:tc>
          <w:tcPr>
            <w:tcW w:w="269" w:type="pct"/>
            <w:shd w:val="clear" w:color="auto" w:fill="auto"/>
            <w:vAlign w:val="center"/>
          </w:tcPr>
          <w:p>
            <w:pPr>
              <w:pStyle w:val="232"/>
              <w:rPr>
                <w:rFonts w:hint="eastAsia" w:eastAsia="宋体"/>
                <w:color w:val="000000" w:themeColor="text1"/>
                <w:kern w:val="0"/>
                <w:lang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w:t>
            </w:r>
          </w:p>
        </w:tc>
        <w:tc>
          <w:tcPr>
            <w:tcW w:w="460" w:type="pct"/>
            <w:shd w:val="clear" w:color="auto" w:fill="auto"/>
            <w:vAlign w:val="center"/>
          </w:tcPr>
          <w:p>
            <w:pPr>
              <w:pStyle w:val="232"/>
              <w:rPr>
                <w:rFonts w:hint="default" w:eastAsia="宋体"/>
                <w:color w:val="FF0000"/>
                <w:kern w:val="0"/>
                <w:lang w:val="en-US" w:eastAsia="zh-CN"/>
              </w:rPr>
            </w:pPr>
            <w:r>
              <w:rPr>
                <w:rFonts w:hint="eastAsia"/>
                <w:color w:val="FF0000"/>
                <w:kern w:val="0"/>
                <w:lang w:val="en-US" w:eastAsia="zh-CN"/>
              </w:rPr>
              <w:t>0.122</w:t>
            </w:r>
          </w:p>
        </w:tc>
        <w:tc>
          <w:tcPr>
            <w:tcW w:w="517" w:type="pct"/>
            <w:gridSpan w:val="2"/>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lang w:val="en-US" w:eastAsia="zh-CN"/>
                <w14:textFill>
                  <w14:solidFill>
                    <w14:schemeClr w14:val="tx1"/>
                  </w14:solidFill>
                </w14:textFill>
              </w:rPr>
              <w:t>200</w:t>
            </w:r>
            <w:r>
              <w:rPr>
                <w:rFonts w:hint="eastAsia"/>
                <w:color w:val="000000" w:themeColor="text1"/>
                <w:kern w:val="0"/>
                <w14:textFill>
                  <w14:solidFill>
                    <w14:schemeClr w14:val="tx1"/>
                  </w14:solidFill>
                </w14:textFill>
              </w:rPr>
              <w:t>m×</w:t>
            </w:r>
            <w:r>
              <w:rPr>
                <w:rFonts w:hint="eastAsia"/>
                <w:color w:val="000000" w:themeColor="text1"/>
                <w:kern w:val="0"/>
                <w:lang w:val="en-US" w:eastAsia="zh-CN"/>
                <w14:textFill>
                  <w14:solidFill>
                    <w14:schemeClr w14:val="tx1"/>
                  </w14:solidFill>
                </w14:textFill>
              </w:rPr>
              <w:t>100</w:t>
            </w:r>
            <w:r>
              <w:rPr>
                <w:rFonts w:hint="eastAsia"/>
                <w:color w:val="000000" w:themeColor="text1"/>
                <w:kern w:val="0"/>
                <w14:textFill>
                  <w14:solidFill>
                    <w14:schemeClr w14:val="tx1"/>
                  </w14:solidFill>
                </w14:textFill>
              </w:rPr>
              <w:t>m</w:t>
            </w:r>
          </w:p>
        </w:tc>
        <w:tc>
          <w:tcPr>
            <w:tcW w:w="221"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连续8760</w:t>
            </w:r>
          </w:p>
        </w:tc>
        <w:tc>
          <w:tcPr>
            <w:tcW w:w="388"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《恶臭污染物排放标准》</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（GB14554-1993）</w:t>
            </w:r>
            <w:r>
              <w:rPr>
                <w:rFonts w:hint="eastAsia"/>
                <w:color w:val="000000" w:themeColor="text1"/>
                <w:lang w:bidi="en-US"/>
                <w14:textFill>
                  <w14:solidFill>
                    <w14:schemeClr w14:val="tx1"/>
                  </w14:solidFill>
                </w14:textFill>
              </w:rPr>
              <w:t>厂界标准值</w:t>
            </w: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rPr>
                <w:rFonts w:hint="default"/>
                <w:color w:val="000000" w:themeColor="text1"/>
                <w:lang w:val="en-US"/>
                <w14:textFill>
                  <w14:solidFill>
                    <w14:schemeClr w14:val="tx1"/>
                  </w14:solidFill>
                </w14:textFill>
              </w:rPr>
            </w:pPr>
            <w:r>
              <w:rPr>
                <w:rFonts w:hint="eastAsia"/>
                <w:color w:val="FF0000"/>
                <w:sz w:val="21"/>
                <w:szCs w:val="21"/>
                <w:vertAlign w:val="baseline"/>
                <w:lang w:val="en-US" w:eastAsia="zh-CN"/>
              </w:rPr>
              <w:t>H</w:t>
            </w:r>
            <w:r>
              <w:rPr>
                <w:rFonts w:hint="eastAsia"/>
                <w:color w:val="FF0000"/>
                <w:sz w:val="21"/>
                <w:szCs w:val="21"/>
                <w:vertAlign w:val="subscript"/>
                <w:lang w:val="en-US" w:eastAsia="zh-CN"/>
              </w:rPr>
              <w:t>2</w:t>
            </w:r>
            <w:r>
              <w:rPr>
                <w:rFonts w:hint="eastAsia"/>
                <w:color w:val="FF0000"/>
                <w:sz w:val="21"/>
                <w:szCs w:val="21"/>
                <w:vertAlign w:val="baseline"/>
                <w:lang w:val="en-US" w:eastAsia="zh-CN"/>
              </w:rPr>
              <w:t xml:space="preserve">S </w:t>
            </w:r>
          </w:p>
        </w:tc>
        <w:tc>
          <w:tcPr>
            <w:tcW w:w="1349" w:type="pct"/>
            <w:vMerge w:val="continue"/>
            <w:shd w:val="clear" w:color="auto" w:fill="auto"/>
            <w:vAlign w:val="center"/>
          </w:tcPr>
          <w:p>
            <w:pPr>
              <w:pStyle w:val="232"/>
              <w:rPr>
                <w:color w:val="000000" w:themeColor="text1"/>
                <w:kern w:val="0"/>
                <w14:textFill>
                  <w14:solidFill>
                    <w14:schemeClr w14:val="tx1"/>
                  </w14:solidFill>
                </w14:textFill>
              </w:rPr>
            </w:pP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rFonts w:hint="default" w:eastAsia="宋体"/>
                <w:color w:val="FF0000"/>
                <w:kern w:val="0"/>
                <w:lang w:val="en-US" w:eastAsia="zh-CN"/>
              </w:rPr>
            </w:pPr>
            <w:r>
              <w:rPr>
                <w:rFonts w:hint="eastAsia"/>
                <w:color w:val="FF0000"/>
                <w:kern w:val="0"/>
                <w:lang w:val="en-US" w:eastAsia="zh-CN"/>
              </w:rPr>
              <w:t>0.005</w:t>
            </w:r>
          </w:p>
        </w:tc>
        <w:tc>
          <w:tcPr>
            <w:tcW w:w="517" w:type="pct"/>
            <w:gridSpan w:val="2"/>
            <w:vMerge w:val="continue"/>
            <w:shd w:val="clear" w:color="auto" w:fill="auto"/>
            <w:vAlign w:val="center"/>
          </w:tcPr>
          <w:p>
            <w:pPr>
              <w:pStyle w:val="232"/>
              <w:rPr>
                <w:color w:val="000000" w:themeColor="text1"/>
                <w:kern w:val="0"/>
                <w14:textFill>
                  <w14:solidFill>
                    <w14:schemeClr w14:val="tx1"/>
                  </w14:solidFill>
                </w14:textFill>
              </w:rPr>
            </w:pPr>
          </w:p>
        </w:tc>
        <w:tc>
          <w:tcPr>
            <w:tcW w:w="221" w:type="pct"/>
            <w:vMerge w:val="continue"/>
            <w:shd w:val="clear" w:color="auto" w:fill="auto"/>
            <w:vAlign w:val="center"/>
          </w:tcPr>
          <w:p>
            <w:pPr>
              <w:pStyle w:val="232"/>
              <w:rPr>
                <w:color w:val="000000" w:themeColor="text1"/>
                <w:kern w:val="0"/>
                <w14:textFill>
                  <w14:solidFill>
                    <w14:schemeClr w14:val="tx1"/>
                  </w14:solidFill>
                </w14:textFill>
              </w:rPr>
            </w:pPr>
          </w:p>
        </w:tc>
        <w:tc>
          <w:tcPr>
            <w:tcW w:w="388" w:type="pct"/>
            <w:vMerge w:val="continue"/>
            <w:shd w:val="clear" w:color="auto" w:fill="auto"/>
            <w:vAlign w:val="center"/>
          </w:tcPr>
          <w:p>
            <w:pPr>
              <w:pStyle w:val="232"/>
              <w:rPr>
                <w:color w:val="000000" w:themeColor="text1"/>
                <w:kern w:val="0"/>
                <w14:textFill>
                  <w14:solidFill>
                    <w14:schemeClr w14:val="tx1"/>
                  </w14:solidFill>
                </w14:textFill>
              </w:rPr>
            </w:pPr>
          </w:p>
        </w:tc>
        <w:tc>
          <w:tcPr>
            <w:tcW w:w="675" w:type="pct"/>
            <w:vMerge w:val="continue"/>
            <w:shd w:val="clear" w:color="auto" w:fill="auto"/>
            <w:vAlign w:val="center"/>
          </w:tcPr>
          <w:p>
            <w:pPr>
              <w:spacing w:line="240" w:lineRule="auto"/>
              <w:ind w:firstLine="0" w:firstLineChars="0"/>
              <w:jc w:val="center"/>
              <w:textAlignment w:val="center"/>
              <w:rPr>
                <w:color w:val="000000" w:themeColor="text1"/>
                <w:sz w:val="21"/>
                <w:szCs w:val="21"/>
                <w:lang w:bidi="en-US"/>
                <w14:textFill>
                  <w14:solidFill>
                    <w14:schemeClr w14:val="tx1"/>
                  </w14:solidFill>
                </w14:textFill>
              </w:rPr>
            </w:pP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ind w:firstLine="0" w:firstLineChars="0"/>
              <w:rPr>
                <w:rFonts w:hint="eastAsia" w:ascii="Times New Roman" w:hAnsi="Times New Roman" w:eastAsia="宋体" w:cs="Times New Roman"/>
                <w:color w:val="000000" w:themeColor="text1"/>
                <w:kern w:val="2"/>
                <w:sz w:val="21"/>
                <w:szCs w:val="21"/>
                <w:highlight w:val="green"/>
                <w:lang w:val="en-US" w:eastAsia="zh-CN" w:bidi="ar-SA"/>
                <w14:textFill>
                  <w14:solidFill>
                    <w14:schemeClr w14:val="tx1"/>
                  </w14:solidFill>
                </w14:textFill>
              </w:rPr>
            </w:pPr>
            <w:r>
              <w:rPr>
                <w:rFonts w:hint="eastAsia"/>
                <w:color w:val="000000" w:themeColor="text1"/>
                <w:highlight w:val="green"/>
                <w:lang w:val="en-US" w:eastAsia="zh-CN"/>
                <w14:textFill>
                  <w14:solidFill>
                    <w14:schemeClr w14:val="tx1"/>
                  </w14:solidFill>
                </w14:textFill>
              </w:rPr>
              <w:t>臭气浓度</w:t>
            </w:r>
          </w:p>
        </w:tc>
        <w:tc>
          <w:tcPr>
            <w:tcW w:w="1349" w:type="pct"/>
            <w:vMerge w:val="continue"/>
            <w:shd w:val="clear" w:color="auto" w:fill="auto"/>
            <w:vAlign w:val="center"/>
          </w:tcPr>
          <w:p>
            <w:pPr>
              <w:pStyle w:val="232"/>
              <w:rPr>
                <w:color w:val="000000" w:themeColor="text1"/>
                <w:kern w:val="0"/>
                <w:highlight w:val="green"/>
                <w14:textFill>
                  <w14:solidFill>
                    <w14:schemeClr w14:val="tx1"/>
                  </w14:solidFill>
                </w14:textFill>
              </w:rPr>
            </w:pPr>
          </w:p>
        </w:tc>
        <w:tc>
          <w:tcPr>
            <w:tcW w:w="269" w:type="pct"/>
            <w:shd w:val="clear" w:color="auto" w:fill="auto"/>
            <w:vAlign w:val="center"/>
          </w:tcPr>
          <w:p>
            <w:pPr>
              <w:pStyle w:val="232"/>
              <w:rPr>
                <w:rFonts w:hint="eastAsia" w:eastAsia="宋体"/>
                <w:color w:val="000000" w:themeColor="text1"/>
                <w:kern w:val="0"/>
                <w:highlight w:val="green"/>
                <w:lang w:val="en-US" w:eastAsia="zh-CN"/>
                <w14:textFill>
                  <w14:solidFill>
                    <w14:schemeClr w14:val="tx1"/>
                  </w14:solidFill>
                </w14:textFill>
              </w:rPr>
            </w:pPr>
            <w:r>
              <w:rPr>
                <w:rFonts w:hint="eastAsia"/>
                <w:color w:val="000000" w:themeColor="text1"/>
                <w:kern w:val="0"/>
                <w:highlight w:val="green"/>
                <w:lang w:val="en-US" w:eastAsia="zh-CN"/>
                <w14:textFill>
                  <w14:solidFill>
                    <w14:schemeClr w14:val="tx1"/>
                  </w14:solidFill>
                </w14:textFill>
              </w:rPr>
              <w:t>/</w:t>
            </w:r>
          </w:p>
        </w:tc>
        <w:tc>
          <w:tcPr>
            <w:tcW w:w="460" w:type="pct"/>
            <w:shd w:val="clear" w:color="auto" w:fill="auto"/>
            <w:vAlign w:val="center"/>
          </w:tcPr>
          <w:p>
            <w:pPr>
              <w:pStyle w:val="232"/>
              <w:rPr>
                <w:rFonts w:hint="default"/>
                <w:color w:val="FF0000"/>
                <w:kern w:val="0"/>
                <w:highlight w:val="green"/>
                <w:lang w:val="en-US" w:eastAsia="zh-CN"/>
              </w:rPr>
            </w:pPr>
            <w:r>
              <w:rPr>
                <w:rFonts w:hint="eastAsia"/>
                <w:color w:val="FF0000"/>
                <w:kern w:val="0"/>
                <w:highlight w:val="green"/>
                <w:lang w:val="en-US" w:eastAsia="zh-CN"/>
              </w:rPr>
              <w:t>/</w:t>
            </w:r>
          </w:p>
        </w:tc>
        <w:tc>
          <w:tcPr>
            <w:tcW w:w="517" w:type="pct"/>
            <w:gridSpan w:val="2"/>
            <w:vMerge w:val="continue"/>
            <w:shd w:val="clear" w:color="auto" w:fill="auto"/>
            <w:vAlign w:val="center"/>
          </w:tcPr>
          <w:p>
            <w:pPr>
              <w:pStyle w:val="232"/>
              <w:rPr>
                <w:color w:val="000000" w:themeColor="text1"/>
                <w:kern w:val="0"/>
                <w:highlight w:val="green"/>
                <w14:textFill>
                  <w14:solidFill>
                    <w14:schemeClr w14:val="tx1"/>
                  </w14:solidFill>
                </w14:textFill>
              </w:rPr>
            </w:pPr>
          </w:p>
        </w:tc>
        <w:tc>
          <w:tcPr>
            <w:tcW w:w="221" w:type="pct"/>
            <w:vMerge w:val="continue"/>
            <w:shd w:val="clear" w:color="auto" w:fill="auto"/>
            <w:vAlign w:val="center"/>
          </w:tcPr>
          <w:p>
            <w:pPr>
              <w:pStyle w:val="232"/>
              <w:rPr>
                <w:color w:val="000000" w:themeColor="text1"/>
                <w:kern w:val="0"/>
                <w:highlight w:val="green"/>
                <w14:textFill>
                  <w14:solidFill>
                    <w14:schemeClr w14:val="tx1"/>
                  </w14:solidFill>
                </w14:textFill>
              </w:rPr>
            </w:pPr>
          </w:p>
        </w:tc>
        <w:tc>
          <w:tcPr>
            <w:tcW w:w="388" w:type="pct"/>
            <w:shd w:val="clear" w:color="auto" w:fill="auto"/>
            <w:vAlign w:val="center"/>
          </w:tcPr>
          <w:p>
            <w:pPr>
              <w:pStyle w:val="232"/>
              <w:rPr>
                <w:rFonts w:hint="eastAsia" w:eastAsia="宋体"/>
                <w:color w:val="000000" w:themeColor="text1"/>
                <w:kern w:val="0"/>
                <w:highlight w:val="green"/>
                <w:lang w:val="en-US" w:eastAsia="zh-CN"/>
                <w14:textFill>
                  <w14:solidFill>
                    <w14:schemeClr w14:val="tx1"/>
                  </w14:solidFill>
                </w14:textFill>
              </w:rPr>
            </w:pPr>
            <w:r>
              <w:rPr>
                <w:rFonts w:hint="eastAsia"/>
                <w:color w:val="000000" w:themeColor="text1"/>
                <w:kern w:val="0"/>
                <w:highlight w:val="green"/>
                <w:lang w:val="en-US" w:eastAsia="zh-CN"/>
                <w14:textFill>
                  <w14:solidFill>
                    <w14:schemeClr w14:val="tx1"/>
                  </w14:solidFill>
                </w14:textFill>
              </w:rPr>
              <w:t>/</w:t>
            </w:r>
          </w:p>
        </w:tc>
        <w:tc>
          <w:tcPr>
            <w:tcW w:w="675" w:type="pct"/>
            <w:shd w:val="clear" w:color="auto" w:fill="auto"/>
            <w:vAlign w:val="center"/>
          </w:tcPr>
          <w:p>
            <w:pPr>
              <w:spacing w:line="240" w:lineRule="auto"/>
              <w:ind w:firstLine="0" w:firstLineChars="0"/>
              <w:jc w:val="center"/>
              <w:textAlignment w:val="center"/>
              <w:rPr>
                <w:color w:val="000000" w:themeColor="text1"/>
                <w:sz w:val="21"/>
                <w:szCs w:val="21"/>
                <w:highlight w:val="green"/>
                <w:lang w:bidi="en-US"/>
                <w14:textFill>
                  <w14:solidFill>
                    <w14:schemeClr w14:val="tx1"/>
                  </w14:solidFill>
                </w14:textFill>
              </w:rPr>
            </w:pPr>
            <w:r>
              <w:rPr>
                <w:rFonts w:hint="eastAsia" w:ascii="Times New Roman" w:hAnsi="Times New Roman" w:eastAsia="宋体" w:cs="Times New Roman"/>
                <w:color w:val="000000" w:themeColor="text1"/>
                <w:kern w:val="0"/>
                <w:sz w:val="21"/>
                <w:szCs w:val="21"/>
                <w:highlight w:val="green"/>
                <w:lang w:val="en-US" w:eastAsia="zh-CN" w:bidi="ar-SA"/>
                <w14:textFill>
                  <w14:solidFill>
                    <w14:schemeClr w14:val="tx1"/>
                  </w14:solidFill>
                </w14:textFill>
              </w:rPr>
              <w:t>《畜禽养殖业污染物排放标准》（GB18596-2001）中臭气浓度的限值要求</w:t>
            </w:r>
          </w:p>
        </w:tc>
        <w:tc>
          <w:tcPr>
            <w:tcW w:w="148" w:type="pct"/>
            <w:vAlign w:val="center"/>
          </w:tcPr>
          <w:p>
            <w:pPr>
              <w:pStyle w:val="232"/>
              <w:rPr>
                <w:rFonts w:hint="default" w:eastAsia="宋体"/>
                <w:color w:val="000000" w:themeColor="text1"/>
                <w:kern w:val="0"/>
                <w:highlight w:val="green"/>
                <w:lang w:val="en-US" w:eastAsia="zh-CN"/>
                <w14:textFill>
                  <w14:solidFill>
                    <w14:schemeClr w14:val="tx1"/>
                  </w14:solidFill>
                </w14:textFill>
              </w:rPr>
            </w:pPr>
            <w:r>
              <w:rPr>
                <w:rFonts w:hint="eastAsia"/>
                <w:color w:val="000000" w:themeColor="text1"/>
                <w:kern w:val="0"/>
                <w:highlight w:val="green"/>
                <w:lang w:val="en-US" w:eastAsia="zh-CN"/>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M4</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TA001</w:t>
            </w:r>
          </w:p>
        </w:tc>
        <w:tc>
          <w:tcPr>
            <w:tcW w:w="236"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动物尸体无害化车间</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NH</w:t>
            </w:r>
            <w:r>
              <w:rPr>
                <w:rFonts w:hint="eastAsia"/>
                <w:color w:val="000000" w:themeColor="text1"/>
                <w:vertAlign w:val="subscript"/>
                <w14:textFill>
                  <w14:solidFill>
                    <w14:schemeClr w14:val="tx1"/>
                  </w14:solidFill>
                </w14:textFill>
              </w:rPr>
              <w:t>3</w:t>
            </w:r>
          </w:p>
        </w:tc>
        <w:tc>
          <w:tcPr>
            <w:tcW w:w="1349"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FF0000"/>
                <w:kern w:val="0"/>
              </w:rPr>
              <w:t>一体式无害化处理设置密闭车间，做顶部集气装置，</w:t>
            </w:r>
            <w:r>
              <w:rPr>
                <w:rFonts w:hint="eastAsia"/>
                <w:color w:val="FF0000"/>
                <w:kern w:val="0"/>
                <w:lang w:val="en-US" w:eastAsia="zh-CN"/>
              </w:rPr>
              <w:t>通过</w:t>
            </w:r>
            <w:r>
              <w:rPr>
                <w:rFonts w:hint="eastAsia"/>
                <w:color w:val="FF0000"/>
                <w:kern w:val="0"/>
              </w:rPr>
              <w:t>一套生物除臭塔进行处理后由车间排气筒DA001（15m高）排放，剩余未吸收部分以无组织形式M4排放</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0.16</w:t>
            </w:r>
          </w:p>
        </w:tc>
        <w:tc>
          <w:tcPr>
            <w:tcW w:w="460" w:type="pct"/>
            <w:shd w:val="clear" w:color="auto" w:fill="auto"/>
            <w:vAlign w:val="center"/>
          </w:tcPr>
          <w:p>
            <w:pPr>
              <w:pStyle w:val="232"/>
              <w:rPr>
                <w:color w:val="000000" w:themeColor="text1"/>
                <w:kern w:val="0"/>
                <w:vertAlign w:val="superscript"/>
                <w14:textFill>
                  <w14:solidFill>
                    <w14:schemeClr w14:val="tx1"/>
                  </w14:solidFill>
                </w14:textFill>
              </w:rPr>
            </w:pPr>
            <w:r>
              <w:rPr>
                <w:rFonts w:hint="eastAsia"/>
                <w:color w:val="000000" w:themeColor="text1"/>
                <w:kern w:val="0"/>
                <w14:textFill>
                  <w14:solidFill>
                    <w14:schemeClr w14:val="tx1"/>
                  </w14:solidFill>
                </w14:textFill>
              </w:rPr>
              <w:t>0.</w:t>
            </w:r>
            <w:r>
              <w:rPr>
                <w:rFonts w:hint="eastAsia"/>
                <w:color w:val="000000" w:themeColor="text1"/>
                <w:kern w:val="0"/>
                <w:lang w:val="en-US" w:eastAsia="zh-CN"/>
                <w14:textFill>
                  <w14:solidFill>
                    <w14:schemeClr w14:val="tx1"/>
                  </w14:solidFill>
                </w14:textFill>
              </w:rPr>
              <w:t>49</w:t>
            </w:r>
            <w:r>
              <w:rPr>
                <w:rFonts w:hint="eastAsia"/>
                <w:color w:val="000000" w:themeColor="text1"/>
                <w:kern w:val="0"/>
                <w14:textFill>
                  <w14:solidFill>
                    <w14:schemeClr w14:val="tx1"/>
                  </w14:solidFill>
                </w14:textFill>
              </w:rPr>
              <w:t>×10</w:t>
            </w:r>
            <w:r>
              <w:rPr>
                <w:rFonts w:hint="eastAsia"/>
                <w:color w:val="000000" w:themeColor="text1"/>
                <w:kern w:val="0"/>
                <w:vertAlign w:val="superscript"/>
                <w14:textFill>
                  <w14:solidFill>
                    <w14:schemeClr w14:val="tx1"/>
                  </w14:solidFill>
                </w14:textFill>
              </w:rPr>
              <w:t>-3</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（其中有组织排放量0.23kg/a，剩余</w:t>
            </w:r>
            <w:r>
              <w:rPr>
                <w:rFonts w:hint="eastAsia"/>
                <w:color w:val="000000" w:themeColor="text1"/>
                <w:kern w:val="0"/>
                <w:lang w:val="en-US" w:eastAsia="zh-CN"/>
                <w14:textFill>
                  <w14:solidFill>
                    <w14:schemeClr w14:val="tx1"/>
                  </w14:solidFill>
                </w14:textFill>
              </w:rPr>
              <w:t>未收集部分</w:t>
            </w:r>
            <w:r>
              <w:rPr>
                <w:rFonts w:hint="eastAsia"/>
                <w:color w:val="FF0000"/>
                <w:kern w:val="0"/>
              </w:rPr>
              <w:t>0.</w:t>
            </w:r>
            <w:r>
              <w:rPr>
                <w:rFonts w:hint="eastAsia"/>
                <w:color w:val="FF0000"/>
                <w:kern w:val="0"/>
                <w:lang w:val="en-US" w:eastAsia="zh-CN"/>
              </w:rPr>
              <w:t>26</w:t>
            </w:r>
            <w:r>
              <w:rPr>
                <w:rFonts w:hint="eastAsia"/>
                <w:color w:val="FF0000"/>
                <w:kern w:val="0"/>
              </w:rPr>
              <w:t>kg/a</w:t>
            </w:r>
            <w:r>
              <w:rPr>
                <w:rFonts w:hint="eastAsia"/>
                <w:color w:val="000000" w:themeColor="text1"/>
                <w:kern w:val="0"/>
                <w14:textFill>
                  <w14:solidFill>
                    <w14:schemeClr w14:val="tx1"/>
                  </w14:solidFill>
                </w14:textFill>
              </w:rPr>
              <w:t>以无组织形式排放）</w:t>
            </w:r>
          </w:p>
        </w:tc>
        <w:tc>
          <w:tcPr>
            <w:tcW w:w="299" w:type="pct"/>
            <w:vMerge w:val="restart"/>
            <w:shd w:val="clear" w:color="auto" w:fill="auto"/>
            <w:vAlign w:val="center"/>
          </w:tcPr>
          <w:p>
            <w:pPr>
              <w:pStyle w:val="232"/>
              <w:rPr>
                <w:rFonts w:hint="eastAsia"/>
                <w:color w:val="FF0000"/>
                <w:kern w:val="0"/>
                <w:lang w:val="en-US" w:eastAsia="zh-CN"/>
              </w:rPr>
            </w:pPr>
            <w:r>
              <w:rPr>
                <w:rFonts w:hint="eastAsia"/>
                <w:color w:val="FF0000"/>
                <w:kern w:val="0"/>
                <w:lang w:val="en-US" w:eastAsia="zh-CN"/>
              </w:rPr>
              <w:t>15m</w:t>
            </w:r>
          </w:p>
          <w:p>
            <w:pPr>
              <w:pStyle w:val="232"/>
              <w:rPr>
                <w:rFonts w:hint="eastAsia"/>
                <w:color w:val="FF0000"/>
                <w:kern w:val="0"/>
                <w:lang w:val="en-US" w:eastAsia="zh-CN"/>
              </w:rPr>
            </w:pPr>
            <w:r>
              <w:rPr>
                <w:rFonts w:hint="eastAsia"/>
                <w:color w:val="FF0000"/>
                <w:kern w:val="0"/>
                <w:lang w:val="en-US" w:eastAsia="zh-CN"/>
              </w:rPr>
              <w:t>×</w:t>
            </w:r>
          </w:p>
          <w:p>
            <w:pPr>
              <w:pStyle w:val="232"/>
              <w:rPr>
                <w:rFonts w:hint="default"/>
                <w:color w:val="FF0000"/>
                <w:kern w:val="0"/>
                <w:lang w:val="en-US" w:eastAsia="zh-CN"/>
              </w:rPr>
            </w:pPr>
            <w:r>
              <w:rPr>
                <w:rFonts w:hint="eastAsia"/>
                <w:color w:val="FF0000"/>
                <w:kern w:val="0"/>
                <w:lang w:val="en-US" w:eastAsia="zh-CN"/>
              </w:rPr>
              <w:t>0.5m</w:t>
            </w:r>
          </w:p>
        </w:tc>
        <w:tc>
          <w:tcPr>
            <w:tcW w:w="218" w:type="pct"/>
            <w:vMerge w:val="restart"/>
            <w:shd w:val="clear" w:color="auto" w:fill="auto"/>
            <w:vAlign w:val="center"/>
          </w:tcPr>
          <w:p>
            <w:pPr>
              <w:pStyle w:val="232"/>
              <w:rPr>
                <w:rFonts w:hint="default"/>
                <w:color w:val="FF0000"/>
                <w:kern w:val="0"/>
                <w:lang w:val="en-US" w:eastAsia="zh-CN"/>
              </w:rPr>
            </w:pPr>
            <w:r>
              <w:rPr>
                <w:rFonts w:hint="eastAsia"/>
                <w:color w:val="FF0000"/>
                <w:kern w:val="0"/>
                <w:lang w:val="en-US" w:eastAsia="zh-CN"/>
              </w:rPr>
              <w:t>60</w:t>
            </w:r>
          </w:p>
        </w:tc>
        <w:tc>
          <w:tcPr>
            <w:tcW w:w="221"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间断1320</w:t>
            </w:r>
          </w:p>
        </w:tc>
        <w:tc>
          <w:tcPr>
            <w:tcW w:w="388" w:type="pct"/>
            <w:vMerge w:val="restart"/>
            <w:shd w:val="clear" w:color="auto" w:fill="auto"/>
            <w:vAlign w:val="center"/>
          </w:tcPr>
          <w:p>
            <w:pPr>
              <w:pStyle w:val="232"/>
              <w:rPr>
                <w:rFonts w:hint="eastAsia"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w:t>
            </w:r>
          </w:p>
        </w:tc>
        <w:tc>
          <w:tcPr>
            <w:tcW w:w="675" w:type="pct"/>
            <w:vMerge w:val="restart"/>
            <w:shd w:val="clear" w:color="auto" w:fill="auto"/>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《恶臭污染物排放标准》</w:t>
            </w:r>
          </w:p>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w:t>
            </w:r>
            <w:r>
              <w:rPr>
                <w:color w:val="000000" w:themeColor="text1"/>
                <w:lang w:bidi="en-US"/>
                <w14:textFill>
                  <w14:solidFill>
                    <w14:schemeClr w14:val="tx1"/>
                  </w14:solidFill>
                </w14:textFill>
              </w:rPr>
              <w:t>GB14554-1993</w:t>
            </w: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H</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S</w:t>
            </w:r>
          </w:p>
        </w:tc>
        <w:tc>
          <w:tcPr>
            <w:tcW w:w="1349" w:type="pct"/>
            <w:vMerge w:val="continue"/>
            <w:shd w:val="clear" w:color="auto" w:fill="auto"/>
            <w:vAlign w:val="center"/>
          </w:tcPr>
          <w:p>
            <w:pPr>
              <w:pStyle w:val="232"/>
              <w:rPr>
                <w:color w:val="000000" w:themeColor="text1"/>
                <w:kern w:val="0"/>
                <w14:textFill>
                  <w14:solidFill>
                    <w14:schemeClr w14:val="tx1"/>
                  </w14:solidFill>
                </w14:textFill>
              </w:rPr>
            </w:pP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0.06</w:t>
            </w:r>
          </w:p>
        </w:tc>
        <w:tc>
          <w:tcPr>
            <w:tcW w:w="460" w:type="pct"/>
            <w:shd w:val="clear" w:color="auto" w:fill="auto"/>
            <w:vAlign w:val="center"/>
          </w:tcPr>
          <w:p>
            <w:pPr>
              <w:pStyle w:val="232"/>
              <w:rPr>
                <w:color w:val="000000" w:themeColor="text1"/>
                <w:kern w:val="0"/>
                <w:vertAlign w:val="superscript"/>
                <w14:textFill>
                  <w14:solidFill>
                    <w14:schemeClr w14:val="tx1"/>
                  </w14:solidFill>
                </w14:textFill>
              </w:rPr>
            </w:pPr>
            <w:r>
              <w:rPr>
                <w:rFonts w:hint="eastAsia"/>
                <w:color w:val="000000" w:themeColor="text1"/>
                <w:kern w:val="0"/>
                <w14:textFill>
                  <w14:solidFill>
                    <w14:schemeClr w14:val="tx1"/>
                  </w14:solidFill>
                </w14:textFill>
              </w:rPr>
              <w:t>0.</w:t>
            </w:r>
            <w:r>
              <w:rPr>
                <w:rFonts w:hint="eastAsia"/>
                <w:color w:val="000000" w:themeColor="text1"/>
                <w:kern w:val="0"/>
                <w:lang w:val="en-US" w:eastAsia="zh-CN"/>
                <w14:textFill>
                  <w14:solidFill>
                    <w14:schemeClr w14:val="tx1"/>
                  </w14:solidFill>
                </w14:textFill>
              </w:rPr>
              <w:t>17</w:t>
            </w:r>
            <w:r>
              <w:rPr>
                <w:rFonts w:hint="eastAsia"/>
                <w:color w:val="000000" w:themeColor="text1"/>
                <w:kern w:val="0"/>
                <w14:textFill>
                  <w14:solidFill>
                    <w14:schemeClr w14:val="tx1"/>
                  </w14:solidFill>
                </w14:textFill>
              </w:rPr>
              <w:t>×10</w:t>
            </w:r>
            <w:r>
              <w:rPr>
                <w:rFonts w:hint="eastAsia"/>
                <w:color w:val="000000" w:themeColor="text1"/>
                <w:kern w:val="0"/>
                <w:vertAlign w:val="superscript"/>
                <w14:textFill>
                  <w14:solidFill>
                    <w14:schemeClr w14:val="tx1"/>
                  </w14:solidFill>
                </w14:textFill>
              </w:rPr>
              <w:t>-3</w:t>
            </w:r>
          </w:p>
          <w:p>
            <w:pPr>
              <w:pStyle w:val="232"/>
              <w:rPr>
                <w:color w:val="000000" w:themeColor="text1"/>
                <w:kern w:val="0"/>
                <w:vertAlign w:val="superscript"/>
                <w14:textFill>
                  <w14:solidFill>
                    <w14:schemeClr w14:val="tx1"/>
                  </w14:solidFill>
                </w14:textFill>
              </w:rPr>
            </w:pPr>
            <w:r>
              <w:rPr>
                <w:rFonts w:hint="eastAsia"/>
                <w:color w:val="000000" w:themeColor="text1"/>
                <w:kern w:val="0"/>
                <w14:textFill>
                  <w14:solidFill>
                    <w14:schemeClr w14:val="tx1"/>
                  </w14:solidFill>
                </w14:textFill>
              </w:rPr>
              <w:t>（其中有组织排放量0.08kg/a，剩余未收集部分剩余</w:t>
            </w:r>
            <w:r>
              <w:rPr>
                <w:rFonts w:hint="eastAsia"/>
                <w:color w:val="FF0000"/>
                <w:kern w:val="0"/>
              </w:rPr>
              <w:t>0.</w:t>
            </w:r>
            <w:r>
              <w:rPr>
                <w:rFonts w:hint="eastAsia"/>
                <w:color w:val="FF0000"/>
                <w:kern w:val="0"/>
                <w:lang w:val="en-US" w:eastAsia="zh-CN"/>
              </w:rPr>
              <w:t>09</w:t>
            </w:r>
            <w:r>
              <w:rPr>
                <w:rFonts w:hint="eastAsia"/>
                <w:color w:val="FF0000"/>
                <w:kern w:val="0"/>
              </w:rPr>
              <w:t>kg/a</w:t>
            </w:r>
            <w:r>
              <w:rPr>
                <w:rFonts w:hint="eastAsia"/>
                <w:color w:val="000000" w:themeColor="text1"/>
                <w:kern w:val="0"/>
                <w14:textFill>
                  <w14:solidFill>
                    <w14:schemeClr w14:val="tx1"/>
                  </w14:solidFill>
                </w14:textFill>
              </w:rPr>
              <w:t>以无组织形式排放）</w:t>
            </w:r>
          </w:p>
        </w:tc>
        <w:tc>
          <w:tcPr>
            <w:tcW w:w="299" w:type="pct"/>
            <w:vMerge w:val="continue"/>
            <w:shd w:val="clear" w:color="auto" w:fill="auto"/>
            <w:vAlign w:val="center"/>
          </w:tcPr>
          <w:p>
            <w:pPr>
              <w:pStyle w:val="232"/>
              <w:rPr>
                <w:color w:val="000000" w:themeColor="text1"/>
                <w:kern w:val="0"/>
                <w14:textFill>
                  <w14:solidFill>
                    <w14:schemeClr w14:val="tx1"/>
                  </w14:solidFill>
                </w14:textFill>
              </w:rPr>
            </w:pPr>
          </w:p>
        </w:tc>
        <w:tc>
          <w:tcPr>
            <w:tcW w:w="218" w:type="pct"/>
            <w:vMerge w:val="continue"/>
            <w:shd w:val="clear" w:color="auto" w:fill="auto"/>
            <w:vAlign w:val="center"/>
          </w:tcPr>
          <w:p>
            <w:pPr>
              <w:pStyle w:val="232"/>
              <w:rPr>
                <w:color w:val="000000" w:themeColor="text1"/>
                <w:kern w:val="0"/>
                <w14:textFill>
                  <w14:solidFill>
                    <w14:schemeClr w14:val="tx1"/>
                  </w14:solidFill>
                </w14:textFill>
              </w:rPr>
            </w:pPr>
          </w:p>
        </w:tc>
        <w:tc>
          <w:tcPr>
            <w:tcW w:w="221" w:type="pct"/>
            <w:vMerge w:val="continue"/>
            <w:shd w:val="clear" w:color="auto" w:fill="auto"/>
            <w:vAlign w:val="center"/>
          </w:tcPr>
          <w:p>
            <w:pPr>
              <w:pStyle w:val="232"/>
              <w:rPr>
                <w:color w:val="000000" w:themeColor="text1"/>
                <w:kern w:val="0"/>
                <w14:textFill>
                  <w14:solidFill>
                    <w14:schemeClr w14:val="tx1"/>
                  </w14:solidFill>
                </w14:textFill>
              </w:rPr>
            </w:pPr>
          </w:p>
        </w:tc>
        <w:tc>
          <w:tcPr>
            <w:tcW w:w="388" w:type="pct"/>
            <w:vMerge w:val="continue"/>
            <w:shd w:val="clear" w:color="auto" w:fill="auto"/>
            <w:vAlign w:val="center"/>
          </w:tcPr>
          <w:p>
            <w:pPr>
              <w:pStyle w:val="232"/>
              <w:rPr>
                <w:color w:val="000000" w:themeColor="text1"/>
                <w:kern w:val="0"/>
                <w14:textFill>
                  <w14:solidFill>
                    <w14:schemeClr w14:val="tx1"/>
                  </w14:solidFill>
                </w14:textFill>
              </w:rPr>
            </w:pPr>
          </w:p>
        </w:tc>
        <w:tc>
          <w:tcPr>
            <w:tcW w:w="675" w:type="pct"/>
            <w:vMerge w:val="continue"/>
            <w:shd w:val="clear" w:color="auto" w:fill="auto"/>
            <w:vAlign w:val="center"/>
          </w:tcPr>
          <w:p>
            <w:pPr>
              <w:pStyle w:val="232"/>
              <w:rPr>
                <w:color w:val="000000" w:themeColor="text1"/>
                <w:kern w:val="0"/>
                <w14:textFill>
                  <w14:solidFill>
                    <w14:schemeClr w14:val="tx1"/>
                  </w14:solidFill>
                </w14:textFill>
              </w:rPr>
            </w:pP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vMerge w:val="continue"/>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臭气浓度</w:t>
            </w:r>
          </w:p>
        </w:tc>
        <w:tc>
          <w:tcPr>
            <w:tcW w:w="1349" w:type="pct"/>
            <w:vMerge w:val="continue"/>
            <w:shd w:val="clear" w:color="auto" w:fill="auto"/>
            <w:vAlign w:val="center"/>
          </w:tcPr>
          <w:p>
            <w:pPr>
              <w:pStyle w:val="232"/>
              <w:rPr>
                <w:color w:val="000000" w:themeColor="text1"/>
                <w:kern w:val="0"/>
                <w14:textFill>
                  <w14:solidFill>
                    <w14:schemeClr w14:val="tx1"/>
                  </w14:solidFill>
                </w14:textFill>
              </w:rPr>
            </w:pPr>
          </w:p>
        </w:tc>
        <w:tc>
          <w:tcPr>
            <w:tcW w:w="269" w:type="pct"/>
            <w:shd w:val="clear" w:color="auto" w:fill="auto"/>
            <w:vAlign w:val="center"/>
          </w:tcPr>
          <w:p>
            <w:pPr>
              <w:pStyle w:val="232"/>
              <w:rPr>
                <w:rFonts w:hint="eastAsia"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w:t>
            </w:r>
          </w:p>
        </w:tc>
        <w:tc>
          <w:tcPr>
            <w:tcW w:w="460" w:type="pct"/>
            <w:shd w:val="clear" w:color="auto" w:fill="auto"/>
            <w:vAlign w:val="center"/>
          </w:tcPr>
          <w:p>
            <w:pPr>
              <w:pStyle w:val="232"/>
              <w:rPr>
                <w:rFonts w:hint="eastAsia"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w:t>
            </w:r>
          </w:p>
        </w:tc>
        <w:tc>
          <w:tcPr>
            <w:tcW w:w="299" w:type="pct"/>
            <w:shd w:val="clear" w:color="auto" w:fill="auto"/>
            <w:vAlign w:val="center"/>
          </w:tcPr>
          <w:p>
            <w:pPr>
              <w:pStyle w:val="232"/>
              <w:rPr>
                <w:rFonts w:hint="eastAsia"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w:t>
            </w:r>
          </w:p>
        </w:tc>
        <w:tc>
          <w:tcPr>
            <w:tcW w:w="218" w:type="pct"/>
            <w:vMerge w:val="continue"/>
            <w:shd w:val="clear" w:color="auto" w:fill="auto"/>
            <w:vAlign w:val="center"/>
          </w:tcPr>
          <w:p>
            <w:pPr>
              <w:pStyle w:val="232"/>
              <w:rPr>
                <w:color w:val="000000" w:themeColor="text1"/>
                <w:kern w:val="0"/>
                <w14:textFill>
                  <w14:solidFill>
                    <w14:schemeClr w14:val="tx1"/>
                  </w14:solidFill>
                </w14:textFill>
              </w:rPr>
            </w:pPr>
          </w:p>
        </w:tc>
        <w:tc>
          <w:tcPr>
            <w:tcW w:w="221" w:type="pct"/>
            <w:vMerge w:val="continue"/>
            <w:shd w:val="clear" w:color="auto" w:fill="auto"/>
            <w:vAlign w:val="center"/>
          </w:tcPr>
          <w:p>
            <w:pPr>
              <w:pStyle w:val="232"/>
              <w:rPr>
                <w:color w:val="000000" w:themeColor="text1"/>
                <w:kern w:val="0"/>
                <w14:textFill>
                  <w14:solidFill>
                    <w14:schemeClr w14:val="tx1"/>
                  </w14:solidFill>
                </w14:textFill>
              </w:rPr>
            </w:pPr>
          </w:p>
        </w:tc>
        <w:tc>
          <w:tcPr>
            <w:tcW w:w="388" w:type="pct"/>
            <w:shd w:val="clear" w:color="auto" w:fill="auto"/>
            <w:vAlign w:val="center"/>
          </w:tcPr>
          <w:p>
            <w:pPr>
              <w:pStyle w:val="232"/>
              <w:rPr>
                <w:rFonts w:hint="eastAsia" w:eastAsia="宋体"/>
                <w:color w:val="000000" w:themeColor="text1"/>
                <w:kern w:val="0"/>
                <w:lang w:val="en-US" w:eastAsia="zh-CN"/>
                <w14:textFill>
                  <w14:solidFill>
                    <w14:schemeClr w14:val="tx1"/>
                  </w14:solidFill>
                </w14:textFill>
              </w:rPr>
            </w:pPr>
            <w:r>
              <w:rPr>
                <w:rFonts w:hint="eastAsia"/>
                <w:color w:val="000000" w:themeColor="text1"/>
                <w:kern w:val="0"/>
                <w:lang w:val="en-US" w:eastAsia="zh-CN"/>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《畜禽养殖业污染物排放标准》（GB18596-2001）中臭气浓度的限值要求</w:t>
            </w:r>
          </w:p>
        </w:tc>
        <w:tc>
          <w:tcPr>
            <w:tcW w:w="148" w:type="pct"/>
            <w:vAlign w:val="center"/>
          </w:tcPr>
          <w:p>
            <w:pPr>
              <w:pStyle w:val="232"/>
              <w:ind w:firstLine="0" w:firstLineChars="0"/>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废水</w:t>
            </w: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W1</w:t>
            </w: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羊尿</w:t>
            </w:r>
          </w:p>
        </w:tc>
        <w:tc>
          <w:tcPr>
            <w:tcW w:w="302" w:type="pct"/>
            <w:shd w:val="clear" w:color="auto" w:fill="auto"/>
            <w:vAlign w:val="center"/>
          </w:tcPr>
          <w:p>
            <w:pPr>
              <w:pStyle w:val="232"/>
              <w:rPr>
                <w:color w:val="000000" w:themeColor="text1"/>
                <w:kern w:val="0"/>
                <w14:textFill>
                  <w14:solidFill>
                    <w14:schemeClr w14:val="tx1"/>
                  </w14:solidFill>
                </w14:textFill>
              </w:rPr>
            </w:pPr>
            <w:r>
              <w:rPr>
                <w:color w:val="000000" w:themeColor="text1"/>
                <w:kern w:val="0"/>
                <w14:textFill>
                  <w14:solidFill>
                    <w14:schemeClr w14:val="tx1"/>
                  </w14:solidFill>
                </w14:textFill>
              </w:rPr>
              <w:t>COD</w:t>
            </w:r>
            <w:r>
              <w:rPr>
                <w:rFonts w:hint="eastAsia"/>
                <w:color w:val="000000" w:themeColor="text1"/>
                <w:kern w:val="0"/>
                <w14:textFill>
                  <w14:solidFill>
                    <w14:schemeClr w14:val="tx1"/>
                  </w14:solidFill>
                </w14:textFill>
              </w:rPr>
              <w:t>、氨氮</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项目不单独对羊尿进行收集，随粪便漏入羊舍下层粪污通道后，采用干清粪法将其一同清入堆肥平台进行发酵</w:t>
            </w:r>
          </w:p>
        </w:tc>
        <w:tc>
          <w:tcPr>
            <w:tcW w:w="269" w:type="pct"/>
            <w:shd w:val="clear" w:color="auto" w:fill="auto"/>
            <w:vAlign w:val="center"/>
          </w:tcPr>
          <w:p>
            <w:pPr>
              <w:pStyle w:val="232"/>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p>
        </w:tc>
        <w:tc>
          <w:tcPr>
            <w:tcW w:w="460" w:type="pct"/>
            <w:shd w:val="clear" w:color="auto" w:fill="auto"/>
            <w:vAlign w:val="center"/>
          </w:tcPr>
          <w:p>
            <w:pPr>
              <w:pStyle w:val="232"/>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p>
        </w:tc>
        <w:tc>
          <w:tcPr>
            <w:tcW w:w="29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1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21"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14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W2</w:t>
            </w: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生活污水</w:t>
            </w:r>
          </w:p>
        </w:tc>
        <w:tc>
          <w:tcPr>
            <w:tcW w:w="302" w:type="pct"/>
            <w:shd w:val="clear" w:color="auto" w:fill="auto"/>
            <w:vAlign w:val="center"/>
          </w:tcPr>
          <w:p>
            <w:pPr>
              <w:pStyle w:val="232"/>
              <w:rPr>
                <w:color w:val="000000" w:themeColor="text1"/>
                <w:kern w:val="0"/>
                <w14:textFill>
                  <w14:solidFill>
                    <w14:schemeClr w14:val="tx1"/>
                  </w14:solidFill>
                </w14:textFill>
              </w:rPr>
            </w:pPr>
            <w:r>
              <w:rPr>
                <w:color w:val="000000" w:themeColor="text1"/>
                <w:kern w:val="0"/>
                <w14:textFill>
                  <w14:solidFill>
                    <w14:schemeClr w14:val="tx1"/>
                  </w14:solidFill>
                </w14:textFill>
              </w:rPr>
              <w:t>COD</w:t>
            </w:r>
            <w:r>
              <w:rPr>
                <w:rFonts w:hint="eastAsia"/>
                <w:color w:val="000000" w:themeColor="text1"/>
                <w:kern w:val="0"/>
                <w14:textFill>
                  <w14:solidFill>
                    <w14:schemeClr w14:val="tx1"/>
                  </w14:solidFill>
                </w14:textFill>
              </w:rPr>
              <w:t>、氨氮、</w:t>
            </w:r>
            <w:r>
              <w:rPr>
                <w:color w:val="000000" w:themeColor="text1"/>
                <w:kern w:val="0"/>
                <w14:textFill>
                  <w14:solidFill>
                    <w14:schemeClr w14:val="tx1"/>
                  </w14:solidFill>
                </w14:textFill>
              </w:rPr>
              <w:t>SS</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FF0000"/>
                <w:kern w:val="0"/>
              </w:rPr>
              <w:t>生活污水经化粪池处理后定期委托</w:t>
            </w:r>
            <w:r>
              <w:rPr>
                <w:rFonts w:hint="eastAsia"/>
                <w:color w:val="FF0000"/>
                <w:kern w:val="0"/>
                <w:highlight w:val="green"/>
                <w:lang w:eastAsia="zh-CN"/>
              </w:rPr>
              <w:t>五原县塔尔湖污水处理厂</w:t>
            </w:r>
            <w:r>
              <w:rPr>
                <w:rFonts w:hint="eastAsia"/>
                <w:color w:val="FF0000"/>
                <w:kern w:val="0"/>
              </w:rPr>
              <w:t>采用罐车清运处理</w:t>
            </w:r>
          </w:p>
        </w:tc>
        <w:tc>
          <w:tcPr>
            <w:tcW w:w="269" w:type="pct"/>
            <w:shd w:val="clear" w:color="auto" w:fill="auto"/>
            <w:vAlign w:val="center"/>
          </w:tcPr>
          <w:p>
            <w:pPr>
              <w:pStyle w:val="232"/>
              <w:rPr>
                <w:rFonts w:cs="宋体"/>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w:t>
            </w:r>
          </w:p>
        </w:tc>
        <w:tc>
          <w:tcPr>
            <w:tcW w:w="460" w:type="pct"/>
            <w:shd w:val="clear" w:color="auto" w:fill="auto"/>
            <w:vAlign w:val="center"/>
          </w:tcPr>
          <w:p>
            <w:pPr>
              <w:pStyle w:val="232"/>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p>
        </w:tc>
        <w:tc>
          <w:tcPr>
            <w:tcW w:w="299" w:type="pct"/>
            <w:shd w:val="clear" w:color="auto" w:fill="auto"/>
            <w:vAlign w:val="center"/>
          </w:tcPr>
          <w:p>
            <w:pPr>
              <w:pStyle w:val="232"/>
              <w:rPr>
                <w:color w:val="000000" w:themeColor="text1"/>
                <w:kern w:val="0"/>
                <w14:textFill>
                  <w14:solidFill>
                    <w14:schemeClr w14:val="tx1"/>
                  </w14:solidFill>
                </w14:textFill>
              </w:rPr>
            </w:pPr>
            <w:r>
              <w:rPr>
                <w:color w:val="000000" w:themeColor="text1"/>
                <w:kern w:val="0"/>
                <w14:textFill>
                  <w14:solidFill>
                    <w14:schemeClr w14:val="tx1"/>
                  </w14:solidFill>
                </w14:textFill>
              </w:rPr>
              <w:t>/</w:t>
            </w:r>
          </w:p>
        </w:tc>
        <w:tc>
          <w:tcPr>
            <w:tcW w:w="21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21"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14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W3</w:t>
            </w:r>
          </w:p>
        </w:tc>
        <w:tc>
          <w:tcPr>
            <w:tcW w:w="236" w:type="pct"/>
            <w:shd w:val="clear" w:color="auto" w:fill="auto"/>
            <w:vAlign w:val="center"/>
          </w:tcPr>
          <w:p>
            <w:pPr>
              <w:pStyle w:val="232"/>
              <w:rPr>
                <w:color w:val="000000" w:themeColor="text1"/>
                <w:kern w:val="0"/>
                <w14:textFill>
                  <w14:solidFill>
                    <w14:schemeClr w14:val="tx1"/>
                  </w14:solidFill>
                </w14:textFill>
              </w:rPr>
            </w:pPr>
            <w:r>
              <w:rPr>
                <w:color w:val="000000" w:themeColor="text1"/>
                <w14:textFill>
                  <w14:solidFill>
                    <w14:schemeClr w14:val="tx1"/>
                  </w14:solidFill>
                </w14:textFill>
              </w:rPr>
              <w:t>无害化冷凝水</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SS、动植物油</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用于有机肥制</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不外排</w:t>
            </w:r>
            <w:r>
              <w:rPr>
                <w:rFonts w:hint="eastAsia"/>
                <w:color w:val="000000" w:themeColor="text1"/>
                <w14:textFill>
                  <w14:solidFill>
                    <w14:schemeClr w14:val="tx1"/>
                  </w14:solidFill>
                </w14:textFill>
              </w:rPr>
              <w:t>作补水</w:t>
            </w:r>
          </w:p>
        </w:tc>
        <w:tc>
          <w:tcPr>
            <w:tcW w:w="269"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60" w:type="pct"/>
            <w:shd w:val="clear" w:color="auto" w:fill="auto"/>
            <w:vAlign w:val="center"/>
          </w:tcPr>
          <w:p>
            <w:pPr>
              <w:pStyle w:val="232"/>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p>
        </w:tc>
        <w:tc>
          <w:tcPr>
            <w:tcW w:w="29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1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21"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14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噪声</w:t>
            </w: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设备运转</w:t>
            </w:r>
          </w:p>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机械运输</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噪声</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车间密闭+基础减振</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738" w:type="pct"/>
            <w:gridSpan w:val="3"/>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厂界监控</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《工业企业厂界环境噪声排放标准》（GB12348-2008）2类</w:t>
            </w:r>
          </w:p>
        </w:tc>
        <w:tc>
          <w:tcPr>
            <w:tcW w:w="148" w:type="pct"/>
            <w:vAlign w:val="center"/>
          </w:tcPr>
          <w:p>
            <w:pPr>
              <w:pStyle w:val="232"/>
              <w:rPr>
                <w:color w:val="000000" w:themeColor="text1"/>
                <w:kern w:val="0"/>
                <w14:textFill>
                  <w14:solidFill>
                    <w14:schemeClr w14:val="tx1"/>
                  </w14:solidFill>
                </w14:textFill>
              </w:rPr>
            </w:pPr>
            <w:r>
              <w:rPr>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固废</w:t>
            </w: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危险废物</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医疗废物</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密闭包装暂存于</w:t>
            </w:r>
            <w:r>
              <w:rPr>
                <w:rFonts w:hint="eastAsia"/>
                <w:color w:val="FF0000"/>
                <w:lang w:val="en-US" w:eastAsia="zh-CN"/>
              </w:rPr>
              <w:t>医疗废物</w:t>
            </w:r>
            <w:r>
              <w:rPr>
                <w:color w:val="FF0000"/>
              </w:rPr>
              <w:t>暂存间</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1.0</w:t>
            </w:r>
          </w:p>
        </w:tc>
        <w:tc>
          <w:tcPr>
            <w:tcW w:w="738" w:type="pct"/>
            <w:gridSpan w:val="3"/>
            <w:shd w:val="clear" w:color="auto" w:fill="auto"/>
            <w:vAlign w:val="center"/>
          </w:tcPr>
          <w:p>
            <w:pPr>
              <w:pStyle w:val="232"/>
              <w:rPr>
                <w:rFonts w:hint="default"/>
                <w:color w:val="000000" w:themeColor="text1"/>
                <w:kern w:val="0"/>
                <w:lang w:val="en-US"/>
                <w14:textFill>
                  <w14:solidFill>
                    <w14:schemeClr w14:val="tx1"/>
                  </w14:solidFill>
                </w14:textFill>
              </w:rPr>
            </w:pPr>
            <w:r>
              <w:rPr>
                <w:rFonts w:hint="eastAsia"/>
                <w:color w:val="auto"/>
                <w:szCs w:val="21"/>
                <w:highlight w:val="green"/>
                <w:lang w:val="en-US" w:eastAsia="zh-CN"/>
              </w:rPr>
              <w:t>委托</w:t>
            </w:r>
            <w:r>
              <w:rPr>
                <w:rFonts w:hint="eastAsia" w:ascii="Times New Roman" w:eastAsia="宋体"/>
                <w:color w:val="auto"/>
                <w:szCs w:val="21"/>
                <w:highlight w:val="green"/>
                <w:lang w:val="en-US" w:eastAsia="zh-CN"/>
              </w:rPr>
              <w:t>巴彦淖尔市维康环保有限公司</w:t>
            </w:r>
            <w:r>
              <w:rPr>
                <w:rFonts w:hint="eastAsia"/>
                <w:color w:val="auto"/>
                <w:szCs w:val="21"/>
                <w:highlight w:val="green"/>
                <w:lang w:val="en-US" w:eastAsia="zh-CN"/>
              </w:rPr>
              <w:t>处置</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FF0000"/>
                <w:kern w:val="0"/>
              </w:rPr>
              <w:t>《危险废物贮存污染控制标准》（GB18597-20</w:t>
            </w:r>
            <w:r>
              <w:rPr>
                <w:rFonts w:hint="eastAsia"/>
                <w:color w:val="FF0000"/>
                <w:kern w:val="0"/>
                <w:lang w:val="en-US" w:eastAsia="zh-CN"/>
              </w:rPr>
              <w:t>23</w:t>
            </w:r>
            <w:r>
              <w:rPr>
                <w:rFonts w:hint="eastAsia"/>
                <w:color w:val="FF0000"/>
                <w:kern w:val="0"/>
              </w:rPr>
              <w:t>）</w:t>
            </w:r>
          </w:p>
        </w:tc>
        <w:tc>
          <w:tcPr>
            <w:tcW w:w="148" w:type="pct"/>
            <w:vAlign w:val="center"/>
          </w:tcPr>
          <w:p>
            <w:pPr>
              <w:pStyle w:val="232"/>
              <w:rPr>
                <w:color w:val="000000" w:themeColor="text1"/>
                <w:kern w:val="0"/>
                <w14:textFill>
                  <w14:solidFill>
                    <w14:schemeClr w14:val="tx1"/>
                  </w14:solidFill>
                </w14:textFill>
              </w:rPr>
            </w:pPr>
            <w:r>
              <w:rPr>
                <w:color w:val="000000" w:themeColor="text1"/>
                <w:kern w:val="0"/>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36" w:type="pct"/>
            <w:vMerge w:val="restar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一般固废</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羊粪</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lang w:val="en-US" w:eastAsia="zh-CN"/>
                <w14:textFill>
                  <w14:solidFill>
                    <w14:schemeClr w14:val="tx1"/>
                  </w14:solidFill>
                </w14:textFill>
              </w:rPr>
              <w:t>好氧</w:t>
            </w:r>
            <w:r>
              <w:rPr>
                <w:color w:val="000000" w:themeColor="text1"/>
                <w:kern w:val="0"/>
                <w14:textFill>
                  <w14:solidFill>
                    <w14:schemeClr w14:val="tx1"/>
                  </w14:solidFill>
                </w14:textFill>
              </w:rPr>
              <w:t>堆肥发酵制作有机肥</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121910</w:t>
            </w:r>
          </w:p>
        </w:tc>
        <w:tc>
          <w:tcPr>
            <w:tcW w:w="738" w:type="pct"/>
            <w:gridSpan w:val="3"/>
            <w:shd w:val="clear" w:color="auto" w:fill="auto"/>
            <w:vAlign w:val="center"/>
          </w:tcPr>
          <w:p>
            <w:pPr>
              <w:pStyle w:val="232"/>
              <w:rPr>
                <w:rFonts w:hint="eastAsia" w:eastAsia="宋体"/>
                <w:color w:val="000000" w:themeColor="text1"/>
                <w:kern w:val="0"/>
                <w:lang w:val="en-US" w:eastAsia="zh-CN"/>
                <w14:textFill>
                  <w14:solidFill>
                    <w14:schemeClr w14:val="tx1"/>
                  </w14:solidFill>
                </w14:textFill>
              </w:rPr>
            </w:pPr>
            <w:r>
              <w:rPr>
                <w:color w:val="000000" w:themeColor="text1"/>
                <w:kern w:val="0"/>
                <w14:textFill>
                  <w14:solidFill>
                    <w14:schemeClr w14:val="tx1"/>
                  </w14:solidFill>
                </w14:textFill>
              </w:rPr>
              <w:t>制作有机肥</w:t>
            </w:r>
            <w:r>
              <w:rPr>
                <w:rFonts w:hint="eastAsia"/>
                <w:color w:val="000000" w:themeColor="text1"/>
                <w:kern w:val="0"/>
                <w:lang w:val="en-US" w:eastAsia="zh-CN"/>
                <w14:textFill>
                  <w14:solidFill>
                    <w14:schemeClr w14:val="tx1"/>
                  </w14:solidFill>
                </w14:textFill>
              </w:rPr>
              <w:t>后还田资源化利用</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rPr>
              <w:t>满足</w:t>
            </w:r>
            <w:r>
              <w:t>GB18596、GB/T36195、</w:t>
            </w:r>
            <w:r>
              <w:rPr>
                <w:shd w:val="clear" w:color="auto" w:fill="FFFFFF"/>
              </w:rPr>
              <w:t>GB/T25246</w:t>
            </w:r>
            <w:r>
              <w:rPr>
                <w:rFonts w:hAnsi="微软雅黑"/>
                <w:shd w:val="clear" w:color="auto" w:fill="FFFFFF"/>
              </w:rPr>
              <w:t>等相关规范标准无害化要求</w:t>
            </w:r>
          </w:p>
        </w:tc>
        <w:tc>
          <w:tcPr>
            <w:tcW w:w="14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合规</w:t>
            </w:r>
          </w:p>
          <w:p>
            <w:pPr>
              <w:pStyle w:val="232"/>
              <w:rPr>
                <w:color w:val="000000" w:themeColor="text1"/>
                <w:kern w:val="0"/>
                <w14:textFill>
                  <w14:solidFill>
                    <w14:schemeClr w14:val="tx1"/>
                  </w14:solidFill>
                </w14:textFill>
              </w:rPr>
            </w:pPr>
            <w:r>
              <w:rPr>
                <w:rFonts w:hint="eastAsia"/>
                <w:color w:val="000000" w:themeColor="text1"/>
                <w14:textFill>
                  <w14:solidFill>
                    <w14:schemeClr w14:val="tx1"/>
                  </w14:solidFill>
                </w14:textFill>
              </w:rPr>
              <w:t>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shd w:val="clear" w:color="auto" w:fill="auto"/>
            <w:vAlign w:val="center"/>
          </w:tcPr>
          <w:p>
            <w:pPr>
              <w:pStyle w:val="232"/>
              <w:rPr>
                <w:color w:val="000000" w:themeColor="text1"/>
                <w:kern w:val="0"/>
                <w14:textFill>
                  <w14:solidFill>
                    <w14:schemeClr w14:val="tx1"/>
                  </w14:solidFill>
                </w14:textFill>
              </w:rPr>
            </w:pPr>
          </w:p>
        </w:tc>
        <w:tc>
          <w:tcPr>
            <w:tcW w:w="236" w:type="pct"/>
            <w:vMerge w:val="continue"/>
            <w:shd w:val="clear" w:color="auto" w:fill="auto"/>
            <w:vAlign w:val="center"/>
          </w:tcPr>
          <w:p>
            <w:pPr>
              <w:pStyle w:val="232"/>
              <w:rPr>
                <w:color w:val="000000" w:themeColor="text1"/>
                <w:kern w:val="0"/>
                <w14:textFill>
                  <w14:solidFill>
                    <w14:schemeClr w14:val="tx1"/>
                  </w14:solidFill>
                </w14:textFill>
              </w:rPr>
            </w:pPr>
          </w:p>
        </w:tc>
        <w:tc>
          <w:tcPr>
            <w:tcW w:w="302"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动物尸体及胞衣</w:t>
            </w:r>
          </w:p>
        </w:tc>
        <w:tc>
          <w:tcPr>
            <w:tcW w:w="134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经干化法无害化处理</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23</w:t>
            </w:r>
          </w:p>
        </w:tc>
        <w:tc>
          <w:tcPr>
            <w:tcW w:w="738" w:type="pct"/>
            <w:gridSpan w:val="3"/>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产生的动物尸体残渣通过好氧发酵制作有机肥</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GB16548-2006、农医发[2017]25号</w:t>
            </w:r>
          </w:p>
        </w:tc>
        <w:tc>
          <w:tcPr>
            <w:tcW w:w="14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合规处理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 w:type="pct"/>
            <w:vMerge w:val="continue"/>
            <w:shd w:val="clear" w:color="auto" w:fill="auto"/>
            <w:vAlign w:val="center"/>
          </w:tcPr>
          <w:p>
            <w:pPr>
              <w:pStyle w:val="232"/>
              <w:rPr>
                <w:color w:val="000000" w:themeColor="text1"/>
                <w:kern w:val="0"/>
                <w14:textFill>
                  <w14:solidFill>
                    <w14:schemeClr w14:val="tx1"/>
                  </w14:solidFill>
                </w14:textFill>
              </w:rPr>
            </w:pPr>
          </w:p>
        </w:tc>
        <w:tc>
          <w:tcPr>
            <w:tcW w:w="28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236"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生活垃圾</w:t>
            </w:r>
          </w:p>
        </w:tc>
        <w:tc>
          <w:tcPr>
            <w:tcW w:w="302"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生活垃圾</w:t>
            </w:r>
          </w:p>
        </w:tc>
        <w:tc>
          <w:tcPr>
            <w:tcW w:w="1349" w:type="pct"/>
            <w:shd w:val="clear" w:color="auto" w:fill="auto"/>
            <w:vAlign w:val="center"/>
          </w:tcPr>
          <w:p>
            <w:pPr>
              <w:pStyle w:val="232"/>
              <w:rPr>
                <w:color w:val="000000" w:themeColor="text1"/>
                <w:kern w:val="0"/>
                <w14:textFill>
                  <w14:solidFill>
                    <w14:schemeClr w14:val="tx1"/>
                  </w14:solidFill>
                </w14:textFill>
              </w:rPr>
            </w:pPr>
            <w:r>
              <w:rPr>
                <w:color w:val="000000" w:themeColor="text1"/>
                <w:kern w:val="0"/>
                <w14:textFill>
                  <w14:solidFill>
                    <w14:schemeClr w14:val="tx1"/>
                  </w14:solidFill>
                </w14:textFill>
              </w:rPr>
              <w:t>场区</w:t>
            </w:r>
            <w:r>
              <w:rPr>
                <w:rFonts w:hint="eastAsia"/>
                <w:color w:val="000000" w:themeColor="text1"/>
                <w:kern w:val="0"/>
                <w14:textFill>
                  <w14:solidFill>
                    <w14:schemeClr w14:val="tx1"/>
                  </w14:solidFill>
                </w14:textFill>
              </w:rPr>
              <w:t>垃圾桶分类收集</w:t>
            </w:r>
          </w:p>
        </w:tc>
        <w:tc>
          <w:tcPr>
            <w:tcW w:w="269"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460"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82.12</w:t>
            </w:r>
          </w:p>
        </w:tc>
        <w:tc>
          <w:tcPr>
            <w:tcW w:w="738" w:type="pct"/>
            <w:gridSpan w:val="3"/>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清运到指定地点委托环卫部门集中处理</w:t>
            </w:r>
          </w:p>
        </w:tc>
        <w:tc>
          <w:tcPr>
            <w:tcW w:w="388"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675" w:type="pct"/>
            <w:shd w:val="clear" w:color="auto" w:fill="auto"/>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c>
          <w:tcPr>
            <w:tcW w:w="148" w:type="pct"/>
            <w:vAlign w:val="center"/>
          </w:tcPr>
          <w:p>
            <w:pPr>
              <w:pStyle w:val="23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p>
        </w:tc>
      </w:tr>
    </w:tbl>
    <w:p>
      <w:pPr>
        <w:ind w:firstLine="480"/>
        <w:sectPr>
          <w:pgSz w:w="16838" w:h="11906" w:orient="landscape"/>
          <w:pgMar w:top="1701" w:right="1418" w:bottom="1417" w:left="1247" w:header="851" w:footer="680" w:gutter="0"/>
          <w:pgNumType w:fmt="decimal"/>
          <w:cols w:space="0" w:num="1"/>
          <w:rtlGutter w:val="0"/>
          <w:docGrid w:linePitch="326" w:charSpace="0"/>
        </w:sectPr>
      </w:pPr>
    </w:p>
    <w:p>
      <w:pPr>
        <w:pStyle w:val="2"/>
        <w:spacing w:before="120" w:after="120"/>
      </w:pPr>
      <w:bookmarkStart w:id="151" w:name="_Toc16415"/>
      <w:r>
        <w:rPr>
          <w:rFonts w:hint="eastAsia"/>
        </w:rPr>
        <w:t>环境现状调查与评价</w:t>
      </w:r>
      <w:bookmarkEnd w:id="151"/>
    </w:p>
    <w:p>
      <w:pPr>
        <w:pStyle w:val="3"/>
        <w:spacing w:before="120" w:after="120"/>
      </w:pPr>
      <w:bookmarkStart w:id="152" w:name="_Toc9969"/>
      <w:r>
        <w:rPr>
          <w:rFonts w:hint="eastAsia"/>
        </w:rPr>
        <w:t>自然环境现状调查与评价</w:t>
      </w:r>
      <w:bookmarkEnd w:id="152"/>
    </w:p>
    <w:p>
      <w:pPr>
        <w:pStyle w:val="4"/>
      </w:pPr>
      <w:r>
        <w:rPr>
          <w:rFonts w:hint="eastAsia"/>
        </w:rPr>
        <w:t>位置境域</w:t>
      </w:r>
    </w:p>
    <w:p>
      <w:pPr>
        <w:ind w:firstLine="480"/>
      </w:pPr>
      <w:r>
        <w:rPr>
          <w:rFonts w:hint="eastAsia"/>
        </w:rPr>
        <w:t xml:space="preserve">五原县位于巴彦淖尔市中南部，地处内蒙古河套平原腹地，地理坐标：东经 </w:t>
      </w:r>
    </w:p>
    <w:p>
      <w:pPr>
        <w:ind w:firstLine="0" w:firstLineChars="0"/>
      </w:pPr>
      <w:r>
        <w:t>107°35′20″~108°37′50″</w:t>
      </w:r>
      <w:r>
        <w:rPr>
          <w:rFonts w:hint="eastAsia"/>
        </w:rPr>
        <w:t xml:space="preserve">，北纬 </w:t>
      </w:r>
      <w:r>
        <w:t>40°46′30″~41°16′45″</w:t>
      </w:r>
      <w:r>
        <w:rPr>
          <w:rFonts w:hint="eastAsia"/>
        </w:rPr>
        <w:t xml:space="preserve">，东部与乌拉特前旗接壤，西部与临河区为毗邻，南部隔黄河与鄂尔多斯市相望，北与乌拉特中旗相连。县境东西最长 </w:t>
      </w:r>
      <w:r>
        <w:t>82km</w:t>
      </w:r>
      <w:r>
        <w:rPr>
          <w:rFonts w:hint="eastAsia"/>
        </w:rPr>
        <w:t xml:space="preserve">，南北最宽 </w:t>
      </w:r>
      <w:r>
        <w:t>55.5km</w:t>
      </w:r>
      <w:r>
        <w:rPr>
          <w:rFonts w:hint="eastAsia"/>
        </w:rPr>
        <w:t xml:space="preserve">，总面积 </w:t>
      </w:r>
      <w:r>
        <w:t>2492.8km</w:t>
      </w:r>
      <w:r>
        <w:rPr>
          <w:vertAlign w:val="superscript"/>
        </w:rPr>
        <w:t>2</w:t>
      </w:r>
      <w:r>
        <w:rPr>
          <w:rFonts w:hint="eastAsia"/>
        </w:rPr>
        <w:t>。</w:t>
      </w:r>
    </w:p>
    <w:p>
      <w:pPr>
        <w:pStyle w:val="4"/>
      </w:pPr>
      <w:r>
        <w:rPr>
          <w:rFonts w:hint="eastAsia"/>
        </w:rPr>
        <w:t>地质结构</w:t>
      </w:r>
    </w:p>
    <w:p>
      <w:pPr>
        <w:ind w:firstLine="480"/>
      </w:pPr>
      <w:r>
        <w:rPr>
          <w:rFonts w:hint="eastAsia"/>
        </w:rPr>
        <w:t>五原县地处河套平原，河套平原在地质构造上属于华北地台（一级）鄂尔多 斯台向斜（二级）的一部分，为一形成于中生代侏罗纪晚期的断陷盆地（三级）。 从地质学的观点来看，河套平原属于狼山弧形盆地，其处于阴山纬向构造带与贺 兰山经向构造带的复合部位，为狼山弧形构造带的旋涡所在，区域的三组断裂表 现为自西向东旋钮的弧形构造，盆地及周边地层的分布与展布方向以及新构造运 动的走向与强度主要受弧形构造的控制，表现了新老构造的一致性。河套盆地新 构造异常活跃，新构造继承了老构造的特点，又有新的发展，在发育方向、构造 形态等方面，有明显的继承性。新生代以来断裂构造发育，在构造形式上以高角 度正断裂和断拗带为主。其中具有区域性控制作用的主要断裂构造有：狼山和乌 拉山山前深断裂，狼山扇群前缘断裂，西山嘴潜伏乌拉山断裂和四条断拗带。</w:t>
      </w:r>
    </w:p>
    <w:p>
      <w:pPr>
        <w:pStyle w:val="4"/>
      </w:pPr>
      <w:r>
        <w:rPr>
          <w:rFonts w:hint="eastAsia"/>
        </w:rPr>
        <w:t>地形地貌</w:t>
      </w:r>
    </w:p>
    <w:p>
      <w:pPr>
        <w:ind w:firstLine="480"/>
      </w:pPr>
      <w:r>
        <w:rPr>
          <w:rFonts w:hint="eastAsia"/>
        </w:rPr>
        <w:t xml:space="preserve">五原县地处河套平原中部，地势平坦开阔，局部有一定起伏。地形自西向东，由南向北逐渐降低，北部总排干一线是全区域较为低洼的部分。地形自然坡度 </w:t>
      </w:r>
      <w:r>
        <w:t>1/5000~1/8000</w:t>
      </w:r>
      <w:r>
        <w:rPr>
          <w:rFonts w:hint="eastAsia"/>
        </w:rPr>
        <w:t>，地面高程</w:t>
      </w:r>
      <w:r>
        <w:t>1020~1035m</w:t>
      </w:r>
      <w:r>
        <w:rPr>
          <w:rFonts w:hint="eastAsia"/>
        </w:rPr>
        <w:t xml:space="preserve">，由于黄河多次泛滥改道和残留湖泊的退缩，形成许多微地貌地形，如古河道、牛轭湖、碟形洼地、带状沙丘、丛草沙堆、残留湖泊和湖沼地带。区域内沟渠纵横密布，地下水埋深较浅，土壤盐渍化广布，南部地区自西向东加重，在总干渠三闸以下和总排干沟两侧尤为严重。黄河防洪堤内为近代漫滩，一般无阶地，河床蜿蜒曲折，表现出沉降区河流的地貌特点。 </w:t>
      </w:r>
    </w:p>
    <w:p>
      <w:pPr>
        <w:widowControl/>
        <w:ind w:firstLine="480"/>
        <w:jc w:val="left"/>
      </w:pPr>
      <w:r>
        <w:rPr>
          <w:rFonts w:hint="eastAsia"/>
          <w:color w:val="000000"/>
          <w:kern w:val="0"/>
          <w:lang w:bidi="ar"/>
        </w:rPr>
        <w:t>（1）</w:t>
      </w:r>
      <w:r>
        <w:rPr>
          <w:rFonts w:hint="eastAsia" w:ascii="宋体" w:hAnsi="宋体" w:cs="宋体"/>
          <w:color w:val="000000"/>
          <w:kern w:val="0"/>
          <w:lang w:bidi="ar"/>
        </w:rPr>
        <w:t xml:space="preserve">地形 </w:t>
      </w:r>
    </w:p>
    <w:p>
      <w:pPr>
        <w:widowControl/>
        <w:ind w:firstLine="480"/>
        <w:jc w:val="left"/>
      </w:pPr>
      <w:r>
        <w:rPr>
          <w:rFonts w:hint="eastAsia" w:ascii="宋体" w:hAnsi="宋体" w:cs="宋体"/>
          <w:color w:val="000000"/>
          <w:kern w:val="0"/>
          <w:lang w:bidi="ar"/>
        </w:rPr>
        <w:t>工作区行政区划隶属五原县，位于阴山山脉狼山段低山丘陵区与山前冲洪积平原交接地带，北部为低山，南部为山前冲洪积平原，地势总体北高南低，最高点位于狼山北部，海拔为</w:t>
      </w:r>
      <w:r>
        <w:rPr>
          <w:color w:val="000000"/>
          <w:kern w:val="0"/>
          <w:lang w:bidi="ar"/>
        </w:rPr>
        <w:t>1430m</w:t>
      </w:r>
      <w:r>
        <w:rPr>
          <w:rFonts w:hint="eastAsia" w:ascii="宋体" w:hAnsi="宋体" w:cs="宋体"/>
          <w:color w:val="000000"/>
          <w:kern w:val="0"/>
          <w:lang w:bidi="ar"/>
        </w:rPr>
        <w:t xml:space="preserve">，最低点位于工作区南部。 </w:t>
      </w:r>
    </w:p>
    <w:p>
      <w:pPr>
        <w:widowControl/>
        <w:ind w:firstLine="480"/>
        <w:jc w:val="left"/>
      </w:pPr>
      <w:r>
        <w:rPr>
          <w:rFonts w:hint="eastAsia"/>
          <w:color w:val="000000"/>
          <w:kern w:val="0"/>
          <w:lang w:bidi="ar"/>
        </w:rPr>
        <w:t>（2）</w:t>
      </w:r>
      <w:r>
        <w:rPr>
          <w:rFonts w:hint="eastAsia" w:ascii="宋体" w:hAnsi="宋体" w:cs="宋体"/>
          <w:color w:val="000000"/>
          <w:kern w:val="0"/>
          <w:lang w:bidi="ar"/>
        </w:rPr>
        <w:t xml:space="preserve">地貌 </w:t>
      </w:r>
    </w:p>
    <w:p>
      <w:pPr>
        <w:widowControl/>
        <w:ind w:firstLine="480"/>
        <w:jc w:val="left"/>
      </w:pPr>
      <w:r>
        <w:rPr>
          <w:rFonts w:hint="eastAsia" w:ascii="宋体" w:hAnsi="宋体" w:cs="宋体"/>
          <w:color w:val="000000"/>
          <w:kern w:val="0"/>
          <w:lang w:bidi="ar"/>
        </w:rPr>
        <w:t xml:space="preserve">按成因类型可分为构造剥蚀地形和堆积地形，按形态类型又可分为低山、山 间沟谷、冲洪积平原。划分结果详见地貌类型划分表（表 </w:t>
      </w:r>
      <w:r>
        <w:rPr>
          <w:color w:val="000000"/>
          <w:kern w:val="0"/>
          <w:lang w:bidi="ar"/>
        </w:rPr>
        <w:t>4.</w:t>
      </w:r>
      <w:r>
        <w:rPr>
          <w:rFonts w:hint="eastAsia"/>
          <w:color w:val="000000"/>
          <w:kern w:val="0"/>
          <w:lang w:bidi="ar"/>
        </w:rPr>
        <w:t>1.3</w:t>
      </w:r>
      <w:r>
        <w:rPr>
          <w:color w:val="000000"/>
          <w:kern w:val="0"/>
          <w:lang w:bidi="ar"/>
        </w:rPr>
        <w:t>-1</w:t>
      </w:r>
      <w:r>
        <w:rPr>
          <w:rFonts w:hint="eastAsia" w:ascii="宋体" w:hAnsi="宋体" w:cs="宋体"/>
          <w:color w:val="000000"/>
          <w:kern w:val="0"/>
          <w:lang w:bidi="ar"/>
        </w:rPr>
        <w:t>）。现分述如下：</w:t>
      </w:r>
    </w:p>
    <w:p>
      <w:pPr>
        <w:pStyle w:val="6"/>
      </w:pPr>
      <w:r>
        <w:rPr>
          <w:rFonts w:hint="eastAsia"/>
        </w:rPr>
        <w:t>表4.1.3-1  地貌类型划分表</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2250"/>
        <w:gridCol w:w="2250"/>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pPr>
              <w:widowControl/>
              <w:spacing w:line="240" w:lineRule="auto"/>
              <w:ind w:firstLine="0" w:firstLineChars="0"/>
              <w:jc w:val="center"/>
              <w:rPr>
                <w:sz w:val="21"/>
                <w:szCs w:val="21"/>
              </w:rPr>
            </w:pPr>
            <w:r>
              <w:rPr>
                <w:rFonts w:hint="eastAsia"/>
                <w:sz w:val="21"/>
                <w:szCs w:val="21"/>
              </w:rPr>
              <w:t>成因类型</w:t>
            </w:r>
          </w:p>
        </w:tc>
        <w:tc>
          <w:tcPr>
            <w:tcW w:w="1250" w:type="pct"/>
            <w:vAlign w:val="center"/>
          </w:tcPr>
          <w:p>
            <w:pPr>
              <w:widowControl/>
              <w:spacing w:line="240" w:lineRule="auto"/>
              <w:ind w:firstLine="0" w:firstLineChars="0"/>
              <w:jc w:val="center"/>
              <w:rPr>
                <w:sz w:val="21"/>
                <w:szCs w:val="21"/>
              </w:rPr>
            </w:pPr>
            <w:r>
              <w:rPr>
                <w:rFonts w:hint="eastAsia"/>
                <w:sz w:val="21"/>
                <w:szCs w:val="21"/>
              </w:rPr>
              <w:t>代号</w:t>
            </w:r>
          </w:p>
        </w:tc>
        <w:tc>
          <w:tcPr>
            <w:tcW w:w="1250" w:type="pct"/>
            <w:vAlign w:val="center"/>
          </w:tcPr>
          <w:p>
            <w:pPr>
              <w:widowControl/>
              <w:spacing w:line="240" w:lineRule="auto"/>
              <w:ind w:firstLine="0" w:firstLineChars="0"/>
              <w:jc w:val="center"/>
              <w:rPr>
                <w:sz w:val="21"/>
                <w:szCs w:val="21"/>
              </w:rPr>
            </w:pPr>
            <w:r>
              <w:rPr>
                <w:rFonts w:hint="eastAsia"/>
                <w:sz w:val="21"/>
                <w:szCs w:val="21"/>
              </w:rPr>
              <w:t>形态类型</w:t>
            </w:r>
          </w:p>
        </w:tc>
        <w:tc>
          <w:tcPr>
            <w:tcW w:w="1250" w:type="pct"/>
            <w:vAlign w:val="center"/>
          </w:tcPr>
          <w:p>
            <w:pPr>
              <w:widowControl/>
              <w:spacing w:line="240" w:lineRule="auto"/>
              <w:ind w:firstLine="0" w:firstLineChars="0"/>
              <w:jc w:val="center"/>
              <w:rPr>
                <w:sz w:val="21"/>
                <w:szCs w:val="21"/>
              </w:rPr>
            </w:pPr>
            <w:r>
              <w:rPr>
                <w:rFonts w:hint="eastAsia"/>
                <w:sz w:val="21"/>
                <w:szCs w:val="21"/>
              </w:rPr>
              <w:t>代号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pPr>
              <w:widowControl/>
              <w:spacing w:line="240" w:lineRule="auto"/>
              <w:ind w:firstLine="0" w:firstLineChars="0"/>
              <w:jc w:val="center"/>
              <w:rPr>
                <w:sz w:val="21"/>
                <w:szCs w:val="21"/>
              </w:rPr>
            </w:pPr>
            <w:r>
              <w:rPr>
                <w:rFonts w:hint="eastAsia"/>
                <w:sz w:val="21"/>
                <w:szCs w:val="21"/>
              </w:rPr>
              <w:t>构造剥蚀地形</w:t>
            </w:r>
          </w:p>
        </w:tc>
        <w:tc>
          <w:tcPr>
            <w:tcW w:w="1250" w:type="pct"/>
            <w:vAlign w:val="center"/>
          </w:tcPr>
          <w:p>
            <w:pPr>
              <w:widowControl/>
              <w:spacing w:line="240" w:lineRule="auto"/>
              <w:ind w:firstLine="0" w:firstLineChars="0"/>
              <w:jc w:val="center"/>
              <w:rPr>
                <w:sz w:val="21"/>
                <w:szCs w:val="21"/>
              </w:rPr>
            </w:pPr>
            <w:r>
              <w:rPr>
                <w:rFonts w:hint="eastAsia"/>
                <w:sz w:val="21"/>
                <w:szCs w:val="21"/>
              </w:rPr>
              <w:t>I</w:t>
            </w:r>
          </w:p>
        </w:tc>
        <w:tc>
          <w:tcPr>
            <w:tcW w:w="1250" w:type="pct"/>
            <w:vAlign w:val="center"/>
          </w:tcPr>
          <w:p>
            <w:pPr>
              <w:widowControl/>
              <w:spacing w:line="240" w:lineRule="auto"/>
              <w:ind w:firstLine="0" w:firstLineChars="0"/>
              <w:jc w:val="center"/>
              <w:rPr>
                <w:sz w:val="21"/>
                <w:szCs w:val="21"/>
              </w:rPr>
            </w:pPr>
            <w:r>
              <w:rPr>
                <w:rFonts w:hint="eastAsia"/>
                <w:sz w:val="21"/>
                <w:szCs w:val="21"/>
              </w:rPr>
              <w:t>低山</w:t>
            </w:r>
          </w:p>
        </w:tc>
        <w:tc>
          <w:tcPr>
            <w:tcW w:w="1250" w:type="pct"/>
            <w:vAlign w:val="center"/>
          </w:tcPr>
          <w:p>
            <w:pPr>
              <w:widowControl/>
              <w:spacing w:line="240" w:lineRule="auto"/>
              <w:ind w:firstLine="0" w:firstLineChars="0"/>
              <w:jc w:val="center"/>
              <w:rPr>
                <w:sz w:val="21"/>
                <w:szCs w:val="21"/>
              </w:rPr>
            </w:pPr>
            <w:r>
              <w:rPr>
                <w:rFonts w:hint="eastAsia"/>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Merge w:val="restart"/>
            <w:vAlign w:val="center"/>
          </w:tcPr>
          <w:p>
            <w:pPr>
              <w:widowControl/>
              <w:spacing w:line="240" w:lineRule="auto"/>
              <w:ind w:firstLine="0" w:firstLineChars="0"/>
              <w:jc w:val="center"/>
              <w:rPr>
                <w:sz w:val="21"/>
                <w:szCs w:val="21"/>
              </w:rPr>
            </w:pPr>
            <w:r>
              <w:rPr>
                <w:rFonts w:hint="eastAsia"/>
                <w:sz w:val="21"/>
                <w:szCs w:val="21"/>
              </w:rPr>
              <w:t>堆积地形</w:t>
            </w:r>
          </w:p>
        </w:tc>
        <w:tc>
          <w:tcPr>
            <w:tcW w:w="1250" w:type="pct"/>
            <w:vMerge w:val="restart"/>
            <w:vAlign w:val="center"/>
          </w:tcPr>
          <w:p>
            <w:pPr>
              <w:widowControl/>
              <w:spacing w:line="240" w:lineRule="auto"/>
              <w:ind w:firstLine="0" w:firstLineChars="0"/>
              <w:jc w:val="center"/>
              <w:rPr>
                <w:sz w:val="21"/>
                <w:szCs w:val="21"/>
              </w:rPr>
            </w:pPr>
            <w:r>
              <w:rPr>
                <w:rFonts w:hint="eastAsia"/>
                <w:sz w:val="21"/>
                <w:szCs w:val="21"/>
              </w:rPr>
              <w:t>II</w:t>
            </w:r>
          </w:p>
        </w:tc>
        <w:tc>
          <w:tcPr>
            <w:tcW w:w="1250" w:type="pct"/>
            <w:vAlign w:val="center"/>
          </w:tcPr>
          <w:p>
            <w:pPr>
              <w:widowControl/>
              <w:spacing w:line="240" w:lineRule="auto"/>
              <w:ind w:firstLine="0" w:firstLineChars="0"/>
              <w:jc w:val="center"/>
              <w:rPr>
                <w:sz w:val="21"/>
                <w:szCs w:val="21"/>
              </w:rPr>
            </w:pPr>
            <w:r>
              <w:rPr>
                <w:rFonts w:hint="eastAsia"/>
                <w:sz w:val="21"/>
                <w:szCs w:val="21"/>
              </w:rPr>
              <w:t>山间沟谷</w:t>
            </w:r>
          </w:p>
        </w:tc>
        <w:tc>
          <w:tcPr>
            <w:tcW w:w="1250" w:type="pct"/>
            <w:vAlign w:val="center"/>
          </w:tcPr>
          <w:p>
            <w:pPr>
              <w:widowControl/>
              <w:spacing w:line="240" w:lineRule="auto"/>
              <w:ind w:firstLine="0" w:firstLineChars="0"/>
              <w:jc w:val="center"/>
              <w:rPr>
                <w:sz w:val="21"/>
                <w:szCs w:val="21"/>
              </w:rPr>
            </w:pPr>
            <w:r>
              <w:rPr>
                <w:rFonts w:hint="eastAsia"/>
                <w:sz w:val="21"/>
                <w:szCs w:val="21"/>
              </w:rPr>
              <w:t>II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Merge w:val="continue"/>
            <w:vAlign w:val="center"/>
          </w:tcPr>
          <w:p>
            <w:pPr>
              <w:widowControl/>
              <w:spacing w:line="240" w:lineRule="auto"/>
              <w:ind w:firstLine="0" w:firstLineChars="0"/>
              <w:jc w:val="center"/>
              <w:rPr>
                <w:sz w:val="21"/>
                <w:szCs w:val="21"/>
              </w:rPr>
            </w:pPr>
          </w:p>
        </w:tc>
        <w:tc>
          <w:tcPr>
            <w:tcW w:w="1250" w:type="pct"/>
            <w:vMerge w:val="continue"/>
            <w:vAlign w:val="center"/>
          </w:tcPr>
          <w:p>
            <w:pPr>
              <w:widowControl/>
              <w:spacing w:line="240" w:lineRule="auto"/>
              <w:ind w:firstLine="0" w:firstLineChars="0"/>
              <w:jc w:val="center"/>
              <w:rPr>
                <w:sz w:val="21"/>
                <w:szCs w:val="21"/>
              </w:rPr>
            </w:pPr>
          </w:p>
        </w:tc>
        <w:tc>
          <w:tcPr>
            <w:tcW w:w="1250" w:type="pct"/>
            <w:vAlign w:val="center"/>
          </w:tcPr>
          <w:p>
            <w:pPr>
              <w:widowControl/>
              <w:spacing w:line="240" w:lineRule="auto"/>
              <w:ind w:firstLine="0" w:firstLineChars="0"/>
              <w:jc w:val="center"/>
              <w:rPr>
                <w:sz w:val="21"/>
                <w:szCs w:val="21"/>
              </w:rPr>
            </w:pPr>
            <w:r>
              <w:rPr>
                <w:rFonts w:hint="eastAsia"/>
                <w:sz w:val="21"/>
                <w:szCs w:val="21"/>
              </w:rPr>
              <w:t>冲洪积平原</w:t>
            </w:r>
          </w:p>
        </w:tc>
        <w:tc>
          <w:tcPr>
            <w:tcW w:w="1250" w:type="pct"/>
            <w:vAlign w:val="center"/>
          </w:tcPr>
          <w:p>
            <w:pPr>
              <w:widowControl/>
              <w:spacing w:line="240" w:lineRule="auto"/>
              <w:ind w:firstLine="0" w:firstLineChars="0"/>
              <w:jc w:val="center"/>
              <w:rPr>
                <w:sz w:val="21"/>
                <w:szCs w:val="21"/>
              </w:rPr>
            </w:pPr>
            <w:r>
              <w:rPr>
                <w:rFonts w:hint="eastAsia"/>
                <w:sz w:val="21"/>
                <w:szCs w:val="21"/>
              </w:rPr>
              <w:t>II 2</w:t>
            </w:r>
          </w:p>
        </w:tc>
      </w:tr>
    </w:tbl>
    <w:p>
      <w:pPr>
        <w:widowControl/>
        <w:ind w:firstLine="480"/>
        <w:jc w:val="left"/>
      </w:pPr>
      <w:r>
        <w:rPr>
          <w:rFonts w:hint="eastAsia"/>
          <w:color w:val="000000"/>
          <w:kern w:val="0"/>
          <w:lang w:bidi="ar"/>
        </w:rPr>
        <w:t>①</w:t>
      </w:r>
      <w:r>
        <w:rPr>
          <w:rFonts w:hint="eastAsia" w:ascii="宋体" w:hAnsi="宋体" w:cs="宋体"/>
          <w:color w:val="000000"/>
          <w:kern w:val="0"/>
          <w:lang w:bidi="ar"/>
        </w:rPr>
        <w:t>低山（</w:t>
      </w:r>
      <w:r>
        <w:rPr>
          <w:color w:val="000000"/>
          <w:kern w:val="0"/>
          <w:lang w:bidi="ar"/>
        </w:rPr>
        <w:t>Ⅰ</w:t>
      </w:r>
      <w:r>
        <w:rPr>
          <w:rFonts w:hint="eastAsia" w:ascii="宋体" w:hAnsi="宋体" w:cs="宋体"/>
          <w:color w:val="000000"/>
          <w:kern w:val="0"/>
          <w:lang w:bidi="ar"/>
        </w:rPr>
        <w:t xml:space="preserve">） </w:t>
      </w:r>
    </w:p>
    <w:p>
      <w:pPr>
        <w:widowControl/>
        <w:ind w:firstLine="480"/>
        <w:jc w:val="left"/>
      </w:pPr>
      <w:r>
        <w:rPr>
          <w:rFonts w:hint="eastAsia" w:ascii="宋体" w:hAnsi="宋体" w:cs="宋体"/>
          <w:color w:val="000000"/>
          <w:kern w:val="0"/>
          <w:lang w:bidi="ar"/>
        </w:rPr>
        <w:t>主要分布于五原县北部，海拔高度一般</w:t>
      </w:r>
      <w:r>
        <w:rPr>
          <w:color w:val="000000"/>
          <w:kern w:val="0"/>
          <w:lang w:bidi="ar"/>
        </w:rPr>
        <w:t>1150-1430m</w:t>
      </w:r>
      <w:r>
        <w:rPr>
          <w:rFonts w:hint="eastAsia" w:ascii="宋体" w:hAnsi="宋体" w:cs="宋体"/>
          <w:color w:val="000000"/>
          <w:kern w:val="0"/>
          <w:lang w:bidi="ar"/>
        </w:rPr>
        <w:t>，山顶呈尖顶状、半浑圆状，基岩裸露，山坡较陡，坡度一般大于</w:t>
      </w:r>
      <w:r>
        <w:rPr>
          <w:color w:val="000000"/>
          <w:kern w:val="0"/>
          <w:lang w:bidi="ar"/>
        </w:rPr>
        <w:t>30°</w:t>
      </w:r>
      <w:r>
        <w:rPr>
          <w:rFonts w:hint="eastAsia" w:ascii="宋体" w:hAnsi="宋体" w:cs="宋体"/>
          <w:color w:val="000000"/>
          <w:kern w:val="0"/>
          <w:lang w:bidi="ar"/>
        </w:rPr>
        <w:t>，局部可达</w:t>
      </w:r>
      <w:r>
        <w:rPr>
          <w:color w:val="000000"/>
          <w:kern w:val="0"/>
          <w:lang w:bidi="ar"/>
        </w:rPr>
        <w:t>50°—60°</w:t>
      </w:r>
      <w:r>
        <w:rPr>
          <w:rFonts w:hint="eastAsia" w:ascii="宋体" w:hAnsi="宋体" w:cs="宋体"/>
          <w:color w:val="000000"/>
          <w:kern w:val="0"/>
          <w:lang w:bidi="ar"/>
        </w:rPr>
        <w:t>，山地沟谷切割较密，有的谷坡近似直立，沟谷呈</w:t>
      </w:r>
      <w:r>
        <w:rPr>
          <w:rFonts w:hint="eastAsia"/>
          <w:color w:val="000000"/>
          <w:kern w:val="0"/>
          <w:lang w:bidi="ar"/>
        </w:rPr>
        <w:t>“</w:t>
      </w:r>
      <w:r>
        <w:rPr>
          <w:color w:val="000000"/>
          <w:kern w:val="0"/>
          <w:lang w:bidi="ar"/>
        </w:rPr>
        <w:t>V</w:t>
      </w:r>
      <w:r>
        <w:rPr>
          <w:rFonts w:hint="eastAsia"/>
          <w:color w:val="000000"/>
          <w:kern w:val="0"/>
          <w:lang w:bidi="ar"/>
        </w:rPr>
        <w:t>”</w:t>
      </w:r>
      <w:r>
        <w:rPr>
          <w:rFonts w:hint="eastAsia" w:ascii="宋体" w:hAnsi="宋体" w:cs="宋体"/>
          <w:color w:val="000000"/>
          <w:kern w:val="0"/>
          <w:lang w:bidi="ar"/>
        </w:rPr>
        <w:t>、“</w:t>
      </w:r>
      <w:r>
        <w:rPr>
          <w:color w:val="000000"/>
          <w:kern w:val="0"/>
          <w:lang w:bidi="ar"/>
        </w:rPr>
        <w:t>U</w:t>
      </w:r>
      <w:r>
        <w:rPr>
          <w:rFonts w:hint="eastAsia" w:ascii="宋体" w:hAnsi="宋体" w:cs="宋体"/>
          <w:color w:val="000000"/>
          <w:kern w:val="0"/>
          <w:lang w:bidi="ar"/>
        </w:rPr>
        <w:t>”型，谷宽</w:t>
      </w:r>
      <w:r>
        <w:rPr>
          <w:color w:val="000000"/>
          <w:kern w:val="0"/>
          <w:lang w:bidi="ar"/>
        </w:rPr>
        <w:t>50—100m</w:t>
      </w:r>
      <w:r>
        <w:rPr>
          <w:rFonts w:hint="eastAsia" w:ascii="宋体" w:hAnsi="宋体" w:cs="宋体"/>
          <w:color w:val="000000"/>
          <w:kern w:val="0"/>
          <w:lang w:bidi="ar"/>
        </w:rPr>
        <w:t>，长达</w:t>
      </w:r>
      <w:r>
        <w:rPr>
          <w:color w:val="000000"/>
          <w:kern w:val="0"/>
          <w:lang w:bidi="ar"/>
        </w:rPr>
        <w:t>10-30km</w:t>
      </w:r>
      <w:r>
        <w:rPr>
          <w:rFonts w:hint="eastAsia" w:ascii="宋体" w:hAnsi="宋体" w:cs="宋体"/>
          <w:color w:val="000000"/>
          <w:kern w:val="0"/>
          <w:lang w:bidi="ar"/>
        </w:rPr>
        <w:t xml:space="preserve">不等。植被稀疏，覆盖率不足 </w:t>
      </w:r>
      <w:r>
        <w:rPr>
          <w:color w:val="000000"/>
          <w:kern w:val="0"/>
          <w:lang w:bidi="ar"/>
        </w:rPr>
        <w:t>10%</w:t>
      </w:r>
      <w:r>
        <w:rPr>
          <w:rFonts w:hint="eastAsia" w:ascii="宋体" w:hAnsi="宋体" w:cs="宋体"/>
          <w:color w:val="000000"/>
          <w:kern w:val="0"/>
          <w:lang w:bidi="ar"/>
        </w:rPr>
        <w:t xml:space="preserve">，组成岩性以华力西中期花岗侵入岩为主，零星分布有侏罗系下统石拐群砂砾岩、砂岩、片岩等。 </w:t>
      </w:r>
    </w:p>
    <w:p>
      <w:pPr>
        <w:ind w:firstLine="480"/>
      </w:pPr>
      <w:r>
        <w:rPr>
          <w:rFonts w:hint="eastAsia"/>
        </w:rPr>
        <w:t>②山间沟谷（</w:t>
      </w:r>
      <w:r>
        <w:t>Ⅱ1</w:t>
      </w:r>
      <w:r>
        <w:rPr>
          <w:rFonts w:hint="eastAsia"/>
        </w:rPr>
        <w:t xml:space="preserve">） </w:t>
      </w:r>
    </w:p>
    <w:p>
      <w:pPr>
        <w:ind w:firstLine="480"/>
      </w:pPr>
      <w:r>
        <w:rPr>
          <w:rFonts w:hint="eastAsia"/>
        </w:rPr>
        <w:t>主要分布于低山、丘陵切割部位，一般呈“</w:t>
      </w:r>
      <w:r>
        <w:t>V</w:t>
      </w:r>
      <w:r>
        <w:rPr>
          <w:rFonts w:hint="eastAsia"/>
        </w:rPr>
        <w:t>”型或“</w:t>
      </w:r>
      <w:r>
        <w:t>U</w:t>
      </w:r>
      <w:r>
        <w:rPr>
          <w:rFonts w:hint="eastAsia"/>
        </w:rPr>
        <w:t>”型，谷宽</w:t>
      </w:r>
      <w:r>
        <w:t>20—100m</w:t>
      </w:r>
      <w:r>
        <w:rPr>
          <w:rFonts w:hint="eastAsia"/>
        </w:rPr>
        <w:t>， 长达</w:t>
      </w:r>
      <w:r>
        <w:t>5-30km</w:t>
      </w:r>
      <w:r>
        <w:rPr>
          <w:rFonts w:hint="eastAsia"/>
        </w:rPr>
        <w:t>不等。沟底较平坦、开阔，向下游倾斜，沟底坡降</w:t>
      </w:r>
      <w:r>
        <w:t>2.50</w:t>
      </w:r>
      <w:r>
        <w:rPr>
          <w:rFonts w:hint="eastAsia"/>
        </w:rPr>
        <w:t>～</w:t>
      </w:r>
      <w:r>
        <w:t>5.56%</w:t>
      </w:r>
      <w:r>
        <w:rPr>
          <w:rFonts w:hint="eastAsia"/>
        </w:rPr>
        <w:t>，为泄洪通道，平时干涸无水，为第四系冲洪积层，地层岩性为灰黄色冲洪积粉土、 细砂、粗砂、砾砂等，分选磨圆较差，植被覆盖率一般</w:t>
      </w:r>
      <w:r>
        <w:t>30%</w:t>
      </w:r>
      <w:r>
        <w:rPr>
          <w:rFonts w:hint="eastAsia"/>
        </w:rPr>
        <w:t xml:space="preserve">左右。 </w:t>
      </w:r>
    </w:p>
    <w:p>
      <w:pPr>
        <w:ind w:firstLine="480"/>
      </w:pPr>
      <w:r>
        <w:rPr>
          <w:rFonts w:hint="eastAsia"/>
        </w:rPr>
        <w:t>③冲洪积平原（</w:t>
      </w:r>
      <w:r>
        <w:t>Ⅱ2</w:t>
      </w:r>
      <w:r>
        <w:rPr>
          <w:rFonts w:hint="eastAsia"/>
        </w:rPr>
        <w:t xml:space="preserve">） </w:t>
      </w:r>
    </w:p>
    <w:p>
      <w:pPr>
        <w:ind w:firstLine="480"/>
      </w:pPr>
      <w:r>
        <w:rPr>
          <w:rFonts w:hint="eastAsia"/>
        </w:rPr>
        <w:t xml:space="preserve">主要分布于工作区周围，狼山段山南，在山前呈带状连续分布。海拔高度 </w:t>
      </w:r>
      <w:r>
        <w:t>1040-1060m</w:t>
      </w:r>
      <w:r>
        <w:rPr>
          <w:rFonts w:hint="eastAsia"/>
        </w:rPr>
        <w:t>，由各个冲洪积扇连接而成，地形较为平坦，向南倾斜，坡度</w:t>
      </w:r>
      <w:r>
        <w:t>3-7‰</w:t>
      </w:r>
      <w:r>
        <w:rPr>
          <w:rFonts w:hint="eastAsia"/>
        </w:rPr>
        <w:t>，岩性主要由第四系上更新统</w:t>
      </w:r>
      <w:r>
        <w:t>-</w:t>
      </w:r>
      <w:r>
        <w:rPr>
          <w:rFonts w:hint="eastAsia"/>
        </w:rPr>
        <w:t>全新统冲洪积粉土、粉质粘土、细砂、粗砂、砾砂等组成。</w:t>
      </w:r>
    </w:p>
    <w:p>
      <w:pPr>
        <w:pStyle w:val="4"/>
      </w:pPr>
      <w:r>
        <w:rPr>
          <w:rFonts w:hint="eastAsia"/>
        </w:rPr>
        <w:t>水文地质条件</w:t>
      </w:r>
    </w:p>
    <w:p>
      <w:pPr>
        <w:widowControl/>
        <w:ind w:firstLine="480"/>
        <w:jc w:val="left"/>
      </w:pPr>
      <w:r>
        <w:rPr>
          <w:rFonts w:hint="eastAsia" w:ascii="宋体" w:hAnsi="宋体" w:cs="宋体"/>
          <w:color w:val="000000"/>
          <w:kern w:val="0"/>
          <w:lang w:bidi="ar"/>
        </w:rPr>
        <w:t>（</w:t>
      </w:r>
      <w:r>
        <w:rPr>
          <w:color w:val="000000"/>
          <w:kern w:val="0"/>
          <w:lang w:bidi="ar"/>
        </w:rPr>
        <w:t>1</w:t>
      </w:r>
      <w:r>
        <w:rPr>
          <w:rFonts w:hint="eastAsia" w:ascii="宋体" w:hAnsi="宋体" w:cs="宋体"/>
          <w:color w:val="000000"/>
          <w:kern w:val="0"/>
          <w:lang w:bidi="ar"/>
        </w:rPr>
        <w:t xml:space="preserve">）区域水文地质特征 </w:t>
      </w:r>
    </w:p>
    <w:p>
      <w:pPr>
        <w:widowControl/>
        <w:ind w:firstLine="480"/>
        <w:jc w:val="left"/>
        <w:rPr>
          <w:rFonts w:ascii="宋体" w:hAnsi="宋体" w:cs="宋体"/>
          <w:color w:val="000000"/>
          <w:kern w:val="0"/>
          <w:lang w:bidi="ar"/>
        </w:rPr>
      </w:pPr>
      <w:r>
        <w:rPr>
          <w:rFonts w:hint="eastAsia" w:ascii="宋体" w:hAnsi="宋体" w:cs="宋体"/>
          <w:color w:val="000000"/>
          <w:kern w:val="0"/>
          <w:lang w:bidi="ar"/>
        </w:rPr>
        <w:t>区域地下水的分布、循环受地质构造、古地理、地形条件的控制。河套灌区处于干旱气候带，在地质构造上为长期下沉的封闭构造断陷盆地，在漫长的地质时期中一直为水所占据，这种自然条件控制着地下水的形成与分布。因此，使河套平原具有明显的干旱气候带沉降盆地型水文地质特征。</w:t>
      </w:r>
    </w:p>
    <w:p>
      <w:pPr>
        <w:ind w:firstLine="480"/>
      </w:pPr>
      <w:r>
        <w:rPr>
          <w:rFonts w:hint="eastAsia"/>
        </w:rPr>
        <w:t>区域按照含水层埋藏条件分为两个含水层组。第一含水组为冲湖积潜水，位于冲湖积层上部，岩性为湖积粉细砂，其颗粒细、埋藏稳定，含水层主要由第四系上更新统</w:t>
      </w:r>
      <w:r>
        <w:t>——</w:t>
      </w:r>
      <w:r>
        <w:rPr>
          <w:rFonts w:hint="eastAsia"/>
        </w:rPr>
        <w:t>全新统含水层组构成，岩性为中细砂、细粉砂，平均厚度</w:t>
      </w:r>
      <w:r>
        <w:t>70m</w:t>
      </w:r>
      <w:r>
        <w:rPr>
          <w:rFonts w:hint="eastAsia"/>
        </w:rPr>
        <w:t>左右，水位埋深一般</w:t>
      </w:r>
      <w:r>
        <w:t>0.4~3.0m</w:t>
      </w:r>
      <w:r>
        <w:rPr>
          <w:rFonts w:hint="eastAsia"/>
        </w:rPr>
        <w:t>，单井涌水量</w:t>
      </w:r>
      <w:r>
        <w:t>200~1800</w:t>
      </w:r>
      <w:r>
        <w:rPr>
          <w:rFonts w:hint="eastAsia"/>
        </w:rPr>
        <w:t>m</w:t>
      </w:r>
      <w:r>
        <w:rPr>
          <w:rFonts w:hint="eastAsia"/>
          <w:vertAlign w:val="superscript"/>
        </w:rPr>
        <w:t>3</w:t>
      </w:r>
      <w:r>
        <w:t xml:space="preserve"> /d</w:t>
      </w:r>
      <w:r>
        <w:rPr>
          <w:rFonts w:hint="eastAsia"/>
        </w:rPr>
        <w:t>，渗透系数在</w:t>
      </w:r>
      <w:r>
        <w:t>5m/d</w:t>
      </w:r>
      <w:r>
        <w:rPr>
          <w:rFonts w:hint="eastAsia"/>
        </w:rPr>
        <w:t>左右，给水度</w:t>
      </w:r>
      <w:r>
        <w:t>0.044</w:t>
      </w:r>
      <w:r>
        <w:rPr>
          <w:rFonts w:hint="eastAsia"/>
        </w:rPr>
        <w:t>，矿化度</w:t>
      </w:r>
      <w:r>
        <w:t>l~10g/L</w:t>
      </w:r>
      <w:r>
        <w:rPr>
          <w:rFonts w:hint="eastAsia"/>
        </w:rPr>
        <w:t>，水化学类型</w:t>
      </w:r>
      <w:r>
        <w:t>HCO3·SO4·Cl-Na·Mg</w:t>
      </w:r>
      <w:r>
        <w:rPr>
          <w:rFonts w:hint="eastAsia"/>
        </w:rPr>
        <w:t xml:space="preserve">型水。 </w:t>
      </w:r>
    </w:p>
    <w:p>
      <w:pPr>
        <w:ind w:firstLine="480"/>
      </w:pPr>
      <w:r>
        <w:rPr>
          <w:rFonts w:hint="eastAsia"/>
        </w:rPr>
        <w:t xml:space="preserve">第二含水层组为湖积承压水，此含水层组受古地理条件控制，含水层情况变化较大，因地区而异，普遍来说，单井涌水量较小、水质较差，供水意义不大。 </w:t>
      </w:r>
    </w:p>
    <w:p>
      <w:pPr>
        <w:ind w:firstLine="480"/>
      </w:pPr>
      <w:r>
        <w:rPr>
          <w:rFonts w:hint="eastAsia"/>
        </w:rPr>
        <w:t>（</w:t>
      </w:r>
      <w:r>
        <w:t>2</w:t>
      </w:r>
      <w:r>
        <w:rPr>
          <w:rFonts w:hint="eastAsia"/>
        </w:rPr>
        <w:t xml:space="preserve">）地下水补排规律及水化特征 </w:t>
      </w:r>
    </w:p>
    <w:p>
      <w:pPr>
        <w:ind w:firstLine="480"/>
      </w:pPr>
      <w:r>
        <w:rPr>
          <w:rFonts w:hint="eastAsia"/>
        </w:rPr>
        <w:t xml:space="preserve">地下水补给、径流主要受气候、地貌、水文地质条件和人为活动的控制。河套平原是一个地处干旱气候带的引黄灌区，地形平缓，含水层颗粒细，降水稀少，蒸发强烈，引黄量大。这些因素对地下水的形成和运动有深刻影响。 </w:t>
      </w:r>
    </w:p>
    <w:p>
      <w:pPr>
        <w:ind w:firstLine="480"/>
      </w:pPr>
      <w:r>
        <w:rPr>
          <w:rFonts w:hint="eastAsia"/>
        </w:rPr>
        <w:t xml:space="preserve">①地下水的补给条件 </w:t>
      </w:r>
    </w:p>
    <w:p>
      <w:pPr>
        <w:ind w:firstLine="480"/>
      </w:pPr>
      <w:r>
        <w:rPr>
          <w:rFonts w:hint="eastAsia"/>
        </w:rPr>
        <w:t xml:space="preserve">在地下水的形成条件上，具有区域性的主要补给是引黄水量的入渗补给，其次为降水入渗补给。同时还有来自山区地下径流和黄河侧向补给，但是这两项补给具有一定的地带性。 </w:t>
      </w:r>
    </w:p>
    <w:p>
      <w:pPr>
        <w:ind w:firstLine="480"/>
      </w:pPr>
      <w:r>
        <w:rPr>
          <w:rFonts w:hint="eastAsia"/>
        </w:rPr>
        <w:t xml:space="preserve">②地下水的径流条件 </w:t>
      </w:r>
    </w:p>
    <w:p>
      <w:pPr>
        <w:ind w:firstLine="480"/>
      </w:pPr>
      <w:r>
        <w:rPr>
          <w:rFonts w:hint="eastAsia"/>
        </w:rPr>
        <w:t xml:space="preserve">地下水的径流条件主要受地貌、气候和含水层地质特征的影响。因此，地下水的运动以垂直交替为主要特征。河套地区在地形及地质构造上为一个封闭的盆地，其地形平缓、含水层颗粒细、水力坡度小，地下水径流条件较差，地下水没有水平的排泄出路，主要是垂直入渗补给，而以垂直蒸发消耗。区域地下水流向自西南向北东折向东，地下水排向乌梁素海，构成地表水和地下水的局部排泄带。 </w:t>
      </w:r>
    </w:p>
    <w:p>
      <w:pPr>
        <w:ind w:firstLine="480"/>
      </w:pPr>
      <w:r>
        <w:rPr>
          <w:rFonts w:hint="eastAsia"/>
        </w:rPr>
        <w:t xml:space="preserve">③区域水化学特征 </w:t>
      </w:r>
    </w:p>
    <w:p>
      <w:pPr>
        <w:ind w:firstLine="480"/>
      </w:pPr>
      <w:r>
        <w:rPr>
          <w:rFonts w:hint="eastAsia"/>
        </w:rPr>
        <w:t>本区水化学特征总体受地形、地层、构造及地下水循环条件的制约，不同地貌的地下水化学特征各不相同。河套平原的咸水带大致分为三部分：南部潜伏隆起咸水带；三湖河南部咸水带；扇前洼地咸水带。本区域为河套灌区中南部，在垂向上为上淡下咸型，是中部淡水带的东段和咸水带外围向淡水的过渡带，水化学类型以</w:t>
      </w:r>
      <w:r>
        <w:t>Cl-Na</w:t>
      </w:r>
      <w:r>
        <w:rPr>
          <w:rFonts w:hint="eastAsia"/>
        </w:rPr>
        <w:t>和</w:t>
      </w:r>
      <w:r>
        <w:t>Cl-Na·Ca</w:t>
      </w:r>
      <w:r>
        <w:rPr>
          <w:rFonts w:hint="eastAsia"/>
        </w:rPr>
        <w:t>为主。</w:t>
      </w:r>
    </w:p>
    <w:p>
      <w:pPr>
        <w:pStyle w:val="5"/>
      </w:pPr>
      <w:r>
        <w:rPr>
          <w:rFonts w:hint="eastAsia"/>
        </w:rPr>
        <w:t>地下水赋存条件</w:t>
      </w:r>
    </w:p>
    <w:p>
      <w:pPr>
        <w:ind w:firstLine="480"/>
      </w:pPr>
      <w:r>
        <w:rPr>
          <w:rFonts w:hint="eastAsia"/>
        </w:rPr>
        <w:t xml:space="preserve">根据已有资料显示，工作区所处黄河流域北岸冲洪（湖）积平原，赋存第四系松散岩类孔隙潜水及承压水，平原区北侧为阴山山脉，赋存基岩裂隙水，现分述如下： </w:t>
      </w:r>
    </w:p>
    <w:p>
      <w:pPr>
        <w:ind w:firstLine="480"/>
      </w:pPr>
      <w:r>
        <w:rPr>
          <w:rFonts w:hint="eastAsia"/>
        </w:rPr>
        <w:t>（1）第四系松散岩类孔隙水（</w:t>
      </w:r>
      <w:r>
        <w:t>QP3-h</w:t>
      </w:r>
      <w:r>
        <w:rPr>
          <w:rFonts w:hint="eastAsia"/>
        </w:rPr>
        <w:t xml:space="preserve">） </w:t>
      </w:r>
    </w:p>
    <w:p>
      <w:pPr>
        <w:ind w:firstLine="480"/>
      </w:pPr>
      <w:r>
        <w:rPr>
          <w:rFonts w:hint="eastAsia"/>
        </w:rPr>
        <w:t xml:space="preserve">①狼山山前冲洪积扇裙孔隙潜水、承压水富集地段 </w:t>
      </w:r>
    </w:p>
    <w:p>
      <w:pPr>
        <w:ind w:firstLine="480"/>
      </w:pPr>
      <w:r>
        <w:rPr>
          <w:rFonts w:hint="eastAsia"/>
        </w:rPr>
        <w:t>总体呈条带状分布于狼山山前一带，由一系列冲洪积扇组曾，含水层岩性未砂砾卵石层，由于受伸向山麓的稳定淤泥层的分隔，形成潜水和承压水。潜水为 冲洪积含水组（</w:t>
      </w:r>
      <w:r>
        <w:t>Qh</w:t>
      </w:r>
      <w:r>
        <w:rPr>
          <w:rFonts w:hint="eastAsia"/>
        </w:rPr>
        <w:t>），其水位埋深由北向南一般为</w:t>
      </w:r>
      <w:r>
        <w:t>10</w:t>
      </w:r>
      <w:r>
        <w:rPr>
          <w:rFonts w:hint="eastAsia"/>
        </w:rPr>
        <w:t>~</w:t>
      </w:r>
      <w:r>
        <w:t>30m</w:t>
      </w:r>
      <w:r>
        <w:rPr>
          <w:rFonts w:hint="eastAsia"/>
        </w:rPr>
        <w:t>变为</w:t>
      </w:r>
      <w:r>
        <w:t>10m</w:t>
      </w:r>
      <w:r>
        <w:rPr>
          <w:rFonts w:hint="eastAsia"/>
        </w:rPr>
        <w:t>，个别扇顶部达</w:t>
      </w:r>
      <w:r>
        <w:t>30</w:t>
      </w:r>
      <w:r>
        <w:rPr>
          <w:rFonts w:hint="eastAsia"/>
        </w:rPr>
        <w:t>~</w:t>
      </w:r>
      <w:r>
        <w:t>70m</w:t>
      </w:r>
      <w:r>
        <w:rPr>
          <w:rFonts w:hint="eastAsia"/>
        </w:rPr>
        <w:t>，至扇的前缘洼地则变浅为＜</w:t>
      </w:r>
      <w:r>
        <w:t>3m</w:t>
      </w:r>
      <w:r>
        <w:rPr>
          <w:rFonts w:hint="eastAsia"/>
        </w:rPr>
        <w:t>，含水层由扇顶部向扇的前缘和向 扇的两翼有粗变细，即由砂砾卵石层变为中细砂或粉细砂，其厚度由</w:t>
      </w:r>
      <w:r>
        <w:t>80</w:t>
      </w:r>
      <w:r>
        <w:rPr>
          <w:rFonts w:hint="eastAsia"/>
        </w:rPr>
        <w:t>~</w:t>
      </w:r>
      <w:r>
        <w:t>100m</w:t>
      </w:r>
      <w:r>
        <w:rPr>
          <w:rFonts w:hint="eastAsia"/>
        </w:rPr>
        <w:t>向扇边缘递减为＜</w:t>
      </w:r>
      <w:r>
        <w:t>20m</w:t>
      </w:r>
      <w:r>
        <w:rPr>
          <w:rFonts w:hint="eastAsia"/>
        </w:rPr>
        <w:t>。单井最大涌水量多＞</w:t>
      </w:r>
      <w:r>
        <w:t>100m</w:t>
      </w:r>
      <w:r>
        <w:rPr>
          <w:vertAlign w:val="superscript"/>
        </w:rPr>
        <w:t>3</w:t>
      </w:r>
      <w:r>
        <w:t>/h</w:t>
      </w:r>
      <w:r>
        <w:rPr>
          <w:rFonts w:hint="eastAsia"/>
        </w:rPr>
        <w:t>，水质一般较好，在狼山西段山前地带较差，矿化度多＜</w:t>
      </w:r>
      <w:r>
        <w:t>2g/L</w:t>
      </w:r>
      <w:r>
        <w:rPr>
          <w:rFonts w:hint="eastAsia"/>
        </w:rPr>
        <w:t>。承压水属下更新统湖积层含水组，它与后套盆地内部承压水层相连通，含水层岩性与厚度均由山前向盆地内部变细变薄，但层数增多，其顶板埋深多在</w:t>
      </w:r>
      <w:r>
        <w:t>110</w:t>
      </w:r>
      <w:r>
        <w:rPr>
          <w:rFonts w:hint="eastAsia"/>
        </w:rPr>
        <w:t>~</w:t>
      </w:r>
      <w:r>
        <w:t>120m</w:t>
      </w:r>
      <w:r>
        <w:rPr>
          <w:rFonts w:hint="eastAsia"/>
        </w:rPr>
        <w:t>，单层厚</w:t>
      </w:r>
      <w:r>
        <w:t>20</w:t>
      </w:r>
      <w:r>
        <w:rPr>
          <w:rFonts w:hint="eastAsia"/>
        </w:rPr>
        <w:t>~</w:t>
      </w:r>
      <w:r>
        <w:t>40m</w:t>
      </w:r>
      <w:r>
        <w:rPr>
          <w:rFonts w:hint="eastAsia"/>
        </w:rPr>
        <w:t>，含水层岩性为砂砾石和粉细砂，水位埋深</w:t>
      </w:r>
      <w:r>
        <w:t>4</w:t>
      </w:r>
      <w:r>
        <w:rPr>
          <w:rFonts w:hint="eastAsia"/>
        </w:rPr>
        <w:t>~</w:t>
      </w:r>
      <w:r>
        <w:t>5m</w:t>
      </w:r>
      <w:r>
        <w:rPr>
          <w:rFonts w:hint="eastAsia"/>
        </w:rPr>
        <w:t>，单井涌水量最大可达</w:t>
      </w:r>
      <w:r>
        <w:t>100m3/h</w:t>
      </w:r>
      <w:r>
        <w:rPr>
          <w:rFonts w:hint="eastAsia"/>
        </w:rPr>
        <w:t>以上，水质较差，矿化度</w:t>
      </w:r>
      <w:r>
        <w:t>2-5g/L</w:t>
      </w:r>
      <w:r>
        <w:rPr>
          <w:rFonts w:hint="eastAsia"/>
        </w:rPr>
        <w:t>。</w:t>
      </w:r>
    </w:p>
    <w:p>
      <w:pPr>
        <w:ind w:firstLine="480"/>
      </w:pPr>
      <w:r>
        <w:rPr>
          <w:rFonts w:hint="eastAsia"/>
        </w:rPr>
        <w:t xml:space="preserve">②黄河冲湖积平原孔隙潜水富集地段 </w:t>
      </w:r>
    </w:p>
    <w:p>
      <w:pPr>
        <w:ind w:firstLine="480"/>
      </w:pPr>
      <w:r>
        <w:rPr>
          <w:rFonts w:hint="eastAsia"/>
        </w:rPr>
        <w:t>该地段统称之为后套平原，包括临河以东、乌梁素海以西一带，由第四系全新统</w:t>
      </w:r>
      <w:r>
        <w:t>—</w:t>
      </w:r>
      <w:r>
        <w:rPr>
          <w:rFonts w:hint="eastAsia"/>
        </w:rPr>
        <w:t>上更新统含水组构成的潜水，厚度大，平均厚度约</w:t>
      </w:r>
      <w:r>
        <w:t>60m</w:t>
      </w:r>
      <w:r>
        <w:rPr>
          <w:rFonts w:hint="eastAsia"/>
        </w:rPr>
        <w:t>，最厚可达</w:t>
      </w:r>
      <w:r>
        <w:t>120m</w:t>
      </w:r>
      <w:r>
        <w:rPr>
          <w:rFonts w:hint="eastAsia"/>
        </w:rPr>
        <w:t>，岩性为中细砂和粉细砂，而在黄河故道地带含水层岩性较粗，为中粗砂，水位埋深浅，一般多＜</w:t>
      </w:r>
      <w:r>
        <w:t>2m</w:t>
      </w:r>
      <w:r>
        <w:rPr>
          <w:rFonts w:hint="eastAsia"/>
        </w:rPr>
        <w:t>，水位及水量受灌溉、降雨等影响较大，单井涌水量在盆地中部可达</w:t>
      </w:r>
      <w:r>
        <w:t>100m</w:t>
      </w:r>
      <w:r>
        <w:rPr>
          <w:vertAlign w:val="superscript"/>
        </w:rPr>
        <w:t>3</w:t>
      </w:r>
      <w:r>
        <w:t>/h</w:t>
      </w:r>
      <w:r>
        <w:rPr>
          <w:rFonts w:hint="eastAsia"/>
        </w:rPr>
        <w:t>，在其余地段多＜</w:t>
      </w:r>
      <w:r>
        <w:t>50m</w:t>
      </w:r>
      <w:r>
        <w:rPr>
          <w:vertAlign w:val="superscript"/>
        </w:rPr>
        <w:t>3</w:t>
      </w:r>
      <w:r>
        <w:t>/h</w:t>
      </w:r>
      <w:r>
        <w:rPr>
          <w:rFonts w:hint="eastAsia"/>
        </w:rPr>
        <w:t>，大多地段水质较好，仅在五原县白银刀亥包兰铁路沿线附近和从五原县向东至乌梁素海间，矿化度＞</w:t>
      </w:r>
      <w:r>
        <w:t>2g/L</w:t>
      </w:r>
      <w:r>
        <w:rPr>
          <w:rFonts w:hint="eastAsia"/>
        </w:rPr>
        <w:t>，最大＞</w:t>
      </w:r>
      <w:r>
        <w:t>5g/L</w:t>
      </w:r>
      <w:r>
        <w:rPr>
          <w:rFonts w:hint="eastAsia"/>
        </w:rPr>
        <w:t xml:space="preserve">。 </w:t>
      </w:r>
    </w:p>
    <w:p>
      <w:pPr>
        <w:ind w:firstLine="480"/>
      </w:pPr>
      <w:r>
        <w:rPr>
          <w:rFonts w:hint="eastAsia"/>
        </w:rPr>
        <w:t xml:space="preserve">③风积沙丘孔隙潜水贫乏地段 </w:t>
      </w:r>
    </w:p>
    <w:p>
      <w:pPr>
        <w:ind w:firstLine="480"/>
      </w:pPr>
      <w:r>
        <w:rPr>
          <w:rFonts w:hint="eastAsia"/>
        </w:rPr>
        <w:t>分布于库布其沙漠北缘，为链状和垄状沙丘，丘间洼地偶见潜水汇集，水量较小，不足</w:t>
      </w:r>
      <w:r>
        <w:t>1m</w:t>
      </w:r>
      <w:r>
        <w:rPr>
          <w:vertAlign w:val="superscript"/>
        </w:rPr>
        <w:t>3</w:t>
      </w:r>
      <w:r>
        <w:t>/h</w:t>
      </w:r>
      <w:r>
        <w:rPr>
          <w:rFonts w:hint="eastAsia"/>
        </w:rPr>
        <w:t xml:space="preserve">。 </w:t>
      </w:r>
    </w:p>
    <w:p>
      <w:pPr>
        <w:ind w:firstLine="480"/>
      </w:pPr>
      <w:r>
        <w:rPr>
          <w:rFonts w:hint="eastAsia"/>
        </w:rPr>
        <w:t>（2）基岩裂隙水</w:t>
      </w:r>
    </w:p>
    <w:p>
      <w:pPr>
        <w:ind w:firstLine="480"/>
      </w:pPr>
      <w:r>
        <w:rPr>
          <w:rFonts w:hint="eastAsia"/>
        </w:rPr>
        <w:t>分布于低山区，组成岩性以华力西中期花岗侵入岩为主，零星分布有侏罗系下统石拐群砂砾岩、砂岩、片岩等，赋存基岩裂隙水，其富水性受降雨量及裂隙发育情况影响，据钻探及泉眼流量观测，涌水量一般＜</w:t>
      </w:r>
      <w:r>
        <w:t>100m</w:t>
      </w:r>
      <w:r>
        <w:rPr>
          <w:vertAlign w:val="superscript"/>
        </w:rPr>
        <w:t>3</w:t>
      </w:r>
      <w:r>
        <w:t>/d</w:t>
      </w:r>
      <w:r>
        <w:rPr>
          <w:rFonts w:hint="eastAsia"/>
        </w:rPr>
        <w:t xml:space="preserve">。 </w:t>
      </w:r>
    </w:p>
    <w:p>
      <w:pPr>
        <w:ind w:firstLine="480"/>
      </w:pPr>
      <w:r>
        <w:rPr>
          <w:rFonts w:hint="eastAsia"/>
        </w:rPr>
        <w:t>详见区域水文地质图。</w:t>
      </w:r>
    </w:p>
    <w:p>
      <w:pPr>
        <w:ind w:firstLine="0" w:firstLineChars="0"/>
        <w:jc w:val="center"/>
      </w:pPr>
      <w:r>
        <w:drawing>
          <wp:inline distT="0" distB="0" distL="114300" distR="114300">
            <wp:extent cx="3905250" cy="4752975"/>
            <wp:effectExtent l="9525" t="9525" r="9525" b="952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49"/>
                    <a:stretch>
                      <a:fillRect/>
                    </a:stretch>
                  </pic:blipFill>
                  <pic:spPr>
                    <a:xfrm>
                      <a:off x="0" y="0"/>
                      <a:ext cx="3905250" cy="4752975"/>
                    </a:xfrm>
                    <a:prstGeom prst="rect">
                      <a:avLst/>
                    </a:prstGeom>
                    <a:noFill/>
                    <a:ln>
                      <a:solidFill>
                        <a:schemeClr val="tx1"/>
                      </a:solidFill>
                    </a:ln>
                  </pic:spPr>
                </pic:pic>
              </a:graphicData>
            </a:graphic>
          </wp:inline>
        </w:drawing>
      </w:r>
    </w:p>
    <w:p>
      <w:pPr>
        <w:pStyle w:val="6"/>
      </w:pPr>
      <w:r>
        <w:rPr>
          <w:rFonts w:hint="eastAsia"/>
        </w:rPr>
        <w:t xml:space="preserve">图 </w:t>
      </w:r>
      <w:r>
        <w:t>4.</w:t>
      </w:r>
      <w:r>
        <w:rPr>
          <w:rFonts w:hint="eastAsia"/>
        </w:rPr>
        <w:t>1.4</w:t>
      </w:r>
      <w:r>
        <w:t xml:space="preserve">-1 </w:t>
      </w:r>
      <w:r>
        <w:rPr>
          <w:rFonts w:hint="eastAsia"/>
        </w:rPr>
        <w:t xml:space="preserve">  区域水文地质图</w:t>
      </w:r>
    </w:p>
    <w:p>
      <w:pPr>
        <w:pStyle w:val="5"/>
      </w:pPr>
      <w:r>
        <w:rPr>
          <w:rFonts w:hint="eastAsia"/>
        </w:rPr>
        <w:t>补给、径流、排泄条件</w:t>
      </w:r>
    </w:p>
    <w:p>
      <w:pPr>
        <w:ind w:firstLine="480"/>
      </w:pPr>
      <w:r>
        <w:rPr>
          <w:rFonts w:hint="eastAsia"/>
        </w:rPr>
        <w:t xml:space="preserve">（1）第四系松散岩类孔隙潜水 </w:t>
      </w:r>
    </w:p>
    <w:p>
      <w:pPr>
        <w:ind w:firstLine="480"/>
      </w:pPr>
      <w:r>
        <w:rPr>
          <w:rFonts w:hint="eastAsia"/>
        </w:rPr>
        <w:t xml:space="preserve">潜水受大气降水垂直入渗补给，补给量受降水（雪）量控制，接受冲洪积扇的侧向径流补给，此外，还接受基岩山区裂隙侧向补给，在农灌区灌溉季节，存在沟渠水入渗补给地下潜水的情况；上游含水层颗粒较粗，径流补给条件较好，地下水沿周边向盆地中心汇聚；由于分布大量的村庄及农田，地下水排泄方式以人工开采为主，部分通过径流的方式补给黄河，由于水位埋深浅，受毛细作用的影响，存在蒸发排泄。 </w:t>
      </w:r>
    </w:p>
    <w:p>
      <w:pPr>
        <w:ind w:firstLine="480"/>
      </w:pPr>
      <w:r>
        <w:rPr>
          <w:rFonts w:hint="eastAsia"/>
        </w:rPr>
        <w:t xml:space="preserve">（2）基岩裂隙水 </w:t>
      </w:r>
    </w:p>
    <w:p>
      <w:pPr>
        <w:ind w:firstLine="480"/>
      </w:pPr>
      <w:r>
        <w:rPr>
          <w:rFonts w:hint="eastAsia"/>
        </w:rPr>
        <w:t xml:space="preserve">基岩裂隙水作为地下水的补给区，其补给来源为大气降水垂直入渗补给，补量受降水（雪）量及裂隙发育程度控制；径流情况受裂隙深度及裂隙宽度影响；裂隙水多补给与下游冲洪（湖）积平原中，部分裂隙发育较浅地段存在蒸发排泄，少数地段存在人工开采，但开采量不大。 </w:t>
      </w:r>
    </w:p>
    <w:p>
      <w:pPr>
        <w:pStyle w:val="4"/>
      </w:pPr>
      <w:r>
        <w:rPr>
          <w:rFonts w:hint="eastAsia"/>
        </w:rPr>
        <w:t>气象与水文</w:t>
      </w:r>
    </w:p>
    <w:p>
      <w:pPr>
        <w:pStyle w:val="5"/>
      </w:pPr>
      <w:r>
        <w:rPr>
          <w:rFonts w:hint="eastAsia"/>
        </w:rPr>
        <w:t>气象</w:t>
      </w:r>
    </w:p>
    <w:p>
      <w:pPr>
        <w:ind w:firstLine="480"/>
      </w:pPr>
      <w:r>
        <w:rPr>
          <w:rFonts w:hint="eastAsia"/>
        </w:rPr>
        <w:t xml:space="preserve">五原县属大陆性季风气候。受高空西风环流控制，各种天气系统多自西向东移动。因受太阳辐射，大气环流，地理地貌三因素的影响，这里具有冬季严寒而漫长，夏季短促而凉爽，降水稀少，气候干燥，风大的特点。 </w:t>
      </w:r>
    </w:p>
    <w:p>
      <w:pPr>
        <w:ind w:firstLine="480"/>
      </w:pPr>
      <w:r>
        <w:rPr>
          <w:rFonts w:hint="eastAsia"/>
          <w:color w:val="000000" w:themeColor="text1"/>
          <w14:textFill>
            <w14:solidFill>
              <w14:schemeClr w14:val="tx1"/>
            </w14:solidFill>
          </w14:textFill>
        </w:rPr>
        <w:t>五原县地处中温带大陆性气候与季风气候的交界处，四季分明，冬季漫长寒冷，春季多风干燥，夏季炎热短促。降水集中，雨热同季，日照充足，年平均气温8.2℃，极端最高气温38.1℃（1999年7月26日），极端最低气温-29℃（2008年1月24日）</w:t>
      </w:r>
      <w:r>
        <w:rPr>
          <w:rFonts w:hint="eastAsia" w:ascii="宋体" w:hAnsi="宋体" w:cs="宋体"/>
          <w:color w:val="000000"/>
          <w:kern w:val="0"/>
          <w:lang w:bidi="ar"/>
        </w:rPr>
        <w:t>。年平均降水量为</w:t>
      </w:r>
      <w:r>
        <w:rPr>
          <w:color w:val="000000"/>
          <w:kern w:val="0"/>
          <w:lang w:bidi="ar"/>
        </w:rPr>
        <w:t>142.50mm</w:t>
      </w:r>
      <w:r>
        <w:rPr>
          <w:rFonts w:hint="eastAsia" w:ascii="宋体" w:hAnsi="宋体" w:cs="宋体"/>
          <w:color w:val="000000"/>
          <w:kern w:val="0"/>
          <w:lang w:bidi="ar"/>
        </w:rPr>
        <w:t>，多雨的年份为</w:t>
      </w:r>
      <w:r>
        <w:rPr>
          <w:color w:val="000000"/>
          <w:kern w:val="0"/>
          <w:lang w:bidi="ar"/>
        </w:rPr>
        <w:t>2003</w:t>
      </w:r>
      <w:r>
        <w:rPr>
          <w:rFonts w:hint="eastAsia" w:ascii="宋体" w:hAnsi="宋体" w:cs="宋体"/>
          <w:color w:val="000000"/>
          <w:kern w:val="0"/>
          <w:lang w:bidi="ar"/>
        </w:rPr>
        <w:t>年，降水量达到</w:t>
      </w:r>
      <w:r>
        <w:rPr>
          <w:color w:val="000000"/>
          <w:kern w:val="0"/>
          <w:lang w:bidi="ar"/>
        </w:rPr>
        <w:t>235mm</w:t>
      </w:r>
      <w:r>
        <w:rPr>
          <w:rFonts w:hint="eastAsia" w:ascii="宋体" w:hAnsi="宋体" w:cs="宋体"/>
          <w:color w:val="000000"/>
          <w:kern w:val="0"/>
          <w:lang w:bidi="ar"/>
        </w:rPr>
        <w:t>，少雨的年份为</w:t>
      </w:r>
      <w:r>
        <w:rPr>
          <w:color w:val="000000"/>
          <w:kern w:val="0"/>
          <w:lang w:bidi="ar"/>
        </w:rPr>
        <w:t>1986</w:t>
      </w:r>
      <w:r>
        <w:rPr>
          <w:rFonts w:hint="eastAsia" w:ascii="宋体" w:hAnsi="宋体" w:cs="宋体"/>
          <w:color w:val="000000"/>
          <w:kern w:val="0"/>
          <w:lang w:bidi="ar"/>
        </w:rPr>
        <w:t>年，降水量为</w:t>
      </w:r>
      <w:r>
        <w:rPr>
          <w:color w:val="000000"/>
          <w:kern w:val="0"/>
          <w:lang w:bidi="ar"/>
        </w:rPr>
        <w:t>70.5mm</w:t>
      </w:r>
      <w:r>
        <w:rPr>
          <w:rFonts w:hint="eastAsia" w:ascii="宋体" w:hAnsi="宋体" w:cs="宋体"/>
          <w:color w:val="000000"/>
          <w:kern w:val="0"/>
          <w:lang w:bidi="ar"/>
        </w:rPr>
        <w:t>，</w:t>
      </w:r>
      <w:r>
        <w:rPr>
          <w:color w:val="000000"/>
          <w:kern w:val="0"/>
          <w:lang w:bidi="ar"/>
        </w:rPr>
        <w:t>80%</w:t>
      </w:r>
      <w:r>
        <w:rPr>
          <w:rFonts w:hint="eastAsia" w:ascii="宋体" w:hAnsi="宋体" w:cs="宋体"/>
          <w:color w:val="000000"/>
          <w:kern w:val="0"/>
          <w:lang w:bidi="ar"/>
        </w:rPr>
        <w:t>的降水量集中的植物生长期，夏季约占全年降水量的</w:t>
      </w:r>
      <w:r>
        <w:rPr>
          <w:color w:val="000000"/>
          <w:kern w:val="0"/>
          <w:lang w:bidi="ar"/>
        </w:rPr>
        <w:t>75%</w:t>
      </w:r>
      <w:r>
        <w:rPr>
          <w:rFonts w:hint="eastAsia" w:ascii="宋体" w:hAnsi="宋体" w:cs="宋体"/>
          <w:color w:val="000000"/>
          <w:kern w:val="0"/>
          <w:lang w:bidi="ar"/>
        </w:rPr>
        <w:t>，春季占</w:t>
      </w:r>
      <w:r>
        <w:rPr>
          <w:color w:val="000000"/>
          <w:kern w:val="0"/>
          <w:lang w:bidi="ar"/>
        </w:rPr>
        <w:t>1l%</w:t>
      </w:r>
      <w:r>
        <w:rPr>
          <w:rFonts w:hint="eastAsia" w:ascii="宋体" w:hAnsi="宋体" w:cs="宋体"/>
          <w:color w:val="000000"/>
          <w:kern w:val="0"/>
          <w:lang w:bidi="ar"/>
        </w:rPr>
        <w:t>，秋季占</w:t>
      </w:r>
      <w:r>
        <w:rPr>
          <w:color w:val="000000"/>
          <w:kern w:val="0"/>
          <w:lang w:bidi="ar"/>
        </w:rPr>
        <w:t>17%</w:t>
      </w:r>
      <w:r>
        <w:rPr>
          <w:rFonts w:hint="eastAsia" w:ascii="宋体" w:hAnsi="宋体" w:cs="宋体"/>
          <w:color w:val="000000"/>
          <w:kern w:val="0"/>
          <w:lang w:bidi="ar"/>
        </w:rPr>
        <w:t>，冬季仅占</w:t>
      </w:r>
      <w:r>
        <w:rPr>
          <w:color w:val="000000"/>
          <w:kern w:val="0"/>
          <w:lang w:bidi="ar"/>
        </w:rPr>
        <w:t>2%</w:t>
      </w:r>
      <w:r>
        <w:rPr>
          <w:rFonts w:hint="eastAsia" w:ascii="宋体" w:hAnsi="宋体" w:cs="宋体"/>
          <w:color w:val="000000"/>
          <w:kern w:val="0"/>
          <w:lang w:bidi="ar"/>
        </w:rPr>
        <w:t>。年平均蒸发量为</w:t>
      </w:r>
      <w:r>
        <w:rPr>
          <w:color w:val="000000"/>
          <w:kern w:val="0"/>
          <w:lang w:bidi="ar"/>
        </w:rPr>
        <w:t>2166.30mm</w:t>
      </w:r>
      <w:r>
        <w:rPr>
          <w:rFonts w:hint="eastAsia" w:ascii="宋体" w:hAnsi="宋体" w:cs="宋体"/>
          <w:color w:val="000000"/>
          <w:kern w:val="0"/>
          <w:lang w:bidi="ar"/>
        </w:rPr>
        <w:t>，蒸发量最大的年份为</w:t>
      </w:r>
      <w:r>
        <w:rPr>
          <w:color w:val="000000"/>
          <w:kern w:val="0"/>
          <w:lang w:bidi="ar"/>
        </w:rPr>
        <w:t>201</w:t>
      </w:r>
      <w:r>
        <w:rPr>
          <w:rFonts w:hint="eastAsia" w:ascii="宋体" w:hAnsi="宋体" w:cs="宋体"/>
          <w:color w:val="000000"/>
          <w:kern w:val="0"/>
          <w:lang w:bidi="ar"/>
        </w:rPr>
        <w:t>年，最大蒸发量达到</w:t>
      </w:r>
      <w:r>
        <w:rPr>
          <w:color w:val="000000"/>
          <w:kern w:val="0"/>
          <w:lang w:bidi="ar"/>
        </w:rPr>
        <w:t>2421.10mm</w:t>
      </w:r>
      <w:r>
        <w:rPr>
          <w:rFonts w:hint="eastAsia" w:ascii="宋体" w:hAnsi="宋体" w:cs="宋体"/>
          <w:color w:val="000000"/>
          <w:kern w:val="0"/>
          <w:lang w:bidi="ar"/>
        </w:rPr>
        <w:t>，最小的年份为</w:t>
      </w:r>
      <w:r>
        <w:rPr>
          <w:color w:val="000000"/>
          <w:kern w:val="0"/>
          <w:lang w:bidi="ar"/>
        </w:rPr>
        <w:t>1996</w:t>
      </w:r>
      <w:r>
        <w:rPr>
          <w:rFonts w:hint="eastAsia" w:ascii="宋体" w:hAnsi="宋体" w:cs="宋体"/>
          <w:color w:val="000000"/>
          <w:kern w:val="0"/>
          <w:lang w:bidi="ar"/>
        </w:rPr>
        <w:t>年，最小蒸发量为</w:t>
      </w:r>
      <w:r>
        <w:rPr>
          <w:color w:val="000000"/>
          <w:kern w:val="0"/>
          <w:lang w:bidi="ar"/>
        </w:rPr>
        <w:t>1970.20mm</w:t>
      </w:r>
      <w:r>
        <w:rPr>
          <w:rFonts w:hint="eastAsia" w:ascii="宋体" w:hAnsi="宋体" w:cs="宋体"/>
          <w:color w:val="000000"/>
          <w:kern w:val="0"/>
          <w:lang w:bidi="ar"/>
        </w:rPr>
        <w:t>，尤其以</w:t>
      </w:r>
      <w:r>
        <w:rPr>
          <w:color w:val="000000"/>
          <w:kern w:val="0"/>
          <w:lang w:bidi="ar"/>
        </w:rPr>
        <w:t>4</w:t>
      </w:r>
      <w:r>
        <w:rPr>
          <w:rFonts w:hint="eastAsia" w:ascii="宋体" w:hAnsi="宋体" w:cs="宋体"/>
          <w:color w:val="000000"/>
          <w:kern w:val="0"/>
          <w:lang w:bidi="ar"/>
        </w:rPr>
        <w:t>、</w:t>
      </w:r>
      <w:r>
        <w:rPr>
          <w:color w:val="000000"/>
          <w:kern w:val="0"/>
          <w:lang w:bidi="ar"/>
        </w:rPr>
        <w:t>5</w:t>
      </w:r>
      <w:r>
        <w:rPr>
          <w:rFonts w:hint="eastAsia" w:ascii="宋体" w:hAnsi="宋体" w:cs="宋体"/>
          <w:color w:val="000000"/>
          <w:kern w:val="0"/>
          <w:lang w:bidi="ar"/>
        </w:rPr>
        <w:t>、</w:t>
      </w:r>
      <w:r>
        <w:rPr>
          <w:color w:val="000000"/>
          <w:kern w:val="0"/>
          <w:lang w:bidi="ar"/>
        </w:rPr>
        <w:t>6</w:t>
      </w:r>
      <w:r>
        <w:rPr>
          <w:rFonts w:hint="eastAsia" w:ascii="宋体" w:hAnsi="宋体" w:cs="宋体"/>
          <w:color w:val="000000"/>
          <w:kern w:val="0"/>
          <w:lang w:bidi="ar"/>
        </w:rPr>
        <w:t>、</w:t>
      </w:r>
      <w:r>
        <w:rPr>
          <w:color w:val="000000"/>
          <w:kern w:val="0"/>
          <w:lang w:bidi="ar"/>
        </w:rPr>
        <w:t>7</w:t>
      </w:r>
      <w:r>
        <w:rPr>
          <w:rFonts w:hint="eastAsia" w:ascii="宋体" w:hAnsi="宋体" w:cs="宋体"/>
          <w:color w:val="000000"/>
          <w:kern w:val="0"/>
          <w:lang w:bidi="ar"/>
        </w:rPr>
        <w:t>、</w:t>
      </w:r>
      <w:r>
        <w:rPr>
          <w:color w:val="000000"/>
          <w:kern w:val="0"/>
          <w:lang w:bidi="ar"/>
        </w:rPr>
        <w:t>8</w:t>
      </w:r>
      <w:r>
        <w:rPr>
          <w:rFonts w:hint="eastAsia" w:ascii="宋体" w:hAnsi="宋体" w:cs="宋体"/>
          <w:color w:val="000000"/>
          <w:kern w:val="0"/>
          <w:lang w:bidi="ar"/>
        </w:rPr>
        <w:t>、</w:t>
      </w:r>
      <w:r>
        <w:rPr>
          <w:color w:val="000000"/>
          <w:kern w:val="0"/>
          <w:lang w:bidi="ar"/>
        </w:rPr>
        <w:t>9</w:t>
      </w:r>
      <w:r>
        <w:rPr>
          <w:rFonts w:hint="eastAsia" w:ascii="宋体" w:hAnsi="宋体" w:cs="宋体"/>
          <w:color w:val="000000"/>
          <w:kern w:val="0"/>
          <w:lang w:bidi="ar"/>
        </w:rPr>
        <w:t>、</w:t>
      </w:r>
      <w:r>
        <w:rPr>
          <w:color w:val="000000"/>
          <w:kern w:val="0"/>
          <w:lang w:bidi="ar"/>
        </w:rPr>
        <w:t>10</w:t>
      </w:r>
      <w:r>
        <w:rPr>
          <w:rFonts w:hint="eastAsia" w:ascii="宋体" w:hAnsi="宋体" w:cs="宋体"/>
          <w:color w:val="000000"/>
          <w:kern w:val="0"/>
          <w:lang w:bidi="ar"/>
        </w:rPr>
        <w:t>七个月的蒸发量最大，占全年总蒸发量的</w:t>
      </w:r>
      <w:r>
        <w:rPr>
          <w:color w:val="000000"/>
          <w:kern w:val="0"/>
          <w:lang w:bidi="ar"/>
        </w:rPr>
        <w:t>90%</w:t>
      </w:r>
      <w:r>
        <w:rPr>
          <w:rFonts w:hint="eastAsia" w:ascii="宋体" w:hAnsi="宋体" w:cs="宋体"/>
          <w:color w:val="000000"/>
          <w:kern w:val="0"/>
          <w:lang w:bidi="ar"/>
        </w:rPr>
        <w:t xml:space="preserve">以上。 </w:t>
      </w:r>
    </w:p>
    <w:p>
      <w:pPr>
        <w:widowControl/>
        <w:ind w:firstLine="480"/>
        <w:jc w:val="left"/>
      </w:pPr>
      <w:r>
        <w:rPr>
          <w:rFonts w:hint="eastAsia" w:ascii="宋体" w:hAnsi="宋体" w:cs="宋体"/>
          <w:color w:val="000000"/>
          <w:kern w:val="0"/>
          <w:lang w:bidi="ar"/>
        </w:rPr>
        <w:t>全年无霜期</w:t>
      </w:r>
      <w:r>
        <w:rPr>
          <w:color w:val="000000"/>
          <w:kern w:val="0"/>
          <w:lang w:bidi="ar"/>
        </w:rPr>
        <w:t xml:space="preserve">157 </w:t>
      </w:r>
      <w:r>
        <w:rPr>
          <w:rFonts w:hint="eastAsia" w:ascii="宋体" w:hAnsi="宋体" w:cs="宋体"/>
          <w:color w:val="000000"/>
          <w:kern w:val="0"/>
          <w:lang w:bidi="ar"/>
        </w:rPr>
        <w:t>天，年日照</w:t>
      </w:r>
      <w:r>
        <w:rPr>
          <w:color w:val="000000"/>
          <w:kern w:val="0"/>
          <w:lang w:bidi="ar"/>
        </w:rPr>
        <w:t>3121.6</w:t>
      </w:r>
      <w:r>
        <w:rPr>
          <w:rFonts w:hint="eastAsia" w:ascii="宋体" w:hAnsi="宋体" w:cs="宋体"/>
          <w:color w:val="000000"/>
          <w:kern w:val="0"/>
          <w:lang w:bidi="ar"/>
        </w:rPr>
        <w:t>小时，平均风速</w:t>
      </w:r>
      <w:r>
        <w:rPr>
          <w:color w:val="000000"/>
          <w:kern w:val="0"/>
          <w:lang w:bidi="ar"/>
        </w:rPr>
        <w:t>2.2m/s</w:t>
      </w:r>
      <w:r>
        <w:rPr>
          <w:rFonts w:hint="eastAsia" w:ascii="宋体" w:hAnsi="宋体" w:cs="宋体"/>
          <w:color w:val="000000"/>
          <w:kern w:val="0"/>
          <w:lang w:bidi="ar"/>
        </w:rPr>
        <w:t>。冻结期为每年</w:t>
      </w:r>
      <w:r>
        <w:rPr>
          <w:color w:val="000000"/>
          <w:kern w:val="0"/>
          <w:lang w:bidi="ar"/>
        </w:rPr>
        <w:t>10</w:t>
      </w:r>
      <w:r>
        <w:rPr>
          <w:rFonts w:hint="eastAsia" w:ascii="宋体" w:hAnsi="宋体" w:cs="宋体"/>
          <w:color w:val="000000"/>
          <w:kern w:val="0"/>
          <w:lang w:bidi="ar"/>
        </w:rPr>
        <w:t>月底</w:t>
      </w:r>
      <w:r>
        <w:rPr>
          <w:color w:val="000000"/>
          <w:kern w:val="0"/>
          <w:lang w:bidi="ar"/>
        </w:rPr>
        <w:t>—</w:t>
      </w:r>
      <w:r>
        <w:rPr>
          <w:rFonts w:hint="eastAsia" w:ascii="宋体" w:hAnsi="宋体" w:cs="宋体"/>
          <w:color w:val="000000"/>
          <w:kern w:val="0"/>
          <w:lang w:bidi="ar"/>
        </w:rPr>
        <w:t>翌年</w:t>
      </w:r>
      <w:r>
        <w:rPr>
          <w:color w:val="000000"/>
          <w:kern w:val="0"/>
          <w:lang w:bidi="ar"/>
        </w:rPr>
        <w:t>3</w:t>
      </w:r>
      <w:r>
        <w:rPr>
          <w:rFonts w:hint="eastAsia" w:ascii="宋体" w:hAnsi="宋体" w:cs="宋体"/>
          <w:color w:val="000000"/>
          <w:kern w:val="0"/>
          <w:lang w:bidi="ar"/>
        </w:rPr>
        <w:t>月底，最大冻结深度</w:t>
      </w:r>
      <w:r>
        <w:rPr>
          <w:color w:val="000000"/>
          <w:kern w:val="0"/>
          <w:lang w:bidi="ar"/>
        </w:rPr>
        <w:t>1.6m</w:t>
      </w:r>
      <w:r>
        <w:rPr>
          <w:rFonts w:hint="eastAsia" w:ascii="宋体" w:hAnsi="宋体" w:cs="宋体"/>
          <w:color w:val="000000"/>
          <w:kern w:val="0"/>
          <w:lang w:bidi="ar"/>
        </w:rPr>
        <w:t>。</w:t>
      </w:r>
    </w:p>
    <w:p>
      <w:pPr>
        <w:ind w:firstLine="0" w:firstLineChars="0"/>
        <w:jc w:val="center"/>
      </w:pPr>
      <w:r>
        <w:drawing>
          <wp:inline distT="0" distB="0" distL="114300" distR="114300">
            <wp:extent cx="5273040" cy="2240915"/>
            <wp:effectExtent l="0" t="0" r="3810" b="6985"/>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50"/>
                    <a:stretch>
                      <a:fillRect/>
                    </a:stretch>
                  </pic:blipFill>
                  <pic:spPr>
                    <a:xfrm>
                      <a:off x="0" y="0"/>
                      <a:ext cx="5273040" cy="2240915"/>
                    </a:xfrm>
                    <a:prstGeom prst="rect">
                      <a:avLst/>
                    </a:prstGeom>
                    <a:noFill/>
                    <a:ln>
                      <a:noFill/>
                    </a:ln>
                  </pic:spPr>
                </pic:pic>
              </a:graphicData>
            </a:graphic>
          </wp:inline>
        </w:drawing>
      </w:r>
    </w:p>
    <w:p>
      <w:pPr>
        <w:pStyle w:val="6"/>
      </w:pPr>
      <w:r>
        <w:rPr>
          <w:rFonts w:hint="eastAsia"/>
        </w:rPr>
        <w:t>图</w:t>
      </w:r>
      <w:r>
        <w:rPr>
          <w:rStyle w:val="92"/>
          <w:rFonts w:hint="eastAsia"/>
          <w:bCs/>
        </w:rPr>
        <w:t>4.1.5-1  五原县多年平均气象要素图</w:t>
      </w:r>
    </w:p>
    <w:p>
      <w:pPr>
        <w:pStyle w:val="5"/>
      </w:pPr>
      <w:r>
        <w:rPr>
          <w:rFonts w:hint="eastAsia"/>
        </w:rPr>
        <w:t>水文</w:t>
      </w:r>
    </w:p>
    <w:p>
      <w:pPr>
        <w:widowControl/>
        <w:ind w:firstLine="480"/>
        <w:jc w:val="left"/>
      </w:pPr>
      <w:r>
        <w:rPr>
          <w:rFonts w:hint="eastAsia" w:ascii="宋体" w:hAnsi="宋体" w:cs="宋体"/>
          <w:color w:val="000000"/>
          <w:kern w:val="0"/>
          <w:lang w:bidi="ar"/>
        </w:rPr>
        <w:t xml:space="preserve">五原县境内地表水分为两大水系，以阴山山脉为分水岭，南面是以黄河为侵蚀基准面的外流水系，山间沟谷均为季节性沟谷。 </w:t>
      </w:r>
    </w:p>
    <w:p>
      <w:pPr>
        <w:pStyle w:val="4"/>
      </w:pPr>
      <w:r>
        <w:rPr>
          <w:rFonts w:hint="eastAsia"/>
        </w:rPr>
        <w:t>土壤</w:t>
      </w:r>
    </w:p>
    <w:p>
      <w:pPr>
        <w:ind w:firstLine="480"/>
      </w:pPr>
      <w:r>
        <w:rPr>
          <w:rFonts w:hint="eastAsia"/>
          <w:color w:val="000000" w:themeColor="text1"/>
          <w14:textFill>
            <w14:solidFill>
              <w14:schemeClr w14:val="tx1"/>
            </w14:solidFill>
          </w14:textFill>
        </w:rPr>
        <w:t>五原县土壤类型可划分为灌淤土、盐土、碱土、风沙土、草甸土5个土类、8个亚类、26个土属、268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p>
    <w:p>
      <w:pPr>
        <w:pStyle w:val="4"/>
      </w:pPr>
      <w:r>
        <w:rPr>
          <w:rFonts w:hint="eastAsia"/>
        </w:rPr>
        <w:t>动植物资源</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全县天然野生植物约200余种，分属于15科99个属，其中药用植物有蒲公英、锁阳、甘草、车前草、蒲黄、艾、苍耳等60余种，纤维植物包括芨芨、芦苇、蒲草等，淀粉植物主要有灰菜、沙蓬、沙蒿、野豌豆等。野生动物资源主要有狐狸、兔、黄鼠狼、田鼠等。</w:t>
      </w:r>
    </w:p>
    <w:p>
      <w:pPr>
        <w:pStyle w:val="3"/>
        <w:spacing w:before="120" w:after="120"/>
        <w:rPr>
          <w:color w:val="auto"/>
        </w:rPr>
      </w:pPr>
      <w:bookmarkStart w:id="153" w:name="_Toc72358603"/>
      <w:bookmarkStart w:id="154" w:name="_Toc25974"/>
      <w:r>
        <w:rPr>
          <w:color w:val="auto"/>
        </w:rPr>
        <w:t>项目所在区域环境质量监测与评价</w:t>
      </w:r>
      <w:bookmarkEnd w:id="153"/>
      <w:bookmarkEnd w:id="154"/>
    </w:p>
    <w:p>
      <w:pPr>
        <w:ind w:firstLine="480"/>
      </w:pPr>
      <w:r>
        <w:rPr>
          <w:rFonts w:hint="eastAsia"/>
        </w:rPr>
        <w:t>本次评价针对环境空气、土壤、地下水、声环境及生态环境进行了现状调查与评价。</w:t>
      </w:r>
    </w:p>
    <w:p>
      <w:pPr>
        <w:ind w:firstLine="480"/>
      </w:pPr>
      <w:r>
        <w:rPr>
          <w:rFonts w:hint="eastAsia"/>
        </w:rPr>
        <w:t>其中，环境空气、声环境委托内蒙古航峰检测技术有限公司进行了实测，土壤、地下水现状监测数据引用《内蒙古春园满循环农业科技有限公司粉煤灰建筑地基评估报告》中的《内蒙古春园满循环农业科技有限公司粉煤灰建筑地基项目本底环境调查报告》（检测时间为2023年3月17日，检测单位为内蒙古和合环境科技有限公司）。监测布点见下图。</w:t>
      </w:r>
    </w:p>
    <w:p>
      <w:pPr>
        <w:ind w:firstLine="0" w:firstLineChars="0"/>
      </w:pPr>
      <w:r>
        <w:drawing>
          <wp:inline distT="0" distB="0" distL="114300" distR="114300">
            <wp:extent cx="5400675" cy="5314950"/>
            <wp:effectExtent l="0" t="0" r="9525" b="0"/>
            <wp:docPr id="7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6"/>
                    <pic:cNvPicPr>
                      <a:picLocks noChangeAspect="1"/>
                    </pic:cNvPicPr>
                  </pic:nvPicPr>
                  <pic:blipFill>
                    <a:blip r:embed="rId51"/>
                    <a:stretch>
                      <a:fillRect/>
                    </a:stretch>
                  </pic:blipFill>
                  <pic:spPr>
                    <a:xfrm>
                      <a:off x="0" y="0"/>
                      <a:ext cx="5400675" cy="5314950"/>
                    </a:xfrm>
                    <a:prstGeom prst="rect">
                      <a:avLst/>
                    </a:prstGeom>
                    <a:noFill/>
                    <a:ln>
                      <a:noFill/>
                    </a:ln>
                  </pic:spPr>
                </pic:pic>
              </a:graphicData>
            </a:graphic>
          </wp:inline>
        </w:drawing>
      </w:r>
    </w:p>
    <w:p>
      <w:pPr>
        <w:ind w:firstLine="0" w:firstLineChars="0"/>
        <w:jc w:val="center"/>
        <w:outlineLvl w:val="4"/>
      </w:pPr>
      <w:r>
        <w:rPr>
          <w:rFonts w:hint="eastAsia"/>
        </w:rPr>
        <w:t>图4.2-1  环境（大气、声）现状监测布点图</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553075" cy="3419475"/>
            <wp:effectExtent l="0" t="0" r="9525" b="9525"/>
            <wp:docPr id="9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6"/>
                    <pic:cNvPicPr>
                      <a:picLocks noChangeAspect="1"/>
                    </pic:cNvPicPr>
                  </pic:nvPicPr>
                  <pic:blipFill>
                    <a:blip r:embed="rId52"/>
                    <a:stretch>
                      <a:fillRect/>
                    </a:stretch>
                  </pic:blipFill>
                  <pic:spPr>
                    <a:xfrm>
                      <a:off x="0" y="0"/>
                      <a:ext cx="5553075" cy="3419475"/>
                    </a:xfrm>
                    <a:prstGeom prst="rect">
                      <a:avLst/>
                    </a:prstGeom>
                    <a:noFill/>
                    <a:ln>
                      <a:noFill/>
                    </a:ln>
                  </pic:spPr>
                </pic:pic>
              </a:graphicData>
            </a:graphic>
          </wp:inline>
        </w:drawing>
      </w:r>
    </w:p>
    <w:p>
      <w:pPr>
        <w:pStyle w:val="6"/>
      </w:pPr>
      <w:r>
        <w:rPr>
          <w:rFonts w:hint="eastAsia"/>
        </w:rPr>
        <w:t>图4.2-2  环境（土壤、地下水）现状监测布点图</w:t>
      </w:r>
    </w:p>
    <w:p>
      <w:pPr>
        <w:pStyle w:val="4"/>
      </w:pPr>
      <w:r>
        <w:rPr>
          <w:rFonts w:hint="eastAsia"/>
          <w:color w:val="auto"/>
        </w:rPr>
        <w:t>环境空气质量现状</w:t>
      </w:r>
    </w:p>
    <w:p>
      <w:pPr>
        <w:ind w:firstLine="480"/>
      </w:pPr>
      <w:r>
        <w:rPr>
          <w:rFonts w:hint="eastAsia"/>
        </w:rPr>
        <w:t>本项目大气评价等级为二级，根据</w:t>
      </w:r>
      <w:r>
        <w:t>《环境影响评价技术导则—大气环境》（HJ2.2-2018）中对</w:t>
      </w:r>
      <w:r>
        <w:rPr>
          <w:rFonts w:hint="eastAsia"/>
        </w:rPr>
        <w:t>环境空气质量现状调查与评价内容如下：（1）调查项目所在区域环境质量达标情况。（2）调查评价范围内有环境质量标准的评价因子的环境质量监测数据或进行补充监测，用于评价项目所在区域污染物环境质量现状。</w:t>
      </w:r>
    </w:p>
    <w:p>
      <w:pPr>
        <w:pStyle w:val="5"/>
        <w:rPr>
          <w:color w:val="auto"/>
        </w:rPr>
      </w:pPr>
      <w:r>
        <w:rPr>
          <w:rFonts w:hint="eastAsia"/>
          <w:color w:val="auto"/>
        </w:rPr>
        <w:t>区域空气环境达标区判定</w:t>
      </w:r>
    </w:p>
    <w:p>
      <w:pPr>
        <w:ind w:firstLine="480"/>
      </w:pPr>
      <w:r>
        <w:rPr>
          <w:rFonts w:hint="eastAsia"/>
        </w:rPr>
        <w:t>本项目位于巴彦淖尔市五原县，根据《2022年内蒙古自治区生态环境状况公报》，项目所在区域巴彦淖尔市为空气达标区。</w:t>
      </w:r>
    </w:p>
    <w:p>
      <w:pPr>
        <w:pStyle w:val="5"/>
      </w:pPr>
      <w:r>
        <w:rPr>
          <w:rFonts w:hint="eastAsia"/>
        </w:rPr>
        <w:t>区域污染物环境质量现状评价</w:t>
      </w:r>
    </w:p>
    <w:p>
      <w:pPr>
        <w:ind w:firstLine="480"/>
      </w:pPr>
      <w:r>
        <w:rPr>
          <w:rFonts w:hint="eastAsia"/>
        </w:rPr>
        <w:t>调查评价范围内有环境质量标准的评价因子的环境质量监测数据或进行补充监测，用于评价项目所在区域污染物环境质量现状。</w:t>
      </w:r>
    </w:p>
    <w:p>
      <w:pPr>
        <w:numPr>
          <w:ilvl w:val="0"/>
          <w:numId w:val="11"/>
        </w:numPr>
        <w:ind w:firstLine="480"/>
      </w:pPr>
      <w:r>
        <w:rPr>
          <w:rFonts w:hint="eastAsia"/>
        </w:rPr>
        <w:t>基本污染物</w:t>
      </w:r>
    </w:p>
    <w:p>
      <w:pPr>
        <w:ind w:firstLine="480"/>
      </w:pPr>
      <w:r>
        <w:rPr>
          <w:rFonts w:hint="eastAsia"/>
        </w:rPr>
        <w:t>根据《环境影响评价技术导则大气环境》（HJ2.2-2018），基本污染物环境质量现状数据采用评价范围内国家或地方环境质量监测网中评价基准年连续1年的监测数据；评价范围内没有环境空气质量监测网或公开发布的环境空气质量数据的，可选择符合HJ664规定，并且与评价范围地理位置临近，地形、气候条件相近的环境空气质量城市点或区域点监测数据。</w:t>
      </w:r>
    </w:p>
    <w:p>
      <w:pPr>
        <w:ind w:firstLine="480"/>
      </w:pPr>
      <w:r>
        <w:rPr>
          <w:rFonts w:hint="eastAsia"/>
        </w:rPr>
        <w:t>引用《巴彦淖尔市2022年度环境质量状况公报》中五原县隆兴昌镇</w:t>
      </w:r>
      <w:r>
        <w:t>监测数据平均值，经统计，引用点位基本污染物年均质量浓度和相应百分位数日平均或8h平均浓度，</w:t>
      </w:r>
      <w:r>
        <w:rPr>
          <w:rFonts w:hint="eastAsia"/>
        </w:rPr>
        <w:t>见</w:t>
      </w:r>
      <w:r>
        <w:t>表</w:t>
      </w:r>
      <w:r>
        <w:rPr>
          <w:rFonts w:hint="eastAsia"/>
        </w:rPr>
        <w:t>4.2.1-1</w:t>
      </w:r>
      <w:r>
        <w:t>。</w:t>
      </w:r>
    </w:p>
    <w:p>
      <w:pPr>
        <w:pStyle w:val="6"/>
      </w:pPr>
      <w:r>
        <w:t>表</w:t>
      </w:r>
      <w:r>
        <w:rPr>
          <w:rFonts w:hint="eastAsia"/>
        </w:rPr>
        <w:t xml:space="preserve">4.2.1-1  </w:t>
      </w:r>
      <w:r>
        <w:t xml:space="preserve">  区域空气质量现状评价表</w:t>
      </w:r>
      <w:r>
        <w:rPr>
          <w:rFonts w:hint="eastAsia"/>
        </w:rPr>
        <w:t xml:space="preserve">   </w:t>
      </w:r>
    </w:p>
    <w:tbl>
      <w:tblPr>
        <w:tblStyle w:val="38"/>
        <w:tblW w:w="8787" w:type="dxa"/>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0" w:type="dxa"/>
          <w:bottom w:w="0" w:type="dxa"/>
          <w:right w:w="0" w:type="dxa"/>
        </w:tblCellMar>
      </w:tblPr>
      <w:tblGrid>
        <w:gridCol w:w="844"/>
        <w:gridCol w:w="2599"/>
        <w:gridCol w:w="1367"/>
        <w:gridCol w:w="1415"/>
        <w:gridCol w:w="1413"/>
        <w:gridCol w:w="1149"/>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污染物</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年评价指标</w:t>
            </w:r>
          </w:p>
        </w:tc>
        <w:tc>
          <w:tcPr>
            <w:tcW w:w="1367"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现状浓度</w:t>
            </w:r>
          </w:p>
          <w:p>
            <w:pPr>
              <w:pStyle w:val="232"/>
              <w:rPr>
                <w:color w:val="000000" w:themeColor="text1"/>
                <w14:textFill>
                  <w14:solidFill>
                    <w14:schemeClr w14:val="tx1"/>
                  </w14:solidFill>
                </w14:textFill>
              </w:rPr>
            </w:pP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标准值</w:t>
            </w:r>
          </w:p>
          <w:p>
            <w:pPr>
              <w:pStyle w:val="232"/>
              <w:rPr>
                <w:color w:val="000000" w:themeColor="text1"/>
                <w14:textFill>
                  <w14:solidFill>
                    <w14:schemeClr w14:val="tx1"/>
                  </w14:solidFill>
                </w14:textFill>
              </w:rPr>
            </w:pP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tc>
        <w:tc>
          <w:tcPr>
            <w:tcW w:w="1413"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占标率（%</w:t>
            </w:r>
            <w:r>
              <w:rPr>
                <w:rFonts w:ascii="宋体" w:hAnsi="宋体"/>
                <w:color w:val="000000" w:themeColor="text1"/>
                <w14:textFill>
                  <w14:solidFill>
                    <w14:schemeClr w14:val="tx1"/>
                  </w14:solidFill>
                </w14:textFill>
              </w:rPr>
              <w:t>）</w:t>
            </w:r>
          </w:p>
        </w:tc>
        <w:tc>
          <w:tcPr>
            <w:tcW w:w="114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达标情况</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367"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60</w:t>
            </w:r>
          </w:p>
        </w:tc>
        <w:tc>
          <w:tcPr>
            <w:tcW w:w="1413"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114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367"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40</w:t>
            </w:r>
          </w:p>
        </w:tc>
        <w:tc>
          <w:tcPr>
            <w:tcW w:w="1413"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w:t>
            </w:r>
          </w:p>
        </w:tc>
        <w:tc>
          <w:tcPr>
            <w:tcW w:w="1149"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26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367"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56</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70</w:t>
            </w:r>
          </w:p>
        </w:tc>
        <w:tc>
          <w:tcPr>
            <w:tcW w:w="1413"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80.0</w:t>
            </w:r>
          </w:p>
        </w:tc>
        <w:tc>
          <w:tcPr>
            <w:tcW w:w="1149"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367"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35</w:t>
            </w:r>
          </w:p>
        </w:tc>
        <w:tc>
          <w:tcPr>
            <w:tcW w:w="1413"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77.14</w:t>
            </w:r>
          </w:p>
        </w:tc>
        <w:tc>
          <w:tcPr>
            <w:tcW w:w="1149"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2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第90</w:t>
            </w:r>
            <w:r>
              <w:rPr>
                <w:rFonts w:ascii="宋体" w:hAnsi="宋体"/>
                <w:color w:val="000000" w:themeColor="text1"/>
                <w14:textFill>
                  <w14:solidFill>
                    <w14:schemeClr w14:val="tx1"/>
                  </w14:solidFill>
                </w14:textFill>
              </w:rPr>
              <w:t>百分位数</w:t>
            </w:r>
            <w:r>
              <w:rPr>
                <w:color w:val="000000" w:themeColor="text1"/>
                <w14:textFill>
                  <w14:solidFill>
                    <w14:schemeClr w14:val="tx1"/>
                  </w14:solidFill>
                </w14:textFill>
              </w:rPr>
              <w:t>8</w:t>
            </w:r>
            <w:r>
              <w:rPr>
                <w:rFonts w:ascii="宋体" w:hAnsi="宋体"/>
                <w:color w:val="000000" w:themeColor="text1"/>
                <w14:textFill>
                  <w14:solidFill>
                    <w14:schemeClr w14:val="tx1"/>
                  </w14:solidFill>
                </w14:textFill>
              </w:rPr>
              <w:t>小时平均</w:t>
            </w:r>
          </w:p>
        </w:tc>
        <w:tc>
          <w:tcPr>
            <w:tcW w:w="1367"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145</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160</w:t>
            </w:r>
          </w:p>
        </w:tc>
        <w:tc>
          <w:tcPr>
            <w:tcW w:w="1413"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90.0</w:t>
            </w:r>
          </w:p>
        </w:tc>
        <w:tc>
          <w:tcPr>
            <w:tcW w:w="1149"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44"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CO</w:t>
            </w:r>
          </w:p>
        </w:tc>
        <w:tc>
          <w:tcPr>
            <w:tcW w:w="2599"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第95</w:t>
            </w:r>
            <w:r>
              <w:rPr>
                <w:rFonts w:ascii="宋体" w:hAnsi="宋体"/>
                <w:color w:val="000000" w:themeColor="text1"/>
                <w14:textFill>
                  <w14:solidFill>
                    <w14:schemeClr w14:val="tx1"/>
                  </w14:solidFill>
                </w14:textFill>
              </w:rPr>
              <w:t>百分位数日平均</w:t>
            </w:r>
          </w:p>
        </w:tc>
        <w:tc>
          <w:tcPr>
            <w:tcW w:w="1367"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1.4</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p>
        </w:tc>
        <w:tc>
          <w:tcPr>
            <w:tcW w:w="1415" w:type="dxa"/>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4mg/m</w:t>
            </w:r>
            <w:r>
              <w:rPr>
                <w:color w:val="000000" w:themeColor="text1"/>
                <w:vertAlign w:val="superscript"/>
                <w14:textFill>
                  <w14:solidFill>
                    <w14:schemeClr w14:val="tx1"/>
                  </w14:solidFill>
                </w14:textFill>
              </w:rPr>
              <w:t>3</w:t>
            </w:r>
          </w:p>
        </w:tc>
        <w:tc>
          <w:tcPr>
            <w:tcW w:w="1413"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35.0</w:t>
            </w:r>
          </w:p>
        </w:tc>
        <w:tc>
          <w:tcPr>
            <w:tcW w:w="1149" w:type="dxa"/>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bl>
    <w:p>
      <w:pPr>
        <w:ind w:firstLine="480"/>
      </w:pPr>
      <w:r>
        <w:rPr>
          <w:rFonts w:hint="eastAsia"/>
        </w:rPr>
        <w:t>由上表可知评价区六项基本污染物浓度均优于《环境空气质量标准》（GB3095-2012）二级限值。</w:t>
      </w:r>
    </w:p>
    <w:p>
      <w:pPr>
        <w:ind w:firstLine="480"/>
      </w:pPr>
      <w:r>
        <w:rPr>
          <w:rFonts w:hint="eastAsia"/>
          <w:lang w:eastAsia="zh-CN"/>
        </w:rPr>
        <w:t>（</w:t>
      </w:r>
      <w:r>
        <w:rPr>
          <w:rFonts w:hint="eastAsia"/>
          <w:lang w:val="en-US" w:eastAsia="zh-CN"/>
        </w:rPr>
        <w:t>2</w:t>
      </w:r>
      <w:r>
        <w:rPr>
          <w:rFonts w:hint="eastAsia"/>
          <w:lang w:eastAsia="zh-CN"/>
        </w:rPr>
        <w:t>）</w:t>
      </w:r>
      <w:r>
        <w:rPr>
          <w:rFonts w:hint="eastAsia"/>
        </w:rPr>
        <w:t>其他污染物</w:t>
      </w:r>
    </w:p>
    <w:p>
      <w:pPr>
        <w:ind w:firstLine="480"/>
      </w:pPr>
      <w:r>
        <w:rPr>
          <w:rFonts w:hint="eastAsia"/>
        </w:rPr>
        <w:t>根据《环境影响评价技术导则大气环境》（HJ2.2-2018）6.3条要求，本次评价对其他污染物H</w:t>
      </w:r>
      <w:r>
        <w:t>N</w:t>
      </w:r>
      <w:r>
        <w:rPr>
          <w:vertAlign w:val="subscript"/>
        </w:rPr>
        <w:t>3</w:t>
      </w:r>
      <w:r>
        <w:rPr>
          <w:rFonts w:hint="eastAsia"/>
        </w:rPr>
        <w:t>、H</w:t>
      </w:r>
      <w:r>
        <w:rPr>
          <w:rFonts w:hint="eastAsia"/>
          <w:vertAlign w:val="subscript"/>
        </w:rPr>
        <w:t>2</w:t>
      </w:r>
      <w:r>
        <w:rPr>
          <w:rFonts w:hint="eastAsia"/>
        </w:rPr>
        <w:t>S、臭气浓度、T</w:t>
      </w:r>
      <w:r>
        <w:t>SP</w:t>
      </w:r>
      <w:r>
        <w:rPr>
          <w:rFonts w:hint="eastAsia"/>
        </w:rPr>
        <w:t>进行补充监测。</w:t>
      </w:r>
    </w:p>
    <w:p>
      <w:pPr>
        <w:ind w:firstLine="480"/>
      </w:pPr>
      <w:r>
        <w:rPr>
          <w:rFonts w:hint="eastAsia"/>
        </w:rPr>
        <w:t>①监测点位</w:t>
      </w:r>
    </w:p>
    <w:p>
      <w:pPr>
        <w:ind w:firstLine="480"/>
      </w:pPr>
      <w:r>
        <w:t>根据建设项目所在的具体位置、当地气象、地形和环境功能等因素，按《环境影响评价技术导则</w:t>
      </w:r>
      <w:r>
        <w:rPr>
          <w:rFonts w:hint="eastAsia"/>
        </w:rPr>
        <w:t xml:space="preserve"> </w:t>
      </w:r>
      <w:r>
        <w:t>大气</w:t>
      </w:r>
      <w:r>
        <w:rPr>
          <w:rFonts w:hint="eastAsia"/>
        </w:rPr>
        <w:t>环境</w:t>
      </w:r>
      <w:r>
        <w:t>》（HJ2.2-2018）的要求，主要考虑建设项目厂址对周围敏感区域大气环境质量的影响，</w:t>
      </w:r>
      <w:r>
        <w:rPr>
          <w:rFonts w:hint="eastAsia"/>
        </w:rPr>
        <w:t>本次评价在厂址及20年主导风向</w:t>
      </w:r>
      <w:r>
        <w:t>下风向</w:t>
      </w:r>
      <w:r>
        <w:rPr>
          <w:rFonts w:hint="eastAsia"/>
        </w:rPr>
        <w:t>5km范围内各</w:t>
      </w:r>
      <w:r>
        <w:t>设置1个监测点</w:t>
      </w:r>
      <w:r>
        <w:rPr>
          <w:rFonts w:hint="eastAsia"/>
        </w:rPr>
        <w:t>，</w:t>
      </w:r>
      <w:r>
        <w:t>详见表</w:t>
      </w:r>
      <w:r>
        <w:rPr>
          <w:rFonts w:hint="eastAsia"/>
        </w:rPr>
        <w:t>4.2.1</w:t>
      </w:r>
      <w:r>
        <w:t>-2</w:t>
      </w:r>
      <w:r>
        <w:rPr>
          <w:rFonts w:hint="eastAsia"/>
        </w:rPr>
        <w:t>和图4.2-1</w:t>
      </w:r>
      <w:r>
        <w:t>。</w:t>
      </w:r>
    </w:p>
    <w:p>
      <w:pPr>
        <w:pStyle w:val="6"/>
      </w:pPr>
      <w:r>
        <w:t>表4.2</w:t>
      </w:r>
      <w:r>
        <w:rPr>
          <w:rFonts w:hint="eastAsia"/>
        </w:rPr>
        <w:t>.1</w:t>
      </w:r>
      <w:r>
        <w:t>-2</w:t>
      </w:r>
      <w:r>
        <w:rPr>
          <w:rFonts w:hint="eastAsia"/>
        </w:rPr>
        <w:t xml:space="preserve">    环境空气质量现状补充</w:t>
      </w:r>
      <w:r>
        <w:t>监测布点</w:t>
      </w:r>
      <w:r>
        <w:rPr>
          <w:rFonts w:hint="eastAsia"/>
        </w:rPr>
        <w:t>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987"/>
        <w:gridCol w:w="1920"/>
        <w:gridCol w:w="2081"/>
        <w:gridCol w:w="872"/>
        <w:gridCol w:w="1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4"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编号</w:t>
            </w:r>
          </w:p>
        </w:tc>
        <w:tc>
          <w:tcPr>
            <w:tcW w:w="1103"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监测点位</w:t>
            </w:r>
            <w:r>
              <w:rPr>
                <w:rFonts w:hint="eastAsia"/>
                <w:color w:val="000000" w:themeColor="text1"/>
                <w14:textFill>
                  <w14:solidFill>
                    <w14:schemeClr w14:val="tx1"/>
                  </w14:solidFill>
                </w14:textFill>
              </w:rPr>
              <w:t>名称</w:t>
            </w:r>
          </w:p>
        </w:tc>
        <w:tc>
          <w:tcPr>
            <w:tcW w:w="1066"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监测因子</w:t>
            </w:r>
          </w:p>
        </w:tc>
        <w:tc>
          <w:tcPr>
            <w:tcW w:w="1155"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位置坐标</w:t>
            </w:r>
          </w:p>
        </w:tc>
        <w:tc>
          <w:tcPr>
            <w:tcW w:w="1290"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相对于厂址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4" w:type="pct"/>
            <w:vMerge w:val="continue"/>
            <w:vAlign w:val="center"/>
          </w:tcPr>
          <w:p>
            <w:pPr>
              <w:pStyle w:val="232"/>
              <w:rPr>
                <w:color w:val="000000" w:themeColor="text1"/>
                <w14:textFill>
                  <w14:solidFill>
                    <w14:schemeClr w14:val="tx1"/>
                  </w14:solidFill>
                </w14:textFill>
              </w:rPr>
            </w:pPr>
          </w:p>
        </w:tc>
        <w:tc>
          <w:tcPr>
            <w:tcW w:w="1103" w:type="pct"/>
            <w:vMerge w:val="continue"/>
            <w:vAlign w:val="center"/>
          </w:tcPr>
          <w:p>
            <w:pPr>
              <w:pStyle w:val="232"/>
              <w:rPr>
                <w:color w:val="000000" w:themeColor="text1"/>
                <w14:textFill>
                  <w14:solidFill>
                    <w14:schemeClr w14:val="tx1"/>
                  </w14:solidFill>
                </w14:textFill>
              </w:rPr>
            </w:pPr>
          </w:p>
        </w:tc>
        <w:tc>
          <w:tcPr>
            <w:tcW w:w="1066" w:type="pct"/>
            <w:vMerge w:val="continue"/>
            <w:vAlign w:val="center"/>
          </w:tcPr>
          <w:p>
            <w:pPr>
              <w:pStyle w:val="232"/>
              <w:rPr>
                <w:color w:val="000000" w:themeColor="text1"/>
                <w14:textFill>
                  <w14:solidFill>
                    <w14:schemeClr w14:val="tx1"/>
                  </w14:solidFill>
                </w14:textFill>
              </w:rPr>
            </w:pPr>
          </w:p>
        </w:tc>
        <w:tc>
          <w:tcPr>
            <w:tcW w:w="1155" w:type="pct"/>
            <w:vMerge w:val="continue"/>
            <w:vAlign w:val="center"/>
          </w:tcPr>
          <w:p>
            <w:pPr>
              <w:pStyle w:val="232"/>
              <w:rPr>
                <w:color w:val="000000" w:themeColor="text1"/>
                <w14:textFill>
                  <w14:solidFill>
                    <w14:schemeClr w14:val="tx1"/>
                  </w14:solidFill>
                </w14:textFill>
              </w:rPr>
            </w:pPr>
          </w:p>
        </w:tc>
        <w:tc>
          <w:tcPr>
            <w:tcW w:w="48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方位</w:t>
            </w:r>
          </w:p>
        </w:tc>
        <w:tc>
          <w:tcPr>
            <w:tcW w:w="8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距离（km）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G1</w:t>
            </w:r>
          </w:p>
        </w:tc>
        <w:tc>
          <w:tcPr>
            <w:tcW w:w="110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项目厂址</w:t>
            </w:r>
          </w:p>
        </w:tc>
        <w:tc>
          <w:tcPr>
            <w:tcW w:w="1066"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N</w:t>
            </w:r>
            <w:r>
              <w:rPr>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、H</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S、T</w:t>
            </w:r>
            <w:r>
              <w:rPr>
                <w:color w:val="000000" w:themeColor="text1"/>
                <w14:textFill>
                  <w14:solidFill>
                    <w14:schemeClr w14:val="tx1"/>
                  </w14:solidFill>
                </w14:textFill>
              </w:rPr>
              <w:t>SP</w:t>
            </w:r>
            <w:r>
              <w:rPr>
                <w:rFonts w:hint="eastAsia"/>
                <w:color w:val="000000" w:themeColor="text1"/>
                <w14:textFill>
                  <w14:solidFill>
                    <w14:schemeClr w14:val="tx1"/>
                  </w14:solidFill>
                </w14:textFill>
              </w:rPr>
              <w:t>、臭气浓度</w:t>
            </w:r>
          </w:p>
        </w:tc>
        <w:tc>
          <w:tcPr>
            <w:tcW w:w="115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N41°6′10.37″</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E107°47′5.14″</w:t>
            </w:r>
          </w:p>
        </w:tc>
        <w:tc>
          <w:tcPr>
            <w:tcW w:w="48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806"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G2</w:t>
            </w:r>
          </w:p>
        </w:tc>
        <w:tc>
          <w:tcPr>
            <w:tcW w:w="110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厂址下风向</w:t>
            </w:r>
          </w:p>
        </w:tc>
        <w:tc>
          <w:tcPr>
            <w:tcW w:w="1066" w:type="pct"/>
            <w:vMerge w:val="continue"/>
            <w:vAlign w:val="center"/>
          </w:tcPr>
          <w:p>
            <w:pPr>
              <w:pStyle w:val="232"/>
              <w:rPr>
                <w:color w:val="000000" w:themeColor="text1"/>
                <w14:textFill>
                  <w14:solidFill>
                    <w14:schemeClr w14:val="tx1"/>
                  </w14:solidFill>
                </w14:textFill>
              </w:rPr>
            </w:pPr>
          </w:p>
        </w:tc>
        <w:tc>
          <w:tcPr>
            <w:tcW w:w="115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N41°5′19.84″</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E107°46′8.67″</w:t>
            </w:r>
          </w:p>
        </w:tc>
        <w:tc>
          <w:tcPr>
            <w:tcW w:w="484" w:type="pct"/>
            <w:vAlign w:val="center"/>
          </w:tcPr>
          <w:p>
            <w:pPr>
              <w:pStyle w:val="232"/>
              <w:rPr>
                <w:color w:val="000000" w:themeColor="text1"/>
                <w14:textFill>
                  <w14:solidFill>
                    <w14:schemeClr w14:val="tx1"/>
                  </w14:solidFill>
                </w14:textFill>
              </w:rPr>
            </w:pPr>
          </w:p>
        </w:tc>
        <w:tc>
          <w:tcPr>
            <w:tcW w:w="806" w:type="pct"/>
            <w:vAlign w:val="center"/>
          </w:tcPr>
          <w:p>
            <w:pPr>
              <w:pStyle w:val="232"/>
              <w:rPr>
                <w:color w:val="000000" w:themeColor="text1"/>
                <w14:textFill>
                  <w14:solidFill>
                    <w14:schemeClr w14:val="tx1"/>
                  </w14:solidFill>
                </w14:textFill>
              </w:rPr>
            </w:pPr>
          </w:p>
        </w:tc>
      </w:tr>
    </w:tbl>
    <w:p>
      <w:pPr>
        <w:ind w:firstLine="480"/>
      </w:pPr>
      <w:r>
        <w:rPr>
          <w:rFonts w:hint="eastAsia"/>
        </w:rPr>
        <w:t>同步观测风速、风向、气温、气压等常规气象参数。</w:t>
      </w:r>
    </w:p>
    <w:p>
      <w:pPr>
        <w:ind w:firstLine="480"/>
      </w:pPr>
      <w:r>
        <w:rPr>
          <w:rFonts w:hint="eastAsia"/>
        </w:rPr>
        <w:t>②监测时间和频率</w:t>
      </w:r>
    </w:p>
    <w:p>
      <w:pPr>
        <w:ind w:firstLine="480"/>
      </w:pPr>
      <w:r>
        <w:t>H</w:t>
      </w:r>
      <w:r>
        <w:rPr>
          <w:vertAlign w:val="subscript"/>
        </w:rPr>
        <w:t>2</w:t>
      </w:r>
      <w:r>
        <w:t>S、NH</w:t>
      </w:r>
      <w:r>
        <w:rPr>
          <w:vertAlign w:val="subscript"/>
        </w:rPr>
        <w:t>3</w:t>
      </w:r>
      <w:r>
        <w:rPr>
          <w:rFonts w:hint="eastAsia"/>
        </w:rPr>
        <w:t>、臭气浓度</w:t>
      </w:r>
      <w:r>
        <w:t>测小时均值</w:t>
      </w:r>
      <w:r>
        <w:rPr>
          <w:rFonts w:hint="eastAsia"/>
        </w:rPr>
        <w:t>，</w:t>
      </w:r>
      <w:r>
        <w:t>每天监测4次，每小时至少有45min的采样时间。</w:t>
      </w:r>
      <w:r>
        <w:rPr>
          <w:rFonts w:hint="eastAsia"/>
        </w:rPr>
        <w:t>监测时间为2023年8月28日~9月3日，连续监测7天，监测单位为内蒙古航峰检测技术有限公司。</w:t>
      </w:r>
    </w:p>
    <w:p>
      <w:pPr>
        <w:ind w:firstLine="480"/>
      </w:pPr>
      <w:r>
        <w:rPr>
          <w:rFonts w:hint="eastAsia"/>
        </w:rPr>
        <w:t>③环境空气监测采样及分析方法</w:t>
      </w:r>
    </w:p>
    <w:p>
      <w:pPr>
        <w:pStyle w:val="6"/>
      </w:pPr>
      <w:r>
        <w:rPr>
          <w:rFonts w:hint="eastAsia"/>
        </w:rPr>
        <w:t>表4.2.1-3   环境空气检测采样及分析方法</w:t>
      </w:r>
    </w:p>
    <w:tbl>
      <w:tblPr>
        <w:tblStyle w:val="3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1411"/>
        <w:gridCol w:w="5190"/>
        <w:gridCol w:w="1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177" w:type="dxa"/>
            <w:vAlign w:val="center"/>
          </w:tcPr>
          <w:p>
            <w:pPr>
              <w:spacing w:line="240" w:lineRule="auto"/>
              <w:ind w:firstLine="0" w:firstLineChars="0"/>
              <w:jc w:val="center"/>
              <w:rPr>
                <w:sz w:val="21"/>
                <w:szCs w:val="21"/>
              </w:rPr>
            </w:pPr>
            <w:r>
              <w:rPr>
                <w:rFonts w:hint="eastAsia"/>
                <w:sz w:val="21"/>
                <w:szCs w:val="21"/>
              </w:rPr>
              <w:t>样品类别</w:t>
            </w:r>
          </w:p>
        </w:tc>
        <w:tc>
          <w:tcPr>
            <w:tcW w:w="1411" w:type="dxa"/>
            <w:vAlign w:val="center"/>
          </w:tcPr>
          <w:p>
            <w:pPr>
              <w:spacing w:line="240" w:lineRule="auto"/>
              <w:ind w:firstLine="0" w:firstLineChars="0"/>
              <w:jc w:val="center"/>
              <w:rPr>
                <w:sz w:val="21"/>
                <w:szCs w:val="21"/>
              </w:rPr>
            </w:pPr>
            <w:r>
              <w:rPr>
                <w:sz w:val="21"/>
                <w:szCs w:val="21"/>
              </w:rPr>
              <w:t>检测项目</w:t>
            </w:r>
          </w:p>
        </w:tc>
        <w:tc>
          <w:tcPr>
            <w:tcW w:w="5190" w:type="dxa"/>
            <w:vAlign w:val="center"/>
          </w:tcPr>
          <w:p>
            <w:pPr>
              <w:spacing w:line="240" w:lineRule="auto"/>
              <w:ind w:firstLine="0" w:firstLineChars="0"/>
              <w:jc w:val="center"/>
              <w:rPr>
                <w:sz w:val="21"/>
                <w:szCs w:val="21"/>
              </w:rPr>
            </w:pPr>
            <w:r>
              <w:rPr>
                <w:sz w:val="21"/>
                <w:szCs w:val="21"/>
              </w:rPr>
              <w:t>检测依据</w:t>
            </w:r>
          </w:p>
        </w:tc>
        <w:tc>
          <w:tcPr>
            <w:tcW w:w="1293" w:type="dxa"/>
            <w:vAlign w:val="center"/>
          </w:tcPr>
          <w:p>
            <w:pPr>
              <w:spacing w:line="240" w:lineRule="auto"/>
              <w:ind w:firstLine="0" w:firstLineChars="0"/>
              <w:jc w:val="center"/>
              <w:rPr>
                <w:sz w:val="21"/>
                <w:szCs w:val="21"/>
              </w:rPr>
            </w:pPr>
            <w:r>
              <w:rPr>
                <w:sz w:val="21"/>
                <w:szCs w:val="21"/>
              </w:rPr>
              <w:t>检出限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177" w:type="dxa"/>
            <w:vMerge w:val="restart"/>
            <w:vAlign w:val="center"/>
          </w:tcPr>
          <w:p>
            <w:pPr>
              <w:spacing w:line="240" w:lineRule="auto"/>
              <w:ind w:firstLine="0" w:firstLineChars="0"/>
              <w:jc w:val="center"/>
              <w:rPr>
                <w:sz w:val="21"/>
                <w:szCs w:val="21"/>
              </w:rPr>
            </w:pPr>
            <w:r>
              <w:rPr>
                <w:rFonts w:hint="eastAsia"/>
                <w:sz w:val="21"/>
                <w:szCs w:val="21"/>
              </w:rPr>
              <w:t>环境空气</w:t>
            </w:r>
          </w:p>
        </w:tc>
        <w:tc>
          <w:tcPr>
            <w:tcW w:w="1411" w:type="dxa"/>
            <w:vAlign w:val="center"/>
          </w:tcPr>
          <w:p>
            <w:pPr>
              <w:spacing w:line="240" w:lineRule="auto"/>
              <w:ind w:firstLine="0" w:firstLineChars="0"/>
              <w:jc w:val="center"/>
              <w:rPr>
                <w:sz w:val="21"/>
                <w:szCs w:val="21"/>
              </w:rPr>
            </w:pPr>
            <w:r>
              <w:rPr>
                <w:color w:val="000000"/>
                <w:sz w:val="21"/>
                <w:szCs w:val="21"/>
              </w:rPr>
              <w:t>总悬浮颗粒物TSP</w:t>
            </w:r>
          </w:p>
        </w:tc>
        <w:tc>
          <w:tcPr>
            <w:tcW w:w="5190" w:type="dxa"/>
            <w:vAlign w:val="center"/>
          </w:tcPr>
          <w:p>
            <w:pPr>
              <w:spacing w:line="240" w:lineRule="auto"/>
              <w:ind w:firstLine="0" w:firstLineChars="0"/>
              <w:jc w:val="center"/>
              <w:rPr>
                <w:sz w:val="21"/>
                <w:szCs w:val="21"/>
              </w:rPr>
            </w:pPr>
            <w:r>
              <w:rPr>
                <w:rFonts w:hint="eastAsia"/>
                <w:sz w:val="21"/>
                <w:szCs w:val="21"/>
              </w:rPr>
              <w:t>《环境空气 总悬浮颗粒物的测定 重量法》</w:t>
            </w:r>
          </w:p>
          <w:p>
            <w:pPr>
              <w:spacing w:line="240" w:lineRule="auto"/>
              <w:ind w:firstLine="0" w:firstLineChars="0"/>
              <w:jc w:val="center"/>
              <w:rPr>
                <w:sz w:val="21"/>
                <w:szCs w:val="21"/>
              </w:rPr>
            </w:pPr>
            <w:r>
              <w:rPr>
                <w:rFonts w:hint="eastAsia"/>
                <w:sz w:val="21"/>
                <w:szCs w:val="21"/>
              </w:rPr>
              <w:t>HJ 1263 -2022</w:t>
            </w:r>
          </w:p>
        </w:tc>
        <w:tc>
          <w:tcPr>
            <w:tcW w:w="1293" w:type="dxa"/>
            <w:vAlign w:val="center"/>
          </w:tcPr>
          <w:p>
            <w:pPr>
              <w:spacing w:line="240" w:lineRule="auto"/>
              <w:ind w:firstLine="0" w:firstLineChars="0"/>
              <w:jc w:val="center"/>
              <w:rPr>
                <w:sz w:val="21"/>
                <w:szCs w:val="21"/>
              </w:rPr>
            </w:pPr>
            <w:r>
              <w:rPr>
                <w:sz w:val="21"/>
                <w:szCs w:val="21"/>
              </w:rPr>
              <w:t>0.00</w:t>
            </w:r>
            <w:r>
              <w:rPr>
                <w:rFonts w:hint="eastAsia"/>
                <w:sz w:val="21"/>
                <w:szCs w:val="21"/>
              </w:rPr>
              <w:t>7</w:t>
            </w:r>
            <w:r>
              <w:rPr>
                <w:sz w:val="21"/>
                <w:szCs w:val="21"/>
              </w:rPr>
              <w:t>mg/m</w:t>
            </w:r>
            <w:r>
              <w:rPr>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7" w:type="dxa"/>
            <w:vMerge w:val="continue"/>
            <w:vAlign w:val="center"/>
          </w:tcPr>
          <w:p>
            <w:pPr>
              <w:spacing w:line="240" w:lineRule="auto"/>
              <w:ind w:firstLine="0" w:firstLineChars="0"/>
              <w:jc w:val="center"/>
              <w:rPr>
                <w:sz w:val="21"/>
                <w:szCs w:val="21"/>
              </w:rPr>
            </w:pPr>
          </w:p>
        </w:tc>
        <w:tc>
          <w:tcPr>
            <w:tcW w:w="1411" w:type="dxa"/>
            <w:vAlign w:val="center"/>
          </w:tcPr>
          <w:p>
            <w:pPr>
              <w:spacing w:line="240" w:lineRule="auto"/>
              <w:ind w:firstLine="0" w:firstLineChars="0"/>
              <w:jc w:val="center"/>
              <w:rPr>
                <w:sz w:val="21"/>
                <w:szCs w:val="21"/>
              </w:rPr>
            </w:pPr>
            <w:r>
              <w:rPr>
                <w:sz w:val="21"/>
                <w:szCs w:val="21"/>
              </w:rPr>
              <w:t>氨气</w:t>
            </w:r>
          </w:p>
        </w:tc>
        <w:tc>
          <w:tcPr>
            <w:tcW w:w="5190" w:type="dxa"/>
            <w:vAlign w:val="center"/>
          </w:tcPr>
          <w:p>
            <w:pPr>
              <w:widowControl/>
              <w:spacing w:line="240" w:lineRule="auto"/>
              <w:ind w:firstLine="0" w:firstLineChars="0"/>
              <w:jc w:val="center"/>
              <w:textAlignment w:val="center"/>
              <w:rPr>
                <w:color w:val="000000"/>
                <w:kern w:val="0"/>
                <w:sz w:val="21"/>
                <w:szCs w:val="21"/>
                <w:lang w:bidi="ar"/>
              </w:rPr>
            </w:pPr>
            <w:r>
              <w:rPr>
                <w:color w:val="000000"/>
                <w:kern w:val="0"/>
                <w:sz w:val="21"/>
                <w:szCs w:val="21"/>
                <w:lang w:bidi="ar"/>
              </w:rPr>
              <w:t>《环境空气和废气氨的测定纳氏试剂分光光度法》 HJ 533-2009</w:t>
            </w:r>
          </w:p>
        </w:tc>
        <w:tc>
          <w:tcPr>
            <w:tcW w:w="1293" w:type="dxa"/>
            <w:vAlign w:val="center"/>
          </w:tcPr>
          <w:p>
            <w:pPr>
              <w:spacing w:line="240" w:lineRule="auto"/>
              <w:ind w:firstLine="0" w:firstLineChars="0"/>
              <w:jc w:val="center"/>
              <w:rPr>
                <w:sz w:val="21"/>
                <w:szCs w:val="21"/>
              </w:rPr>
            </w:pPr>
            <w:r>
              <w:rPr>
                <w:sz w:val="21"/>
                <w:szCs w:val="21"/>
              </w:rPr>
              <w:t>0.0</w:t>
            </w:r>
            <w:r>
              <w:rPr>
                <w:rFonts w:hint="eastAsia"/>
                <w:sz w:val="21"/>
                <w:szCs w:val="21"/>
              </w:rPr>
              <w:t>1</w:t>
            </w:r>
            <w:r>
              <w:rPr>
                <w:sz w:val="21"/>
                <w:szCs w:val="21"/>
              </w:rPr>
              <w:t>mg/m</w:t>
            </w:r>
            <w:r>
              <w:rPr>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7" w:type="dxa"/>
            <w:vMerge w:val="continue"/>
            <w:vAlign w:val="center"/>
          </w:tcPr>
          <w:p>
            <w:pPr>
              <w:spacing w:line="240" w:lineRule="auto"/>
              <w:ind w:firstLine="0" w:firstLineChars="0"/>
              <w:jc w:val="center"/>
              <w:rPr>
                <w:sz w:val="21"/>
                <w:szCs w:val="21"/>
              </w:rPr>
            </w:pPr>
          </w:p>
        </w:tc>
        <w:tc>
          <w:tcPr>
            <w:tcW w:w="1411" w:type="dxa"/>
            <w:vAlign w:val="center"/>
          </w:tcPr>
          <w:p>
            <w:pPr>
              <w:spacing w:line="240" w:lineRule="auto"/>
              <w:ind w:firstLine="0" w:firstLineChars="0"/>
              <w:jc w:val="center"/>
              <w:rPr>
                <w:sz w:val="21"/>
                <w:szCs w:val="21"/>
              </w:rPr>
            </w:pPr>
            <w:r>
              <w:rPr>
                <w:sz w:val="21"/>
                <w:szCs w:val="21"/>
              </w:rPr>
              <w:t>硫化氢</w:t>
            </w:r>
          </w:p>
        </w:tc>
        <w:tc>
          <w:tcPr>
            <w:tcW w:w="5190" w:type="dxa"/>
            <w:vAlign w:val="center"/>
          </w:tcPr>
          <w:p>
            <w:pPr>
              <w:widowControl/>
              <w:spacing w:line="240" w:lineRule="auto"/>
              <w:ind w:firstLine="0" w:firstLineChars="0"/>
              <w:jc w:val="center"/>
              <w:textAlignment w:val="center"/>
              <w:rPr>
                <w:color w:val="000000"/>
                <w:kern w:val="0"/>
                <w:sz w:val="21"/>
                <w:szCs w:val="21"/>
                <w:lang w:bidi="ar"/>
              </w:rPr>
            </w:pPr>
            <w:r>
              <w:rPr>
                <w:color w:val="000000"/>
                <w:kern w:val="0"/>
                <w:sz w:val="21"/>
                <w:szCs w:val="21"/>
                <w:lang w:bidi="ar"/>
              </w:rPr>
              <w:t xml:space="preserve">《空气和废气监测分析方法》 </w:t>
            </w:r>
            <w:r>
              <w:rPr>
                <w:rFonts w:hint="eastAsia"/>
                <w:color w:val="000000"/>
                <w:kern w:val="0"/>
                <w:sz w:val="21"/>
                <w:szCs w:val="21"/>
                <w:lang w:bidi="ar"/>
              </w:rPr>
              <w:t>（</w:t>
            </w:r>
            <w:r>
              <w:rPr>
                <w:color w:val="000000"/>
                <w:kern w:val="0"/>
                <w:sz w:val="21"/>
                <w:szCs w:val="21"/>
                <w:lang w:bidi="ar"/>
              </w:rPr>
              <w:t>第四版增补版</w:t>
            </w:r>
            <w:r>
              <w:rPr>
                <w:rFonts w:hint="eastAsia"/>
                <w:color w:val="000000"/>
                <w:kern w:val="0"/>
                <w:sz w:val="21"/>
                <w:szCs w:val="21"/>
                <w:lang w:bidi="ar"/>
              </w:rPr>
              <w:t>）</w:t>
            </w:r>
            <w:r>
              <w:rPr>
                <w:color w:val="000000"/>
                <w:kern w:val="0"/>
                <w:sz w:val="21"/>
                <w:szCs w:val="21"/>
                <w:lang w:bidi="ar"/>
              </w:rPr>
              <w:t>国家环境保护总局</w:t>
            </w:r>
            <w:r>
              <w:rPr>
                <w:rFonts w:hint="eastAsia"/>
                <w:color w:val="000000"/>
                <w:kern w:val="0"/>
                <w:sz w:val="21"/>
                <w:szCs w:val="21"/>
                <w:lang w:bidi="ar"/>
              </w:rPr>
              <w:t>（</w:t>
            </w:r>
            <w:r>
              <w:rPr>
                <w:color w:val="000000"/>
                <w:kern w:val="0"/>
                <w:sz w:val="21"/>
                <w:szCs w:val="21"/>
                <w:lang w:bidi="ar"/>
              </w:rPr>
              <w:t>2003年</w:t>
            </w:r>
            <w:r>
              <w:rPr>
                <w:rFonts w:hint="eastAsia"/>
                <w:color w:val="000000"/>
                <w:kern w:val="0"/>
                <w:sz w:val="21"/>
                <w:szCs w:val="21"/>
                <w:lang w:bidi="ar"/>
              </w:rPr>
              <w:t>）</w:t>
            </w:r>
            <w:r>
              <w:rPr>
                <w:color w:val="000000"/>
                <w:kern w:val="0"/>
                <w:sz w:val="21"/>
                <w:szCs w:val="21"/>
                <w:lang w:bidi="ar"/>
              </w:rPr>
              <w:t xml:space="preserve">第三篇第一章十一 </w:t>
            </w:r>
            <w:r>
              <w:rPr>
                <w:rFonts w:hint="eastAsia"/>
                <w:color w:val="000000"/>
                <w:kern w:val="0"/>
                <w:sz w:val="21"/>
                <w:szCs w:val="21"/>
                <w:lang w:bidi="ar"/>
              </w:rPr>
              <w:t>（</w:t>
            </w:r>
            <w:r>
              <w:rPr>
                <w:color w:val="000000"/>
                <w:kern w:val="0"/>
                <w:sz w:val="21"/>
                <w:szCs w:val="21"/>
                <w:lang w:bidi="ar"/>
              </w:rPr>
              <w:t>二</w:t>
            </w:r>
            <w:r>
              <w:rPr>
                <w:rFonts w:hint="eastAsia"/>
                <w:color w:val="000000"/>
                <w:kern w:val="0"/>
                <w:sz w:val="21"/>
                <w:szCs w:val="21"/>
                <w:lang w:bidi="ar"/>
              </w:rPr>
              <w:t>）</w:t>
            </w:r>
            <w:r>
              <w:rPr>
                <w:color w:val="000000"/>
                <w:kern w:val="0"/>
                <w:sz w:val="21"/>
                <w:szCs w:val="21"/>
                <w:lang w:bidi="ar"/>
              </w:rPr>
              <w:t xml:space="preserve">  亚甲基蓝分光光度法</w:t>
            </w:r>
            <w:r>
              <w:rPr>
                <w:rFonts w:hint="eastAsia"/>
                <w:color w:val="000000"/>
                <w:kern w:val="0"/>
                <w:sz w:val="21"/>
                <w:szCs w:val="21"/>
                <w:lang w:bidi="ar"/>
              </w:rPr>
              <w:t>（</w:t>
            </w:r>
            <w:r>
              <w:rPr>
                <w:color w:val="000000"/>
                <w:kern w:val="0"/>
                <w:sz w:val="21"/>
                <w:szCs w:val="21"/>
                <w:lang w:bidi="ar"/>
              </w:rPr>
              <w:t>B</w:t>
            </w:r>
            <w:r>
              <w:rPr>
                <w:rFonts w:hint="eastAsia"/>
                <w:color w:val="000000"/>
                <w:kern w:val="0"/>
                <w:sz w:val="21"/>
                <w:szCs w:val="21"/>
                <w:lang w:bidi="ar"/>
              </w:rPr>
              <w:t>）</w:t>
            </w:r>
          </w:p>
        </w:tc>
        <w:tc>
          <w:tcPr>
            <w:tcW w:w="1293" w:type="dxa"/>
            <w:vAlign w:val="center"/>
          </w:tcPr>
          <w:p>
            <w:pPr>
              <w:spacing w:line="240" w:lineRule="auto"/>
              <w:ind w:firstLine="0" w:firstLineChars="0"/>
              <w:jc w:val="center"/>
              <w:rPr>
                <w:sz w:val="21"/>
                <w:szCs w:val="21"/>
              </w:rPr>
            </w:pPr>
            <w:r>
              <w:rPr>
                <w:sz w:val="21"/>
                <w:szCs w:val="21"/>
              </w:rPr>
              <w:t>0.001mg/m</w:t>
            </w:r>
            <w:r>
              <w:rPr>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7" w:type="dxa"/>
            <w:vMerge w:val="continue"/>
            <w:vAlign w:val="center"/>
          </w:tcPr>
          <w:p>
            <w:pPr>
              <w:spacing w:line="240" w:lineRule="auto"/>
              <w:ind w:firstLine="0" w:firstLineChars="0"/>
              <w:jc w:val="center"/>
              <w:rPr>
                <w:sz w:val="21"/>
                <w:szCs w:val="21"/>
              </w:rPr>
            </w:pPr>
          </w:p>
        </w:tc>
        <w:tc>
          <w:tcPr>
            <w:tcW w:w="1411" w:type="dxa"/>
            <w:vAlign w:val="center"/>
          </w:tcPr>
          <w:p>
            <w:pPr>
              <w:spacing w:line="240" w:lineRule="auto"/>
              <w:ind w:firstLine="0" w:firstLineChars="0"/>
              <w:jc w:val="center"/>
              <w:rPr>
                <w:color w:val="000000"/>
                <w:sz w:val="21"/>
                <w:szCs w:val="21"/>
              </w:rPr>
            </w:pPr>
            <w:r>
              <w:rPr>
                <w:sz w:val="21"/>
                <w:szCs w:val="21"/>
              </w:rPr>
              <w:t>臭气浓度</w:t>
            </w:r>
          </w:p>
        </w:tc>
        <w:tc>
          <w:tcPr>
            <w:tcW w:w="5190" w:type="dxa"/>
            <w:vAlign w:val="center"/>
          </w:tcPr>
          <w:p>
            <w:pPr>
              <w:widowControl/>
              <w:spacing w:line="240" w:lineRule="auto"/>
              <w:ind w:firstLine="0" w:firstLineChars="0"/>
              <w:jc w:val="center"/>
              <w:textAlignment w:val="center"/>
              <w:rPr>
                <w:color w:val="000000"/>
                <w:kern w:val="0"/>
                <w:sz w:val="21"/>
                <w:szCs w:val="21"/>
                <w:lang w:bidi="ar"/>
              </w:rPr>
            </w:pPr>
            <w:r>
              <w:rPr>
                <w:color w:val="000000"/>
                <w:kern w:val="0"/>
                <w:sz w:val="21"/>
                <w:szCs w:val="21"/>
                <w:lang w:bidi="ar"/>
              </w:rPr>
              <w:t>《环境空气和废气 臭气的测定 三点比较式臭袋法》HJ 1262 -2022</w:t>
            </w:r>
          </w:p>
        </w:tc>
        <w:tc>
          <w:tcPr>
            <w:tcW w:w="1293" w:type="dxa"/>
            <w:vAlign w:val="center"/>
          </w:tcPr>
          <w:p>
            <w:pPr>
              <w:widowControl/>
              <w:spacing w:line="240" w:lineRule="auto"/>
              <w:ind w:firstLine="0" w:firstLineChars="0"/>
              <w:jc w:val="center"/>
              <w:textAlignment w:val="center"/>
              <w:rPr>
                <w:color w:val="000000"/>
                <w:kern w:val="0"/>
                <w:sz w:val="21"/>
                <w:szCs w:val="21"/>
                <w:lang w:bidi="ar"/>
              </w:rPr>
            </w:pPr>
            <w:r>
              <w:rPr>
                <w:rFonts w:hint="eastAsia"/>
                <w:color w:val="000000"/>
                <w:kern w:val="0"/>
                <w:sz w:val="21"/>
                <w:szCs w:val="21"/>
                <w:lang w:bidi="ar"/>
              </w:rPr>
              <w:t>/</w:t>
            </w:r>
          </w:p>
        </w:tc>
      </w:tr>
    </w:tbl>
    <w:p>
      <w:pPr>
        <w:ind w:firstLine="480"/>
      </w:pP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④环境空气质量现状评价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I评价标准</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TSP</w:t>
      </w:r>
      <w:r>
        <w:rPr>
          <w:rFonts w:hint="eastAsia"/>
          <w:color w:val="000000" w:themeColor="text1"/>
          <w14:textFill>
            <w14:solidFill>
              <w14:schemeClr w14:val="tx1"/>
            </w14:solidFill>
          </w14:textFill>
        </w:rPr>
        <w:t>执行</w:t>
      </w:r>
      <w:r>
        <w:rPr>
          <w:color w:val="000000" w:themeColor="text1"/>
          <w14:textFill>
            <w14:solidFill>
              <w14:schemeClr w14:val="tx1"/>
            </w14:solidFill>
          </w14:textFill>
        </w:rPr>
        <w:t>《环境空气质量标准》（GB3095-</w:t>
      </w:r>
      <w:r>
        <w:rPr>
          <w:rFonts w:hint="eastAsia"/>
          <w:color w:val="000000" w:themeColor="text1"/>
          <w14:textFill>
            <w14:solidFill>
              <w14:schemeClr w14:val="tx1"/>
            </w14:solidFill>
          </w14:textFill>
        </w:rPr>
        <w:t>2012</w:t>
      </w:r>
      <w:r>
        <w:rPr>
          <w:color w:val="000000" w:themeColor="text1"/>
          <w14:textFill>
            <w14:solidFill>
              <w14:schemeClr w14:val="tx1"/>
            </w14:solidFill>
          </w14:textFill>
        </w:rPr>
        <w:t>）中的二级标准</w:t>
      </w:r>
      <w:r>
        <w:rPr>
          <w:rFonts w:hint="eastAsia"/>
          <w:color w:val="000000" w:themeColor="text1"/>
          <w14:textFill>
            <w14:solidFill>
              <w14:schemeClr w14:val="tx1"/>
            </w14:solidFill>
          </w14:textFill>
        </w:rPr>
        <w:t>，HN</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执行</w:t>
      </w:r>
      <w:r>
        <w:rPr>
          <w:color w:val="000000" w:themeColor="text1"/>
          <w14:textFill>
            <w14:solidFill>
              <w14:schemeClr w14:val="tx1"/>
            </w14:solidFill>
          </w14:textFill>
        </w:rPr>
        <w:t>《环境影响评价技术导则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大气环境》（HJ2.2-2018）</w:t>
      </w:r>
      <w:r>
        <w:rPr>
          <w:rFonts w:hint="eastAsia"/>
          <w:color w:val="000000" w:themeColor="text1"/>
          <w14:textFill>
            <w14:solidFill>
              <w14:schemeClr w14:val="tx1"/>
            </w14:solidFill>
          </w14:textFill>
        </w:rPr>
        <w:t>附录D。</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II评价方法</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大气环境现状评价采用单因子指数法。单因子指数法公式如下：</w:t>
      </w:r>
    </w:p>
    <w:p>
      <w:pPr>
        <w:ind w:firstLine="480"/>
        <w:jc w:val="center"/>
        <w:rPr>
          <w:color w:val="000000" w:themeColor="text1"/>
          <w14:textFill>
            <w14:solidFill>
              <w14:schemeClr w14:val="tx1"/>
            </w14:solidFill>
          </w14:textFill>
        </w:rPr>
      </w:pPr>
      <w:r>
        <w:rPr>
          <w:color w:val="000000" w:themeColor="text1"/>
          <w14:textFill>
            <w14:solidFill>
              <w14:schemeClr w14:val="tx1"/>
            </w14:solidFill>
          </w14:textFill>
        </w:rPr>
        <w:t>Pi=C</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/C</w:t>
      </w:r>
      <w:r>
        <w:rPr>
          <w:color w:val="000000" w:themeColor="text1"/>
          <w:vertAlign w:val="subscript"/>
          <w14:textFill>
            <w14:solidFill>
              <w14:schemeClr w14:val="tx1"/>
            </w14:solidFill>
          </w14:textFill>
        </w:rPr>
        <w:t>0i</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式中：</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P</w:t>
      </w:r>
      <w:r>
        <w:rPr>
          <w:rFonts w:hint="eastAsia"/>
          <w:color w:val="000000" w:themeColor="text1"/>
          <w:vertAlign w:val="subscript"/>
          <w14:textFill>
            <w14:solidFill>
              <w14:schemeClr w14:val="tx1"/>
            </w14:solidFill>
          </w14:textFill>
        </w:rPr>
        <w:t>i</w:t>
      </w:r>
      <w:r>
        <w:rPr>
          <w:rFonts w:hint="eastAsia"/>
          <w:color w:val="000000" w:themeColor="text1"/>
          <w14:textFill>
            <w14:solidFill>
              <w14:schemeClr w14:val="tx1"/>
            </w14:solidFill>
          </w14:textFill>
        </w:rPr>
        <w:t>—i污染物的单因子指数；</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C</w:t>
      </w:r>
      <w:r>
        <w:rPr>
          <w:rFonts w:hint="eastAsia"/>
          <w:color w:val="000000" w:themeColor="text1"/>
          <w:vertAlign w:val="subscript"/>
          <w14:textFill>
            <w14:solidFill>
              <w14:schemeClr w14:val="tx1"/>
            </w14:solidFill>
          </w14:textFill>
        </w:rPr>
        <w:t>i</w:t>
      </w:r>
      <w:r>
        <w:rPr>
          <w:rFonts w:hint="eastAsia"/>
          <w:color w:val="000000" w:themeColor="text1"/>
          <w14:textFill>
            <w14:solidFill>
              <w14:schemeClr w14:val="tx1"/>
            </w14:solidFill>
          </w14:textFill>
        </w:rPr>
        <w:t>—i污染物的浓度，mg/m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C</w:t>
      </w:r>
      <w:r>
        <w:rPr>
          <w:color w:val="000000" w:themeColor="text1"/>
          <w:vertAlign w:val="subscript"/>
          <w14:textFill>
            <w14:solidFill>
              <w14:schemeClr w14:val="tx1"/>
            </w14:solidFill>
          </w14:textFill>
        </w:rPr>
        <w:t>0</w:t>
      </w:r>
      <w:r>
        <w:rPr>
          <w:rFonts w:hint="eastAsia"/>
          <w:color w:val="000000" w:themeColor="text1"/>
          <w:vertAlign w:val="subscript"/>
          <w14:textFill>
            <w14:solidFill>
              <w14:schemeClr w14:val="tx1"/>
            </w14:solidFill>
          </w14:textFill>
        </w:rPr>
        <w:t>i</w:t>
      </w:r>
      <w:r>
        <w:rPr>
          <w:rFonts w:hint="eastAsia"/>
          <w:color w:val="000000" w:themeColor="text1"/>
          <w14:textFill>
            <w14:solidFill>
              <w14:schemeClr w14:val="tx1"/>
            </w14:solidFill>
          </w14:textFill>
        </w:rPr>
        <w:t>—i污染物的评价标准，mg/m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p>
      <w:pPr>
        <w:ind w:firstLine="480"/>
      </w:pPr>
      <w:r>
        <w:rPr>
          <w:rFonts w:hint="eastAsia"/>
        </w:rPr>
        <w:t>⑤监测结果及评价结果</w:t>
      </w:r>
    </w:p>
    <w:p>
      <w:pPr>
        <w:ind w:firstLine="480"/>
      </w:pPr>
      <w:r>
        <w:rPr>
          <w:rFonts w:hint="eastAsia"/>
        </w:rPr>
        <w:t>I气象条件</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监测期间气象条件见下表。</w:t>
      </w:r>
    </w:p>
    <w:p>
      <w:pPr>
        <w:pStyle w:val="6"/>
      </w:pPr>
      <w:r>
        <w:rPr>
          <w:rFonts w:hint="eastAsia"/>
        </w:rPr>
        <w:t>表</w:t>
      </w:r>
      <w:r>
        <w:t>4.2</w:t>
      </w:r>
      <w:r>
        <w:rPr>
          <w:rFonts w:hint="eastAsia"/>
        </w:rPr>
        <w:t>.1-</w:t>
      </w:r>
      <w:r>
        <w:t>4</w:t>
      </w:r>
      <w:r>
        <w:rPr>
          <w:rFonts w:hint="eastAsia"/>
        </w:rPr>
        <w:t xml:space="preserve">    监测期间</w:t>
      </w:r>
      <w:r>
        <w:t>气象条件</w:t>
      </w:r>
    </w:p>
    <w:tbl>
      <w:tblPr>
        <w:tblStyle w:val="3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632"/>
        <w:gridCol w:w="984"/>
        <w:gridCol w:w="852"/>
        <w:gridCol w:w="846"/>
        <w:gridCol w:w="940"/>
        <w:gridCol w:w="997"/>
        <w:gridCol w:w="713"/>
        <w:gridCol w:w="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测定日期</w:t>
            </w:r>
          </w:p>
        </w:tc>
        <w:tc>
          <w:tcPr>
            <w:tcW w:w="90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测定时间</w:t>
            </w:r>
          </w:p>
        </w:tc>
        <w:tc>
          <w:tcPr>
            <w:tcW w:w="54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大气压（kPa）</w:t>
            </w:r>
          </w:p>
        </w:tc>
        <w:tc>
          <w:tcPr>
            <w:tcW w:w="472"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温度（℃）</w:t>
            </w:r>
          </w:p>
        </w:tc>
        <w:tc>
          <w:tcPr>
            <w:tcW w:w="465"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湿度（％）</w:t>
            </w:r>
          </w:p>
        </w:tc>
        <w:tc>
          <w:tcPr>
            <w:tcW w:w="522"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风向</w:t>
            </w:r>
          </w:p>
        </w:tc>
        <w:tc>
          <w:tcPr>
            <w:tcW w:w="55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风速（m/s）</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总云量</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低云量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54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72"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65"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522"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55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2023.08.28</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89.32</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13.5</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49.6</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2.5</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5</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89.41</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16.6</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42.7</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89.37</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23.7</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35.1</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1.8</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89.55</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20.5</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36.8</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2.2</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2023.08.29</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89.41</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16.4</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45.5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2.6</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89.44</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17.7</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38.5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2.2</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89.38</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23.4</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33.1</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1.5</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89.16</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20.6</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35.7</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1.8</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2023.08.30</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89.37</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15.0</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46.5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2.4</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6</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89.34</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14.7</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41.2</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2.2</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89.55</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23.8</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37.2</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1.8</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89.38</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20.3</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34.5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2023.08.31</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89.49</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15.4</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43.6</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2.7</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5</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89.61</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18.2</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40.1</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2.1</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89.51</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25.4</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35.3</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1.4</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89.66</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21.6</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37.4</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2023.09.01</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89.45</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16.4</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48.2</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89.28</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16.4</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42.7</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1.8</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89.43</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21.1</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39.5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1.4</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89.46</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17.1</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40.8</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2023.09.02</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89.57</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16.1</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42.5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2.7</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5</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89.43</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16.6</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37.1</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2.2</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89.55</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23.5</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32.9</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1.8</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89.37</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22.1</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34.8</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2.3</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2023.09.03</w:t>
            </w: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02:00-03:00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89.48</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13.8</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45.8</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2.4</w:t>
            </w:r>
          </w:p>
        </w:tc>
        <w:tc>
          <w:tcPr>
            <w:tcW w:w="396"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w:t>
            </w:r>
          </w:p>
        </w:tc>
        <w:tc>
          <w:tcPr>
            <w:tcW w:w="427" w:type="pct"/>
            <w:vMerge w:val="restar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08:00-09:00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89.66</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16.5</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41.2</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2.0</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14:00-15:00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89.41</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27.1</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34.5</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1.6</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907" w:type="pct"/>
            <w:tcBorders>
              <w:tl2br w:val="nil"/>
              <w:tr2bl w:val="nil"/>
            </w:tcBorders>
            <w:shd w:val="clear" w:color="auto" w:fill="auto"/>
            <w:vAlign w:val="center"/>
          </w:tcPr>
          <w:p>
            <w:pPr>
              <w:spacing w:line="240" w:lineRule="auto"/>
              <w:ind w:firstLine="0" w:firstLineChars="0"/>
              <w:jc w:val="center"/>
              <w:rPr>
                <w:sz w:val="21"/>
                <w:szCs w:val="21"/>
              </w:rPr>
            </w:pPr>
            <w:r>
              <w:rPr>
                <w:sz w:val="21"/>
                <w:szCs w:val="21"/>
              </w:rPr>
              <w:t>20:00-21:00</w:t>
            </w:r>
          </w:p>
        </w:tc>
        <w:tc>
          <w:tcPr>
            <w:tcW w:w="9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bottom"/>
              <w:rPr>
                <w:color w:val="FF0000"/>
                <w:sz w:val="21"/>
                <w:szCs w:val="21"/>
              </w:rPr>
            </w:pPr>
            <w:r>
              <w:rPr>
                <w:color w:val="FF0000"/>
                <w:kern w:val="0"/>
                <w:sz w:val="22"/>
                <w:szCs w:val="22"/>
                <w:lang w:bidi="ar"/>
              </w:rPr>
              <w:t>89.33</w:t>
            </w:r>
          </w:p>
        </w:tc>
        <w:tc>
          <w:tcPr>
            <w:tcW w:w="47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21.3</w:t>
            </w:r>
          </w:p>
        </w:tc>
        <w:tc>
          <w:tcPr>
            <w:tcW w:w="465"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36.8</w:t>
            </w:r>
          </w:p>
        </w:tc>
        <w:tc>
          <w:tcPr>
            <w:tcW w:w="522"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西北</w:t>
            </w:r>
          </w:p>
        </w:tc>
        <w:tc>
          <w:tcPr>
            <w:tcW w:w="554" w:type="pct"/>
            <w:tcBorders>
              <w:tl2br w:val="nil"/>
              <w:tr2bl w:val="nil"/>
            </w:tcBorders>
            <w:shd w:val="clear" w:color="auto" w:fill="auto"/>
            <w:vAlign w:val="center"/>
          </w:tcPr>
          <w:p>
            <w:pPr>
              <w:spacing w:line="240" w:lineRule="auto"/>
              <w:ind w:firstLine="0" w:firstLineChars="0"/>
              <w:jc w:val="center"/>
              <w:rPr>
                <w:sz w:val="21"/>
                <w:szCs w:val="21"/>
              </w:rPr>
            </w:pPr>
            <w:r>
              <w:rPr>
                <w:rFonts w:hint="eastAsia"/>
                <w:sz w:val="21"/>
                <w:szCs w:val="21"/>
              </w:rPr>
              <w:t>1.9</w:t>
            </w:r>
          </w:p>
        </w:tc>
        <w:tc>
          <w:tcPr>
            <w:tcW w:w="396"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c>
          <w:tcPr>
            <w:tcW w:w="427" w:type="pct"/>
            <w:vMerge w:val="continue"/>
            <w:tcBorders>
              <w:tl2br w:val="nil"/>
              <w:tr2bl w:val="nil"/>
            </w:tcBorders>
            <w:shd w:val="clear" w:color="auto" w:fill="auto"/>
            <w:vAlign w:val="center"/>
          </w:tcPr>
          <w:p>
            <w:pPr>
              <w:spacing w:line="240" w:lineRule="auto"/>
              <w:ind w:firstLine="0" w:firstLineChars="0"/>
              <w:jc w:val="center"/>
              <w:rPr>
                <w:sz w:val="21"/>
                <w:szCs w:val="21"/>
              </w:rPr>
            </w:pPr>
          </w:p>
        </w:tc>
      </w:tr>
    </w:tbl>
    <w:p>
      <w:pPr>
        <w:ind w:firstLine="480"/>
      </w:pPr>
    </w:p>
    <w:p>
      <w:pPr>
        <w:ind w:firstLine="480"/>
      </w:pPr>
      <w:r>
        <w:rPr>
          <w:rFonts w:hint="eastAsia"/>
        </w:rPr>
        <w:t>II环境空气质量现状</w:t>
      </w:r>
    </w:p>
    <w:p>
      <w:pPr>
        <w:overflowPunct w:val="0"/>
        <w:ind w:firstLine="480"/>
      </w:pPr>
      <w:r>
        <w:rPr>
          <w:rFonts w:hint="eastAsia" w:hAnsi="宋体"/>
          <w:color w:val="000000" w:themeColor="text1"/>
          <w14:textFill>
            <w14:solidFill>
              <w14:schemeClr w14:val="tx1"/>
            </w14:solidFill>
          </w14:textFill>
        </w:rPr>
        <w:t>项目其他污染物环境质量现状，见下表。</w:t>
      </w:r>
    </w:p>
    <w:p>
      <w:pPr>
        <w:pStyle w:val="6"/>
        <w:rPr>
          <w:snapToGrid w:val="0"/>
        </w:rPr>
      </w:pPr>
      <w:r>
        <w:rPr>
          <w:rFonts w:hint="eastAsia"/>
          <w:snapToGrid w:val="0"/>
        </w:rPr>
        <w:t>表4.2.1-5  其他污染物环境质量现状（监测结果）表</w:t>
      </w:r>
    </w:p>
    <w:tbl>
      <w:tblPr>
        <w:tblStyle w:val="3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201"/>
        <w:gridCol w:w="794"/>
        <w:gridCol w:w="1464"/>
        <w:gridCol w:w="1464"/>
        <w:gridCol w:w="1044"/>
        <w:gridCol w:w="1044"/>
        <w:gridCol w:w="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652" w:type="pct"/>
            <w:vAlign w:val="center"/>
          </w:tcPr>
          <w:p>
            <w:pPr>
              <w:spacing w:line="240" w:lineRule="auto"/>
              <w:ind w:firstLine="0" w:firstLineChars="0"/>
              <w:jc w:val="center"/>
              <w:rPr>
                <w:rFonts w:eastAsiaTheme="majorEastAsia"/>
                <w:sz w:val="21"/>
                <w:szCs w:val="21"/>
              </w:rPr>
            </w:pPr>
            <w:r>
              <w:rPr>
                <w:rFonts w:hint="eastAsia"/>
                <w:bCs/>
                <w:snapToGrid w:val="0"/>
                <w:szCs w:val="28"/>
              </w:rPr>
              <w:t>监测点</w:t>
            </w:r>
            <w:r>
              <w:rPr>
                <w:rFonts w:hint="eastAsia" w:hAnsiTheme="majorEastAsia" w:eastAsiaTheme="majorEastAsia"/>
                <w:sz w:val="21"/>
                <w:szCs w:val="21"/>
              </w:rPr>
              <w:t>位</w:t>
            </w:r>
          </w:p>
        </w:tc>
        <w:tc>
          <w:tcPr>
            <w:tcW w:w="667" w:type="pct"/>
            <w:vAlign w:val="center"/>
          </w:tcPr>
          <w:p>
            <w:pPr>
              <w:spacing w:line="240" w:lineRule="auto"/>
              <w:ind w:firstLine="0" w:firstLineChars="0"/>
              <w:jc w:val="center"/>
              <w:rPr>
                <w:rFonts w:eastAsiaTheme="majorEastAsia"/>
                <w:sz w:val="21"/>
                <w:szCs w:val="21"/>
              </w:rPr>
            </w:pPr>
            <w:r>
              <w:rPr>
                <w:rFonts w:hint="eastAsia" w:hAnsiTheme="majorEastAsia" w:eastAsiaTheme="majorEastAsia"/>
                <w:sz w:val="21"/>
                <w:szCs w:val="21"/>
              </w:rPr>
              <w:t>污染物</w:t>
            </w:r>
          </w:p>
        </w:tc>
        <w:tc>
          <w:tcPr>
            <w:tcW w:w="441" w:type="pct"/>
            <w:vAlign w:val="center"/>
          </w:tcPr>
          <w:p>
            <w:pPr>
              <w:spacing w:line="240" w:lineRule="auto"/>
              <w:ind w:firstLine="0" w:firstLineChars="0"/>
              <w:jc w:val="center"/>
              <w:rPr>
                <w:rFonts w:hAnsiTheme="majorEastAsia" w:eastAsiaTheme="majorEastAsia"/>
                <w:sz w:val="21"/>
                <w:szCs w:val="21"/>
              </w:rPr>
            </w:pPr>
            <w:r>
              <w:rPr>
                <w:rFonts w:hint="eastAsia" w:hAnsiTheme="majorEastAsia" w:eastAsiaTheme="majorEastAsia"/>
                <w:sz w:val="21"/>
                <w:szCs w:val="21"/>
              </w:rPr>
              <w:t>平均时间</w:t>
            </w:r>
          </w:p>
        </w:tc>
        <w:tc>
          <w:tcPr>
            <w:tcW w:w="813" w:type="pct"/>
            <w:vAlign w:val="center"/>
          </w:tcPr>
          <w:p>
            <w:pPr>
              <w:spacing w:line="240" w:lineRule="auto"/>
              <w:ind w:firstLine="0" w:firstLineChars="0"/>
              <w:jc w:val="center"/>
              <w:rPr>
                <w:rFonts w:eastAsiaTheme="majorEastAsia"/>
                <w:sz w:val="21"/>
                <w:szCs w:val="21"/>
              </w:rPr>
            </w:pPr>
            <w:r>
              <w:rPr>
                <w:rFonts w:hint="eastAsia" w:hAnsiTheme="majorEastAsia" w:eastAsiaTheme="majorEastAsia"/>
                <w:sz w:val="21"/>
                <w:szCs w:val="21"/>
              </w:rPr>
              <w:t>评价标准（</w:t>
            </w:r>
            <w:r>
              <w:rPr>
                <w:rFonts w:eastAsiaTheme="majorEastAsia"/>
                <w:sz w:val="21"/>
                <w:szCs w:val="21"/>
              </w:rPr>
              <w:t>ug/m</w:t>
            </w:r>
            <w:r>
              <w:rPr>
                <w:rFonts w:eastAsiaTheme="majorEastAsia"/>
                <w:sz w:val="21"/>
                <w:szCs w:val="21"/>
                <w:vertAlign w:val="superscript"/>
              </w:rPr>
              <w:t>3</w:t>
            </w:r>
            <w:r>
              <w:rPr>
                <w:rFonts w:hint="eastAsia" w:hAnsiTheme="majorEastAsia" w:eastAsiaTheme="majorEastAsia"/>
                <w:sz w:val="21"/>
                <w:szCs w:val="21"/>
              </w:rPr>
              <w:t>）</w:t>
            </w:r>
          </w:p>
        </w:tc>
        <w:tc>
          <w:tcPr>
            <w:tcW w:w="813" w:type="pct"/>
            <w:vAlign w:val="center"/>
          </w:tcPr>
          <w:p>
            <w:pPr>
              <w:spacing w:line="240" w:lineRule="auto"/>
              <w:ind w:firstLine="0" w:firstLineChars="0"/>
              <w:jc w:val="center"/>
              <w:rPr>
                <w:rFonts w:eastAsiaTheme="majorEastAsia"/>
                <w:sz w:val="21"/>
                <w:szCs w:val="21"/>
              </w:rPr>
            </w:pPr>
            <w:r>
              <w:rPr>
                <w:rFonts w:hint="eastAsia" w:hAnsiTheme="majorEastAsia" w:eastAsiaTheme="majorEastAsia"/>
                <w:sz w:val="21"/>
                <w:szCs w:val="21"/>
              </w:rPr>
              <w:t>监测浓度范围（</w:t>
            </w:r>
            <w:r>
              <w:rPr>
                <w:rFonts w:eastAsiaTheme="majorEastAsia"/>
                <w:sz w:val="21"/>
                <w:szCs w:val="21"/>
              </w:rPr>
              <w:t>ug/m</w:t>
            </w:r>
            <w:r>
              <w:rPr>
                <w:rFonts w:eastAsiaTheme="majorEastAsia"/>
                <w:sz w:val="21"/>
                <w:szCs w:val="21"/>
                <w:vertAlign w:val="superscript"/>
              </w:rPr>
              <w:t>3</w:t>
            </w:r>
            <w:r>
              <w:rPr>
                <w:rFonts w:hint="eastAsia" w:hAnsiTheme="majorEastAsia" w:eastAsiaTheme="majorEastAsia"/>
                <w:sz w:val="21"/>
                <w:szCs w:val="21"/>
              </w:rPr>
              <w:t>）</w:t>
            </w:r>
          </w:p>
        </w:tc>
        <w:tc>
          <w:tcPr>
            <w:tcW w:w="580" w:type="pct"/>
            <w:vAlign w:val="center"/>
          </w:tcPr>
          <w:p>
            <w:pPr>
              <w:spacing w:line="240" w:lineRule="auto"/>
              <w:ind w:firstLine="0" w:firstLineChars="0"/>
              <w:jc w:val="center"/>
              <w:rPr>
                <w:rFonts w:eastAsiaTheme="majorEastAsia"/>
                <w:sz w:val="21"/>
                <w:szCs w:val="21"/>
              </w:rPr>
            </w:pPr>
            <w:r>
              <w:rPr>
                <w:rFonts w:hint="eastAsia" w:hAnsiTheme="majorEastAsia" w:eastAsiaTheme="majorEastAsia"/>
                <w:sz w:val="21"/>
                <w:szCs w:val="21"/>
              </w:rPr>
              <w:t>最大浓度占标率（</w:t>
            </w:r>
            <w:r>
              <w:rPr>
                <w:rFonts w:eastAsiaTheme="majorEastAsia"/>
                <w:sz w:val="21"/>
                <w:szCs w:val="21"/>
              </w:rPr>
              <w:t>%</w:t>
            </w:r>
            <w:r>
              <w:rPr>
                <w:rFonts w:hint="eastAsia" w:hAnsiTheme="majorEastAsia" w:eastAsiaTheme="majorEastAsia"/>
                <w:sz w:val="21"/>
                <w:szCs w:val="21"/>
              </w:rPr>
              <w:t>）</w:t>
            </w:r>
          </w:p>
        </w:tc>
        <w:tc>
          <w:tcPr>
            <w:tcW w:w="580" w:type="pct"/>
            <w:vAlign w:val="center"/>
          </w:tcPr>
          <w:p>
            <w:pPr>
              <w:spacing w:line="240" w:lineRule="auto"/>
              <w:ind w:firstLine="0" w:firstLineChars="0"/>
              <w:jc w:val="center"/>
              <w:rPr>
                <w:rFonts w:eastAsiaTheme="majorEastAsia"/>
                <w:sz w:val="21"/>
                <w:szCs w:val="21"/>
              </w:rPr>
            </w:pPr>
            <w:r>
              <w:rPr>
                <w:rFonts w:hint="eastAsia" w:hAnsiTheme="majorEastAsia" w:eastAsiaTheme="majorEastAsia"/>
                <w:sz w:val="21"/>
                <w:szCs w:val="21"/>
              </w:rPr>
              <w:t>超标率（</w:t>
            </w:r>
            <w:r>
              <w:rPr>
                <w:rFonts w:eastAsiaTheme="majorEastAsia"/>
                <w:sz w:val="21"/>
                <w:szCs w:val="21"/>
              </w:rPr>
              <w:t>%</w:t>
            </w:r>
            <w:r>
              <w:rPr>
                <w:rFonts w:hint="eastAsia" w:hAnsiTheme="majorEastAsia" w:eastAsiaTheme="majorEastAsia"/>
                <w:sz w:val="21"/>
                <w:szCs w:val="21"/>
              </w:rPr>
              <w:t>）</w:t>
            </w:r>
          </w:p>
        </w:tc>
        <w:tc>
          <w:tcPr>
            <w:tcW w:w="451" w:type="pct"/>
            <w:vAlign w:val="center"/>
          </w:tcPr>
          <w:p>
            <w:pPr>
              <w:spacing w:line="240" w:lineRule="auto"/>
              <w:ind w:firstLine="0" w:firstLineChars="0"/>
              <w:jc w:val="center"/>
              <w:rPr>
                <w:rFonts w:eastAsiaTheme="majorEastAsia"/>
                <w:sz w:val="21"/>
                <w:szCs w:val="21"/>
              </w:rPr>
            </w:pPr>
            <w:r>
              <w:rPr>
                <w:rFonts w:hint="eastAsia" w:hAnsiTheme="majorEastAsia" w:eastAsiaTheme="majorEastAsia"/>
                <w:sz w:val="21"/>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52" w:type="pct"/>
            <w:vMerge w:val="restart"/>
            <w:vAlign w:val="center"/>
          </w:tcPr>
          <w:p>
            <w:pPr>
              <w:spacing w:line="240" w:lineRule="auto"/>
              <w:ind w:firstLine="0" w:firstLineChars="0"/>
              <w:jc w:val="center"/>
              <w:rPr>
                <w:rFonts w:hAnsi="宋体"/>
                <w:sz w:val="21"/>
                <w:szCs w:val="21"/>
              </w:rPr>
            </w:pPr>
            <w:r>
              <w:rPr>
                <w:rFonts w:hint="eastAsia"/>
                <w:sz w:val="21"/>
                <w:szCs w:val="21"/>
              </w:rPr>
              <w:t>1#项目厂址</w:t>
            </w:r>
          </w:p>
        </w:tc>
        <w:tc>
          <w:tcPr>
            <w:tcW w:w="667" w:type="pct"/>
            <w:vAlign w:val="center"/>
          </w:tcPr>
          <w:p>
            <w:pPr>
              <w:spacing w:line="240" w:lineRule="auto"/>
              <w:ind w:firstLine="0" w:firstLineChars="0"/>
              <w:jc w:val="center"/>
              <w:rPr>
                <w:sz w:val="21"/>
                <w:szCs w:val="21"/>
              </w:rPr>
            </w:pPr>
            <w:r>
              <w:rPr>
                <w:rFonts w:hint="eastAsia"/>
                <w:sz w:val="21"/>
                <w:szCs w:val="21"/>
              </w:rPr>
              <w:t>H</w:t>
            </w:r>
            <w:r>
              <w:rPr>
                <w:sz w:val="21"/>
                <w:szCs w:val="21"/>
              </w:rPr>
              <w:t>N</w:t>
            </w:r>
            <w:r>
              <w:rPr>
                <w:sz w:val="21"/>
                <w:szCs w:val="21"/>
                <w:vertAlign w:val="subscript"/>
              </w:rPr>
              <w:t>3</w:t>
            </w:r>
          </w:p>
        </w:tc>
        <w:tc>
          <w:tcPr>
            <w:tcW w:w="441" w:type="pct"/>
            <w:vAlign w:val="center"/>
          </w:tcPr>
          <w:p>
            <w:pPr>
              <w:spacing w:line="240" w:lineRule="auto"/>
              <w:ind w:firstLine="0" w:firstLineChars="0"/>
              <w:jc w:val="center"/>
              <w:rPr>
                <w:rFonts w:eastAsiaTheme="majorEastAsia"/>
                <w:sz w:val="21"/>
                <w:szCs w:val="21"/>
              </w:rPr>
            </w:pPr>
            <w:r>
              <w:rPr>
                <w:rFonts w:eastAsiaTheme="majorEastAsia"/>
                <w:sz w:val="21"/>
                <w:szCs w:val="21"/>
              </w:rPr>
              <w:t>1h</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200</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ND~20</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10</w:t>
            </w:r>
          </w:p>
        </w:tc>
        <w:tc>
          <w:tcPr>
            <w:tcW w:w="580" w:type="pct"/>
            <w:vAlign w:val="center"/>
          </w:tcPr>
          <w:p>
            <w:pPr>
              <w:spacing w:line="240" w:lineRule="auto"/>
              <w:ind w:firstLine="0" w:firstLineChars="0"/>
              <w:jc w:val="center"/>
              <w:rPr>
                <w:rFonts w:eastAsiaTheme="majorEastAsia"/>
                <w:sz w:val="21"/>
                <w:szCs w:val="21"/>
              </w:rPr>
            </w:pPr>
            <w:r>
              <w:rPr>
                <w:rFonts w:eastAsiaTheme="majorEastAsia"/>
                <w:sz w:val="21"/>
                <w:szCs w:val="21"/>
              </w:rPr>
              <w:t>0</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continue"/>
            <w:vAlign w:val="center"/>
          </w:tcPr>
          <w:p>
            <w:pPr>
              <w:spacing w:line="240" w:lineRule="auto"/>
              <w:ind w:firstLine="0" w:firstLineChars="0"/>
              <w:jc w:val="center"/>
              <w:rPr>
                <w:rFonts w:hAnsi="宋体"/>
                <w:sz w:val="21"/>
                <w:szCs w:val="21"/>
              </w:rPr>
            </w:pPr>
          </w:p>
        </w:tc>
        <w:tc>
          <w:tcPr>
            <w:tcW w:w="667" w:type="pct"/>
            <w:vAlign w:val="center"/>
          </w:tcPr>
          <w:p>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p>
        </w:tc>
        <w:tc>
          <w:tcPr>
            <w:tcW w:w="441" w:type="pct"/>
            <w:vAlign w:val="center"/>
          </w:tcPr>
          <w:p>
            <w:pPr>
              <w:spacing w:line="240" w:lineRule="auto"/>
              <w:ind w:firstLine="0" w:firstLineChars="0"/>
              <w:jc w:val="center"/>
              <w:rPr>
                <w:rFonts w:eastAsiaTheme="majorEastAsia"/>
                <w:sz w:val="21"/>
                <w:szCs w:val="21"/>
              </w:rPr>
            </w:pPr>
            <w:r>
              <w:rPr>
                <w:rFonts w:eastAsiaTheme="majorEastAsia"/>
                <w:sz w:val="21"/>
                <w:szCs w:val="21"/>
              </w:rPr>
              <w:t>1h</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10</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ND</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0</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continue"/>
            <w:vAlign w:val="center"/>
          </w:tcPr>
          <w:p>
            <w:pPr>
              <w:spacing w:line="240" w:lineRule="auto"/>
              <w:ind w:firstLine="0" w:firstLineChars="0"/>
              <w:jc w:val="center"/>
              <w:rPr>
                <w:rFonts w:hAnsi="宋体"/>
                <w:sz w:val="21"/>
                <w:szCs w:val="21"/>
              </w:rPr>
            </w:pPr>
          </w:p>
        </w:tc>
        <w:tc>
          <w:tcPr>
            <w:tcW w:w="667" w:type="pct"/>
            <w:vAlign w:val="center"/>
          </w:tcPr>
          <w:p>
            <w:pPr>
              <w:spacing w:line="240" w:lineRule="auto"/>
              <w:ind w:firstLine="0" w:firstLineChars="0"/>
              <w:jc w:val="center"/>
              <w:rPr>
                <w:sz w:val="21"/>
                <w:szCs w:val="21"/>
              </w:rPr>
            </w:pPr>
            <w:r>
              <w:rPr>
                <w:rFonts w:hint="eastAsia"/>
                <w:sz w:val="21"/>
                <w:szCs w:val="21"/>
              </w:rPr>
              <w:t>臭气浓度</w:t>
            </w:r>
          </w:p>
        </w:tc>
        <w:tc>
          <w:tcPr>
            <w:tcW w:w="44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1h</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＜10</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continue"/>
            <w:vAlign w:val="center"/>
          </w:tcPr>
          <w:p>
            <w:pPr>
              <w:spacing w:line="240" w:lineRule="auto"/>
              <w:ind w:firstLine="0" w:firstLineChars="0"/>
              <w:jc w:val="center"/>
              <w:rPr>
                <w:rFonts w:hAnsi="宋体"/>
                <w:sz w:val="21"/>
                <w:szCs w:val="21"/>
              </w:rPr>
            </w:pPr>
          </w:p>
        </w:tc>
        <w:tc>
          <w:tcPr>
            <w:tcW w:w="667" w:type="pct"/>
            <w:vAlign w:val="center"/>
          </w:tcPr>
          <w:p>
            <w:pPr>
              <w:spacing w:line="240" w:lineRule="auto"/>
              <w:ind w:firstLine="0" w:firstLineChars="0"/>
              <w:jc w:val="center"/>
              <w:rPr>
                <w:sz w:val="21"/>
                <w:szCs w:val="21"/>
              </w:rPr>
            </w:pPr>
            <w:r>
              <w:rPr>
                <w:rFonts w:hint="eastAsia"/>
                <w:sz w:val="21"/>
                <w:szCs w:val="21"/>
              </w:rPr>
              <w:t>T</w:t>
            </w:r>
            <w:r>
              <w:rPr>
                <w:sz w:val="21"/>
                <w:szCs w:val="21"/>
              </w:rPr>
              <w:t>SP</w:t>
            </w:r>
          </w:p>
        </w:tc>
        <w:tc>
          <w:tcPr>
            <w:tcW w:w="44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日均</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300</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78~125</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41.67</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0</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restart"/>
            <w:vAlign w:val="center"/>
          </w:tcPr>
          <w:p>
            <w:pPr>
              <w:spacing w:line="240" w:lineRule="auto"/>
              <w:ind w:firstLine="0" w:firstLineChars="0"/>
              <w:jc w:val="center"/>
              <w:rPr>
                <w:rFonts w:hAnsi="宋体"/>
                <w:sz w:val="21"/>
                <w:szCs w:val="21"/>
              </w:rPr>
            </w:pPr>
            <w:r>
              <w:rPr>
                <w:rFonts w:hint="eastAsia" w:hAnsi="宋体"/>
                <w:sz w:val="21"/>
                <w:szCs w:val="21"/>
              </w:rPr>
              <w:t>2#</w:t>
            </w:r>
            <w:r>
              <w:rPr>
                <w:sz w:val="21"/>
                <w:szCs w:val="21"/>
              </w:rPr>
              <w:t>项目厂址西南</w:t>
            </w:r>
          </w:p>
        </w:tc>
        <w:tc>
          <w:tcPr>
            <w:tcW w:w="667" w:type="pct"/>
            <w:vAlign w:val="center"/>
          </w:tcPr>
          <w:p>
            <w:pPr>
              <w:spacing w:line="240" w:lineRule="auto"/>
              <w:ind w:firstLine="0" w:firstLineChars="0"/>
              <w:jc w:val="center"/>
              <w:rPr>
                <w:sz w:val="21"/>
                <w:szCs w:val="21"/>
              </w:rPr>
            </w:pPr>
            <w:r>
              <w:rPr>
                <w:rFonts w:hint="eastAsia"/>
                <w:sz w:val="21"/>
                <w:szCs w:val="21"/>
              </w:rPr>
              <w:t>H</w:t>
            </w:r>
            <w:r>
              <w:rPr>
                <w:sz w:val="21"/>
                <w:szCs w:val="21"/>
              </w:rPr>
              <w:t>N</w:t>
            </w:r>
            <w:r>
              <w:rPr>
                <w:sz w:val="21"/>
                <w:szCs w:val="21"/>
                <w:vertAlign w:val="subscript"/>
              </w:rPr>
              <w:t>3</w:t>
            </w:r>
          </w:p>
        </w:tc>
        <w:tc>
          <w:tcPr>
            <w:tcW w:w="441" w:type="pct"/>
            <w:vAlign w:val="center"/>
          </w:tcPr>
          <w:p>
            <w:pPr>
              <w:spacing w:line="240" w:lineRule="auto"/>
              <w:ind w:firstLine="0" w:firstLineChars="0"/>
              <w:jc w:val="center"/>
              <w:rPr>
                <w:rFonts w:eastAsiaTheme="majorEastAsia"/>
                <w:sz w:val="21"/>
                <w:szCs w:val="21"/>
              </w:rPr>
            </w:pPr>
            <w:r>
              <w:rPr>
                <w:rFonts w:eastAsiaTheme="majorEastAsia"/>
                <w:sz w:val="21"/>
                <w:szCs w:val="21"/>
              </w:rPr>
              <w:t>1h</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200</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ND~20</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10</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0</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continue"/>
            <w:vAlign w:val="center"/>
          </w:tcPr>
          <w:p>
            <w:pPr>
              <w:spacing w:line="240" w:lineRule="auto"/>
              <w:ind w:firstLine="0" w:firstLineChars="0"/>
              <w:jc w:val="center"/>
              <w:rPr>
                <w:rFonts w:hAnsi="宋体"/>
                <w:sz w:val="21"/>
                <w:szCs w:val="21"/>
              </w:rPr>
            </w:pPr>
          </w:p>
        </w:tc>
        <w:tc>
          <w:tcPr>
            <w:tcW w:w="667" w:type="pct"/>
            <w:vAlign w:val="center"/>
          </w:tcPr>
          <w:p>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p>
        </w:tc>
        <w:tc>
          <w:tcPr>
            <w:tcW w:w="441" w:type="pct"/>
            <w:vAlign w:val="center"/>
          </w:tcPr>
          <w:p>
            <w:pPr>
              <w:spacing w:line="240" w:lineRule="auto"/>
              <w:ind w:firstLine="0" w:firstLineChars="0"/>
              <w:jc w:val="center"/>
              <w:rPr>
                <w:rFonts w:eastAsiaTheme="majorEastAsia"/>
                <w:sz w:val="21"/>
                <w:szCs w:val="21"/>
              </w:rPr>
            </w:pPr>
            <w:r>
              <w:rPr>
                <w:rFonts w:eastAsiaTheme="majorEastAsia"/>
                <w:sz w:val="21"/>
                <w:szCs w:val="21"/>
              </w:rPr>
              <w:t>1h</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10</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ND</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0</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continue"/>
            <w:vAlign w:val="center"/>
          </w:tcPr>
          <w:p>
            <w:pPr>
              <w:spacing w:line="240" w:lineRule="auto"/>
              <w:ind w:firstLine="0" w:firstLineChars="0"/>
              <w:jc w:val="center"/>
              <w:rPr>
                <w:rFonts w:hAnsi="宋体"/>
                <w:sz w:val="21"/>
                <w:szCs w:val="21"/>
              </w:rPr>
            </w:pPr>
          </w:p>
        </w:tc>
        <w:tc>
          <w:tcPr>
            <w:tcW w:w="667" w:type="pct"/>
            <w:vAlign w:val="center"/>
          </w:tcPr>
          <w:p>
            <w:pPr>
              <w:spacing w:line="240" w:lineRule="auto"/>
              <w:ind w:firstLine="0" w:firstLineChars="0"/>
              <w:jc w:val="center"/>
              <w:rPr>
                <w:sz w:val="21"/>
                <w:szCs w:val="21"/>
              </w:rPr>
            </w:pPr>
            <w:r>
              <w:rPr>
                <w:rFonts w:hint="eastAsia"/>
                <w:sz w:val="21"/>
                <w:szCs w:val="21"/>
              </w:rPr>
              <w:t>臭气浓度</w:t>
            </w:r>
          </w:p>
        </w:tc>
        <w:tc>
          <w:tcPr>
            <w:tcW w:w="44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1h</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＜10</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Merge w:val="continue"/>
            <w:vAlign w:val="center"/>
          </w:tcPr>
          <w:p>
            <w:pPr>
              <w:spacing w:line="240" w:lineRule="auto"/>
              <w:ind w:firstLine="0" w:firstLineChars="0"/>
              <w:jc w:val="center"/>
              <w:rPr>
                <w:rFonts w:hAnsi="宋体"/>
                <w:sz w:val="21"/>
                <w:szCs w:val="21"/>
              </w:rPr>
            </w:pPr>
          </w:p>
        </w:tc>
        <w:tc>
          <w:tcPr>
            <w:tcW w:w="667" w:type="pct"/>
            <w:vAlign w:val="center"/>
          </w:tcPr>
          <w:p>
            <w:pPr>
              <w:spacing w:line="240" w:lineRule="auto"/>
              <w:ind w:firstLine="0" w:firstLineChars="0"/>
              <w:jc w:val="center"/>
              <w:rPr>
                <w:sz w:val="21"/>
                <w:szCs w:val="21"/>
              </w:rPr>
            </w:pPr>
            <w:r>
              <w:rPr>
                <w:rFonts w:hint="eastAsia"/>
                <w:sz w:val="21"/>
                <w:szCs w:val="21"/>
              </w:rPr>
              <w:t>T</w:t>
            </w:r>
            <w:r>
              <w:rPr>
                <w:sz w:val="21"/>
                <w:szCs w:val="21"/>
              </w:rPr>
              <w:t>SP</w:t>
            </w:r>
          </w:p>
        </w:tc>
        <w:tc>
          <w:tcPr>
            <w:tcW w:w="44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日均</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300</w:t>
            </w:r>
          </w:p>
        </w:tc>
        <w:tc>
          <w:tcPr>
            <w:tcW w:w="813"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85~138</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46</w:t>
            </w:r>
          </w:p>
        </w:tc>
        <w:tc>
          <w:tcPr>
            <w:tcW w:w="580"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0</w:t>
            </w:r>
          </w:p>
        </w:tc>
        <w:tc>
          <w:tcPr>
            <w:tcW w:w="451" w:type="pct"/>
            <w:vAlign w:val="center"/>
          </w:tcPr>
          <w:p>
            <w:pPr>
              <w:spacing w:line="240" w:lineRule="auto"/>
              <w:ind w:firstLine="0" w:firstLineChars="0"/>
              <w:jc w:val="center"/>
              <w:rPr>
                <w:rFonts w:eastAsiaTheme="majorEastAsia"/>
                <w:sz w:val="21"/>
                <w:szCs w:val="21"/>
              </w:rPr>
            </w:pPr>
            <w:r>
              <w:rPr>
                <w:rFonts w:hint="eastAsia" w:eastAsiaTheme="majorEastAsia"/>
                <w:sz w:val="21"/>
                <w:szCs w:val="21"/>
              </w:rPr>
              <w:t>达标</w:t>
            </w:r>
          </w:p>
        </w:tc>
      </w:tr>
    </w:tbl>
    <w:p>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由结果可知，当地的H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浓度符合《环境影响评价技术导则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大气环境》（HJ2.2－2018）附录D其他污染物空气质量浓度参考限值</w:t>
      </w:r>
      <w:r>
        <w:rPr>
          <w:rFonts w:hint="eastAsia"/>
          <w:color w:val="000000" w:themeColor="text1"/>
          <w14:textFill>
            <w14:solidFill>
              <w14:schemeClr w14:val="tx1"/>
            </w14:solidFill>
          </w14:textFill>
        </w:rPr>
        <w:t>；TSP满足《环境空气质量标准》（GB3095-2012）中的二级标准。</w:t>
      </w:r>
    </w:p>
    <w:p>
      <w:pPr>
        <w:pStyle w:val="4"/>
      </w:pPr>
      <w:r>
        <w:rPr>
          <w:rFonts w:hint="eastAsia"/>
        </w:rPr>
        <w:t>土壤环境质量现状调查与评价</w:t>
      </w:r>
    </w:p>
    <w:p>
      <w:pPr>
        <w:ind w:firstLine="480"/>
      </w:pPr>
      <w:r>
        <w:rPr>
          <w:rFonts w:hint="eastAsia"/>
        </w:rPr>
        <w:t>本次土壤环境质量现状评价引用《内蒙古春园满循环农业科技有限公司粉煤灰建筑地基评估报告》中的《内蒙古春园满循环农业科技有限公司粉煤灰建筑地基项目本底环境调查报告》，检测时间为2023年2月27日，检测单位为内蒙古和合环境科技有限公司。</w:t>
      </w:r>
    </w:p>
    <w:p>
      <w:pPr>
        <w:pStyle w:val="5"/>
      </w:pPr>
      <w:r>
        <w:rPr>
          <w:rFonts w:hint="eastAsia"/>
        </w:rPr>
        <w:t>监测布点及监测因子</w:t>
      </w:r>
    </w:p>
    <w:p>
      <w:pPr>
        <w:ind w:firstLine="480"/>
      </w:pPr>
      <w:r>
        <w:rPr>
          <w:rFonts w:hint="eastAsia"/>
        </w:rPr>
        <w:t>本次土壤环境影响评价工作等级为污染影响型</w:t>
      </w:r>
      <w:r>
        <w:rPr>
          <w:rFonts w:hint="eastAsia"/>
          <w:lang w:val="en-US" w:eastAsia="zh-CN"/>
        </w:rPr>
        <w:t>二</w:t>
      </w:r>
      <w:r>
        <w:rPr>
          <w:rFonts w:hint="eastAsia"/>
        </w:rPr>
        <w:t>级，根据《</w:t>
      </w:r>
      <w:r>
        <w:rPr>
          <w:rFonts w:hint="eastAsia"/>
          <w:lang w:val="en-GB"/>
        </w:rPr>
        <w:t>环境影响评价技术导则 土壤环境（试行）</w:t>
      </w:r>
      <w:r>
        <w:rPr>
          <w:rFonts w:hint="eastAsia"/>
        </w:rPr>
        <w:t>》</w:t>
      </w:r>
      <w:r>
        <w:rPr>
          <w:rFonts w:hint="eastAsia"/>
          <w:lang w:val="en-GB"/>
        </w:rPr>
        <w:t>（HJ964-2018）</w:t>
      </w:r>
      <w:r>
        <w:rPr>
          <w:rFonts w:hint="eastAsia"/>
        </w:rPr>
        <w:t>需在占地范围内设置</w:t>
      </w:r>
      <w:r>
        <w:rPr>
          <w:rFonts w:hint="eastAsia"/>
          <w:lang w:val="en-US" w:eastAsia="zh-CN"/>
        </w:rPr>
        <w:t>3</w:t>
      </w:r>
      <w:r>
        <w:rPr>
          <w:rFonts w:hint="eastAsia"/>
        </w:rPr>
        <w:t>个</w:t>
      </w:r>
      <w:r>
        <w:rPr>
          <w:rFonts w:hint="eastAsia"/>
          <w:lang w:val="en-US" w:eastAsia="zh-CN"/>
        </w:rPr>
        <w:t>柱状样，1个</w:t>
      </w:r>
      <w:r>
        <w:rPr>
          <w:rFonts w:hint="eastAsia"/>
        </w:rPr>
        <w:t>表层样，</w:t>
      </w:r>
      <w:r>
        <w:rPr>
          <w:rFonts w:hint="eastAsia"/>
          <w:lang w:val="en-US" w:eastAsia="zh-CN"/>
        </w:rPr>
        <w:t>占地范围外布置2个表层样，同时</w:t>
      </w:r>
      <w:r>
        <w:rPr>
          <w:rFonts w:hint="eastAsia"/>
          <w:color w:val="000000" w:themeColor="text1"/>
          <w:lang w:val="en-GB"/>
          <w14:textFill>
            <w14:solidFill>
              <w14:schemeClr w14:val="tx1"/>
            </w14:solidFill>
          </w14:textFill>
        </w:rPr>
        <w:t>“污染影响型建设项目占地范围超过100hm</w:t>
      </w:r>
      <w:r>
        <w:rPr>
          <w:rFonts w:hint="eastAsia"/>
          <w:color w:val="000000" w:themeColor="text1"/>
          <w:vertAlign w:val="superscript"/>
          <w:lang w:val="en-GB"/>
          <w14:textFill>
            <w14:solidFill>
              <w14:schemeClr w14:val="tx1"/>
            </w14:solidFill>
          </w14:textFill>
        </w:rPr>
        <w:t>2</w:t>
      </w:r>
      <w:r>
        <w:rPr>
          <w:rFonts w:hint="eastAsia"/>
          <w:color w:val="000000" w:themeColor="text1"/>
          <w:lang w:val="en-GB"/>
          <w14:textFill>
            <w14:solidFill>
              <w14:schemeClr w14:val="tx1"/>
            </w14:solidFill>
          </w14:textFill>
        </w:rPr>
        <w:t>的，每增加20hm</w:t>
      </w:r>
      <w:r>
        <w:rPr>
          <w:rFonts w:hint="eastAsia"/>
          <w:color w:val="000000" w:themeColor="text1"/>
          <w:vertAlign w:val="superscript"/>
          <w:lang w:val="en-GB"/>
          <w14:textFill>
            <w14:solidFill>
              <w14:schemeClr w14:val="tx1"/>
            </w14:solidFill>
          </w14:textFill>
        </w:rPr>
        <w:t>2</w:t>
      </w:r>
      <w:r>
        <w:rPr>
          <w:rFonts w:hint="eastAsia"/>
          <w:color w:val="000000" w:themeColor="text1"/>
          <w:lang w:val="en-GB"/>
          <w14:textFill>
            <w14:solidFill>
              <w14:schemeClr w14:val="tx1"/>
            </w14:solidFill>
          </w14:textFill>
        </w:rPr>
        <w:t>增加1个监测点”</w:t>
      </w:r>
      <w:r>
        <w:rPr>
          <w:rFonts w:hint="eastAsia"/>
          <w:color w:val="000000" w:themeColor="text1"/>
          <w:lang w:val="en-GB" w:eastAsia="zh-CN"/>
          <w14:textFill>
            <w14:solidFill>
              <w14:schemeClr w14:val="tx1"/>
            </w14:solidFill>
          </w14:textFill>
        </w:rPr>
        <w:t>，</w:t>
      </w:r>
      <w:r>
        <w:rPr>
          <w:rFonts w:hint="eastAsia"/>
        </w:rPr>
        <w:t>《内蒙古春园满循环农业科技有限公司粉煤灰建筑地基项目本底环境调查报告》中监测点位的布设能够满足本次评价要求，引用其中</w:t>
      </w:r>
      <w:r>
        <w:rPr>
          <w:rFonts w:hint="eastAsia"/>
          <w:lang w:val="en-US" w:eastAsia="zh-CN"/>
        </w:rPr>
        <w:t>7</w:t>
      </w:r>
      <w:r>
        <w:rPr>
          <w:rFonts w:hint="eastAsia"/>
        </w:rPr>
        <w:t>个点位及监测项目设置情况见下表，监测布点位置详见图4.2</w:t>
      </w:r>
      <w:r>
        <w:t>-</w:t>
      </w:r>
      <w:r>
        <w:rPr>
          <w:rFonts w:hint="eastAsia"/>
        </w:rPr>
        <w:t>2。</w:t>
      </w:r>
    </w:p>
    <w:p>
      <w:pPr>
        <w:ind w:firstLine="0" w:firstLineChars="0"/>
        <w:jc w:val="center"/>
      </w:pPr>
      <w:r>
        <w:t>表4.2</w:t>
      </w:r>
      <w:r>
        <w:rPr>
          <w:rFonts w:hint="eastAsia"/>
        </w:rPr>
        <w:t>.2</w:t>
      </w:r>
      <w:r>
        <w:t>-</w:t>
      </w:r>
      <w:r>
        <w:rPr>
          <w:rFonts w:hint="eastAsia"/>
        </w:rPr>
        <w:t xml:space="preserve">1    </w:t>
      </w:r>
      <w:r>
        <w:t>土壤监测布点表</w:t>
      </w:r>
    </w:p>
    <w:tbl>
      <w:tblPr>
        <w:tblStyle w:val="3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001"/>
        <w:gridCol w:w="1362"/>
        <w:gridCol w:w="2196"/>
        <w:gridCol w:w="1155"/>
        <w:gridCol w:w="2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序号</w:t>
            </w:r>
          </w:p>
        </w:tc>
        <w:tc>
          <w:tcPr>
            <w:tcW w:w="1313" w:type="pct"/>
            <w:gridSpan w:val="2"/>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位置</w:t>
            </w:r>
          </w:p>
        </w:tc>
        <w:tc>
          <w:tcPr>
            <w:tcW w:w="1220"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坐标</w:t>
            </w:r>
          </w:p>
        </w:tc>
        <w:tc>
          <w:tcPr>
            <w:tcW w:w="642"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采样点</w:t>
            </w:r>
          </w:p>
        </w:tc>
        <w:tc>
          <w:tcPr>
            <w:tcW w:w="1345"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监测因子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r>
              <w:rPr>
                <w:rFonts w:hint="eastAsia" w:ascii="Times New Roman" w:hAnsi="Times New Roman" w:eastAsia="宋体"/>
                <w:color w:val="000000" w:themeColor="text1"/>
                <w:kern w:val="0"/>
                <w:sz w:val="21"/>
                <w:szCs w:val="21"/>
                <w14:textFill>
                  <w14:solidFill>
                    <w14:schemeClr w14:val="tx1"/>
                  </w14:solidFill>
                </w14:textFill>
              </w:rPr>
              <w:t>T6</w:t>
            </w:r>
          </w:p>
        </w:tc>
        <w:tc>
          <w:tcPr>
            <w:tcW w:w="556" w:type="pct"/>
            <w:vMerge w:val="restar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占地范围内</w:t>
            </w: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r>
              <w:rPr>
                <w:rFonts w:hint="eastAsia" w:ascii="Times New Roman" w:hAnsi="Times New Roman" w:eastAsia="宋体"/>
                <w:color w:val="000000" w:themeColor="text1"/>
                <w:kern w:val="0"/>
                <w:sz w:val="21"/>
                <w:szCs w:val="21"/>
                <w14:textFill>
                  <w14:solidFill>
                    <w14:schemeClr w14:val="tx1"/>
                  </w14:solidFill>
                </w14:textFill>
              </w:rPr>
              <w:t>中心</w:t>
            </w:r>
          </w:p>
        </w:tc>
        <w:tc>
          <w:tcPr>
            <w:tcW w:w="1220"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E</w:t>
            </w:r>
            <w:r>
              <w:rPr>
                <w:rFonts w:hint="eastAsia"/>
                <w:color w:val="000000" w:themeColor="text1"/>
                <w:sz w:val="21"/>
                <w:szCs w:val="21"/>
                <w:lang w:val="en-US" w:eastAsia="zh-CN"/>
                <w14:textFill>
                  <w14:solidFill>
                    <w14:schemeClr w14:val="tx1"/>
                  </w14:solidFill>
                </w14:textFill>
              </w:rPr>
              <w:t xml:space="preserve"> </w:t>
            </w:r>
            <w:r>
              <w:rPr>
                <w:rFonts w:ascii="Times New Roman" w:hAnsi="Times New Roman" w:eastAsia="宋体"/>
                <w:color w:val="000000" w:themeColor="text1"/>
                <w:sz w:val="21"/>
                <w:szCs w:val="21"/>
                <w14:textFill>
                  <w14:solidFill>
                    <w14:schemeClr w14:val="tx1"/>
                  </w14:solidFill>
                </w14:textFill>
              </w:rPr>
              <w:t>107°4</w:t>
            </w:r>
            <w:r>
              <w:rPr>
                <w:rFonts w:hint="eastAsia" w:ascii="Times New Roman" w:hAnsi="Times New Roman" w:eastAsia="宋体"/>
                <w:color w:val="000000" w:themeColor="text1"/>
                <w:sz w:val="21"/>
                <w:szCs w:val="21"/>
                <w14:textFill>
                  <w14:solidFill>
                    <w14:schemeClr w14:val="tx1"/>
                  </w14:solidFill>
                </w14:textFill>
              </w:rPr>
              <w:t>7</w:t>
            </w:r>
            <w:r>
              <w:rPr>
                <w:rFonts w:ascii="Times New Roman" w:hAnsi="Times New Roman" w:eastAsia="宋体"/>
                <w:color w:val="000000" w:themeColor="text1"/>
                <w:sz w:val="21"/>
                <w:szCs w:val="21"/>
                <w14:textFill>
                  <w14:solidFill>
                    <w14:schemeClr w14:val="tx1"/>
                  </w14:solidFill>
                </w14:textFill>
              </w:rPr>
              <w:t>′5.</w:t>
            </w:r>
            <w:r>
              <w:rPr>
                <w:rFonts w:hint="eastAsia" w:ascii="Times New Roman" w:hAnsi="Times New Roman" w:eastAsia="宋体"/>
                <w:color w:val="000000" w:themeColor="text1"/>
                <w:sz w:val="21"/>
                <w:szCs w:val="21"/>
                <w14:textFill>
                  <w14:solidFill>
                    <w14:schemeClr w14:val="tx1"/>
                  </w14:solidFill>
                </w14:textFill>
              </w:rPr>
              <w:t>36</w:t>
            </w:r>
            <w:r>
              <w:rPr>
                <w:rFonts w:ascii="Times New Roman" w:hAnsi="Times New Roman" w:eastAsia="宋体"/>
                <w:color w:val="000000" w:themeColor="text1"/>
                <w:sz w:val="21"/>
                <w:szCs w:val="21"/>
                <w14:textFill>
                  <w14:solidFill>
                    <w14:schemeClr w14:val="tx1"/>
                  </w14:solidFill>
                </w14:textFill>
              </w:rPr>
              <w:t>″</w:t>
            </w:r>
          </w:p>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N</w:t>
            </w:r>
            <w:r>
              <w:rPr>
                <w:rFonts w:hint="eastAsia"/>
                <w:color w:val="000000" w:themeColor="text1"/>
                <w:sz w:val="21"/>
                <w:szCs w:val="21"/>
                <w:lang w:val="en-US" w:eastAsia="zh-CN"/>
                <w14:textFill>
                  <w14:solidFill>
                    <w14:schemeClr w14:val="tx1"/>
                  </w14:solidFill>
                </w14:textFill>
              </w:rPr>
              <w:t xml:space="preserve"> </w:t>
            </w:r>
            <w:r>
              <w:rPr>
                <w:rFonts w:ascii="Times New Roman" w:hAnsi="Times New Roman" w:eastAsia="宋体"/>
                <w:color w:val="000000" w:themeColor="text1"/>
                <w:sz w:val="21"/>
                <w:szCs w:val="21"/>
                <w14:textFill>
                  <w14:solidFill>
                    <w14:schemeClr w14:val="tx1"/>
                  </w14:solidFill>
                </w14:textFill>
              </w:rPr>
              <w:t>41°</w:t>
            </w:r>
            <w:r>
              <w:rPr>
                <w:rFonts w:hint="eastAsia" w:ascii="Times New Roman" w:hAnsi="Times New Roman" w:eastAsia="宋体"/>
                <w:color w:val="000000" w:themeColor="text1"/>
                <w:sz w:val="21"/>
                <w:szCs w:val="21"/>
                <w14:textFill>
                  <w14:solidFill>
                    <w14:schemeClr w14:val="tx1"/>
                  </w14:solidFill>
                </w14:textFill>
              </w:rPr>
              <w:t>6</w:t>
            </w:r>
            <w:r>
              <w:rPr>
                <w:rFonts w:ascii="Times New Roman" w:hAnsi="Times New Roman" w:eastAsia="宋体"/>
                <w:color w:val="000000" w:themeColor="text1"/>
                <w:sz w:val="21"/>
                <w:szCs w:val="21"/>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9</w:t>
            </w:r>
            <w:r>
              <w:rPr>
                <w:rFonts w:ascii="Times New Roman" w:hAnsi="Times New Roman" w:eastAsia="宋体"/>
                <w:color w:val="000000" w:themeColor="text1"/>
                <w:sz w:val="21"/>
                <w:szCs w:val="21"/>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29</w:t>
            </w:r>
            <w:r>
              <w:rPr>
                <w:rFonts w:ascii="Times New Roman" w:hAnsi="Times New Roman" w:eastAsia="宋体"/>
                <w:color w:val="000000" w:themeColor="text1"/>
                <w:sz w:val="21"/>
                <w:szCs w:val="21"/>
                <w14:textFill>
                  <w14:solidFill>
                    <w14:schemeClr w14:val="tx1"/>
                  </w14:solidFill>
                </w14:textFill>
              </w:rPr>
              <w:t>″</w:t>
            </w:r>
          </w:p>
        </w:tc>
        <w:tc>
          <w:tcPr>
            <w:tcW w:w="642"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eastAsia"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表层样</w:t>
            </w:r>
          </w:p>
        </w:tc>
        <w:tc>
          <w:tcPr>
            <w:tcW w:w="1345" w:type="pct"/>
            <w:vMerge w:val="restar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r>
              <w:rPr>
                <w:rFonts w:hint="eastAsia" w:ascii="Times New Roman" w:hAnsi="Times New Roman" w:eastAsia="宋体"/>
                <w:color w:val="000000" w:themeColor="text1"/>
                <w:kern w:val="0"/>
                <w:sz w:val="21"/>
                <w:szCs w:val="21"/>
                <w14:textFill>
                  <w14:solidFill>
                    <w14:schemeClr w14:val="tx1"/>
                  </w14:solidFill>
                </w14:textFill>
              </w:rPr>
              <w:t>pH、镉、铅、汞、砷、铜、铬、镍、锌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T2</w:t>
            </w:r>
          </w:p>
        </w:tc>
        <w:tc>
          <w:tcPr>
            <w:tcW w:w="556"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北</w:t>
            </w:r>
          </w:p>
        </w:tc>
        <w:tc>
          <w:tcPr>
            <w:tcW w:w="1220" w:type="pct"/>
            <w:vAlign w:val="center"/>
          </w:tcPr>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sz w:val="21"/>
                <w:szCs w:val="21"/>
              </w:rPr>
            </w:pPr>
            <w:r>
              <w:rPr>
                <w:rFonts w:hint="eastAsia" w:cs="Times New Roman"/>
                <w:color w:val="000000"/>
                <w:kern w:val="0"/>
                <w:sz w:val="21"/>
                <w:szCs w:val="21"/>
                <w:lang w:val="en-US" w:eastAsia="zh-CN" w:bidi="ar"/>
              </w:rPr>
              <w:t xml:space="preserve">E </w:t>
            </w:r>
            <w:r>
              <w:rPr>
                <w:rFonts w:hint="default" w:ascii="Times New Roman" w:hAnsi="Times New Roman" w:eastAsia="宋体" w:cs="Times New Roman"/>
                <w:color w:val="000000"/>
                <w:kern w:val="0"/>
                <w:sz w:val="21"/>
                <w:szCs w:val="21"/>
                <w:lang w:val="en-US" w:eastAsia="zh-CN" w:bidi="ar"/>
              </w:rPr>
              <w:t>107°47′1.93″</w:t>
            </w:r>
          </w:p>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sz w:val="21"/>
                <w:szCs w:val="21"/>
                <w14:textFill>
                  <w14:solidFill>
                    <w14:schemeClr w14:val="tx1"/>
                  </w14:solidFill>
                </w14:textFill>
              </w:rPr>
            </w:pPr>
            <w:r>
              <w:rPr>
                <w:rFonts w:hint="eastAsia" w:cs="Times New Roman"/>
                <w:color w:val="000000"/>
                <w:kern w:val="0"/>
                <w:sz w:val="21"/>
                <w:szCs w:val="21"/>
                <w:lang w:val="en-US" w:eastAsia="zh-CN" w:bidi="ar"/>
              </w:rPr>
              <w:t xml:space="preserve">N </w:t>
            </w:r>
            <w:r>
              <w:rPr>
                <w:rFonts w:hint="default" w:ascii="Times New Roman" w:hAnsi="Times New Roman" w:eastAsia="宋体" w:cs="Times New Roman"/>
                <w:color w:val="000000"/>
                <w:kern w:val="0"/>
                <w:sz w:val="21"/>
                <w:szCs w:val="21"/>
                <w:lang w:val="en-US" w:eastAsia="zh-CN" w:bidi="ar"/>
              </w:rPr>
              <w:t>41°6′20.02″</w:t>
            </w:r>
          </w:p>
        </w:tc>
        <w:tc>
          <w:tcPr>
            <w:tcW w:w="642" w:type="pct"/>
            <w:vMerge w:val="restar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eastAsia"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柱状样</w:t>
            </w:r>
          </w:p>
        </w:tc>
        <w:tc>
          <w:tcPr>
            <w:tcW w:w="1345"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T5</w:t>
            </w:r>
          </w:p>
        </w:tc>
        <w:tc>
          <w:tcPr>
            <w:tcW w:w="556"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西</w:t>
            </w:r>
          </w:p>
        </w:tc>
        <w:tc>
          <w:tcPr>
            <w:tcW w:w="1220" w:type="pct"/>
            <w:vAlign w:val="center"/>
          </w:tcPr>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sz w:val="21"/>
                <w:szCs w:val="21"/>
              </w:rPr>
            </w:pPr>
            <w:r>
              <w:rPr>
                <w:rFonts w:hint="eastAsia" w:cs="Times New Roman"/>
                <w:color w:val="000000"/>
                <w:kern w:val="0"/>
                <w:sz w:val="21"/>
                <w:szCs w:val="21"/>
                <w:lang w:val="en-US" w:eastAsia="zh-CN" w:bidi="ar"/>
              </w:rPr>
              <w:t xml:space="preserve">E </w:t>
            </w:r>
            <w:r>
              <w:rPr>
                <w:rFonts w:hint="default" w:ascii="Times New Roman" w:hAnsi="Times New Roman" w:eastAsia="宋体" w:cs="Times New Roman"/>
                <w:color w:val="000000"/>
                <w:kern w:val="0"/>
                <w:sz w:val="21"/>
                <w:szCs w:val="21"/>
                <w:lang w:val="en-US" w:eastAsia="zh-CN" w:bidi="ar"/>
              </w:rPr>
              <w:t>107°46'55.31"</w:t>
            </w:r>
          </w:p>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s="Times New Roman"/>
                <w:color w:val="000000"/>
                <w:kern w:val="0"/>
                <w:sz w:val="21"/>
                <w:szCs w:val="21"/>
                <w:lang w:val="en-US" w:eastAsia="zh-CN" w:bidi="ar"/>
              </w:rPr>
              <w:t xml:space="preserve">N </w:t>
            </w:r>
            <w:r>
              <w:rPr>
                <w:rFonts w:hint="default" w:ascii="Times New Roman" w:hAnsi="Times New Roman" w:eastAsia="宋体" w:cs="Times New Roman"/>
                <w:color w:val="000000"/>
                <w:kern w:val="0"/>
                <w:sz w:val="21"/>
                <w:szCs w:val="21"/>
                <w:lang w:val="en-US" w:eastAsia="zh-CN" w:bidi="ar"/>
              </w:rPr>
              <w:t>41° 6'4.96"</w:t>
            </w:r>
          </w:p>
        </w:tc>
        <w:tc>
          <w:tcPr>
            <w:tcW w:w="642"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1345"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T8</w:t>
            </w:r>
          </w:p>
        </w:tc>
        <w:tc>
          <w:tcPr>
            <w:tcW w:w="556"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eastAsia"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东</w:t>
            </w:r>
          </w:p>
        </w:tc>
        <w:tc>
          <w:tcPr>
            <w:tcW w:w="1220" w:type="pct"/>
            <w:vAlign w:val="center"/>
          </w:tcPr>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sz w:val="21"/>
                <w:szCs w:val="21"/>
              </w:rPr>
            </w:pPr>
            <w:r>
              <w:rPr>
                <w:rFonts w:hint="eastAsia" w:cs="Times New Roman"/>
                <w:color w:val="000000"/>
                <w:kern w:val="0"/>
                <w:sz w:val="21"/>
                <w:szCs w:val="21"/>
                <w:lang w:val="en-US" w:eastAsia="zh-CN" w:bidi="ar"/>
              </w:rPr>
              <w:t xml:space="preserve">E </w:t>
            </w:r>
            <w:r>
              <w:rPr>
                <w:rFonts w:hint="default" w:ascii="Times New Roman" w:hAnsi="Times New Roman" w:eastAsia="宋体" w:cs="Times New Roman"/>
                <w:color w:val="000000"/>
                <w:kern w:val="0"/>
                <w:sz w:val="21"/>
                <w:szCs w:val="21"/>
                <w:lang w:val="en-US" w:eastAsia="zh-CN" w:bidi="ar"/>
              </w:rPr>
              <w:t>107°47'25.85"</w:t>
            </w:r>
          </w:p>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hint="default" w:ascii="Times New Roman" w:hAnsi="Times New Roman" w:eastAsia="宋体"/>
                <w:b/>
                <w:bCs/>
                <w:color w:val="000000" w:themeColor="text1"/>
                <w:sz w:val="21"/>
                <w:szCs w:val="21"/>
                <w:lang w:val="en-US" w:eastAsia="zh-CN"/>
                <w14:textFill>
                  <w14:solidFill>
                    <w14:schemeClr w14:val="tx1"/>
                  </w14:solidFill>
                </w14:textFill>
              </w:rPr>
            </w:pPr>
            <w:r>
              <w:rPr>
                <w:rFonts w:hint="eastAsia" w:cs="Times New Roman"/>
                <w:color w:val="000000"/>
                <w:kern w:val="0"/>
                <w:sz w:val="21"/>
                <w:szCs w:val="21"/>
                <w:lang w:val="en-US" w:eastAsia="zh-CN" w:bidi="ar"/>
              </w:rPr>
              <w:t xml:space="preserve">N </w:t>
            </w:r>
            <w:r>
              <w:rPr>
                <w:rFonts w:hint="default" w:ascii="Times New Roman" w:hAnsi="Times New Roman" w:eastAsia="宋体" w:cs="Times New Roman"/>
                <w:color w:val="000000"/>
                <w:kern w:val="0"/>
                <w:sz w:val="21"/>
                <w:szCs w:val="21"/>
                <w:lang w:val="en-US" w:eastAsia="zh-CN" w:bidi="ar"/>
              </w:rPr>
              <w:t>41° 6'18.85"</w:t>
            </w:r>
          </w:p>
        </w:tc>
        <w:tc>
          <w:tcPr>
            <w:tcW w:w="642"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1345"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T10</w:t>
            </w:r>
          </w:p>
        </w:tc>
        <w:tc>
          <w:tcPr>
            <w:tcW w:w="556"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南</w:t>
            </w:r>
          </w:p>
        </w:tc>
        <w:tc>
          <w:tcPr>
            <w:tcW w:w="1220" w:type="pct"/>
            <w:vAlign w:val="center"/>
          </w:tcPr>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sz w:val="21"/>
                <w:szCs w:val="21"/>
              </w:rPr>
            </w:pPr>
            <w:r>
              <w:rPr>
                <w:rFonts w:hint="eastAsia" w:cs="Times New Roman"/>
                <w:color w:val="000000"/>
                <w:kern w:val="0"/>
                <w:sz w:val="21"/>
                <w:szCs w:val="21"/>
                <w:lang w:val="en-US" w:eastAsia="zh-CN" w:bidi="ar"/>
              </w:rPr>
              <w:t xml:space="preserve">E </w:t>
            </w:r>
            <w:r>
              <w:rPr>
                <w:rFonts w:hint="default" w:ascii="Times New Roman" w:hAnsi="Times New Roman" w:eastAsia="宋体" w:cs="Times New Roman"/>
                <w:color w:val="000000"/>
                <w:kern w:val="0"/>
                <w:sz w:val="21"/>
                <w:szCs w:val="21"/>
                <w:lang w:val="en-US" w:eastAsia="zh-CN" w:bidi="ar"/>
              </w:rPr>
              <w:t>107°47'7.96"</w:t>
            </w:r>
          </w:p>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s="Times New Roman"/>
                <w:color w:val="000000"/>
                <w:kern w:val="0"/>
                <w:sz w:val="21"/>
                <w:szCs w:val="21"/>
                <w:lang w:val="en-US" w:eastAsia="zh-CN" w:bidi="ar"/>
              </w:rPr>
              <w:t xml:space="preserve">N </w:t>
            </w:r>
            <w:r>
              <w:rPr>
                <w:rFonts w:hint="default" w:ascii="Times New Roman" w:hAnsi="Times New Roman" w:eastAsia="宋体" w:cs="Times New Roman"/>
                <w:color w:val="000000"/>
                <w:kern w:val="0"/>
                <w:sz w:val="21"/>
                <w:szCs w:val="21"/>
                <w:lang w:val="en-US" w:eastAsia="zh-CN" w:bidi="ar"/>
              </w:rPr>
              <w:t>41° 5'57.48"</w:t>
            </w:r>
          </w:p>
        </w:tc>
        <w:tc>
          <w:tcPr>
            <w:tcW w:w="642"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1345"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T13</w:t>
            </w:r>
          </w:p>
        </w:tc>
        <w:tc>
          <w:tcPr>
            <w:tcW w:w="556" w:type="pct"/>
            <w:vMerge w:val="restar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占地范围外</w:t>
            </w: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上游100m处</w:t>
            </w:r>
          </w:p>
        </w:tc>
        <w:tc>
          <w:tcPr>
            <w:tcW w:w="1220" w:type="pct"/>
            <w:vAlign w:val="center"/>
          </w:tcPr>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sz w:val="21"/>
                <w:szCs w:val="21"/>
              </w:rPr>
            </w:pPr>
            <w:r>
              <w:rPr>
                <w:rFonts w:hint="eastAsia" w:cs="Times New Roman"/>
                <w:color w:val="000000"/>
                <w:kern w:val="0"/>
                <w:sz w:val="21"/>
                <w:szCs w:val="21"/>
                <w:lang w:val="en-US" w:eastAsia="zh-CN" w:bidi="ar"/>
              </w:rPr>
              <w:t xml:space="preserve">E </w:t>
            </w:r>
            <w:r>
              <w:rPr>
                <w:rFonts w:hint="default" w:ascii="Times New Roman" w:hAnsi="Times New Roman" w:eastAsia="宋体" w:cs="Times New Roman"/>
                <w:color w:val="000000"/>
                <w:kern w:val="0"/>
                <w:sz w:val="21"/>
                <w:szCs w:val="21"/>
                <w:lang w:val="en-US" w:eastAsia="zh-CN" w:bidi="ar"/>
              </w:rPr>
              <w:t>107°47′5.42″</w:t>
            </w:r>
          </w:p>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s="Times New Roman"/>
                <w:color w:val="000000"/>
                <w:kern w:val="0"/>
                <w:sz w:val="21"/>
                <w:szCs w:val="21"/>
                <w:lang w:val="en-US" w:eastAsia="zh-CN" w:bidi="ar"/>
              </w:rPr>
              <w:t xml:space="preserve">N </w:t>
            </w:r>
            <w:r>
              <w:rPr>
                <w:rFonts w:hint="default" w:ascii="Times New Roman" w:hAnsi="Times New Roman" w:eastAsia="宋体" w:cs="Times New Roman"/>
                <w:color w:val="000000"/>
                <w:kern w:val="0"/>
                <w:sz w:val="21"/>
                <w:szCs w:val="21"/>
                <w:lang w:val="en-US" w:eastAsia="zh-CN" w:bidi="ar"/>
              </w:rPr>
              <w:t>41°6′27.78″</w:t>
            </w:r>
          </w:p>
        </w:tc>
        <w:tc>
          <w:tcPr>
            <w:tcW w:w="642" w:type="pct"/>
            <w:vMerge w:val="restar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表层样</w:t>
            </w:r>
          </w:p>
        </w:tc>
        <w:tc>
          <w:tcPr>
            <w:tcW w:w="1345"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T14</w:t>
            </w:r>
          </w:p>
        </w:tc>
        <w:tc>
          <w:tcPr>
            <w:tcW w:w="556"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757" w:type="pct"/>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olor w:val="000000" w:themeColor="text1"/>
                <w:kern w:val="0"/>
                <w:sz w:val="21"/>
                <w:szCs w:val="21"/>
                <w:lang w:val="en-US" w:eastAsia="zh-CN"/>
                <w14:textFill>
                  <w14:solidFill>
                    <w14:schemeClr w14:val="tx1"/>
                  </w14:solidFill>
                </w14:textFill>
              </w:rPr>
              <w:t>下游100m处</w:t>
            </w:r>
          </w:p>
        </w:tc>
        <w:tc>
          <w:tcPr>
            <w:tcW w:w="1220" w:type="pct"/>
            <w:vAlign w:val="center"/>
          </w:tcPr>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ascii="Times New Roman" w:hAnsi="Times New Roman" w:eastAsia="宋体"/>
                <w:sz w:val="21"/>
                <w:szCs w:val="21"/>
              </w:rPr>
            </w:pPr>
            <w:r>
              <w:rPr>
                <w:rFonts w:hint="eastAsia" w:cs="Times New Roman"/>
                <w:color w:val="000000"/>
                <w:kern w:val="0"/>
                <w:sz w:val="21"/>
                <w:szCs w:val="21"/>
                <w:lang w:val="en-US" w:eastAsia="zh-CN" w:bidi="ar"/>
              </w:rPr>
              <w:t xml:space="preserve">E </w:t>
            </w:r>
            <w:r>
              <w:rPr>
                <w:rFonts w:hint="default" w:ascii="Times New Roman" w:hAnsi="Times New Roman" w:eastAsia="宋体" w:cs="Times New Roman"/>
                <w:color w:val="000000"/>
                <w:kern w:val="0"/>
                <w:sz w:val="21"/>
                <w:szCs w:val="21"/>
                <w:lang w:val="en-US" w:eastAsia="zh-CN" w:bidi="ar"/>
              </w:rPr>
              <w:t>107°47′20.33″</w:t>
            </w:r>
          </w:p>
          <w:p>
            <w:pPr>
              <w:keepNext w:val="0"/>
              <w:keepLines w:val="0"/>
              <w:pageBreakBefore w:val="0"/>
              <w:widowControl/>
              <w:suppressLineNumbers w:val="0"/>
              <w:kinsoku/>
              <w:wordWrap/>
              <w:overflowPunct/>
              <w:autoSpaceDN/>
              <w:bidi w:val="0"/>
              <w:adjustRightInd/>
              <w:snapToGrid/>
              <w:spacing w:line="240" w:lineRule="auto"/>
              <w:ind w:firstLine="0" w:firstLineChars="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s="Times New Roman"/>
                <w:color w:val="000000"/>
                <w:kern w:val="0"/>
                <w:sz w:val="21"/>
                <w:szCs w:val="21"/>
                <w:lang w:val="en-US" w:eastAsia="zh-CN" w:bidi="ar"/>
              </w:rPr>
              <w:t xml:space="preserve">N </w:t>
            </w:r>
            <w:r>
              <w:rPr>
                <w:rFonts w:hint="default" w:ascii="Times New Roman" w:hAnsi="Times New Roman" w:eastAsia="宋体" w:cs="Times New Roman"/>
                <w:color w:val="000000"/>
                <w:kern w:val="0"/>
                <w:sz w:val="21"/>
                <w:szCs w:val="21"/>
                <w:lang w:val="en-US" w:eastAsia="zh-CN" w:bidi="ar"/>
              </w:rPr>
              <w:t>41°6′54.41″</w:t>
            </w:r>
          </w:p>
        </w:tc>
        <w:tc>
          <w:tcPr>
            <w:tcW w:w="642"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c>
          <w:tcPr>
            <w:tcW w:w="1345" w:type="pct"/>
            <w:vMerge w:val="continue"/>
            <w:vAlign w:val="center"/>
          </w:tcPr>
          <w:p>
            <w:pPr>
              <w:pStyle w:val="232"/>
              <w:keepNext w:val="0"/>
              <w:keepLines w:val="0"/>
              <w:pageBreakBefore w:val="0"/>
              <w:kinsoku/>
              <w:wordWrap/>
              <w:overflowPunct/>
              <w:autoSpaceDN/>
              <w:bidi w:val="0"/>
              <w:adjustRightInd/>
              <w:snapToGrid/>
              <w:spacing w:line="240" w:lineRule="auto"/>
              <w:ind w:firstLine="0" w:firstLineChars="0"/>
              <w:jc w:val="center"/>
              <w:rPr>
                <w:rFonts w:ascii="Times New Roman" w:hAnsi="Times New Roman" w:eastAsia="宋体"/>
                <w:color w:val="000000" w:themeColor="text1"/>
                <w:kern w:val="0"/>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5000" w:type="pct"/>
            <w:gridSpan w:val="6"/>
            <w:vAlign w:val="center"/>
          </w:tcPr>
          <w:p>
            <w:pPr>
              <w:pStyle w:val="232"/>
              <w:keepNext w:val="0"/>
              <w:keepLines w:val="0"/>
              <w:pageBreakBefore w:val="0"/>
              <w:widowControl w:val="0"/>
              <w:kinsoku/>
              <w:wordWrap/>
              <w:overflowPunct/>
              <w:topLinePunct/>
              <w:autoSpaceDE w:val="0"/>
              <w:autoSpaceDN/>
              <w:bidi w:val="0"/>
              <w:adjustRightInd/>
              <w:snapToGrid/>
              <w:spacing w:line="240" w:lineRule="auto"/>
              <w:ind w:firstLine="0" w:firstLineChars="0"/>
              <w:jc w:val="left"/>
              <w:textAlignment w:val="center"/>
              <w:rPr>
                <w:rFonts w:hint="eastAsia"/>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表层样取样深度为0~0.2m</w:t>
            </w:r>
          </w:p>
          <w:p>
            <w:pPr>
              <w:pStyle w:val="232"/>
              <w:keepNext w:val="0"/>
              <w:keepLines w:val="0"/>
              <w:pageBreakBefore w:val="0"/>
              <w:widowControl w:val="0"/>
              <w:kinsoku/>
              <w:wordWrap/>
              <w:overflowPunct/>
              <w:topLinePunct/>
              <w:autoSpaceDE w:val="0"/>
              <w:autoSpaceDN/>
              <w:bidi w:val="0"/>
              <w:adjustRightInd/>
              <w:snapToGrid/>
              <w:spacing w:line="240" w:lineRule="auto"/>
              <w:ind w:firstLine="0" w:firstLineChars="0"/>
              <w:jc w:val="left"/>
              <w:textAlignment w:val="center"/>
              <w:rPr>
                <w:rFonts w:hint="default" w:ascii="Times New Roman" w:hAns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柱状样取样深度分三个土样：表层样（0～0.5m），中层样（0.5～1.5m），深层样（1.5～3.0m）</w:t>
            </w:r>
          </w:p>
        </w:tc>
      </w:tr>
    </w:tbl>
    <w:p>
      <w:pPr>
        <w:ind w:firstLine="0" w:firstLineChars="0"/>
      </w:pPr>
    </w:p>
    <w:p>
      <w:pPr>
        <w:pStyle w:val="5"/>
      </w:pPr>
      <w:r>
        <w:rPr>
          <w:rFonts w:hint="eastAsia"/>
        </w:rPr>
        <w:t>监测方法</w:t>
      </w:r>
    </w:p>
    <w:p>
      <w:pPr>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采样和分析方法按《土壤环境监测技术规范》（HJ/T166－2004）及</w:t>
      </w:r>
      <w:r>
        <w:rPr>
          <w:rFonts w:hint="eastAsia"/>
          <w:color w:val="000000" w:themeColor="text1"/>
          <w14:textFill>
            <w14:solidFill>
              <w14:schemeClr w14:val="tx1"/>
            </w14:solidFill>
          </w14:textFill>
        </w:rPr>
        <w:t>《土壤环境质量 农用地土壤污染风险管控标准（试行）》（GB15618-2018）</w:t>
      </w:r>
      <w:r>
        <w:rPr>
          <w:color w:val="000000" w:themeColor="text1"/>
          <w:kern w:val="0"/>
          <w14:textFill>
            <w14:solidFill>
              <w14:schemeClr w14:val="tx1"/>
            </w14:solidFill>
          </w14:textFill>
        </w:rPr>
        <w:t>中相关要求进行，见</w:t>
      </w:r>
      <w:r>
        <w:rPr>
          <w:rFonts w:hint="eastAsia"/>
          <w:color w:val="000000" w:themeColor="text1"/>
          <w:kern w:val="0"/>
          <w14:textFill>
            <w14:solidFill>
              <w14:schemeClr w14:val="tx1"/>
            </w14:solidFill>
          </w14:textFill>
        </w:rPr>
        <w:t>下</w:t>
      </w:r>
      <w:r>
        <w:rPr>
          <w:color w:val="000000" w:themeColor="text1"/>
          <w:kern w:val="0"/>
          <w14:textFill>
            <w14:solidFill>
              <w14:schemeClr w14:val="tx1"/>
            </w14:solidFill>
          </w14:textFill>
        </w:rPr>
        <w:t>表。</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表4.2.2-2    土壤检测项目分析方法</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880"/>
        <w:gridCol w:w="3560"/>
        <w:gridCol w:w="1208"/>
        <w:gridCol w:w="1598"/>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blHeader/>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48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检测</w:t>
            </w:r>
          </w:p>
          <w:p>
            <w:pPr>
              <w:pStyle w:val="232"/>
              <w:rPr>
                <w:color w:val="000000" w:themeColor="text1"/>
                <w14:textFill>
                  <w14:solidFill>
                    <w14:schemeClr w14:val="tx1"/>
                  </w14:solidFill>
                </w14:textFill>
              </w:rPr>
            </w:pPr>
            <w:r>
              <w:rPr>
                <w:color w:val="000000" w:themeColor="text1"/>
                <w14:textFill>
                  <w14:solidFill>
                    <w14:schemeClr w14:val="tx1"/>
                  </w14:solidFill>
                </w14:textFill>
              </w:rPr>
              <w:t>项目</w:t>
            </w:r>
          </w:p>
        </w:tc>
        <w:tc>
          <w:tcPr>
            <w:tcW w:w="19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分析方法及来源</w:t>
            </w:r>
          </w:p>
        </w:tc>
        <w:tc>
          <w:tcPr>
            <w:tcW w:w="670"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检出限</w:t>
            </w:r>
            <w:r>
              <w:rPr>
                <w:rFonts w:hint="eastAsia"/>
                <w:color w:val="000000" w:themeColor="text1"/>
                <w14:textFill>
                  <w14:solidFill>
                    <w14:schemeClr w14:val="tx1"/>
                  </w14:solidFill>
                </w14:textFill>
              </w:rPr>
              <w:t>(mg/kg)</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仪器设备名称/型号</w:t>
            </w:r>
          </w:p>
        </w:tc>
        <w:tc>
          <w:tcPr>
            <w:tcW w:w="7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仪器管理编号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总砷</w:t>
            </w:r>
          </w:p>
        </w:tc>
        <w:tc>
          <w:tcPr>
            <w:tcW w:w="197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《土壤质量 总汞、总砷、总铅的测定原子荧光法》第2部分:土壤中总砷的测定（GB/T 22105.2-2008）</w:t>
            </w:r>
          </w:p>
        </w:tc>
        <w:tc>
          <w:tcPr>
            <w:tcW w:w="67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0.01</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原子荧光光度计</w:t>
            </w:r>
            <w:r>
              <w:rPr>
                <w:rFonts w:hint="eastAsia"/>
                <w:color w:val="000000" w:themeColor="text1"/>
                <w14:textFill>
                  <w14:solidFill>
                    <w14:schemeClr w14:val="tx1"/>
                  </w14:solidFill>
                </w14:textFill>
              </w:rPr>
              <w:t>/AFS-8220</w:t>
            </w:r>
          </w:p>
        </w:tc>
        <w:tc>
          <w:tcPr>
            <w:tcW w:w="7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HZD-003-A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镉</w:t>
            </w:r>
          </w:p>
        </w:tc>
        <w:tc>
          <w:tcPr>
            <w:tcW w:w="197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《土壤质量 铅、镉的测定石墨炉原子吸收分光光度法》（GB/T</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17141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1997）</w:t>
            </w:r>
          </w:p>
        </w:tc>
        <w:tc>
          <w:tcPr>
            <w:tcW w:w="67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0.01</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原子吸收光谱仪</w:t>
            </w:r>
            <w:r>
              <w:rPr>
                <w:rFonts w:hint="eastAsia"/>
                <w:color w:val="000000" w:themeColor="text1"/>
                <w14:textFill>
                  <w14:solidFill>
                    <w14:schemeClr w14:val="tx1"/>
                  </w14:solidFill>
                </w14:textFill>
              </w:rPr>
              <w:t>/ICE-3500</w:t>
            </w:r>
          </w:p>
        </w:tc>
        <w:tc>
          <w:tcPr>
            <w:tcW w:w="74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铅</w:t>
            </w:r>
          </w:p>
        </w:tc>
        <w:tc>
          <w:tcPr>
            <w:tcW w:w="197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《土壤质量总汞、总砷、总铅的测定原子荧光法》</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（GB/T 22105.3-2008 ）第 3 部分：土壤中总铅的测定</w:t>
            </w:r>
          </w:p>
        </w:tc>
        <w:tc>
          <w:tcPr>
            <w:tcW w:w="67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0.06</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原子吸收光谱仪</w:t>
            </w:r>
            <w:r>
              <w:rPr>
                <w:rFonts w:hint="eastAsia"/>
                <w:color w:val="000000" w:themeColor="text1"/>
                <w14:textFill>
                  <w14:solidFill>
                    <w14:schemeClr w14:val="tx1"/>
                  </w14:solidFill>
                </w14:textFill>
              </w:rPr>
              <w:t>/ICE-3500</w:t>
            </w:r>
          </w:p>
        </w:tc>
        <w:tc>
          <w:tcPr>
            <w:tcW w:w="74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48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铬</w:t>
            </w:r>
          </w:p>
        </w:tc>
        <w:tc>
          <w:tcPr>
            <w:tcW w:w="1977"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《土壤和沉积物铜、锌、铅、镍、铬的测定火焰原子吸收分光光度法》</w:t>
            </w:r>
          </w:p>
          <w:p>
            <w:pPr>
              <w:pStyle w:val="232"/>
              <w:rPr>
                <w:color w:val="000000" w:themeColor="text1"/>
                <w14:textFill>
                  <w14:solidFill>
                    <w14:schemeClr w14:val="tx1"/>
                  </w14:solidFill>
                </w14:textFill>
              </w:rPr>
            </w:pPr>
            <w:r>
              <w:rPr>
                <w:color w:val="000000" w:themeColor="text1"/>
                <w14:textFill>
                  <w14:solidFill>
                    <w14:schemeClr w14:val="tx1"/>
                  </w14:solidFill>
                </w14:textFill>
              </w:rPr>
              <w:t>（HJ 491-2019）</w:t>
            </w:r>
          </w:p>
        </w:tc>
        <w:tc>
          <w:tcPr>
            <w:tcW w:w="670"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原子吸收光谱仪/ICE-3500</w:t>
            </w:r>
          </w:p>
        </w:tc>
        <w:tc>
          <w:tcPr>
            <w:tcW w:w="7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铜</w:t>
            </w:r>
          </w:p>
        </w:tc>
        <w:tc>
          <w:tcPr>
            <w:tcW w:w="1977" w:type="pct"/>
            <w:vMerge w:val="continue"/>
            <w:vAlign w:val="center"/>
          </w:tcPr>
          <w:p>
            <w:pPr>
              <w:pStyle w:val="232"/>
              <w:rPr>
                <w:color w:val="000000" w:themeColor="text1"/>
                <w14:textFill>
                  <w14:solidFill>
                    <w14:schemeClr w14:val="tx1"/>
                  </w14:solidFill>
                </w14:textFill>
              </w:rPr>
            </w:pPr>
          </w:p>
        </w:tc>
        <w:tc>
          <w:tcPr>
            <w:tcW w:w="670" w:type="pct"/>
            <w:vAlign w:val="center"/>
          </w:tcPr>
          <w:p>
            <w:pPr>
              <w:pStyle w:val="232"/>
              <w:rPr>
                <w:color w:val="000000" w:themeColor="text1"/>
                <w14:textFill>
                  <w14:solidFill>
                    <w14:schemeClr w14:val="tx1"/>
                  </w14:solidFill>
                </w14:textFill>
              </w:rPr>
            </w:pPr>
            <w:r>
              <w:rPr>
                <w:color w:val="000000" w:themeColor="text1"/>
                <w:kern w:val="0"/>
                <w:lang w:bidi="ar"/>
                <w14:textFill>
                  <w14:solidFill>
                    <w14:schemeClr w14:val="tx1"/>
                  </w14:solidFill>
                </w14:textFill>
              </w:rPr>
              <w:t>1</w:t>
            </w:r>
          </w:p>
        </w:tc>
        <w:tc>
          <w:tcPr>
            <w:tcW w:w="887" w:type="pct"/>
            <w:vAlign w:val="center"/>
          </w:tcPr>
          <w:p>
            <w:pPr>
              <w:pStyle w:val="232"/>
              <w:rPr>
                <w:color w:val="000000" w:themeColor="text1"/>
                <w14:textFill>
                  <w14:solidFill>
                    <w14:schemeClr w14:val="tx1"/>
                  </w14:solidFill>
                </w14:textFill>
              </w:rPr>
            </w:pPr>
            <w:r>
              <w:rPr>
                <w:color w:val="000000" w:themeColor="text1"/>
                <w:kern w:val="0"/>
                <w:lang w:bidi="ar"/>
                <w14:textFill>
                  <w14:solidFill>
                    <w14:schemeClr w14:val="tx1"/>
                  </w14:solidFill>
                </w14:textFill>
              </w:rPr>
              <w:t>原子吸收光谱仪/ICE-3</w:t>
            </w:r>
            <w:r>
              <w:rPr>
                <w:rFonts w:hint="eastAsia"/>
                <w:color w:val="000000" w:themeColor="text1"/>
                <w:kern w:val="0"/>
                <w:lang w:bidi="ar"/>
                <w14:textFill>
                  <w14:solidFill>
                    <w14:schemeClr w14:val="tx1"/>
                  </w14:solidFill>
                </w14:textFill>
              </w:rPr>
              <w:t>500</w:t>
            </w:r>
          </w:p>
        </w:tc>
        <w:tc>
          <w:tcPr>
            <w:tcW w:w="744" w:type="pct"/>
            <w:vAlign w:val="center"/>
          </w:tcPr>
          <w:p>
            <w:pPr>
              <w:pStyle w:val="232"/>
              <w:rPr>
                <w:color w:val="000000" w:themeColor="text1"/>
                <w14:textFill>
                  <w14:solidFill>
                    <w14:schemeClr w14:val="tx1"/>
                  </w14:solidFill>
                </w14:textFill>
              </w:rPr>
            </w:pPr>
            <w:r>
              <w:rPr>
                <w:color w:val="000000" w:themeColor="text1"/>
                <w:kern w:val="0"/>
                <w:lang w:bidi="ar"/>
                <w14:textFill>
                  <w14:solidFill>
                    <w14:schemeClr w14:val="tx1"/>
                  </w14:solidFill>
                </w14:textFill>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48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锌</w:t>
            </w:r>
          </w:p>
        </w:tc>
        <w:tc>
          <w:tcPr>
            <w:tcW w:w="1977" w:type="pct"/>
            <w:vMerge w:val="continue"/>
            <w:vAlign w:val="center"/>
          </w:tcPr>
          <w:p>
            <w:pPr>
              <w:pStyle w:val="232"/>
              <w:rPr>
                <w:color w:val="000000" w:themeColor="text1"/>
                <w14:textFill>
                  <w14:solidFill>
                    <w14:schemeClr w14:val="tx1"/>
                  </w14:solidFill>
                </w14:textFill>
              </w:rPr>
            </w:pPr>
          </w:p>
        </w:tc>
        <w:tc>
          <w:tcPr>
            <w:tcW w:w="670"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原子吸收光谱仪/ICE-3500</w:t>
            </w:r>
          </w:p>
        </w:tc>
        <w:tc>
          <w:tcPr>
            <w:tcW w:w="7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镍</w:t>
            </w:r>
          </w:p>
        </w:tc>
        <w:tc>
          <w:tcPr>
            <w:tcW w:w="1977" w:type="pct"/>
            <w:vMerge w:val="continue"/>
            <w:vAlign w:val="center"/>
          </w:tcPr>
          <w:p>
            <w:pPr>
              <w:pStyle w:val="232"/>
              <w:rPr>
                <w:color w:val="000000" w:themeColor="text1"/>
                <w14:textFill>
                  <w14:solidFill>
                    <w14:schemeClr w14:val="tx1"/>
                  </w14:solidFill>
                </w14:textFill>
              </w:rPr>
            </w:pPr>
          </w:p>
        </w:tc>
        <w:tc>
          <w:tcPr>
            <w:tcW w:w="670" w:type="pct"/>
            <w:vAlign w:val="center"/>
          </w:tcPr>
          <w:p>
            <w:pPr>
              <w:pStyle w:val="232"/>
              <w:rPr>
                <w:color w:val="000000" w:themeColor="text1"/>
                <w14:textFill>
                  <w14:solidFill>
                    <w14:schemeClr w14:val="tx1"/>
                  </w14:solidFill>
                </w14:textFill>
              </w:rPr>
            </w:pPr>
            <w:r>
              <w:rPr>
                <w:color w:val="000000" w:themeColor="text1"/>
                <w:kern w:val="0"/>
                <w:lang w:bidi="ar"/>
                <w14:textFill>
                  <w14:solidFill>
                    <w14:schemeClr w14:val="tx1"/>
                  </w14:solidFill>
                </w14:textFill>
              </w:rPr>
              <w:t>3</w:t>
            </w:r>
          </w:p>
        </w:tc>
        <w:tc>
          <w:tcPr>
            <w:tcW w:w="887" w:type="pct"/>
            <w:vAlign w:val="center"/>
          </w:tcPr>
          <w:p>
            <w:pPr>
              <w:pStyle w:val="232"/>
              <w:rPr>
                <w:color w:val="000000" w:themeColor="text1"/>
                <w14:textFill>
                  <w14:solidFill>
                    <w14:schemeClr w14:val="tx1"/>
                  </w14:solidFill>
                </w14:textFill>
              </w:rPr>
            </w:pPr>
            <w:r>
              <w:rPr>
                <w:color w:val="000000" w:themeColor="text1"/>
                <w:kern w:val="0"/>
                <w:lang w:bidi="ar"/>
                <w14:textFill>
                  <w14:solidFill>
                    <w14:schemeClr w14:val="tx1"/>
                  </w14:solidFill>
                </w14:textFill>
              </w:rPr>
              <w:t>原子吸收光谱仪/ICE-3</w:t>
            </w:r>
            <w:r>
              <w:rPr>
                <w:rFonts w:hint="eastAsia"/>
                <w:color w:val="000000" w:themeColor="text1"/>
                <w:kern w:val="0"/>
                <w:lang w:bidi="ar"/>
                <w14:textFill>
                  <w14:solidFill>
                    <w14:schemeClr w14:val="tx1"/>
                  </w14:solidFill>
                </w14:textFill>
              </w:rPr>
              <w:t>500</w:t>
            </w:r>
          </w:p>
        </w:tc>
        <w:tc>
          <w:tcPr>
            <w:tcW w:w="744" w:type="pct"/>
            <w:vAlign w:val="center"/>
          </w:tcPr>
          <w:p>
            <w:pPr>
              <w:pStyle w:val="232"/>
              <w:rPr>
                <w:color w:val="000000" w:themeColor="text1"/>
                <w14:textFill>
                  <w14:solidFill>
                    <w14:schemeClr w14:val="tx1"/>
                  </w14:solidFill>
                </w14:textFill>
              </w:rPr>
            </w:pPr>
            <w:r>
              <w:rPr>
                <w:color w:val="000000" w:themeColor="text1"/>
                <w:kern w:val="0"/>
                <w:lang w:bidi="ar"/>
                <w14:textFill>
                  <w14:solidFill>
                    <w14:schemeClr w14:val="tx1"/>
                  </w14:solidFill>
                </w14:textFill>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总汞</w:t>
            </w:r>
          </w:p>
        </w:tc>
        <w:tc>
          <w:tcPr>
            <w:tcW w:w="197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《土壤质量 总汞、总砷、总铅的测定原子荧光法》第1部分：土壤中总汞的测定）（GB/T 22105.1-2008）</w:t>
            </w:r>
          </w:p>
        </w:tc>
        <w:tc>
          <w:tcPr>
            <w:tcW w:w="67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0.002</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原子荧光光度计</w:t>
            </w:r>
            <w:r>
              <w:rPr>
                <w:rFonts w:hint="eastAsia"/>
                <w:color w:val="000000" w:themeColor="text1"/>
                <w14:textFill>
                  <w14:solidFill>
                    <w14:schemeClr w14:val="tx1"/>
                  </w14:solidFill>
                </w14:textFill>
              </w:rPr>
              <w:t>/AFS-8220</w:t>
            </w:r>
          </w:p>
        </w:tc>
        <w:tc>
          <w:tcPr>
            <w:tcW w:w="74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HZD-003-A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3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48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pH</w:t>
            </w:r>
          </w:p>
        </w:tc>
        <w:tc>
          <w:tcPr>
            <w:tcW w:w="197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《土壤 pH 测定 电位法 》</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（HJ 962-2018）</w:t>
            </w:r>
          </w:p>
        </w:tc>
        <w:tc>
          <w:tcPr>
            <w:tcW w:w="67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887"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pH计</w:t>
            </w:r>
            <w:r>
              <w:rPr>
                <w:rFonts w:hint="eastAsia"/>
                <w:color w:val="000000" w:themeColor="text1"/>
                <w14:textFill>
                  <w14:solidFill>
                    <w14:schemeClr w14:val="tx1"/>
                  </w14:solidFill>
                </w14:textFill>
              </w:rPr>
              <w:t>/PHSJ-4F</w:t>
            </w:r>
          </w:p>
        </w:tc>
        <w:tc>
          <w:tcPr>
            <w:tcW w:w="74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HZD-009-A</w:t>
            </w:r>
          </w:p>
        </w:tc>
      </w:tr>
    </w:tbl>
    <w:p>
      <w:pPr>
        <w:pStyle w:val="5"/>
      </w:pPr>
      <w:r>
        <w:rPr>
          <w:rFonts w:hint="eastAsia"/>
        </w:rPr>
        <w:t>评价标准</w:t>
      </w:r>
    </w:p>
    <w:p>
      <w:pPr>
        <w:ind w:firstLine="480"/>
      </w:pPr>
      <w:r>
        <w:rPr>
          <w:rFonts w:hint="eastAsia"/>
        </w:rPr>
        <w:t>土壤监测点执行《土壤环境质量 农用地土壤污染风险管控标准（试行）》（</w:t>
      </w:r>
      <w:r>
        <w:t>GB15618-2018</w:t>
      </w:r>
      <w:r>
        <w:rPr>
          <w:rFonts w:hint="eastAsia"/>
        </w:rPr>
        <w:t>）表</w:t>
      </w:r>
      <w:r>
        <w:t>1</w:t>
      </w:r>
      <w:r>
        <w:rPr>
          <w:rFonts w:hint="eastAsia"/>
        </w:rPr>
        <w:t>中对应筛选值。</w:t>
      </w:r>
    </w:p>
    <w:p>
      <w:pPr>
        <w:pStyle w:val="5"/>
      </w:pPr>
      <w:r>
        <w:rPr>
          <w:rFonts w:hint="eastAsia"/>
        </w:rPr>
        <w:t>监测结果</w:t>
      </w:r>
    </w:p>
    <w:p>
      <w:pPr>
        <w:ind w:firstLine="480"/>
        <w:rPr>
          <w:rFonts w:hint="eastAsia"/>
          <w:color w:val="000000" w:themeColor="text1"/>
          <w14:textFill>
            <w14:solidFill>
              <w14:schemeClr w14:val="tx1"/>
            </w14:solidFill>
          </w14:textFill>
        </w:rPr>
        <w:sectPr>
          <w:pgSz w:w="11906" w:h="16838"/>
          <w:pgMar w:top="1418" w:right="1418" w:bottom="1247" w:left="1701" w:header="851" w:footer="680" w:gutter="0"/>
          <w:pgNumType w:fmt="decimal"/>
          <w:cols w:space="720" w:num="1"/>
          <w:docGrid w:linePitch="326" w:charSpace="0"/>
        </w:sectPr>
      </w:pPr>
      <w:r>
        <w:rPr>
          <w:rFonts w:hint="eastAsia"/>
          <w:color w:val="000000" w:themeColor="text1"/>
          <w14:textFill>
            <w14:solidFill>
              <w14:schemeClr w14:val="tx1"/>
            </w14:solidFill>
          </w14:textFill>
        </w:rPr>
        <w:t>土壤环境质量现状监测结果见下表。</w:t>
      </w:r>
    </w:p>
    <w:p>
      <w:pPr>
        <w:pStyle w:val="6"/>
        <w:bidi w:val="0"/>
        <w:rPr>
          <w:rFonts w:hint="eastAsia"/>
        </w:rPr>
      </w:pPr>
      <w:r>
        <w:rPr>
          <w:rFonts w:hint="eastAsia"/>
        </w:rPr>
        <w:t>表4.2.2-3</w:t>
      </w:r>
      <w:r>
        <w:rPr>
          <w:rFonts w:hint="eastAsia"/>
          <w:lang w:eastAsia="zh-CN"/>
        </w:rPr>
        <w:t>（</w:t>
      </w:r>
      <w:r>
        <w:rPr>
          <w:rFonts w:hint="eastAsia"/>
          <w:lang w:val="en-US" w:eastAsia="zh-CN"/>
        </w:rPr>
        <w:t>1</w:t>
      </w:r>
      <w:r>
        <w:rPr>
          <w:rFonts w:hint="eastAsia"/>
          <w:lang w:eastAsia="zh-CN"/>
        </w:rPr>
        <w:t>）</w:t>
      </w:r>
      <w:r>
        <w:rPr>
          <w:rFonts w:hint="eastAsia"/>
        </w:rPr>
        <w:t xml:space="preserve">    项目土壤检测结果表</w:t>
      </w:r>
      <w:r>
        <w:rPr>
          <w:rFonts w:hint="eastAsia"/>
          <w:lang w:eastAsia="zh-CN"/>
        </w:rPr>
        <w:t>（</w:t>
      </w:r>
      <w:r>
        <w:rPr>
          <w:rFonts w:hint="eastAsia"/>
          <w:lang w:val="en-US" w:eastAsia="zh-CN"/>
        </w:rPr>
        <w:t>柱状样</w:t>
      </w:r>
      <w:r>
        <w:rPr>
          <w:rFonts w:hint="eastAsia"/>
          <w:lang w:eastAsia="zh-CN"/>
        </w:rPr>
        <w:t>）</w:t>
      </w:r>
      <w:r>
        <w:rPr>
          <w:rFonts w:hint="eastAsia"/>
        </w:rPr>
        <w:t>（单位：mg/kg）</w:t>
      </w:r>
    </w:p>
    <w:tbl>
      <w:tblPr>
        <w:tblStyle w:val="25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1"/>
        <w:gridCol w:w="1038"/>
        <w:gridCol w:w="1038"/>
        <w:gridCol w:w="1046"/>
        <w:gridCol w:w="1038"/>
        <w:gridCol w:w="1038"/>
        <w:gridCol w:w="1044"/>
        <w:gridCol w:w="1038"/>
        <w:gridCol w:w="1038"/>
        <w:gridCol w:w="1044"/>
        <w:gridCol w:w="1038"/>
        <w:gridCol w:w="1038"/>
        <w:gridCol w:w="1044"/>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304"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监测</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项目</w:t>
            </w:r>
          </w:p>
        </w:tc>
        <w:tc>
          <w:tcPr>
            <w:tcW w:w="1101"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项目区 T2 测点</w:t>
            </w:r>
          </w:p>
        </w:tc>
        <w:tc>
          <w:tcPr>
            <w:tcW w:w="1100"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项目区 T5 测点</w:t>
            </w:r>
          </w:p>
        </w:tc>
        <w:tc>
          <w:tcPr>
            <w:tcW w:w="1100"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项目区 T8 测点</w:t>
            </w:r>
          </w:p>
        </w:tc>
        <w:tc>
          <w:tcPr>
            <w:tcW w:w="1100"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项目区 T10 测点</w:t>
            </w:r>
          </w:p>
        </w:tc>
        <w:tc>
          <w:tcPr>
            <w:tcW w:w="291" w:type="pct"/>
            <w:vMerge w:val="restart"/>
            <w:textDirection w:val="tbRlV"/>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标 准 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rPr>
        <w:tc>
          <w:tcPr>
            <w:tcW w:w="30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02-001</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02-002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02-003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05-001</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05-002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05-003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08-001</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08-002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08-003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10-001</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10-002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10-003</w:t>
            </w:r>
          </w:p>
        </w:tc>
        <w:tc>
          <w:tcPr>
            <w:tcW w:w="291" w:type="pct"/>
            <w:vMerge w:val="continue"/>
            <w:textDirection w:val="tbRlV"/>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pH</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8.92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9.36</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9. 12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10.31</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10.10</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9.66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9.66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9.51</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9.19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10.23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10.23</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9.86</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砷</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15.94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21.28</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13.73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12.17</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22.21</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17.94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12.40</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19.70</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16.58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13.63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16.95</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18.85</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镉</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0.01</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0.04</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0.05</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0.01L</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0.07</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0.05</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0.04</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铜</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44</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30</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44</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38</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39</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36</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铅</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21.79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26.46</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19.99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19.34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24.10</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22.46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22.02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22.17</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26.03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24.24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19.62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23.60</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汞</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0.049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0.050</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0.048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0.047</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0.054</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0.054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0.214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0.096</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0.055</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0.080</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0.102</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0.074</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镍</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49</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48</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43</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26</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49</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36</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锌</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89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103</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72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63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101</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53</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85</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85</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64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89</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86</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铬</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34</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41</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val="en-US" w:eastAsia="en-US"/>
              </w:rPr>
            </w:pPr>
            <w:r>
              <w:rPr>
                <w:sz w:val="21"/>
                <w:szCs w:val="21"/>
              </w:rPr>
              <w:t>28</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20</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39</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39</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20</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24</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32</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25</w:t>
            </w:r>
          </w:p>
        </w:tc>
        <w:tc>
          <w:tcPr>
            <w:tcW w:w="36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33</w:t>
            </w:r>
          </w:p>
        </w:tc>
        <w:tc>
          <w:tcPr>
            <w:tcW w:w="3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36</w:t>
            </w:r>
          </w:p>
        </w:tc>
        <w:tc>
          <w:tcPr>
            <w:tcW w:w="29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0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备注</w:t>
            </w:r>
          </w:p>
        </w:tc>
        <w:tc>
          <w:tcPr>
            <w:tcW w:w="4695" w:type="pct"/>
            <w:gridSpan w:val="1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加“L”为未检出</w:t>
            </w:r>
          </w:p>
        </w:tc>
      </w:tr>
    </w:tbl>
    <w:p>
      <w:pPr>
        <w:sectPr>
          <w:pgSz w:w="16838" w:h="11906" w:orient="landscape"/>
          <w:pgMar w:top="1701" w:right="1418" w:bottom="1418" w:left="1247" w:header="851" w:footer="680" w:gutter="0"/>
          <w:pgNumType w:fmt="decimal"/>
          <w:cols w:space="720" w:num="1"/>
          <w:docGrid w:linePitch="326" w:charSpace="0"/>
        </w:sectPr>
      </w:pPr>
    </w:p>
    <w:p>
      <w:pPr>
        <w:pStyle w:val="6"/>
        <w:bidi w:val="0"/>
      </w:pPr>
      <w:r>
        <w:rPr>
          <w:rFonts w:hint="eastAsia"/>
        </w:rPr>
        <w:t>表4.2.2-3</w:t>
      </w:r>
      <w:r>
        <w:rPr>
          <w:rFonts w:hint="eastAsia"/>
          <w:lang w:eastAsia="zh-CN"/>
        </w:rPr>
        <w:t>（</w:t>
      </w:r>
      <w:r>
        <w:rPr>
          <w:rFonts w:hint="eastAsia"/>
          <w:lang w:val="en-US" w:eastAsia="zh-CN"/>
        </w:rPr>
        <w:t>2</w:t>
      </w:r>
      <w:r>
        <w:rPr>
          <w:rFonts w:hint="eastAsia"/>
          <w:lang w:eastAsia="zh-CN"/>
        </w:rPr>
        <w:t>）</w:t>
      </w:r>
      <w:r>
        <w:rPr>
          <w:rFonts w:hint="eastAsia"/>
        </w:rPr>
        <w:t xml:space="preserve">    项目土壤检测结果表</w:t>
      </w:r>
      <w:r>
        <w:rPr>
          <w:rFonts w:hint="eastAsia"/>
          <w:lang w:eastAsia="zh-CN"/>
        </w:rPr>
        <w:t>（</w:t>
      </w:r>
      <w:r>
        <w:rPr>
          <w:rFonts w:hint="eastAsia"/>
          <w:lang w:val="en-US" w:eastAsia="zh-CN"/>
        </w:rPr>
        <w:t>表层样</w:t>
      </w:r>
      <w:r>
        <w:rPr>
          <w:rFonts w:hint="eastAsia"/>
          <w:lang w:eastAsia="zh-CN"/>
        </w:rPr>
        <w:t>）</w:t>
      </w:r>
      <w:r>
        <w:rPr>
          <w:rFonts w:hint="eastAsia"/>
        </w:rPr>
        <w:t>（单位：mg/kg）</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7"/>
        <w:gridCol w:w="1348"/>
        <w:gridCol w:w="1177"/>
        <w:gridCol w:w="1236"/>
        <w:gridCol w:w="1280"/>
        <w:gridCol w:w="2489"/>
        <w:gridCol w:w="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379" w:type="pct"/>
            <w:vMerge w:val="restar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序号</w:t>
            </w:r>
          </w:p>
        </w:tc>
        <w:tc>
          <w:tcPr>
            <w:tcW w:w="766" w:type="pct"/>
            <w:vMerge w:val="restar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监测因子</w:t>
            </w:r>
          </w:p>
        </w:tc>
        <w:tc>
          <w:tcPr>
            <w:tcW w:w="2098" w:type="pct"/>
            <w:gridSpan w:val="3"/>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监测点位</w:t>
            </w:r>
          </w:p>
        </w:tc>
        <w:tc>
          <w:tcPr>
            <w:tcW w:w="1414" w:type="pct"/>
            <w:vMerge w:val="restar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GB15618-2018</w:t>
            </w:r>
            <w:r>
              <w:rPr>
                <w:rFonts w:hint="eastAsia" w:eastAsia="宋体"/>
                <w:color w:val="000000" w:themeColor="text1"/>
                <w:sz w:val="21"/>
                <w:szCs w:val="21"/>
                <w14:textFill>
                  <w14:solidFill>
                    <w14:schemeClr w14:val="tx1"/>
                  </w14:solidFill>
                </w14:textFill>
              </w:rPr>
              <w:t>筛选值</w:t>
            </w:r>
          </w:p>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（其他用地）</w:t>
            </w:r>
          </w:p>
        </w:tc>
        <w:tc>
          <w:tcPr>
            <w:tcW w:w="340" w:type="pct"/>
            <w:vMerge w:val="restar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是否达标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379" w:type="pct"/>
            <w:vMerge w:val="continue"/>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p>
        </w:tc>
        <w:tc>
          <w:tcPr>
            <w:tcW w:w="766" w:type="pct"/>
            <w:vMerge w:val="continue"/>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T6表层样</w:t>
            </w:r>
          </w:p>
        </w:tc>
        <w:tc>
          <w:tcPr>
            <w:tcW w:w="702"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T1</w:t>
            </w:r>
            <w:r>
              <w:rPr>
                <w:rFonts w:hint="eastAsia" w:eastAsia="宋体"/>
                <w:color w:val="000000" w:themeColor="text1"/>
                <w:sz w:val="21"/>
                <w:szCs w:val="21"/>
                <w:lang w:val="en-US" w:eastAsia="zh-CN"/>
                <w14:textFill>
                  <w14:solidFill>
                    <w14:schemeClr w14:val="tx1"/>
                  </w14:solidFill>
                </w14:textFill>
              </w:rPr>
              <w:t>3</w:t>
            </w:r>
            <w:r>
              <w:rPr>
                <w:rFonts w:hint="eastAsia" w:eastAsia="宋体"/>
                <w:color w:val="000000" w:themeColor="text1"/>
                <w:sz w:val="21"/>
                <w:szCs w:val="21"/>
                <w14:textFill>
                  <w14:solidFill>
                    <w14:schemeClr w14:val="tx1"/>
                  </w14:solidFill>
                </w14:textFill>
              </w:rPr>
              <w:t>表层样</w:t>
            </w:r>
          </w:p>
        </w:tc>
        <w:tc>
          <w:tcPr>
            <w:tcW w:w="72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T1</w:t>
            </w:r>
            <w:r>
              <w:rPr>
                <w:rFonts w:hint="eastAsia" w:eastAsia="宋体"/>
                <w:color w:val="000000" w:themeColor="text1"/>
                <w:sz w:val="21"/>
                <w:szCs w:val="21"/>
                <w:lang w:val="en-US" w:eastAsia="zh-CN"/>
                <w14:textFill>
                  <w14:solidFill>
                    <w14:schemeClr w14:val="tx1"/>
                  </w14:solidFill>
                </w14:textFill>
              </w:rPr>
              <w:t>4</w:t>
            </w:r>
            <w:r>
              <w:rPr>
                <w:rFonts w:hint="eastAsia" w:eastAsia="宋体"/>
                <w:color w:val="000000" w:themeColor="text1"/>
                <w:sz w:val="21"/>
                <w:szCs w:val="21"/>
                <w14:textFill>
                  <w14:solidFill>
                    <w14:schemeClr w14:val="tx1"/>
                  </w14:solidFill>
                </w14:textFill>
              </w:rPr>
              <w:t>表层样</w:t>
            </w:r>
          </w:p>
        </w:tc>
        <w:tc>
          <w:tcPr>
            <w:tcW w:w="1414" w:type="pct"/>
            <w:vMerge w:val="continue"/>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p>
        </w:tc>
        <w:tc>
          <w:tcPr>
            <w:tcW w:w="340" w:type="pct"/>
            <w:vMerge w:val="continue"/>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1</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pH</w:t>
            </w:r>
            <w:r>
              <w:rPr>
                <w:rFonts w:hint="eastAsia" w:eastAsia="宋体"/>
                <w:color w:val="000000" w:themeColor="text1"/>
                <w:kern w:val="0"/>
                <w:sz w:val="21"/>
                <w:szCs w:val="21"/>
                <w14:textFill>
                  <w14:solidFill>
                    <w14:schemeClr w14:val="tx1"/>
                  </w14:solidFill>
                </w14:textFill>
              </w:rPr>
              <w:t>（无量纲）</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9.67</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eastAsia="宋体"/>
                <w:spacing w:val="1"/>
                <w:sz w:val="21"/>
                <w:szCs w:val="21"/>
              </w:rPr>
              <w:t>8.50</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eastAsia="宋体"/>
                <w:spacing w:val="2"/>
                <w:sz w:val="21"/>
                <w:szCs w:val="21"/>
              </w:rPr>
              <w:t>9.52</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2</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hAnsi="宋体"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砷</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24.61</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eastAsia="宋体"/>
                <w:spacing w:val="-1"/>
                <w:sz w:val="21"/>
                <w:szCs w:val="21"/>
              </w:rPr>
              <w:t>10.49</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eastAsia="宋体"/>
                <w:spacing w:val="-1"/>
                <w:sz w:val="21"/>
                <w:szCs w:val="21"/>
              </w:rPr>
              <w:t>14.20</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25</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3</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hAnsi="宋体"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镉</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0.01L</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eastAsia="宋体"/>
                <w:spacing w:val="2"/>
                <w:sz w:val="21"/>
                <w:szCs w:val="21"/>
              </w:rPr>
              <w:t>0.01</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eastAsia="宋体"/>
                <w:spacing w:val="2"/>
                <w:sz w:val="21"/>
                <w:szCs w:val="21"/>
              </w:rPr>
              <w:t>0.01L</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0.6</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4</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hAnsi="宋体"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铬</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36</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eastAsia" w:eastAsia="宋体"/>
                <w:spacing w:val="2"/>
                <w:sz w:val="21"/>
                <w:szCs w:val="21"/>
                <w:lang w:val="en-US" w:eastAsia="zh-CN"/>
              </w:rPr>
              <w:t>27</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eastAsia" w:eastAsia="宋体"/>
                <w:spacing w:val="2"/>
                <w:sz w:val="21"/>
                <w:szCs w:val="21"/>
                <w:lang w:val="en-US" w:eastAsia="zh-CN"/>
              </w:rPr>
              <w:t>28</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250</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5</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hAnsi="宋体"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铜</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43</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eastAsia" w:eastAsia="宋体" w:cs="Times New Roman"/>
                <w:kern w:val="2"/>
                <w:sz w:val="21"/>
                <w:szCs w:val="21"/>
                <w:lang w:val="en-US" w:eastAsia="zh-CN" w:bidi="ar-SA"/>
              </w:rPr>
              <w:t>24</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eastAsia" w:eastAsia="宋体"/>
                <w:spacing w:val="-1"/>
                <w:sz w:val="21"/>
                <w:szCs w:val="21"/>
                <w:lang w:val="en-US" w:eastAsia="zh-CN"/>
              </w:rPr>
              <w:t>27</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100</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6</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hAnsi="宋体"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铅</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30.26</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ascii="Times New Roman" w:hAnsi="Times New Roman" w:eastAsia="宋体" w:cs="Times New Roman"/>
                <w:kern w:val="2"/>
                <w:sz w:val="21"/>
                <w:szCs w:val="21"/>
                <w:lang w:val="en-US" w:eastAsia="en-US" w:bidi="ar-SA"/>
              </w:rPr>
            </w:pPr>
            <w:r>
              <w:rPr>
                <w:rFonts w:hint="eastAsia" w:eastAsia="宋体"/>
                <w:spacing w:val="-1"/>
                <w:sz w:val="21"/>
                <w:szCs w:val="21"/>
                <w:lang w:val="en-US" w:eastAsia="zh-CN"/>
              </w:rPr>
              <w:t>1</w:t>
            </w:r>
            <w:r>
              <w:rPr>
                <w:rFonts w:eastAsia="宋体"/>
                <w:spacing w:val="-1"/>
                <w:sz w:val="21"/>
                <w:szCs w:val="21"/>
              </w:rPr>
              <w:t>8.38</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spacing w:val="3"/>
                <w:sz w:val="21"/>
                <w:szCs w:val="21"/>
                <w:lang w:val="en-US" w:eastAsia="zh-CN"/>
              </w:rPr>
              <w:t>18.75</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170</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7</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hAnsi="宋体"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总汞</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0.096</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eastAsia="宋体"/>
                <w:color w:val="FF0000"/>
                <w:sz w:val="21"/>
                <w:szCs w:val="21"/>
                <w:lang w:val="en-US" w:eastAsia="zh-CN"/>
              </w:rPr>
              <w:t>0.111</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eastAsia="宋体"/>
                <w:color w:val="FF0000"/>
                <w:sz w:val="21"/>
                <w:szCs w:val="21"/>
                <w:lang w:val="en-US" w:eastAsia="zh-CN"/>
              </w:rPr>
            </w:pPr>
            <w:r>
              <w:rPr>
                <w:rFonts w:hint="eastAsia" w:eastAsia="宋体"/>
                <w:color w:val="FF0000"/>
                <w:sz w:val="21"/>
                <w:szCs w:val="21"/>
                <w:lang w:val="en-US" w:eastAsia="zh-CN"/>
              </w:rPr>
              <w:t>0.084</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3.4</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8</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镍</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43</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eastAsia" w:eastAsia="宋体"/>
                <w:sz w:val="21"/>
                <w:szCs w:val="21"/>
                <w:lang w:val="en-US" w:eastAsia="zh-CN"/>
              </w:rPr>
              <w:t>33</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sz w:val="21"/>
                <w:szCs w:val="21"/>
                <w:lang w:val="en-US" w:eastAsia="zh-CN"/>
              </w:rPr>
              <w:t>35</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190</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7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9</w:t>
            </w:r>
          </w:p>
        </w:tc>
        <w:tc>
          <w:tcPr>
            <w:tcW w:w="766"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锌</w:t>
            </w:r>
          </w:p>
        </w:tc>
        <w:tc>
          <w:tcPr>
            <w:tcW w:w="669"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93</w:t>
            </w:r>
          </w:p>
        </w:tc>
        <w:tc>
          <w:tcPr>
            <w:tcW w:w="702"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eastAsia" w:eastAsia="宋体"/>
                <w:spacing w:val="2"/>
                <w:sz w:val="21"/>
                <w:szCs w:val="21"/>
                <w:lang w:val="en-US" w:eastAsia="zh-CN"/>
              </w:rPr>
              <w:t>62</w:t>
            </w:r>
          </w:p>
        </w:tc>
        <w:tc>
          <w:tcPr>
            <w:tcW w:w="726" w:type="pct"/>
            <w:vAlign w:val="center"/>
          </w:tcPr>
          <w:p>
            <w:pPr>
              <w:pStyle w:val="249"/>
              <w:keepNext w:val="0"/>
              <w:keepLines w:val="0"/>
              <w:pageBreakBefore w:val="0"/>
              <w:widowControl w:val="0"/>
              <w:kinsoku/>
              <w:wordWrap/>
              <w:overflowPunct/>
              <w:autoSpaceDN/>
              <w:bidi w:val="0"/>
              <w:adjustRightInd/>
              <w:snapToGrid/>
              <w:spacing w:line="240" w:lineRule="auto"/>
              <w:ind w:left="0" w:leftChars="0"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spacing w:val="2"/>
                <w:sz w:val="21"/>
                <w:szCs w:val="21"/>
                <w:lang w:val="en-US" w:eastAsia="zh-CN"/>
              </w:rPr>
              <w:t>68</w:t>
            </w:r>
          </w:p>
        </w:tc>
        <w:tc>
          <w:tcPr>
            <w:tcW w:w="1414"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300</w:t>
            </w:r>
          </w:p>
        </w:tc>
        <w:tc>
          <w:tcPr>
            <w:tcW w:w="340" w:type="pct"/>
            <w:vAlign w:val="center"/>
          </w:tcPr>
          <w:p>
            <w:pPr>
              <w:pStyle w:val="232"/>
              <w:keepNext w:val="0"/>
              <w:keepLines w:val="0"/>
              <w:pageBreakBefore w:val="0"/>
              <w:widowControl w:val="0"/>
              <w:kinsoku/>
              <w:wordWrap/>
              <w:overflowPunct/>
              <w:autoSpaceDN/>
              <w:bidi w:val="0"/>
              <w:adjustRightInd/>
              <w:snapToGrid/>
              <w:spacing w:line="240" w:lineRule="auto"/>
              <w:ind w:left="0" w:firstLine="0" w:firstLineChars="0"/>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达标</w:t>
            </w:r>
          </w:p>
        </w:tc>
      </w:tr>
    </w:tbl>
    <w:p>
      <w:pPr>
        <w:pStyle w:val="5"/>
      </w:pPr>
      <w:r>
        <w:rPr>
          <w:rFonts w:hint="eastAsia"/>
        </w:rPr>
        <w:t>评价结果</w:t>
      </w:r>
    </w:p>
    <w:p>
      <w:pPr>
        <w:ind w:firstLine="480"/>
      </w:pPr>
      <w:r>
        <w:rPr>
          <w:rFonts w:hint="eastAsia"/>
          <w:color w:val="000000" w:themeColor="text1"/>
          <w14:textFill>
            <w14:solidFill>
              <w14:schemeClr w14:val="tx1"/>
            </w14:solidFill>
          </w14:textFill>
        </w:rPr>
        <w:t>根据土壤理化性质调查，项目区土壤质地为砂砾土壤；依据土壤环境监测和分析结果来看，项目用地范围内及用地范围外各监测点位监测值均满足《土壤环境质量 农用地土壤污染风险管控标准（试行）》（GB15618-2018）表1农用地土壤污染风险筛选值中其他用地，p</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的标准要求，项目所在地土壤环境质量良好。</w:t>
      </w:r>
    </w:p>
    <w:p>
      <w:pPr>
        <w:pStyle w:val="4"/>
      </w:pPr>
      <w:r>
        <w:rPr>
          <w:rFonts w:hint="eastAsia"/>
        </w:rPr>
        <w:t>地下水环境质量现状</w:t>
      </w:r>
    </w:p>
    <w:p>
      <w:pPr>
        <w:ind w:firstLine="480"/>
      </w:pPr>
      <w:r>
        <w:rPr>
          <w:rFonts w:hint="eastAsia"/>
        </w:rPr>
        <w:t>本次地下水环境质量现状评价引用《内蒙古春园满循环农业科技有限公司粉煤灰建筑地基评估报告》中的《内蒙古春园满循环农业科技有限公司粉煤灰建筑地基项目本底环境调查报告》，检测时间为2023年3月17日，检测单位为内蒙古和合环境科技有限公司，取样监测</w:t>
      </w:r>
      <w:r>
        <w:t>1</w:t>
      </w:r>
      <w:r>
        <w:rPr>
          <w:rFonts w:hint="eastAsia"/>
        </w:rPr>
        <w:t>天，各监测点位分别采样</w:t>
      </w:r>
      <w:r>
        <w:t>1</w:t>
      </w:r>
      <w:r>
        <w:rPr>
          <w:rFonts w:hint="eastAsia"/>
        </w:rPr>
        <w:t>次。</w:t>
      </w:r>
    </w:p>
    <w:p>
      <w:pPr>
        <w:pStyle w:val="5"/>
      </w:pPr>
      <w:r>
        <w:rPr>
          <w:rFonts w:hint="eastAsia"/>
        </w:rPr>
        <w:t>监测布点</w:t>
      </w:r>
    </w:p>
    <w:p>
      <w:pPr>
        <w:ind w:firstLine="480"/>
      </w:pPr>
      <w:r>
        <w:rPr>
          <w:rFonts w:hint="eastAsia"/>
        </w:rPr>
        <w:t>本次地下水环境影响评价工作等级为三级，根据《环境影响评价技术导则 地下水环境》（HJ610-2016）：三级评价项目潜水含水层水质监测点应不少于3个，可能受建设项目影响且具有饮用水开发利用价值的含水层1~2个，原则上建设项目场地上游及下游影响区的地下水水质监测点各不得少于1个，一般情况下，地下水水位监测点数以不小于相应评价级别地下水水质监测点数的2倍为宜。</w:t>
      </w:r>
    </w:p>
    <w:p>
      <w:pPr>
        <w:ind w:firstLine="480"/>
      </w:pPr>
      <w:r>
        <w:rPr>
          <w:rFonts w:hint="eastAsia"/>
        </w:rPr>
        <w:t>《内蒙古春园满循环农业科技有限公司粉煤灰建筑地基项目本底环境调查报告》中监测点位的布设能够满足本次评价要求，引用其中六个点位及监测项目设置情况见下表，监测布点位置详见图4.2</w:t>
      </w:r>
      <w:r>
        <w:t>-</w:t>
      </w:r>
      <w:r>
        <w:rPr>
          <w:rFonts w:hint="eastAsia"/>
        </w:rPr>
        <w:t>2。</w:t>
      </w:r>
    </w:p>
    <w:p>
      <w:pPr>
        <w:pStyle w:val="6"/>
      </w:pPr>
      <w:r>
        <w:t>表4.</w:t>
      </w:r>
      <w:r>
        <w:rPr>
          <w:rFonts w:hint="eastAsia"/>
        </w:rPr>
        <w:t>2.3</w:t>
      </w:r>
      <w:r>
        <w:t>-</w:t>
      </w:r>
      <w:r>
        <w:rPr>
          <w:rFonts w:hint="eastAsia"/>
        </w:rPr>
        <w:t>1    地下水</w:t>
      </w:r>
      <w:r>
        <w:t>监测布点</w:t>
      </w:r>
    </w:p>
    <w:tbl>
      <w:tblPr>
        <w:tblStyle w:val="3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581"/>
        <w:gridCol w:w="2519"/>
        <w:gridCol w:w="1772"/>
        <w:gridCol w:w="1224"/>
        <w:gridCol w:w="1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Merge w:val="restart"/>
            <w:vAlign w:val="center"/>
          </w:tcPr>
          <w:p>
            <w:pPr>
              <w:spacing w:line="240" w:lineRule="auto"/>
              <w:ind w:firstLine="0" w:firstLineChars="0"/>
              <w:jc w:val="center"/>
              <w:rPr>
                <w:sz w:val="21"/>
                <w:szCs w:val="21"/>
              </w:rPr>
            </w:pPr>
            <w:r>
              <w:rPr>
                <w:rFonts w:hint="eastAsia"/>
                <w:sz w:val="21"/>
                <w:szCs w:val="21"/>
              </w:rPr>
              <w:t>序号</w:t>
            </w:r>
          </w:p>
        </w:tc>
        <w:tc>
          <w:tcPr>
            <w:tcW w:w="878" w:type="pct"/>
            <w:vMerge w:val="restart"/>
            <w:vAlign w:val="center"/>
          </w:tcPr>
          <w:p>
            <w:pPr>
              <w:spacing w:line="240" w:lineRule="auto"/>
              <w:ind w:firstLine="0" w:firstLineChars="0"/>
              <w:jc w:val="center"/>
              <w:rPr>
                <w:sz w:val="21"/>
                <w:szCs w:val="21"/>
              </w:rPr>
            </w:pPr>
            <w:r>
              <w:rPr>
                <w:rFonts w:hint="eastAsia"/>
                <w:sz w:val="21"/>
                <w:szCs w:val="21"/>
              </w:rPr>
              <w:t>监测点</w:t>
            </w:r>
          </w:p>
        </w:tc>
        <w:tc>
          <w:tcPr>
            <w:tcW w:w="1399" w:type="pct"/>
            <w:vMerge w:val="restart"/>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与本项目厂界距离（km）</w:t>
            </w:r>
          </w:p>
        </w:tc>
        <w:tc>
          <w:tcPr>
            <w:tcW w:w="1664" w:type="pct"/>
            <w:gridSpan w:val="2"/>
            <w:vAlign w:val="center"/>
          </w:tcPr>
          <w:p>
            <w:pPr>
              <w:spacing w:line="240" w:lineRule="auto"/>
              <w:ind w:firstLine="0" w:firstLineChars="0"/>
              <w:jc w:val="center"/>
              <w:rPr>
                <w:sz w:val="21"/>
                <w:szCs w:val="21"/>
              </w:rPr>
            </w:pPr>
            <w:r>
              <w:rPr>
                <w:rFonts w:hint="eastAsia"/>
                <w:sz w:val="21"/>
                <w:szCs w:val="21"/>
              </w:rPr>
              <w:t>坐标</w:t>
            </w:r>
          </w:p>
        </w:tc>
        <w:tc>
          <w:tcPr>
            <w:tcW w:w="669" w:type="pct"/>
            <w:vMerge w:val="restart"/>
            <w:vAlign w:val="center"/>
          </w:tcPr>
          <w:p>
            <w:pPr>
              <w:spacing w:line="240" w:lineRule="auto"/>
              <w:ind w:firstLine="0" w:firstLineChars="0"/>
              <w:jc w:val="center"/>
              <w:rPr>
                <w:sz w:val="21"/>
                <w:szCs w:val="21"/>
              </w:rPr>
            </w:pPr>
            <w:r>
              <w:rPr>
                <w:rFonts w:hint="eastAsia"/>
                <w:sz w:val="21"/>
                <w:szCs w:val="21"/>
              </w:rPr>
              <w:t>监测内容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Merge w:val="continue"/>
            <w:vAlign w:val="center"/>
          </w:tcPr>
          <w:p>
            <w:pPr>
              <w:spacing w:line="240" w:lineRule="auto"/>
              <w:ind w:firstLine="0" w:firstLineChars="0"/>
              <w:jc w:val="center"/>
              <w:rPr>
                <w:sz w:val="21"/>
                <w:szCs w:val="21"/>
              </w:rPr>
            </w:pPr>
          </w:p>
        </w:tc>
        <w:tc>
          <w:tcPr>
            <w:tcW w:w="878" w:type="pct"/>
            <w:vMerge w:val="continue"/>
            <w:vAlign w:val="center"/>
          </w:tcPr>
          <w:p>
            <w:pPr>
              <w:spacing w:line="240" w:lineRule="auto"/>
              <w:ind w:firstLine="0" w:firstLineChars="0"/>
              <w:jc w:val="center"/>
              <w:rPr>
                <w:sz w:val="21"/>
                <w:szCs w:val="21"/>
              </w:rPr>
            </w:pPr>
          </w:p>
        </w:tc>
        <w:tc>
          <w:tcPr>
            <w:tcW w:w="1399" w:type="pct"/>
            <w:vMerge w:val="continue"/>
            <w:vAlign w:val="center"/>
          </w:tcPr>
          <w:p>
            <w:pPr>
              <w:spacing w:line="240" w:lineRule="auto"/>
              <w:ind w:firstLine="0" w:firstLineChars="0"/>
              <w:jc w:val="center"/>
              <w:rPr>
                <w:color w:val="FF0000"/>
                <w:sz w:val="21"/>
                <w:szCs w:val="21"/>
              </w:rPr>
            </w:pPr>
          </w:p>
        </w:tc>
        <w:tc>
          <w:tcPr>
            <w:tcW w:w="984" w:type="pct"/>
            <w:vAlign w:val="center"/>
          </w:tcPr>
          <w:p>
            <w:pPr>
              <w:spacing w:line="240" w:lineRule="auto"/>
              <w:ind w:firstLine="0" w:firstLineChars="0"/>
              <w:jc w:val="center"/>
              <w:rPr>
                <w:sz w:val="21"/>
                <w:szCs w:val="21"/>
              </w:rPr>
            </w:pPr>
            <w:r>
              <w:rPr>
                <w:rFonts w:hint="eastAsia"/>
                <w:sz w:val="21"/>
                <w:szCs w:val="21"/>
              </w:rPr>
              <w:t>经度</w:t>
            </w:r>
          </w:p>
        </w:tc>
        <w:tc>
          <w:tcPr>
            <w:tcW w:w="679" w:type="pct"/>
            <w:vAlign w:val="center"/>
          </w:tcPr>
          <w:p>
            <w:pPr>
              <w:spacing w:line="240" w:lineRule="auto"/>
              <w:ind w:firstLine="0" w:firstLineChars="0"/>
              <w:jc w:val="center"/>
              <w:rPr>
                <w:sz w:val="21"/>
                <w:szCs w:val="21"/>
              </w:rPr>
            </w:pPr>
            <w:r>
              <w:rPr>
                <w:rFonts w:hint="eastAsia"/>
                <w:sz w:val="21"/>
                <w:szCs w:val="21"/>
              </w:rPr>
              <w:t>纬度</w:t>
            </w:r>
          </w:p>
        </w:tc>
        <w:tc>
          <w:tcPr>
            <w:tcW w:w="669" w:type="pct"/>
            <w:vMerge w:val="continue"/>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spacing w:line="240" w:lineRule="auto"/>
              <w:ind w:firstLine="0" w:firstLineChars="0"/>
              <w:jc w:val="center"/>
              <w:rPr>
                <w:sz w:val="21"/>
                <w:szCs w:val="21"/>
              </w:rPr>
            </w:pPr>
            <w:r>
              <w:rPr>
                <w:rFonts w:hint="eastAsia"/>
                <w:sz w:val="21"/>
                <w:szCs w:val="21"/>
              </w:rPr>
              <w:t>D1</w:t>
            </w:r>
          </w:p>
        </w:tc>
        <w:tc>
          <w:tcPr>
            <w:tcW w:w="878" w:type="pct"/>
            <w:vAlign w:val="center"/>
          </w:tcPr>
          <w:p>
            <w:pPr>
              <w:widowControl/>
              <w:spacing w:line="240" w:lineRule="auto"/>
              <w:ind w:firstLine="0" w:firstLineChars="0"/>
              <w:jc w:val="center"/>
              <w:rPr>
                <w:color w:val="FF0000"/>
                <w:sz w:val="21"/>
                <w:szCs w:val="21"/>
              </w:rPr>
            </w:pPr>
            <w:r>
              <w:rPr>
                <w:rFonts w:hint="eastAsia" w:cs="宋体"/>
                <w:color w:val="FF0000"/>
                <w:kern w:val="0"/>
                <w:sz w:val="21"/>
                <w:szCs w:val="21"/>
                <w:lang w:bidi="ar"/>
              </w:rPr>
              <w:t>项目区上游</w:t>
            </w:r>
          </w:p>
        </w:tc>
        <w:tc>
          <w:tcPr>
            <w:tcW w:w="1399" w:type="pct"/>
            <w:vAlign w:val="center"/>
          </w:tcPr>
          <w:p>
            <w:pPr>
              <w:widowControl/>
              <w:spacing w:line="240" w:lineRule="auto"/>
              <w:ind w:firstLine="0" w:firstLineChars="0"/>
              <w:jc w:val="center"/>
              <w:rPr>
                <w:rFonts w:hint="default" w:eastAsia="宋体" w:cs="宋体"/>
                <w:color w:val="FF0000"/>
                <w:kern w:val="0"/>
                <w:sz w:val="21"/>
                <w:szCs w:val="21"/>
                <w:lang w:val="en-US" w:eastAsia="zh-CN" w:bidi="ar"/>
              </w:rPr>
            </w:pPr>
            <w:r>
              <w:rPr>
                <w:rFonts w:hint="eastAsia" w:cs="宋体"/>
                <w:color w:val="FF0000"/>
                <w:kern w:val="0"/>
                <w:sz w:val="21"/>
                <w:szCs w:val="21"/>
                <w:lang w:val="en-US" w:eastAsia="zh-CN" w:bidi="ar"/>
              </w:rPr>
              <w:t>1176</w:t>
            </w:r>
          </w:p>
        </w:tc>
        <w:tc>
          <w:tcPr>
            <w:tcW w:w="984" w:type="pct"/>
            <w:vAlign w:val="center"/>
          </w:tcPr>
          <w:p>
            <w:pPr>
              <w:widowControl/>
              <w:spacing w:line="240" w:lineRule="auto"/>
              <w:ind w:firstLine="0" w:firstLineChars="0"/>
              <w:jc w:val="center"/>
              <w:rPr>
                <w:sz w:val="21"/>
                <w:szCs w:val="21"/>
              </w:rPr>
            </w:pPr>
            <w:r>
              <w:rPr>
                <w:kern w:val="0"/>
                <w:sz w:val="21"/>
                <w:szCs w:val="21"/>
                <w:lang w:bidi="ar"/>
              </w:rPr>
              <w:t>107°46′0.00″</w:t>
            </w:r>
          </w:p>
        </w:tc>
        <w:tc>
          <w:tcPr>
            <w:tcW w:w="679" w:type="pct"/>
            <w:vAlign w:val="center"/>
          </w:tcPr>
          <w:p>
            <w:pPr>
              <w:widowControl/>
              <w:spacing w:line="240" w:lineRule="auto"/>
              <w:ind w:firstLine="0" w:firstLineChars="0"/>
              <w:jc w:val="center"/>
              <w:rPr>
                <w:sz w:val="21"/>
                <w:szCs w:val="21"/>
              </w:rPr>
            </w:pPr>
            <w:r>
              <w:rPr>
                <w:kern w:val="0"/>
                <w:sz w:val="21"/>
                <w:szCs w:val="21"/>
                <w:lang w:bidi="ar"/>
              </w:rPr>
              <w:t>41°6′35.26″</w:t>
            </w:r>
          </w:p>
        </w:tc>
        <w:tc>
          <w:tcPr>
            <w:tcW w:w="669" w:type="pct"/>
            <w:vMerge w:val="restart"/>
            <w:vAlign w:val="center"/>
          </w:tcPr>
          <w:p>
            <w:pPr>
              <w:spacing w:line="240" w:lineRule="auto"/>
              <w:ind w:firstLine="0" w:firstLineChars="0"/>
              <w:jc w:val="center"/>
              <w:rPr>
                <w:sz w:val="21"/>
                <w:szCs w:val="21"/>
              </w:rPr>
            </w:pPr>
            <w:r>
              <w:rPr>
                <w:rFonts w:hint="eastAsia"/>
                <w:sz w:val="21"/>
                <w:szCs w:val="21"/>
              </w:rPr>
              <w:t>水质水位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spacing w:line="240" w:lineRule="auto"/>
              <w:ind w:firstLine="0" w:firstLineChars="0"/>
              <w:jc w:val="center"/>
              <w:rPr>
                <w:sz w:val="21"/>
                <w:szCs w:val="21"/>
              </w:rPr>
            </w:pPr>
            <w:r>
              <w:rPr>
                <w:rFonts w:hint="eastAsia"/>
                <w:sz w:val="21"/>
                <w:szCs w:val="21"/>
              </w:rPr>
              <w:t>D13</w:t>
            </w:r>
          </w:p>
        </w:tc>
        <w:tc>
          <w:tcPr>
            <w:tcW w:w="878" w:type="pct"/>
            <w:vAlign w:val="center"/>
          </w:tcPr>
          <w:p>
            <w:pPr>
              <w:spacing w:line="240" w:lineRule="auto"/>
              <w:ind w:firstLine="0" w:firstLineChars="0"/>
              <w:jc w:val="center"/>
              <w:rPr>
                <w:color w:val="FF0000"/>
                <w:sz w:val="21"/>
                <w:szCs w:val="21"/>
              </w:rPr>
            </w:pPr>
            <w:r>
              <w:rPr>
                <w:rFonts w:hint="eastAsia"/>
                <w:color w:val="FF0000"/>
                <w:sz w:val="21"/>
                <w:szCs w:val="21"/>
              </w:rPr>
              <w:t>项目区</w:t>
            </w:r>
          </w:p>
        </w:tc>
        <w:tc>
          <w:tcPr>
            <w:tcW w:w="1399" w:type="pct"/>
            <w:vAlign w:val="center"/>
          </w:tcPr>
          <w:p>
            <w:pPr>
              <w:spacing w:line="240" w:lineRule="auto"/>
              <w:ind w:firstLine="0" w:firstLineChars="0"/>
              <w:jc w:val="center"/>
              <w:rPr>
                <w:rFonts w:hint="eastAsia" w:eastAsia="宋体"/>
                <w:color w:val="FF0000"/>
                <w:sz w:val="21"/>
                <w:szCs w:val="21"/>
                <w:lang w:val="en-US" w:eastAsia="zh-CN"/>
              </w:rPr>
            </w:pPr>
            <w:r>
              <w:rPr>
                <w:rFonts w:hint="eastAsia"/>
                <w:color w:val="FF0000"/>
                <w:sz w:val="21"/>
                <w:szCs w:val="21"/>
                <w:lang w:val="en-US" w:eastAsia="zh-CN"/>
              </w:rPr>
              <w:t>/</w:t>
            </w:r>
          </w:p>
        </w:tc>
        <w:tc>
          <w:tcPr>
            <w:tcW w:w="984" w:type="pct"/>
            <w:vAlign w:val="center"/>
          </w:tcPr>
          <w:p>
            <w:pPr>
              <w:widowControl/>
              <w:spacing w:line="240" w:lineRule="auto"/>
              <w:ind w:firstLine="0" w:firstLineChars="0"/>
              <w:jc w:val="center"/>
              <w:rPr>
                <w:sz w:val="21"/>
                <w:szCs w:val="21"/>
              </w:rPr>
            </w:pPr>
            <w:r>
              <w:rPr>
                <w:kern w:val="0"/>
                <w:sz w:val="21"/>
                <w:szCs w:val="21"/>
                <w:lang w:bidi="ar"/>
              </w:rPr>
              <w:t>107°47′19.10″</w:t>
            </w:r>
          </w:p>
        </w:tc>
        <w:tc>
          <w:tcPr>
            <w:tcW w:w="679" w:type="pct"/>
            <w:vAlign w:val="center"/>
          </w:tcPr>
          <w:p>
            <w:pPr>
              <w:widowControl/>
              <w:spacing w:line="240" w:lineRule="auto"/>
              <w:ind w:firstLine="0" w:firstLineChars="0"/>
              <w:jc w:val="center"/>
              <w:rPr>
                <w:sz w:val="21"/>
                <w:szCs w:val="21"/>
              </w:rPr>
            </w:pPr>
            <w:r>
              <w:rPr>
                <w:kern w:val="0"/>
                <w:sz w:val="21"/>
                <w:szCs w:val="21"/>
                <w:lang w:bidi="ar"/>
              </w:rPr>
              <w:t>41°6′25.19″</w:t>
            </w:r>
          </w:p>
        </w:tc>
        <w:tc>
          <w:tcPr>
            <w:tcW w:w="669" w:type="pct"/>
            <w:vMerge w:val="continue"/>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spacing w:line="240" w:lineRule="auto"/>
              <w:ind w:firstLine="0" w:firstLineChars="0"/>
              <w:jc w:val="center"/>
              <w:rPr>
                <w:sz w:val="21"/>
                <w:szCs w:val="21"/>
              </w:rPr>
            </w:pPr>
            <w:r>
              <w:rPr>
                <w:rFonts w:hint="eastAsia"/>
                <w:sz w:val="21"/>
                <w:szCs w:val="21"/>
              </w:rPr>
              <w:t>D2</w:t>
            </w:r>
          </w:p>
        </w:tc>
        <w:tc>
          <w:tcPr>
            <w:tcW w:w="878" w:type="pct"/>
            <w:vAlign w:val="center"/>
          </w:tcPr>
          <w:p>
            <w:pPr>
              <w:widowControl/>
              <w:spacing w:line="240" w:lineRule="auto"/>
              <w:ind w:firstLine="0" w:firstLineChars="0"/>
              <w:jc w:val="center"/>
              <w:rPr>
                <w:color w:val="FF0000"/>
                <w:sz w:val="21"/>
                <w:szCs w:val="21"/>
              </w:rPr>
            </w:pPr>
            <w:r>
              <w:rPr>
                <w:rFonts w:hint="eastAsia" w:cs="宋体"/>
                <w:color w:val="FF0000"/>
                <w:kern w:val="0"/>
                <w:sz w:val="21"/>
                <w:szCs w:val="21"/>
                <w:lang w:bidi="ar"/>
              </w:rPr>
              <w:t>项目区下游</w:t>
            </w:r>
          </w:p>
        </w:tc>
        <w:tc>
          <w:tcPr>
            <w:tcW w:w="1399" w:type="pct"/>
            <w:vAlign w:val="center"/>
          </w:tcPr>
          <w:p>
            <w:pPr>
              <w:widowControl/>
              <w:spacing w:line="240" w:lineRule="auto"/>
              <w:ind w:firstLine="0" w:firstLineChars="0"/>
              <w:jc w:val="center"/>
              <w:rPr>
                <w:rFonts w:hint="default" w:eastAsia="宋体" w:cs="宋体"/>
                <w:color w:val="FF0000"/>
                <w:kern w:val="0"/>
                <w:sz w:val="21"/>
                <w:szCs w:val="21"/>
                <w:lang w:val="en-US" w:eastAsia="zh-CN" w:bidi="ar"/>
              </w:rPr>
            </w:pPr>
            <w:r>
              <w:rPr>
                <w:rFonts w:hint="eastAsia" w:cs="宋体"/>
                <w:color w:val="FF0000"/>
                <w:kern w:val="0"/>
                <w:sz w:val="21"/>
                <w:szCs w:val="21"/>
                <w:lang w:val="en-US" w:eastAsia="zh-CN" w:bidi="ar"/>
              </w:rPr>
              <w:t>278</w:t>
            </w:r>
          </w:p>
        </w:tc>
        <w:tc>
          <w:tcPr>
            <w:tcW w:w="984" w:type="pct"/>
            <w:vAlign w:val="center"/>
          </w:tcPr>
          <w:p>
            <w:pPr>
              <w:widowControl/>
              <w:spacing w:line="240" w:lineRule="auto"/>
              <w:ind w:firstLine="0" w:firstLineChars="0"/>
              <w:jc w:val="center"/>
              <w:rPr>
                <w:sz w:val="21"/>
                <w:szCs w:val="21"/>
              </w:rPr>
            </w:pPr>
            <w:r>
              <w:rPr>
                <w:kern w:val="0"/>
                <w:sz w:val="21"/>
                <w:szCs w:val="21"/>
                <w:lang w:bidi="ar"/>
              </w:rPr>
              <w:t>107°47′24.39″</w:t>
            </w:r>
          </w:p>
        </w:tc>
        <w:tc>
          <w:tcPr>
            <w:tcW w:w="679" w:type="pct"/>
            <w:vAlign w:val="center"/>
          </w:tcPr>
          <w:p>
            <w:pPr>
              <w:widowControl/>
              <w:spacing w:line="240" w:lineRule="auto"/>
              <w:ind w:firstLine="0" w:firstLineChars="0"/>
              <w:jc w:val="center"/>
              <w:rPr>
                <w:sz w:val="21"/>
                <w:szCs w:val="21"/>
              </w:rPr>
            </w:pPr>
            <w:r>
              <w:rPr>
                <w:kern w:val="0"/>
                <w:sz w:val="21"/>
                <w:szCs w:val="21"/>
                <w:lang w:bidi="ar"/>
              </w:rPr>
              <w:t>41°5′48.30″</w:t>
            </w:r>
          </w:p>
        </w:tc>
        <w:tc>
          <w:tcPr>
            <w:tcW w:w="669" w:type="pct"/>
            <w:vMerge w:val="continue"/>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spacing w:line="240" w:lineRule="auto"/>
              <w:ind w:firstLine="0" w:firstLineChars="0"/>
              <w:jc w:val="center"/>
              <w:rPr>
                <w:sz w:val="21"/>
                <w:szCs w:val="21"/>
              </w:rPr>
            </w:pPr>
            <w:r>
              <w:rPr>
                <w:rFonts w:hint="eastAsia"/>
                <w:sz w:val="21"/>
                <w:szCs w:val="21"/>
              </w:rPr>
              <w:t>D3</w:t>
            </w:r>
          </w:p>
        </w:tc>
        <w:tc>
          <w:tcPr>
            <w:tcW w:w="878" w:type="pct"/>
            <w:vAlign w:val="center"/>
          </w:tcPr>
          <w:p>
            <w:pPr>
              <w:spacing w:line="240" w:lineRule="auto"/>
              <w:ind w:firstLine="0" w:firstLineChars="0"/>
              <w:jc w:val="center"/>
              <w:rPr>
                <w:color w:val="FF0000"/>
                <w:sz w:val="21"/>
                <w:szCs w:val="21"/>
              </w:rPr>
            </w:pPr>
            <w:r>
              <w:rPr>
                <w:rFonts w:hint="eastAsia" w:cs="宋体"/>
                <w:color w:val="FF0000"/>
                <w:kern w:val="0"/>
                <w:sz w:val="21"/>
                <w:szCs w:val="21"/>
                <w:lang w:bidi="ar"/>
              </w:rPr>
              <w:t>项目区下游</w:t>
            </w:r>
          </w:p>
        </w:tc>
        <w:tc>
          <w:tcPr>
            <w:tcW w:w="1399" w:type="pct"/>
            <w:vAlign w:val="center"/>
          </w:tcPr>
          <w:p>
            <w:pPr>
              <w:spacing w:line="240" w:lineRule="auto"/>
              <w:ind w:firstLine="0" w:firstLineChars="0"/>
              <w:jc w:val="center"/>
              <w:rPr>
                <w:rFonts w:hint="default" w:eastAsia="宋体" w:cs="宋体"/>
                <w:color w:val="FF0000"/>
                <w:kern w:val="0"/>
                <w:sz w:val="21"/>
                <w:szCs w:val="21"/>
                <w:lang w:val="en-US" w:eastAsia="zh-CN" w:bidi="ar"/>
              </w:rPr>
            </w:pPr>
            <w:r>
              <w:rPr>
                <w:rFonts w:hint="eastAsia" w:cs="宋体"/>
                <w:color w:val="FF0000"/>
                <w:kern w:val="0"/>
                <w:sz w:val="21"/>
                <w:szCs w:val="21"/>
                <w:lang w:val="en-US" w:eastAsia="zh-CN" w:bidi="ar"/>
              </w:rPr>
              <w:t>740</w:t>
            </w:r>
          </w:p>
        </w:tc>
        <w:tc>
          <w:tcPr>
            <w:tcW w:w="984" w:type="pct"/>
            <w:vAlign w:val="center"/>
          </w:tcPr>
          <w:p>
            <w:pPr>
              <w:widowControl/>
              <w:spacing w:line="240" w:lineRule="auto"/>
              <w:ind w:firstLine="0" w:firstLineChars="0"/>
              <w:jc w:val="center"/>
              <w:rPr>
                <w:sz w:val="21"/>
                <w:szCs w:val="21"/>
              </w:rPr>
            </w:pPr>
            <w:r>
              <w:rPr>
                <w:kern w:val="0"/>
                <w:sz w:val="21"/>
                <w:szCs w:val="21"/>
                <w:lang w:bidi="ar"/>
              </w:rPr>
              <w:t>107°48′4.79″</w:t>
            </w:r>
          </w:p>
        </w:tc>
        <w:tc>
          <w:tcPr>
            <w:tcW w:w="679" w:type="pct"/>
            <w:vAlign w:val="center"/>
          </w:tcPr>
          <w:p>
            <w:pPr>
              <w:widowControl/>
              <w:spacing w:line="240" w:lineRule="auto"/>
              <w:ind w:firstLine="0" w:firstLineChars="0"/>
              <w:jc w:val="center"/>
              <w:rPr>
                <w:sz w:val="21"/>
                <w:szCs w:val="21"/>
              </w:rPr>
            </w:pPr>
            <w:r>
              <w:rPr>
                <w:kern w:val="0"/>
                <w:sz w:val="21"/>
                <w:szCs w:val="21"/>
                <w:lang w:bidi="ar"/>
              </w:rPr>
              <w:t>41°6′3.78″</w:t>
            </w:r>
          </w:p>
        </w:tc>
        <w:tc>
          <w:tcPr>
            <w:tcW w:w="669" w:type="pct"/>
            <w:vMerge w:val="restart"/>
            <w:vAlign w:val="center"/>
          </w:tcPr>
          <w:p>
            <w:pPr>
              <w:spacing w:line="240" w:lineRule="auto"/>
              <w:ind w:firstLine="0" w:firstLineChars="0"/>
              <w:jc w:val="center"/>
              <w:rPr>
                <w:sz w:val="21"/>
                <w:szCs w:val="21"/>
              </w:rPr>
            </w:pPr>
            <w:r>
              <w:rPr>
                <w:rFonts w:hint="eastAsia"/>
                <w:sz w:val="21"/>
                <w:szCs w:val="21"/>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spacing w:line="240" w:lineRule="auto"/>
              <w:ind w:firstLine="0" w:firstLineChars="0"/>
              <w:jc w:val="center"/>
              <w:rPr>
                <w:sz w:val="21"/>
                <w:szCs w:val="21"/>
              </w:rPr>
            </w:pPr>
            <w:r>
              <w:rPr>
                <w:rFonts w:hint="eastAsia"/>
                <w:sz w:val="21"/>
                <w:szCs w:val="21"/>
              </w:rPr>
              <w:t>D6</w:t>
            </w:r>
          </w:p>
        </w:tc>
        <w:tc>
          <w:tcPr>
            <w:tcW w:w="878" w:type="pct"/>
            <w:vAlign w:val="center"/>
          </w:tcPr>
          <w:p>
            <w:pPr>
              <w:widowControl/>
              <w:spacing w:line="240" w:lineRule="auto"/>
              <w:ind w:firstLine="0" w:firstLineChars="0"/>
              <w:jc w:val="center"/>
              <w:rPr>
                <w:rFonts w:hint="default" w:eastAsia="宋体"/>
                <w:color w:val="FF0000"/>
                <w:sz w:val="21"/>
                <w:szCs w:val="21"/>
                <w:lang w:val="en-US" w:eastAsia="zh-CN"/>
              </w:rPr>
            </w:pPr>
            <w:r>
              <w:rPr>
                <w:rFonts w:hint="eastAsia" w:cs="宋体"/>
                <w:color w:val="FF0000"/>
                <w:kern w:val="0"/>
                <w:sz w:val="21"/>
                <w:szCs w:val="21"/>
                <w:lang w:bidi="ar"/>
              </w:rPr>
              <w:t>项目区</w:t>
            </w:r>
            <w:r>
              <w:rPr>
                <w:rFonts w:hint="eastAsia" w:cs="宋体"/>
                <w:color w:val="FF0000"/>
                <w:kern w:val="0"/>
                <w:sz w:val="21"/>
                <w:szCs w:val="21"/>
                <w:lang w:val="en-US" w:eastAsia="zh-CN" w:bidi="ar"/>
              </w:rPr>
              <w:t>侧游</w:t>
            </w:r>
          </w:p>
        </w:tc>
        <w:tc>
          <w:tcPr>
            <w:tcW w:w="1399" w:type="pct"/>
            <w:vAlign w:val="center"/>
          </w:tcPr>
          <w:p>
            <w:pPr>
              <w:widowControl/>
              <w:spacing w:line="240" w:lineRule="auto"/>
              <w:ind w:firstLine="0" w:firstLineChars="0"/>
              <w:jc w:val="center"/>
              <w:rPr>
                <w:rFonts w:hint="default" w:eastAsia="宋体" w:cs="宋体"/>
                <w:color w:val="FF0000"/>
                <w:kern w:val="0"/>
                <w:sz w:val="21"/>
                <w:szCs w:val="21"/>
                <w:lang w:val="en-US" w:eastAsia="zh-CN" w:bidi="ar"/>
              </w:rPr>
            </w:pPr>
            <w:r>
              <w:rPr>
                <w:rFonts w:hint="eastAsia" w:cs="宋体"/>
                <w:color w:val="FF0000"/>
                <w:kern w:val="0"/>
                <w:sz w:val="21"/>
                <w:szCs w:val="21"/>
                <w:lang w:val="en-US" w:eastAsia="zh-CN" w:bidi="ar"/>
              </w:rPr>
              <w:t>1356</w:t>
            </w:r>
          </w:p>
        </w:tc>
        <w:tc>
          <w:tcPr>
            <w:tcW w:w="984" w:type="pct"/>
            <w:vAlign w:val="center"/>
          </w:tcPr>
          <w:p>
            <w:pPr>
              <w:widowControl/>
              <w:spacing w:line="240" w:lineRule="auto"/>
              <w:ind w:firstLine="0" w:firstLineChars="0"/>
              <w:jc w:val="center"/>
              <w:rPr>
                <w:sz w:val="21"/>
                <w:szCs w:val="21"/>
              </w:rPr>
            </w:pPr>
            <w:r>
              <w:rPr>
                <w:kern w:val="0"/>
                <w:sz w:val="21"/>
                <w:szCs w:val="21"/>
                <w:lang w:bidi="ar"/>
              </w:rPr>
              <w:t>107°45′55.42″</w:t>
            </w:r>
          </w:p>
        </w:tc>
        <w:tc>
          <w:tcPr>
            <w:tcW w:w="679" w:type="pct"/>
            <w:vAlign w:val="center"/>
          </w:tcPr>
          <w:p>
            <w:pPr>
              <w:widowControl/>
              <w:spacing w:line="240" w:lineRule="auto"/>
              <w:ind w:firstLine="0" w:firstLineChars="0"/>
              <w:jc w:val="center"/>
              <w:rPr>
                <w:sz w:val="21"/>
                <w:szCs w:val="21"/>
              </w:rPr>
            </w:pPr>
            <w:r>
              <w:rPr>
                <w:kern w:val="0"/>
                <w:sz w:val="21"/>
                <w:szCs w:val="21"/>
                <w:lang w:bidi="ar"/>
              </w:rPr>
              <w:t>41°5′47.30″</w:t>
            </w:r>
          </w:p>
        </w:tc>
        <w:tc>
          <w:tcPr>
            <w:tcW w:w="669" w:type="pct"/>
            <w:vMerge w:val="continue"/>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spacing w:line="240" w:lineRule="auto"/>
              <w:ind w:firstLine="0" w:firstLineChars="0"/>
              <w:jc w:val="center"/>
              <w:rPr>
                <w:sz w:val="21"/>
                <w:szCs w:val="21"/>
              </w:rPr>
            </w:pPr>
            <w:r>
              <w:rPr>
                <w:rFonts w:hint="eastAsia"/>
                <w:sz w:val="21"/>
                <w:szCs w:val="21"/>
              </w:rPr>
              <w:t>D9</w:t>
            </w:r>
          </w:p>
        </w:tc>
        <w:tc>
          <w:tcPr>
            <w:tcW w:w="878" w:type="pct"/>
            <w:vAlign w:val="center"/>
          </w:tcPr>
          <w:p>
            <w:pPr>
              <w:widowControl/>
              <w:spacing w:line="240" w:lineRule="auto"/>
              <w:ind w:firstLine="0" w:firstLineChars="0"/>
              <w:jc w:val="center"/>
              <w:rPr>
                <w:rFonts w:hint="default" w:eastAsia="宋体"/>
                <w:color w:val="FF0000"/>
                <w:sz w:val="21"/>
                <w:szCs w:val="21"/>
                <w:lang w:val="en-US" w:eastAsia="zh-CN"/>
              </w:rPr>
            </w:pPr>
            <w:r>
              <w:rPr>
                <w:rFonts w:hint="eastAsia" w:cs="宋体"/>
                <w:color w:val="FF0000"/>
                <w:kern w:val="0"/>
                <w:sz w:val="21"/>
                <w:szCs w:val="21"/>
                <w:lang w:bidi="ar"/>
              </w:rPr>
              <w:t>项目区</w:t>
            </w:r>
            <w:r>
              <w:rPr>
                <w:rFonts w:hint="eastAsia" w:cs="宋体"/>
                <w:color w:val="FF0000"/>
                <w:kern w:val="0"/>
                <w:sz w:val="21"/>
                <w:szCs w:val="21"/>
                <w:lang w:val="en-US" w:eastAsia="zh-CN" w:bidi="ar"/>
              </w:rPr>
              <w:t>侧流</w:t>
            </w:r>
          </w:p>
        </w:tc>
        <w:tc>
          <w:tcPr>
            <w:tcW w:w="1399" w:type="pct"/>
            <w:vAlign w:val="center"/>
          </w:tcPr>
          <w:p>
            <w:pPr>
              <w:widowControl/>
              <w:spacing w:line="240" w:lineRule="auto"/>
              <w:ind w:firstLine="0" w:firstLineChars="0"/>
              <w:jc w:val="center"/>
              <w:rPr>
                <w:rFonts w:hint="default" w:eastAsia="宋体" w:cs="宋体"/>
                <w:color w:val="FF0000"/>
                <w:kern w:val="0"/>
                <w:sz w:val="21"/>
                <w:szCs w:val="21"/>
                <w:lang w:val="en-US" w:eastAsia="zh-CN" w:bidi="ar"/>
              </w:rPr>
            </w:pPr>
            <w:r>
              <w:rPr>
                <w:rFonts w:hint="eastAsia" w:cs="宋体"/>
                <w:color w:val="FF0000"/>
                <w:kern w:val="0"/>
                <w:sz w:val="21"/>
                <w:szCs w:val="21"/>
                <w:lang w:val="en-US" w:eastAsia="zh-CN" w:bidi="ar"/>
              </w:rPr>
              <w:t>475</w:t>
            </w:r>
          </w:p>
        </w:tc>
        <w:tc>
          <w:tcPr>
            <w:tcW w:w="984" w:type="pct"/>
            <w:vAlign w:val="center"/>
          </w:tcPr>
          <w:p>
            <w:pPr>
              <w:widowControl/>
              <w:spacing w:line="240" w:lineRule="auto"/>
              <w:ind w:firstLine="0" w:firstLineChars="0"/>
              <w:jc w:val="center"/>
              <w:rPr>
                <w:sz w:val="21"/>
                <w:szCs w:val="21"/>
              </w:rPr>
            </w:pPr>
            <w:r>
              <w:rPr>
                <w:kern w:val="0"/>
                <w:sz w:val="21"/>
                <w:szCs w:val="21"/>
                <w:lang w:bidi="ar"/>
              </w:rPr>
              <w:t>107°47′58.53″</w:t>
            </w:r>
          </w:p>
        </w:tc>
        <w:tc>
          <w:tcPr>
            <w:tcW w:w="679" w:type="pct"/>
            <w:vAlign w:val="center"/>
          </w:tcPr>
          <w:p>
            <w:pPr>
              <w:widowControl/>
              <w:spacing w:line="240" w:lineRule="auto"/>
              <w:ind w:firstLine="0" w:firstLineChars="0"/>
              <w:jc w:val="center"/>
              <w:rPr>
                <w:sz w:val="21"/>
                <w:szCs w:val="21"/>
              </w:rPr>
            </w:pPr>
            <w:r>
              <w:rPr>
                <w:kern w:val="0"/>
                <w:sz w:val="21"/>
                <w:szCs w:val="21"/>
                <w:lang w:bidi="ar"/>
              </w:rPr>
              <w:t>41°6′22.09″</w:t>
            </w:r>
          </w:p>
        </w:tc>
        <w:tc>
          <w:tcPr>
            <w:tcW w:w="669" w:type="pct"/>
            <w:vMerge w:val="continue"/>
            <w:vAlign w:val="center"/>
          </w:tcPr>
          <w:p>
            <w:pPr>
              <w:spacing w:line="240" w:lineRule="auto"/>
              <w:ind w:firstLine="0" w:firstLineChars="0"/>
              <w:jc w:val="center"/>
              <w:rPr>
                <w:sz w:val="21"/>
                <w:szCs w:val="21"/>
              </w:rPr>
            </w:pPr>
          </w:p>
        </w:tc>
      </w:tr>
    </w:tbl>
    <w:p>
      <w:pPr>
        <w:ind w:firstLine="480"/>
        <w:rPr>
          <w:color w:val="FF0000"/>
        </w:rPr>
      </w:pPr>
    </w:p>
    <w:p>
      <w:pPr>
        <w:pStyle w:val="5"/>
      </w:pPr>
      <w:r>
        <w:rPr>
          <w:rFonts w:hint="eastAsia"/>
        </w:rPr>
        <w:t>水质监测因子</w:t>
      </w:r>
    </w:p>
    <w:p>
      <w:pPr>
        <w:widowControl/>
        <w:ind w:firstLine="480"/>
        <w:jc w:val="left"/>
      </w:pPr>
      <w:r>
        <w:rPr>
          <w:rFonts w:hint="eastAsia" w:ascii="宋体" w:hAnsi="宋体" w:cs="宋体"/>
          <w:color w:val="000000"/>
          <w:kern w:val="0"/>
          <w:lang w:bidi="ar"/>
        </w:rPr>
        <w:t xml:space="preserve">监测因子包括： </w:t>
      </w:r>
    </w:p>
    <w:p>
      <w:pPr>
        <w:ind w:firstLine="480"/>
      </w:pPr>
      <w:r>
        <w:rPr>
          <w:rFonts w:hint="eastAsia"/>
        </w:rPr>
        <w:t>（</w:t>
      </w:r>
      <w:r>
        <w:t>1</w:t>
      </w:r>
      <w:r>
        <w:rPr>
          <w:rFonts w:hint="eastAsia"/>
        </w:rPr>
        <w:t>）离子监测项目：</w:t>
      </w:r>
      <w:r>
        <w:t>K</w:t>
      </w:r>
      <w:r>
        <w:rPr>
          <w:vertAlign w:val="superscript"/>
        </w:rPr>
        <w:t>+</w:t>
      </w:r>
      <w:r>
        <w:rPr>
          <w:rFonts w:hint="eastAsia"/>
        </w:rPr>
        <w:t>、</w:t>
      </w:r>
      <w:r>
        <w:t xml:space="preserve">Na </w:t>
      </w:r>
      <w:r>
        <w:rPr>
          <w:vertAlign w:val="superscript"/>
        </w:rPr>
        <w:t>+</w:t>
      </w:r>
      <w:r>
        <w:rPr>
          <w:rFonts w:hint="eastAsia"/>
        </w:rPr>
        <w:t>、</w:t>
      </w:r>
      <w:r>
        <w:t>Ca</w:t>
      </w:r>
      <w:r>
        <w:rPr>
          <w:vertAlign w:val="superscript"/>
        </w:rPr>
        <w:t>2+</w:t>
      </w:r>
      <w:r>
        <w:rPr>
          <w:rFonts w:hint="eastAsia"/>
        </w:rPr>
        <w:t>、</w:t>
      </w:r>
      <w:r>
        <w:t>Mg</w:t>
      </w:r>
      <w:r>
        <w:rPr>
          <w:vertAlign w:val="superscript"/>
        </w:rPr>
        <w:t>2+</w:t>
      </w:r>
      <w:r>
        <w:rPr>
          <w:rFonts w:hint="eastAsia"/>
        </w:rPr>
        <w:t>、</w:t>
      </w:r>
      <w:r>
        <w:t>CO</w:t>
      </w:r>
      <w:r>
        <w:rPr>
          <w:vertAlign w:val="subscript"/>
        </w:rPr>
        <w:t>3</w:t>
      </w:r>
      <w:r>
        <w:rPr>
          <w:vertAlign w:val="superscript"/>
        </w:rPr>
        <w:t>2-</w:t>
      </w:r>
      <w:r>
        <w:rPr>
          <w:rFonts w:hint="eastAsia"/>
        </w:rPr>
        <w:t>、</w:t>
      </w:r>
      <w:r>
        <w:t>HCO</w:t>
      </w:r>
      <w:r>
        <w:rPr>
          <w:vertAlign w:val="subscript"/>
        </w:rPr>
        <w:t>3</w:t>
      </w:r>
      <w:r>
        <w:rPr>
          <w:vertAlign w:val="superscript"/>
        </w:rPr>
        <w:t xml:space="preserve"> -</w:t>
      </w:r>
      <w:r>
        <w:rPr>
          <w:rFonts w:hint="eastAsia"/>
        </w:rPr>
        <w:t>、</w:t>
      </w:r>
      <w:r>
        <w:t>Cl</w:t>
      </w:r>
      <w:r>
        <w:rPr>
          <w:vertAlign w:val="superscript"/>
        </w:rPr>
        <w:t xml:space="preserve"> -</w:t>
      </w:r>
      <w:r>
        <w:rPr>
          <w:rFonts w:hint="eastAsia"/>
        </w:rPr>
        <w:t>、</w:t>
      </w:r>
      <w:r>
        <w:t>SO</w:t>
      </w:r>
      <w:r>
        <w:rPr>
          <w:vertAlign w:val="subscript"/>
        </w:rPr>
        <w:t>4</w:t>
      </w:r>
      <w:r>
        <w:rPr>
          <w:vertAlign w:val="superscript"/>
        </w:rPr>
        <w:t xml:space="preserve"> 2-</w:t>
      </w:r>
    </w:p>
    <w:p>
      <w:pPr>
        <w:ind w:firstLine="480"/>
      </w:pPr>
      <w:r>
        <w:rPr>
          <w:rFonts w:hint="eastAsia"/>
        </w:rPr>
        <w:t>（</w:t>
      </w:r>
      <w:r>
        <w:t>2</w:t>
      </w:r>
      <w:r>
        <w:rPr>
          <w:rFonts w:hint="eastAsia"/>
        </w:rPr>
        <w:t>）常规检测项目：色、浑浊度、嗅和味、肉眼可见物、</w:t>
      </w:r>
      <w:r>
        <w:t>pH</w:t>
      </w:r>
      <w:r>
        <w:rPr>
          <w:rFonts w:hint="eastAsia"/>
        </w:rPr>
        <w:t xml:space="preserve">、氨氮、硝酸盐、亚硝酸盐、挥发性酚类、氰化物、砷、汞、铬（六价）、总硬度、铅、氟、镉、铁、锰、溶解性总固体、高锰酸盐指数、硫酸盐、氯化物、总大肠菌群、细菌总数、铜、镍、锌、铍、银、硒。 </w:t>
      </w:r>
    </w:p>
    <w:p>
      <w:pPr>
        <w:ind w:firstLine="480"/>
      </w:pPr>
      <w:r>
        <w:rPr>
          <w:rFonts w:hint="eastAsia"/>
        </w:rPr>
        <w:t>（</w:t>
      </w:r>
      <w:r>
        <w:t>3</w:t>
      </w:r>
      <w:r>
        <w:rPr>
          <w:rFonts w:hint="eastAsia"/>
        </w:rPr>
        <w:t xml:space="preserve">）水位参数：井深、海拔、水位埋深、水位标高、水井功能。 </w:t>
      </w:r>
    </w:p>
    <w:p>
      <w:pPr>
        <w:pStyle w:val="5"/>
      </w:pPr>
      <w:r>
        <w:rPr>
          <w:rFonts w:hint="eastAsia"/>
        </w:rPr>
        <w:t>监测分析方法</w:t>
      </w:r>
    </w:p>
    <w:p>
      <w:pPr>
        <w:ind w:firstLine="480"/>
        <w:rPr>
          <w:lang w:val="zh-CN"/>
        </w:rPr>
      </w:pPr>
      <w:r>
        <w:rPr>
          <w:rFonts w:hint="eastAsia"/>
        </w:rPr>
        <w:t>样品的采集、保存及分析均按照相关的标准及规范进行，各水质监测项目的分析方法见下表</w:t>
      </w:r>
      <w:r>
        <w:rPr>
          <w:rFonts w:hint="eastAsia"/>
          <w:lang w:val="zh-CN"/>
        </w:rPr>
        <w:t>。</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表4.2.3-2    地下水监测分析方法及依据</w:t>
      </w:r>
    </w:p>
    <w:tbl>
      <w:tblPr>
        <w:tblStyle w:val="3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3"/>
        <w:gridCol w:w="1203"/>
        <w:gridCol w:w="5973"/>
        <w:gridCol w:w="13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tblHeader/>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检测</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tc>
          <w:tcPr>
            <w:tcW w:w="3317"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方法名称及来源</w:t>
            </w:r>
          </w:p>
        </w:tc>
        <w:tc>
          <w:tcPr>
            <w:tcW w:w="722"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检出限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9"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w:t>
            </w:r>
          </w:p>
        </w:tc>
        <w:tc>
          <w:tcPr>
            <w:tcW w:w="668"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pH</w:t>
            </w:r>
          </w:p>
        </w:tc>
        <w:tc>
          <w:tcPr>
            <w:tcW w:w="3317"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《水质</w:t>
            </w:r>
            <w:r>
              <w:rPr>
                <w:color w:val="000000" w:themeColor="text1"/>
                <w14:textFill>
                  <w14:solidFill>
                    <w14:schemeClr w14:val="tx1"/>
                  </w14:solidFill>
                </w14:textFill>
              </w:rPr>
              <w:t xml:space="preserve"> pH</w:t>
            </w:r>
            <w:r>
              <w:rPr>
                <w:rFonts w:hint="eastAsia"/>
                <w:color w:val="000000" w:themeColor="text1"/>
                <w14:textFill>
                  <w14:solidFill>
                    <w14:schemeClr w14:val="tx1"/>
                  </w14:solidFill>
                </w14:textFill>
              </w:rPr>
              <w:t>值的测定</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电极法》（</w:t>
            </w:r>
            <w:r>
              <w:rPr>
                <w:color w:val="000000" w:themeColor="text1"/>
                <w14:textFill>
                  <w14:solidFill>
                    <w14:schemeClr w14:val="tx1"/>
                  </w14:solidFill>
                </w14:textFill>
              </w:rPr>
              <w:t>HJ 1147-2020</w:t>
            </w:r>
            <w:r>
              <w:rPr>
                <w:rFonts w:hint="eastAsia"/>
                <w:color w:val="000000" w:themeColor="text1"/>
                <w14:textFill>
                  <w14:solidFill>
                    <w14:schemeClr w14:val="tx1"/>
                  </w14:solidFill>
                </w14:textFill>
              </w:rPr>
              <w:t>）</w:t>
            </w:r>
          </w:p>
        </w:tc>
        <w:tc>
          <w:tcPr>
            <w:tcW w:w="722" w:type="pct"/>
            <w:tcBorders>
              <w:tl2br w:val="nil"/>
              <w:tr2bl w:val="nil"/>
            </w:tcBorders>
            <w:vAlign w:val="center"/>
          </w:tcPr>
          <w:p>
            <w:pPr>
              <w:pStyle w:val="232"/>
              <w:rPr>
                <w:color w:val="000000" w:themeColor="text1"/>
                <w14:textFill>
                  <w14:solidFill>
                    <w14:schemeClr w14:val="tx1"/>
                  </w14:solidFill>
                </w14:textFill>
              </w:rPr>
            </w:pP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镍</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 金属指标》（</w:t>
            </w:r>
            <w:r>
              <w:rPr>
                <w:color w:val="000000"/>
                <w:kern w:val="0"/>
                <w:sz w:val="21"/>
                <w:szCs w:val="21"/>
                <w:lang w:bidi="ar"/>
              </w:rPr>
              <w:t>GB/T5750.6-2006</w:t>
            </w:r>
            <w:r>
              <w:rPr>
                <w:rFonts w:hint="eastAsia" w:cs="宋体"/>
                <w:color w:val="000000"/>
                <w:kern w:val="0"/>
                <w:sz w:val="21"/>
                <w:szCs w:val="21"/>
                <w:lang w:bidi="ar"/>
              </w:rPr>
              <w:t>）（</w:t>
            </w:r>
            <w:r>
              <w:rPr>
                <w:color w:val="000000"/>
                <w:kern w:val="0"/>
                <w:sz w:val="21"/>
                <w:szCs w:val="21"/>
                <w:lang w:bidi="ar"/>
              </w:rPr>
              <w:t xml:space="preserve">15 </w:t>
            </w:r>
            <w:r>
              <w:rPr>
                <w:rFonts w:hint="eastAsia" w:cs="宋体"/>
                <w:color w:val="000000"/>
                <w:kern w:val="0"/>
                <w:sz w:val="21"/>
                <w:szCs w:val="21"/>
                <w:lang w:bidi="ar"/>
              </w:rPr>
              <w:t xml:space="preserve">镍 </w:t>
            </w:r>
            <w:r>
              <w:rPr>
                <w:color w:val="000000"/>
                <w:kern w:val="0"/>
                <w:sz w:val="21"/>
                <w:szCs w:val="21"/>
                <w:lang w:bidi="ar"/>
              </w:rPr>
              <w:t xml:space="preserve">15.1 </w:t>
            </w:r>
            <w:r>
              <w:rPr>
                <w:rFonts w:hint="eastAsia" w:cs="宋体"/>
                <w:color w:val="000000"/>
                <w:kern w:val="0"/>
                <w:sz w:val="21"/>
                <w:szCs w:val="21"/>
                <w:lang w:bidi="ar"/>
              </w:rPr>
              <w:t>无火焰原子吸收分光光度法）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5µg/L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w:t>
            </w:r>
          </w:p>
        </w:tc>
        <w:tc>
          <w:tcPr>
            <w:tcW w:w="668" w:type="pct"/>
            <w:tcBorders>
              <w:tl2br w:val="nil"/>
              <w:tr2bl w:val="nil"/>
            </w:tcBorders>
            <w:vAlign w:val="center"/>
          </w:tcPr>
          <w:p>
            <w:pPr>
              <w:widowControl/>
              <w:spacing w:line="240" w:lineRule="auto"/>
              <w:ind w:firstLine="0" w:firstLineChars="0"/>
              <w:jc w:val="center"/>
              <w:rPr>
                <w:sz w:val="21"/>
                <w:szCs w:val="21"/>
              </w:rPr>
            </w:pPr>
            <w:r>
              <w:rPr>
                <w:rFonts w:hint="eastAsia" w:cs="宋体"/>
                <w:color w:val="000000"/>
                <w:kern w:val="0"/>
                <w:sz w:val="21"/>
                <w:szCs w:val="21"/>
                <w:lang w:bidi="ar"/>
              </w:rPr>
              <w:t>铜</w:t>
            </w:r>
          </w:p>
          <w:p>
            <w:pPr>
              <w:pStyle w:val="232"/>
              <w:rPr>
                <w:color w:val="000000" w:themeColor="text1"/>
                <w14:textFill>
                  <w14:solidFill>
                    <w14:schemeClr w14:val="tx1"/>
                  </w14:solidFill>
                </w14:textFill>
              </w:rPr>
            </w:pP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铜、锌、铅、镉的测定 原子吸收分光光度法》（</w:t>
            </w:r>
            <w:r>
              <w:rPr>
                <w:color w:val="000000"/>
                <w:kern w:val="0"/>
                <w:sz w:val="21"/>
                <w:szCs w:val="21"/>
                <w:lang w:bidi="ar"/>
              </w:rPr>
              <w:t>GB/T 7475-87</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氨氮</w:t>
            </w:r>
          </w:p>
        </w:tc>
        <w:tc>
          <w:tcPr>
            <w:tcW w:w="3317"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《水质 氨氮的测定 纳氏试剂分光光度法》（</w:t>
            </w:r>
            <w:r>
              <w:rPr>
                <w:color w:val="000000"/>
                <w:kern w:val="0"/>
                <w:lang w:bidi="ar"/>
              </w:rPr>
              <w:t>HJ535-2009</w:t>
            </w:r>
            <w:r>
              <w:rPr>
                <w:rFonts w:hint="eastAsia" w:cs="宋体"/>
                <w:color w:val="000000"/>
                <w:kern w:val="0"/>
                <w:lang w:bidi="ar"/>
              </w:rPr>
              <w:t>）</w:t>
            </w: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0.025mg/L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挥发酚</w:t>
            </w:r>
          </w:p>
        </w:tc>
        <w:tc>
          <w:tcPr>
            <w:tcW w:w="3317" w:type="pct"/>
            <w:tcBorders>
              <w:tl2br w:val="nil"/>
              <w:tr2bl w:val="nil"/>
            </w:tcBorders>
            <w:vAlign w:val="center"/>
          </w:tcPr>
          <w:p>
            <w:pPr>
              <w:widowControl/>
              <w:spacing w:line="240" w:lineRule="auto"/>
              <w:ind w:firstLine="0" w:firstLineChars="0"/>
              <w:jc w:val="center"/>
              <w:rPr>
                <w:rFonts w:cs="宋体"/>
                <w:color w:val="000000"/>
                <w:kern w:val="0"/>
                <w:sz w:val="21"/>
                <w:szCs w:val="21"/>
                <w:lang w:bidi="ar"/>
              </w:rPr>
            </w:pPr>
            <w:r>
              <w:rPr>
                <w:rFonts w:hint="eastAsia" w:cs="宋体"/>
                <w:color w:val="000000"/>
                <w:kern w:val="0"/>
                <w:sz w:val="21"/>
                <w:szCs w:val="21"/>
                <w:lang w:bidi="ar"/>
              </w:rPr>
              <w:t xml:space="preserve">《水质 挥发酚的测定 </w:t>
            </w:r>
            <w:r>
              <w:rPr>
                <w:color w:val="000000"/>
                <w:kern w:val="0"/>
                <w:sz w:val="21"/>
                <w:szCs w:val="21"/>
                <w:lang w:bidi="ar"/>
              </w:rPr>
              <w:t>4-</w:t>
            </w:r>
            <w:r>
              <w:rPr>
                <w:rFonts w:hint="eastAsia" w:cs="宋体"/>
                <w:color w:val="000000"/>
                <w:kern w:val="0"/>
                <w:sz w:val="21"/>
                <w:szCs w:val="21"/>
                <w:lang w:bidi="ar"/>
              </w:rPr>
              <w:t>氨基安替比林分光光度》</w:t>
            </w:r>
          </w:p>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w:t>
            </w:r>
            <w:r>
              <w:rPr>
                <w:color w:val="000000"/>
                <w:kern w:val="0"/>
                <w:sz w:val="21"/>
                <w:szCs w:val="21"/>
                <w:lang w:bidi="ar"/>
              </w:rPr>
              <w:t>HJ</w:t>
            </w:r>
            <w:r>
              <w:rPr>
                <w:rFonts w:hint="eastAsia"/>
                <w:color w:val="000000"/>
                <w:kern w:val="0"/>
                <w:sz w:val="21"/>
                <w:szCs w:val="21"/>
                <w:lang w:bidi="ar"/>
              </w:rPr>
              <w:t xml:space="preserve"> </w:t>
            </w:r>
            <w:r>
              <w:rPr>
                <w:color w:val="000000"/>
                <w:kern w:val="0"/>
                <w:sz w:val="21"/>
                <w:szCs w:val="21"/>
                <w:lang w:bidi="ar"/>
              </w:rPr>
              <w:t>503-2009</w:t>
            </w:r>
            <w:r>
              <w:rPr>
                <w:rFonts w:hint="eastAsia" w:cs="宋体"/>
                <w:color w:val="000000"/>
                <w:kern w:val="0"/>
                <w:sz w:val="21"/>
                <w:szCs w:val="21"/>
                <w:lang w:bidi="ar"/>
              </w:rPr>
              <w:t xml:space="preserve">）（方法 </w:t>
            </w:r>
            <w:r>
              <w:rPr>
                <w:color w:val="000000"/>
                <w:kern w:val="0"/>
                <w:sz w:val="21"/>
                <w:szCs w:val="21"/>
                <w:lang w:bidi="ar"/>
              </w:rPr>
              <w:t xml:space="preserve">1 </w:t>
            </w:r>
            <w:r>
              <w:rPr>
                <w:rFonts w:hint="eastAsia" w:cs="宋体"/>
                <w:color w:val="000000"/>
                <w:kern w:val="0"/>
                <w:sz w:val="21"/>
                <w:szCs w:val="21"/>
                <w:lang w:bidi="ar"/>
              </w:rPr>
              <w:t>萃取分光光度法）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0.0003mg/L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氰化物</w:t>
            </w:r>
          </w:p>
        </w:tc>
        <w:tc>
          <w:tcPr>
            <w:tcW w:w="3317" w:type="pct"/>
            <w:tcBorders>
              <w:tl2br w:val="nil"/>
              <w:tr2bl w:val="nil"/>
            </w:tcBorders>
            <w:vAlign w:val="center"/>
          </w:tcPr>
          <w:p>
            <w:pPr>
              <w:widowControl/>
              <w:spacing w:line="240" w:lineRule="auto"/>
              <w:ind w:firstLine="0" w:firstLineChars="0"/>
              <w:jc w:val="center"/>
              <w:rPr>
                <w:color w:val="000000"/>
                <w:kern w:val="0"/>
                <w:sz w:val="21"/>
                <w:szCs w:val="21"/>
                <w:lang w:bidi="ar"/>
              </w:rPr>
            </w:pPr>
            <w:r>
              <w:rPr>
                <w:rFonts w:hint="eastAsia" w:cs="宋体"/>
                <w:color w:val="000000"/>
                <w:kern w:val="0"/>
                <w:sz w:val="21"/>
                <w:szCs w:val="21"/>
                <w:lang w:bidi="ar"/>
              </w:rPr>
              <w:t>《生活饮用水标准检方法 无机非金属指标》（</w:t>
            </w:r>
            <w:r>
              <w:rPr>
                <w:color w:val="000000"/>
                <w:kern w:val="0"/>
                <w:sz w:val="21"/>
                <w:szCs w:val="21"/>
                <w:lang w:bidi="ar"/>
              </w:rPr>
              <w:t>GB/T</w:t>
            </w:r>
          </w:p>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5750.5-2006</w:t>
            </w:r>
            <w:r>
              <w:rPr>
                <w:rFonts w:hint="eastAsia" w:cs="宋体"/>
                <w:color w:val="000000"/>
                <w:kern w:val="0"/>
                <w:sz w:val="21"/>
                <w:szCs w:val="21"/>
                <w:lang w:bidi="ar"/>
              </w:rPr>
              <w:t>）（</w:t>
            </w:r>
            <w:r>
              <w:rPr>
                <w:color w:val="000000"/>
                <w:kern w:val="0"/>
                <w:sz w:val="21"/>
                <w:szCs w:val="21"/>
                <w:lang w:bidi="ar"/>
              </w:rPr>
              <w:t>4.1</w:t>
            </w:r>
            <w:r>
              <w:rPr>
                <w:rFonts w:hint="eastAsia" w:cs="宋体"/>
                <w:color w:val="000000"/>
                <w:kern w:val="0"/>
                <w:sz w:val="21"/>
                <w:szCs w:val="21"/>
                <w:lang w:bidi="ar"/>
              </w:rPr>
              <w:t>氰化物异烟酸</w:t>
            </w:r>
            <w:r>
              <w:rPr>
                <w:color w:val="000000"/>
                <w:kern w:val="0"/>
                <w:sz w:val="21"/>
                <w:szCs w:val="21"/>
                <w:lang w:bidi="ar"/>
              </w:rPr>
              <w:t>-</w:t>
            </w:r>
            <w:r>
              <w:rPr>
                <w:rFonts w:hint="eastAsia" w:cs="宋体"/>
                <w:color w:val="000000"/>
                <w:kern w:val="0"/>
                <w:sz w:val="21"/>
                <w:szCs w:val="21"/>
                <w:lang w:bidi="ar"/>
              </w:rPr>
              <w:t>吡唑啉酮分光光度法）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氟化物</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氟化物的测定 氟试剂分光光度法》（</w:t>
            </w:r>
            <w:r>
              <w:rPr>
                <w:color w:val="000000"/>
                <w:kern w:val="0"/>
                <w:sz w:val="21"/>
                <w:szCs w:val="21"/>
                <w:lang w:bidi="ar"/>
              </w:rPr>
              <w:t>HJ488-2009</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亚硝酸盐氮</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亚硝酸盐氮的测 定 分光光度法》（</w:t>
            </w:r>
            <w:r>
              <w:rPr>
                <w:color w:val="000000"/>
                <w:kern w:val="0"/>
                <w:sz w:val="21"/>
                <w:szCs w:val="21"/>
                <w:lang w:bidi="ar"/>
              </w:rPr>
              <w:t>GB/T 7493-87</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9</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六价铬</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 金属指标》（</w:t>
            </w:r>
            <w:r>
              <w:rPr>
                <w:color w:val="000000"/>
                <w:kern w:val="0"/>
                <w:sz w:val="21"/>
                <w:szCs w:val="21"/>
                <w:lang w:bidi="ar"/>
              </w:rPr>
              <w:t>GB/T5750.6-2006</w:t>
            </w:r>
            <w:r>
              <w:rPr>
                <w:rFonts w:hint="eastAsia" w:cs="宋体"/>
                <w:color w:val="000000"/>
                <w:kern w:val="0"/>
                <w:sz w:val="21"/>
                <w:szCs w:val="21"/>
                <w:lang w:bidi="ar"/>
              </w:rPr>
              <w:t>）（</w:t>
            </w:r>
            <w:r>
              <w:rPr>
                <w:color w:val="000000"/>
                <w:kern w:val="0"/>
                <w:sz w:val="21"/>
                <w:szCs w:val="21"/>
                <w:lang w:bidi="ar"/>
              </w:rPr>
              <w:t xml:space="preserve">10 </w:t>
            </w:r>
            <w:r>
              <w:rPr>
                <w:rFonts w:hint="eastAsia" w:cs="宋体"/>
                <w:color w:val="000000"/>
                <w:kern w:val="0"/>
                <w:sz w:val="21"/>
                <w:szCs w:val="21"/>
                <w:lang w:bidi="ar"/>
              </w:rPr>
              <w:t xml:space="preserve">六价铬 </w:t>
            </w:r>
            <w:r>
              <w:rPr>
                <w:color w:val="000000"/>
                <w:kern w:val="0"/>
                <w:sz w:val="21"/>
                <w:szCs w:val="21"/>
                <w:lang w:bidi="ar"/>
              </w:rPr>
              <w:t xml:space="preserve">10.1 </w:t>
            </w:r>
            <w:r>
              <w:rPr>
                <w:rFonts w:hint="eastAsia" w:cs="宋体"/>
                <w:color w:val="000000"/>
                <w:kern w:val="0"/>
                <w:sz w:val="21"/>
                <w:szCs w:val="21"/>
                <w:lang w:bidi="ar"/>
              </w:rPr>
              <w:t>二苯碳酰二肼分光光度法）</w:t>
            </w: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0.004mg/L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总硬度</w:t>
            </w:r>
          </w:p>
        </w:tc>
        <w:tc>
          <w:tcPr>
            <w:tcW w:w="3317" w:type="pct"/>
            <w:tcBorders>
              <w:tl2br w:val="nil"/>
              <w:tr2bl w:val="nil"/>
            </w:tcBorders>
            <w:vAlign w:val="center"/>
          </w:tcPr>
          <w:p>
            <w:pPr>
              <w:widowControl/>
              <w:spacing w:line="240" w:lineRule="auto"/>
              <w:ind w:firstLine="0" w:firstLineChars="0"/>
              <w:jc w:val="center"/>
              <w:rPr>
                <w:rFonts w:cs="宋体"/>
                <w:color w:val="000000"/>
                <w:kern w:val="0"/>
                <w:sz w:val="21"/>
                <w:szCs w:val="21"/>
                <w:lang w:bidi="ar"/>
              </w:rPr>
            </w:pPr>
            <w:r>
              <w:rPr>
                <w:rFonts w:hint="eastAsia" w:cs="宋体"/>
                <w:color w:val="000000"/>
                <w:kern w:val="0"/>
                <w:sz w:val="21"/>
                <w:szCs w:val="21"/>
                <w:lang w:bidi="ar"/>
              </w:rPr>
              <w:t xml:space="preserve">《水质 钙和镁总量的测定 </w:t>
            </w:r>
            <w:r>
              <w:rPr>
                <w:color w:val="000000"/>
                <w:kern w:val="0"/>
                <w:sz w:val="21"/>
                <w:szCs w:val="21"/>
                <w:lang w:bidi="ar"/>
              </w:rPr>
              <w:t xml:space="preserve">EDTA </w:t>
            </w:r>
            <w:r>
              <w:rPr>
                <w:rFonts w:hint="eastAsia" w:cs="宋体"/>
                <w:color w:val="000000"/>
                <w:kern w:val="0"/>
                <w:sz w:val="21"/>
                <w:szCs w:val="21"/>
                <w:lang w:bidi="ar"/>
              </w:rPr>
              <w:t>滴定法》</w:t>
            </w:r>
          </w:p>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w:t>
            </w:r>
            <w:r>
              <w:rPr>
                <w:color w:val="000000"/>
                <w:kern w:val="0"/>
                <w:sz w:val="21"/>
                <w:szCs w:val="21"/>
                <w:lang w:bidi="ar"/>
              </w:rPr>
              <w:t>GB 7477-1987</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11</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砷</w:t>
            </w:r>
          </w:p>
        </w:tc>
        <w:tc>
          <w:tcPr>
            <w:tcW w:w="3317" w:type="pct"/>
            <w:vMerge w:val="restar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汞、砷、硒、铋和锑的测定 原子荧光法》（</w:t>
            </w:r>
            <w:r>
              <w:rPr>
                <w:color w:val="000000"/>
                <w:kern w:val="0"/>
                <w:sz w:val="21"/>
                <w:szCs w:val="21"/>
                <w:lang w:bidi="ar"/>
              </w:rPr>
              <w:t>HJ694-2014</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0.3µg/L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12</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汞</w:t>
            </w:r>
          </w:p>
        </w:tc>
        <w:tc>
          <w:tcPr>
            <w:tcW w:w="331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0.04µg/L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13</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硝酸盐氮</w:t>
            </w:r>
          </w:p>
        </w:tc>
        <w:tc>
          <w:tcPr>
            <w:tcW w:w="3317" w:type="pct"/>
            <w:tcBorders>
              <w:tl2br w:val="nil"/>
              <w:tr2bl w:val="nil"/>
            </w:tcBorders>
            <w:vAlign w:val="center"/>
          </w:tcPr>
          <w:p>
            <w:pPr>
              <w:widowControl/>
              <w:spacing w:line="240" w:lineRule="auto"/>
              <w:ind w:firstLine="0" w:firstLineChars="0"/>
              <w:jc w:val="center"/>
              <w:rPr>
                <w:rFonts w:cs="宋体"/>
                <w:color w:val="000000"/>
                <w:kern w:val="0"/>
                <w:sz w:val="21"/>
                <w:szCs w:val="21"/>
                <w:lang w:bidi="ar"/>
              </w:rPr>
            </w:pPr>
            <w:r>
              <w:rPr>
                <w:rFonts w:hint="eastAsia" w:cs="宋体"/>
                <w:color w:val="000000"/>
                <w:kern w:val="0"/>
                <w:sz w:val="21"/>
                <w:szCs w:val="21"/>
                <w:lang w:bidi="ar"/>
              </w:rPr>
              <w:t>《水质 硝酸盐氮的测定 紫外分光光度法》（试行）</w:t>
            </w:r>
          </w:p>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 xml:space="preserve"> （</w:t>
            </w:r>
            <w:r>
              <w:rPr>
                <w:color w:val="000000"/>
                <w:kern w:val="0"/>
                <w:sz w:val="21"/>
                <w:szCs w:val="21"/>
                <w:lang w:bidi="ar"/>
              </w:rPr>
              <w:t>HJ/T 346-2007</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0.08mg/L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14</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铁</w:t>
            </w:r>
          </w:p>
        </w:tc>
        <w:tc>
          <w:tcPr>
            <w:tcW w:w="3317" w:type="pct"/>
            <w:vMerge w:val="restart"/>
            <w:tcBorders>
              <w:tl2br w:val="nil"/>
              <w:tr2bl w:val="nil"/>
            </w:tcBorders>
            <w:vAlign w:val="center"/>
          </w:tcPr>
          <w:p>
            <w:pPr>
              <w:widowControl/>
              <w:spacing w:line="240" w:lineRule="auto"/>
              <w:ind w:firstLine="0" w:firstLineChars="0"/>
              <w:jc w:val="center"/>
              <w:rPr>
                <w:rFonts w:cs="宋体"/>
                <w:color w:val="000000"/>
                <w:kern w:val="0"/>
                <w:sz w:val="21"/>
                <w:szCs w:val="21"/>
                <w:lang w:bidi="ar"/>
              </w:rPr>
            </w:pPr>
            <w:r>
              <w:rPr>
                <w:rFonts w:hint="eastAsia" w:cs="宋体"/>
                <w:color w:val="000000"/>
                <w:kern w:val="0"/>
                <w:sz w:val="21"/>
                <w:szCs w:val="21"/>
                <w:lang w:bidi="ar"/>
              </w:rPr>
              <w:t>《水质 铁、锰的测定 火焰原子吸收分光光度法》</w:t>
            </w:r>
          </w:p>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w:t>
            </w:r>
            <w:r>
              <w:rPr>
                <w:color w:val="000000"/>
                <w:kern w:val="0"/>
                <w:sz w:val="21"/>
                <w:szCs w:val="21"/>
                <w:lang w:bidi="ar"/>
              </w:rPr>
              <w:t>GB 11911-89</w:t>
            </w:r>
            <w:r>
              <w:rPr>
                <w:rFonts w:hint="eastAsia" w:cs="宋体"/>
                <w:color w:val="000000"/>
                <w:kern w:val="0"/>
                <w:sz w:val="21"/>
                <w:szCs w:val="21"/>
                <w:lang w:bidi="ar"/>
              </w:rPr>
              <w:t>）</w:t>
            </w: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0.03mg/L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15</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锰</w:t>
            </w:r>
          </w:p>
        </w:tc>
        <w:tc>
          <w:tcPr>
            <w:tcW w:w="331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16</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铅</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 金属指标》（</w:t>
            </w:r>
            <w:r>
              <w:rPr>
                <w:color w:val="000000"/>
                <w:kern w:val="0"/>
                <w:sz w:val="21"/>
                <w:szCs w:val="21"/>
                <w:lang w:bidi="ar"/>
              </w:rPr>
              <w:t>GB/T5750.6-2006</w:t>
            </w:r>
            <w:r>
              <w:rPr>
                <w:rFonts w:hint="eastAsia" w:cs="宋体"/>
                <w:color w:val="000000"/>
                <w:kern w:val="0"/>
                <w:sz w:val="21"/>
                <w:szCs w:val="21"/>
                <w:lang w:bidi="ar"/>
              </w:rPr>
              <w:t>）（</w:t>
            </w:r>
            <w:r>
              <w:rPr>
                <w:color w:val="000000"/>
                <w:kern w:val="0"/>
                <w:sz w:val="21"/>
                <w:szCs w:val="21"/>
                <w:lang w:bidi="ar"/>
              </w:rPr>
              <w:t xml:space="preserve">11.1 </w:t>
            </w:r>
            <w:r>
              <w:rPr>
                <w:rFonts w:hint="eastAsia" w:cs="宋体"/>
                <w:color w:val="000000"/>
                <w:kern w:val="0"/>
                <w:sz w:val="21"/>
                <w:szCs w:val="21"/>
                <w:lang w:bidi="ar"/>
              </w:rPr>
              <w:t>铅无火焰原子吸收分光光度法）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2.5µg/L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17</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镉</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 金属指标》（</w:t>
            </w:r>
            <w:r>
              <w:rPr>
                <w:color w:val="000000"/>
                <w:kern w:val="0"/>
                <w:sz w:val="21"/>
                <w:szCs w:val="21"/>
                <w:lang w:bidi="ar"/>
              </w:rPr>
              <w:t>GB/T 5750.6-2006</w:t>
            </w:r>
            <w:r>
              <w:rPr>
                <w:rFonts w:hint="eastAsia" w:cs="宋体"/>
                <w:color w:val="000000"/>
                <w:kern w:val="0"/>
                <w:sz w:val="21"/>
                <w:szCs w:val="21"/>
                <w:lang w:bidi="ar"/>
              </w:rPr>
              <w:t>）（</w:t>
            </w:r>
            <w:r>
              <w:rPr>
                <w:color w:val="000000"/>
                <w:kern w:val="0"/>
                <w:sz w:val="21"/>
                <w:szCs w:val="21"/>
                <w:lang w:bidi="ar"/>
              </w:rPr>
              <w:t xml:space="preserve">9.1 </w:t>
            </w:r>
            <w:r>
              <w:rPr>
                <w:rFonts w:hint="eastAsia" w:cs="宋体"/>
                <w:color w:val="000000"/>
                <w:kern w:val="0"/>
                <w:sz w:val="21"/>
                <w:szCs w:val="21"/>
                <w:lang w:bidi="ar"/>
              </w:rPr>
              <w:t>镉无火焰原子吸收分光光度法）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0.5µg/L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18</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溶解性总固体</w:t>
            </w:r>
          </w:p>
        </w:tc>
        <w:tc>
          <w:tcPr>
            <w:tcW w:w="3317" w:type="pct"/>
            <w:tcBorders>
              <w:tl2br w:val="nil"/>
              <w:tr2bl w:val="nil"/>
            </w:tcBorders>
            <w:vAlign w:val="center"/>
          </w:tcPr>
          <w:p>
            <w:pPr>
              <w:widowControl/>
              <w:spacing w:line="240" w:lineRule="auto"/>
              <w:ind w:firstLine="0" w:firstLineChars="0"/>
              <w:jc w:val="center"/>
              <w:rPr>
                <w:sz w:val="21"/>
                <w:szCs w:val="21"/>
              </w:rPr>
            </w:pPr>
            <w:r>
              <w:rPr>
                <w:rFonts w:hint="eastAsia" w:cs="宋体"/>
                <w:color w:val="000000"/>
                <w:kern w:val="0"/>
                <w:sz w:val="21"/>
                <w:szCs w:val="21"/>
                <w:lang w:bidi="ar"/>
              </w:rPr>
              <w:t>《生活饮用水标准检验方法 感官性状和物理指标》</w:t>
            </w:r>
          </w:p>
          <w:p>
            <w:pPr>
              <w:pStyle w:val="232"/>
              <w:rPr>
                <w:color w:val="000000" w:themeColor="text1"/>
                <w14:textFill>
                  <w14:solidFill>
                    <w14:schemeClr w14:val="tx1"/>
                  </w14:solidFill>
                </w14:textFill>
              </w:rPr>
            </w:pPr>
            <w:r>
              <w:rPr>
                <w:rFonts w:hint="eastAsia" w:cs="宋体"/>
                <w:color w:val="000000"/>
                <w:kern w:val="0"/>
                <w:lang w:bidi="ar"/>
              </w:rPr>
              <w:t>（</w:t>
            </w:r>
            <w:r>
              <w:rPr>
                <w:color w:val="000000"/>
                <w:kern w:val="0"/>
                <w:lang w:bidi="ar"/>
              </w:rPr>
              <w:t>GB/T 5750.4-2006</w:t>
            </w:r>
            <w:r>
              <w:rPr>
                <w:rFonts w:hint="eastAsia" w:cs="宋体"/>
                <w:color w:val="000000"/>
                <w:kern w:val="0"/>
                <w:lang w:bidi="ar"/>
              </w:rPr>
              <w:t>）（</w:t>
            </w:r>
            <w:r>
              <w:rPr>
                <w:color w:val="000000"/>
                <w:kern w:val="0"/>
                <w:lang w:bidi="ar"/>
              </w:rPr>
              <w:t>8.1</w:t>
            </w:r>
            <w:r>
              <w:rPr>
                <w:rFonts w:hint="eastAsia" w:cs="宋体"/>
                <w:color w:val="000000"/>
                <w:kern w:val="0"/>
                <w:lang w:bidi="ar"/>
              </w:rPr>
              <w:t>溶解性总固体称量法）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19</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耗氧量（高锰酸盐指数）</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《生活饮用水标准检验方法有机物综合指标》 （</w:t>
            </w:r>
            <w:r>
              <w:rPr>
                <w:color w:val="000000"/>
                <w:kern w:val="0"/>
                <w:sz w:val="21"/>
                <w:szCs w:val="21"/>
                <w:lang w:bidi="ar"/>
              </w:rPr>
              <w:t>GB/T 5750.7-2006</w:t>
            </w:r>
            <w:r>
              <w:rPr>
                <w:rFonts w:hint="eastAsia" w:cs="宋体"/>
                <w:color w:val="000000"/>
                <w:kern w:val="0"/>
                <w:sz w:val="21"/>
                <w:szCs w:val="21"/>
                <w:lang w:bidi="ar"/>
              </w:rPr>
              <w:t>）（</w:t>
            </w:r>
            <w:r>
              <w:rPr>
                <w:color w:val="000000"/>
                <w:kern w:val="0"/>
                <w:sz w:val="21"/>
                <w:szCs w:val="21"/>
                <w:lang w:bidi="ar"/>
              </w:rPr>
              <w:t xml:space="preserve">1 </w:t>
            </w:r>
            <w:r>
              <w:rPr>
                <w:rFonts w:hint="eastAsia" w:cs="宋体"/>
                <w:color w:val="000000"/>
                <w:kern w:val="0"/>
                <w:sz w:val="21"/>
                <w:szCs w:val="21"/>
                <w:lang w:bidi="ar"/>
              </w:rPr>
              <w:t xml:space="preserve">耗氧量 </w:t>
            </w:r>
            <w:r>
              <w:rPr>
                <w:color w:val="000000"/>
                <w:kern w:val="0"/>
                <w:sz w:val="21"/>
                <w:szCs w:val="21"/>
                <w:lang w:bidi="ar"/>
              </w:rPr>
              <w:t xml:space="preserve">1.1 </w:t>
            </w:r>
            <w:r>
              <w:rPr>
                <w:rFonts w:hint="eastAsia" w:cs="宋体"/>
                <w:color w:val="000000"/>
                <w:kern w:val="0"/>
                <w:sz w:val="21"/>
                <w:szCs w:val="21"/>
                <w:lang w:bidi="ar"/>
              </w:rPr>
              <w:t>酸性高锰酸钾滴定法）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硫酸盐</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硫酸盐的测定 铬酸钡分光光度法》（试行）（</w:t>
            </w:r>
            <w:r>
              <w:rPr>
                <w:color w:val="000000"/>
                <w:kern w:val="0"/>
                <w:sz w:val="21"/>
                <w:szCs w:val="21"/>
                <w:lang w:bidi="ar"/>
              </w:rPr>
              <w:t>HJ/T 342-2007</w:t>
            </w:r>
            <w:r>
              <w:rPr>
                <w:rFonts w:hint="eastAsia" w:cs="宋体"/>
                <w:color w:val="000000"/>
                <w:kern w:val="0"/>
                <w:sz w:val="21"/>
                <w:szCs w:val="21"/>
                <w:lang w:bidi="ar"/>
              </w:rPr>
              <w:t>）</w:t>
            </w: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8mg/L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21</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氯化物</w:t>
            </w:r>
          </w:p>
        </w:tc>
        <w:tc>
          <w:tcPr>
            <w:tcW w:w="3317"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《水质 氯化物的测定 硝酸银滴定法》（</w:t>
            </w:r>
            <w:r>
              <w:rPr>
                <w:color w:val="000000"/>
                <w:kern w:val="0"/>
                <w:lang w:bidi="ar"/>
              </w:rPr>
              <w:t>GB11896-89</w:t>
            </w:r>
            <w:r>
              <w:rPr>
                <w:rFonts w:hint="eastAsia" w:cs="宋体"/>
                <w:color w:val="000000"/>
                <w:kern w:val="0"/>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10mg/L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22</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锌</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铜、锌、铅、镉的测定 原子吸收分光光度法》 （</w:t>
            </w:r>
            <w:r>
              <w:rPr>
                <w:color w:val="000000"/>
                <w:kern w:val="0"/>
                <w:sz w:val="21"/>
                <w:szCs w:val="21"/>
                <w:lang w:bidi="ar"/>
              </w:rPr>
              <w:t>GB 7475-87</w:t>
            </w:r>
            <w:r>
              <w:rPr>
                <w:rFonts w:hint="eastAsia" w:cs="宋体"/>
                <w:color w:val="000000"/>
                <w:kern w:val="0"/>
                <w:sz w:val="21"/>
                <w:szCs w:val="21"/>
                <w:lang w:bidi="ar"/>
              </w:rPr>
              <w:t>）</w:t>
            </w: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23</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铍</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 xml:space="preserve">《水质 </w:t>
            </w:r>
            <w:r>
              <w:rPr>
                <w:color w:val="000000"/>
                <w:kern w:val="0"/>
                <w:sz w:val="21"/>
                <w:szCs w:val="21"/>
                <w:lang w:bidi="ar"/>
              </w:rPr>
              <w:t xml:space="preserve">65 </w:t>
            </w:r>
            <w:r>
              <w:rPr>
                <w:rFonts w:hint="eastAsia" w:cs="宋体"/>
                <w:color w:val="000000"/>
                <w:kern w:val="0"/>
                <w:sz w:val="21"/>
                <w:szCs w:val="21"/>
                <w:lang w:bidi="ar"/>
              </w:rPr>
              <w:t>种元素的测定的测定 电感耦合等离子体质谱法》（</w:t>
            </w:r>
            <w:r>
              <w:rPr>
                <w:color w:val="000000"/>
                <w:kern w:val="0"/>
                <w:sz w:val="21"/>
                <w:szCs w:val="21"/>
                <w:lang w:bidi="ar"/>
              </w:rPr>
              <w:t>HJ 700-2014</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0.04µg/L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24</w:t>
            </w:r>
          </w:p>
        </w:tc>
        <w:tc>
          <w:tcPr>
            <w:tcW w:w="668" w:type="pct"/>
            <w:tcBorders>
              <w:tl2br w:val="nil"/>
              <w:tr2bl w:val="nil"/>
            </w:tcBorders>
            <w:vAlign w:val="center"/>
          </w:tcPr>
          <w:p>
            <w:pPr>
              <w:widowControl/>
              <w:spacing w:line="240" w:lineRule="auto"/>
              <w:ind w:firstLine="0" w:firstLineChars="0"/>
              <w:jc w:val="center"/>
              <w:rPr>
                <w:sz w:val="21"/>
                <w:szCs w:val="21"/>
              </w:rPr>
            </w:pPr>
            <w:r>
              <w:rPr>
                <w:rFonts w:hint="eastAsia" w:cs="宋体"/>
                <w:color w:val="000000"/>
                <w:kern w:val="0"/>
                <w:sz w:val="21"/>
                <w:szCs w:val="21"/>
                <w:lang w:bidi="ar"/>
              </w:rPr>
              <w:t>银</w:t>
            </w:r>
          </w:p>
          <w:p>
            <w:pPr>
              <w:pStyle w:val="232"/>
              <w:rPr>
                <w:color w:val="000000" w:themeColor="text1"/>
                <w14:textFill>
                  <w14:solidFill>
                    <w14:schemeClr w14:val="tx1"/>
                  </w14:solidFill>
                </w14:textFill>
              </w:rPr>
            </w:pP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 金属指标》（</w:t>
            </w:r>
            <w:r>
              <w:rPr>
                <w:color w:val="000000"/>
                <w:kern w:val="0"/>
                <w:sz w:val="21"/>
                <w:szCs w:val="21"/>
                <w:lang w:bidi="ar"/>
              </w:rPr>
              <w:t>GB/T 5750.6-2006</w:t>
            </w:r>
            <w:r>
              <w:rPr>
                <w:rFonts w:hint="eastAsia" w:cs="宋体"/>
                <w:color w:val="000000"/>
                <w:kern w:val="0"/>
                <w:sz w:val="21"/>
                <w:szCs w:val="21"/>
                <w:lang w:bidi="ar"/>
              </w:rPr>
              <w:t>）（</w:t>
            </w:r>
            <w:r>
              <w:rPr>
                <w:color w:val="000000"/>
                <w:kern w:val="0"/>
                <w:sz w:val="21"/>
                <w:szCs w:val="21"/>
                <w:lang w:bidi="ar"/>
              </w:rPr>
              <w:t xml:space="preserve">12 </w:t>
            </w:r>
            <w:r>
              <w:rPr>
                <w:rFonts w:hint="eastAsia" w:cs="宋体"/>
                <w:color w:val="000000"/>
                <w:kern w:val="0"/>
                <w:sz w:val="21"/>
                <w:szCs w:val="21"/>
                <w:lang w:bidi="ar"/>
              </w:rPr>
              <w:t xml:space="preserve">银 </w:t>
            </w:r>
            <w:r>
              <w:rPr>
                <w:color w:val="000000"/>
                <w:kern w:val="0"/>
                <w:sz w:val="21"/>
                <w:szCs w:val="21"/>
                <w:lang w:bidi="ar"/>
              </w:rPr>
              <w:t xml:space="preserve">12.1 </w:t>
            </w:r>
            <w:r>
              <w:rPr>
                <w:rFonts w:hint="eastAsia" w:cs="宋体"/>
                <w:color w:val="000000"/>
                <w:kern w:val="0"/>
                <w:sz w:val="21"/>
                <w:szCs w:val="21"/>
                <w:lang w:bidi="ar"/>
              </w:rPr>
              <w:t>无火焰原子吸收分光光度法）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2.5µg/L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25</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硒</w:t>
            </w:r>
          </w:p>
        </w:tc>
        <w:tc>
          <w:tcPr>
            <w:tcW w:w="3317" w:type="pct"/>
            <w:tcBorders>
              <w:tl2br w:val="nil"/>
              <w:tr2bl w:val="nil"/>
            </w:tcBorders>
            <w:vAlign w:val="center"/>
          </w:tcPr>
          <w:p>
            <w:pPr>
              <w:widowControl/>
              <w:spacing w:line="240" w:lineRule="auto"/>
              <w:ind w:firstLine="0" w:firstLineChars="0"/>
              <w:jc w:val="center"/>
              <w:rPr>
                <w:rFonts w:cs="宋体"/>
                <w:color w:val="000000"/>
                <w:kern w:val="0"/>
                <w:sz w:val="21"/>
                <w:szCs w:val="21"/>
                <w:lang w:bidi="ar"/>
              </w:rPr>
            </w:pPr>
            <w:r>
              <w:rPr>
                <w:rFonts w:hint="eastAsia" w:cs="宋体"/>
                <w:color w:val="000000"/>
                <w:kern w:val="0"/>
                <w:sz w:val="21"/>
                <w:szCs w:val="21"/>
                <w:lang w:bidi="ar"/>
              </w:rPr>
              <w:t>《水质 汞、砷、硒、铋和锑的测定 原子荧光法》</w:t>
            </w:r>
          </w:p>
          <w:p>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s="宋体"/>
                <w:color w:val="000000"/>
                <w:kern w:val="0"/>
                <w:sz w:val="21"/>
                <w:szCs w:val="21"/>
                <w:lang w:bidi="ar"/>
              </w:rPr>
              <w:t>（</w:t>
            </w:r>
            <w:r>
              <w:rPr>
                <w:color w:val="000000"/>
                <w:kern w:val="0"/>
                <w:sz w:val="21"/>
                <w:szCs w:val="21"/>
                <w:lang w:bidi="ar"/>
              </w:rPr>
              <w:t>HJ 694-2014</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0.4µg/L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26</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总大肠菌群</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《生活饮用水标准检验方法 微生物指标》（</w:t>
            </w:r>
            <w:r>
              <w:rPr>
                <w:color w:val="000000"/>
                <w:kern w:val="0"/>
                <w:sz w:val="21"/>
                <w:szCs w:val="21"/>
                <w:lang w:bidi="ar"/>
              </w:rPr>
              <w:t>GB/T 5750.12-2006</w:t>
            </w:r>
            <w:r>
              <w:rPr>
                <w:rFonts w:hint="eastAsia" w:cs="宋体"/>
                <w:color w:val="000000"/>
                <w:kern w:val="0"/>
                <w:sz w:val="21"/>
                <w:szCs w:val="21"/>
                <w:lang w:bidi="ar"/>
              </w:rPr>
              <w:t>）（</w:t>
            </w:r>
            <w:r>
              <w:rPr>
                <w:color w:val="000000"/>
                <w:kern w:val="0"/>
                <w:sz w:val="21"/>
                <w:szCs w:val="21"/>
                <w:lang w:bidi="ar"/>
              </w:rPr>
              <w:t xml:space="preserve">2.1 </w:t>
            </w:r>
            <w:r>
              <w:rPr>
                <w:rFonts w:hint="eastAsia" w:cs="宋体"/>
                <w:color w:val="000000"/>
                <w:kern w:val="0"/>
                <w:sz w:val="21"/>
                <w:szCs w:val="21"/>
                <w:lang w:bidi="ar"/>
              </w:rPr>
              <w:t>总大肠菌群 多管发酵法）</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20MPN/L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5"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27</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细菌总数 （菌落总数）</w:t>
            </w:r>
          </w:p>
        </w:tc>
        <w:tc>
          <w:tcPr>
            <w:tcW w:w="3317"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细菌总数的测定 平皿计数法》（</w:t>
            </w:r>
            <w:r>
              <w:rPr>
                <w:color w:val="000000"/>
                <w:kern w:val="0"/>
                <w:sz w:val="21"/>
                <w:szCs w:val="21"/>
                <w:lang w:bidi="ar"/>
              </w:rPr>
              <w:t>HJ 1000-2018</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28</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钾</w:t>
            </w:r>
          </w:p>
        </w:tc>
        <w:tc>
          <w:tcPr>
            <w:tcW w:w="3317" w:type="pct"/>
            <w:vMerge w:val="restart"/>
            <w:tcBorders>
              <w:tl2br w:val="nil"/>
              <w:tr2bl w:val="nil"/>
            </w:tcBorders>
            <w:vAlign w:val="center"/>
          </w:tcPr>
          <w:p>
            <w:pPr>
              <w:widowControl/>
              <w:spacing w:line="240" w:lineRule="auto"/>
              <w:ind w:firstLine="0" w:firstLineChars="0"/>
              <w:jc w:val="center"/>
              <w:rPr>
                <w:sz w:val="21"/>
                <w:szCs w:val="21"/>
              </w:rPr>
            </w:pPr>
            <w:r>
              <w:rPr>
                <w:rFonts w:hint="eastAsia" w:cs="宋体"/>
                <w:color w:val="000000"/>
                <w:kern w:val="0"/>
                <w:sz w:val="21"/>
                <w:szCs w:val="21"/>
                <w:lang w:bidi="ar"/>
              </w:rPr>
              <w:t>《水质 钾和钠的测定 火焰原子吸收分光光度法》</w:t>
            </w:r>
          </w:p>
          <w:p>
            <w:pPr>
              <w:pStyle w:val="232"/>
              <w:rPr>
                <w:color w:val="000000" w:themeColor="text1"/>
                <w14:textFill>
                  <w14:solidFill>
                    <w14:schemeClr w14:val="tx1"/>
                  </w14:solidFill>
                </w14:textFill>
              </w:rPr>
            </w:pPr>
            <w:r>
              <w:rPr>
                <w:rFonts w:hint="eastAsia" w:cs="宋体"/>
                <w:color w:val="000000"/>
                <w:kern w:val="0"/>
                <w:lang w:bidi="ar"/>
              </w:rPr>
              <w:t>（</w:t>
            </w:r>
            <w:r>
              <w:rPr>
                <w:color w:val="000000"/>
                <w:kern w:val="0"/>
                <w:lang w:bidi="ar"/>
              </w:rPr>
              <w:t>GB 11904-1989</w:t>
            </w:r>
            <w:r>
              <w:rPr>
                <w:rFonts w:hint="eastAsia" w:cs="宋体"/>
                <w:color w:val="000000"/>
                <w:kern w:val="0"/>
                <w:lang w:bidi="ar"/>
              </w:rPr>
              <w:t>）</w:t>
            </w: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29</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钠</w:t>
            </w:r>
          </w:p>
        </w:tc>
        <w:tc>
          <w:tcPr>
            <w:tcW w:w="331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钙</w:t>
            </w:r>
          </w:p>
        </w:tc>
        <w:tc>
          <w:tcPr>
            <w:tcW w:w="3317" w:type="pct"/>
            <w:vMerge w:val="restar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《水质 钙和镁的测定 原子吸收分光光度法》（</w:t>
            </w:r>
            <w:r>
              <w:rPr>
                <w:color w:val="000000"/>
                <w:kern w:val="0"/>
                <w:sz w:val="21"/>
                <w:szCs w:val="21"/>
                <w:lang w:bidi="ar"/>
              </w:rPr>
              <w:t>GB 11905-89</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31</w:t>
            </w:r>
          </w:p>
        </w:tc>
        <w:tc>
          <w:tcPr>
            <w:tcW w:w="668"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镁</w:t>
            </w:r>
          </w:p>
        </w:tc>
        <w:tc>
          <w:tcPr>
            <w:tcW w:w="331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0.002mg/L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32</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碳酸根</w:t>
            </w:r>
          </w:p>
        </w:tc>
        <w:tc>
          <w:tcPr>
            <w:tcW w:w="3317" w:type="pct"/>
            <w:vMerge w:val="restar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rFonts w:hint="eastAsia" w:cs="宋体"/>
                <w:color w:val="000000"/>
                <w:kern w:val="0"/>
                <w:sz w:val="21"/>
                <w:szCs w:val="21"/>
                <w:lang w:bidi="ar"/>
              </w:rPr>
              <w:t xml:space="preserve">《地下水质分析方法 第 </w:t>
            </w:r>
            <w:r>
              <w:rPr>
                <w:color w:val="000000"/>
                <w:kern w:val="0"/>
                <w:sz w:val="21"/>
                <w:szCs w:val="21"/>
                <w:lang w:bidi="ar"/>
              </w:rPr>
              <w:t xml:space="preserve">49 </w:t>
            </w:r>
            <w:r>
              <w:rPr>
                <w:rFonts w:hint="eastAsia" w:cs="宋体"/>
                <w:color w:val="000000"/>
                <w:kern w:val="0"/>
                <w:sz w:val="21"/>
                <w:szCs w:val="21"/>
                <w:lang w:bidi="ar"/>
              </w:rPr>
              <w:t>部分：碳酸根、重碳酸根和氢氧根离子的测定 滴定法》（</w:t>
            </w:r>
            <w:r>
              <w:rPr>
                <w:color w:val="000000"/>
                <w:kern w:val="0"/>
                <w:sz w:val="21"/>
                <w:szCs w:val="21"/>
                <w:lang w:bidi="ar"/>
              </w:rPr>
              <w:t>DZ/T0064.49-2021</w:t>
            </w:r>
            <w:r>
              <w:rPr>
                <w:rFonts w:hint="eastAsia" w:cs="宋体"/>
                <w:color w:val="000000"/>
                <w:kern w:val="0"/>
                <w:sz w:val="21"/>
                <w:szCs w:val="21"/>
                <w:lang w:bidi="ar"/>
              </w:rPr>
              <w:t>）</w:t>
            </w:r>
          </w:p>
        </w:tc>
        <w:tc>
          <w:tcPr>
            <w:tcW w:w="722" w:type="pct"/>
            <w:tcBorders>
              <w:tl2br w:val="nil"/>
              <w:tr2bl w:val="nil"/>
            </w:tcBorders>
            <w:vAlign w:val="center"/>
          </w:tcPr>
          <w:p>
            <w:pPr>
              <w:widowControl/>
              <w:spacing w:line="240" w:lineRule="auto"/>
              <w:ind w:firstLine="0" w:firstLineChars="0"/>
              <w:jc w:val="center"/>
              <w:rPr>
                <w:color w:val="000000" w:themeColor="text1"/>
                <w:sz w:val="21"/>
                <w:szCs w:val="21"/>
                <w14:textFill>
                  <w14:solidFill>
                    <w14:schemeClr w14:val="tx1"/>
                  </w14:solidFill>
                </w14:textFill>
              </w:rPr>
            </w:pPr>
            <w:r>
              <w:rPr>
                <w:color w:val="000000"/>
                <w:kern w:val="0"/>
                <w:sz w:val="21"/>
                <w:szCs w:val="21"/>
                <w:lang w:bidi="ar"/>
              </w:rPr>
              <w:t>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291"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33</w:t>
            </w:r>
          </w:p>
        </w:tc>
        <w:tc>
          <w:tcPr>
            <w:tcW w:w="668" w:type="pct"/>
            <w:tcBorders>
              <w:tl2br w:val="nil"/>
              <w:tr2bl w:val="nil"/>
            </w:tcBorders>
            <w:vAlign w:val="center"/>
          </w:tcPr>
          <w:p>
            <w:pPr>
              <w:pStyle w:val="232"/>
              <w:rPr>
                <w:color w:val="000000" w:themeColor="text1"/>
                <w14:textFill>
                  <w14:solidFill>
                    <w14:schemeClr w14:val="tx1"/>
                  </w14:solidFill>
                </w14:textFill>
              </w:rPr>
            </w:pPr>
            <w:r>
              <w:rPr>
                <w:rFonts w:hint="eastAsia" w:cs="宋体"/>
                <w:color w:val="000000"/>
                <w:kern w:val="0"/>
                <w:lang w:bidi="ar"/>
              </w:rPr>
              <w:t>重碳酸根</w:t>
            </w:r>
          </w:p>
        </w:tc>
        <w:tc>
          <w:tcPr>
            <w:tcW w:w="3317" w:type="pct"/>
            <w:vMerge w:val="continue"/>
            <w:tcBorders>
              <w:tl2br w:val="nil"/>
              <w:tr2bl w:val="nil"/>
            </w:tcBorders>
            <w:vAlign w:val="center"/>
          </w:tcPr>
          <w:p>
            <w:pPr>
              <w:pStyle w:val="232"/>
              <w:rPr>
                <w:color w:val="000000" w:themeColor="text1"/>
                <w14:textFill>
                  <w14:solidFill>
                    <w14:schemeClr w14:val="tx1"/>
                  </w14:solidFill>
                </w14:textFill>
              </w:rPr>
            </w:pPr>
          </w:p>
        </w:tc>
        <w:tc>
          <w:tcPr>
            <w:tcW w:w="722" w:type="pct"/>
            <w:tcBorders>
              <w:tl2br w:val="nil"/>
              <w:tr2bl w:val="nil"/>
            </w:tcBorders>
            <w:vAlign w:val="center"/>
          </w:tcPr>
          <w:p>
            <w:pPr>
              <w:pStyle w:val="232"/>
              <w:rPr>
                <w:color w:val="000000" w:themeColor="text1"/>
                <w14:textFill>
                  <w14:solidFill>
                    <w14:schemeClr w14:val="tx1"/>
                  </w14:solidFill>
                </w14:textFill>
              </w:rPr>
            </w:pPr>
            <w:r>
              <w:rPr>
                <w:color w:val="000000"/>
                <w:kern w:val="0"/>
                <w:lang w:bidi="ar"/>
              </w:rPr>
              <w:t>5mg/</w:t>
            </w:r>
          </w:p>
        </w:tc>
      </w:tr>
    </w:tbl>
    <w:p>
      <w:pPr>
        <w:ind w:firstLine="480"/>
      </w:pPr>
    </w:p>
    <w:p>
      <w:pPr>
        <w:pStyle w:val="5"/>
      </w:pPr>
      <w:r>
        <w:rPr>
          <w:rFonts w:hint="eastAsia"/>
        </w:rPr>
        <w:t>监测结果</w:t>
      </w:r>
    </w:p>
    <w:p>
      <w:pPr>
        <w:widowControl/>
        <w:ind w:firstLine="480"/>
        <w:jc w:val="left"/>
        <w:rPr>
          <w:rFonts w:hint="eastAsia" w:ascii="宋体" w:hAnsi="宋体" w:cs="宋体"/>
          <w:color w:val="000000"/>
          <w:kern w:val="0"/>
          <w:lang w:bidi="ar"/>
        </w:rPr>
      </w:pPr>
      <w:r>
        <w:rPr>
          <w:rFonts w:hint="eastAsia" w:ascii="宋体" w:hAnsi="宋体" w:cs="宋体"/>
          <w:color w:val="000000"/>
          <w:kern w:val="0"/>
          <w:lang w:bidi="ar"/>
        </w:rPr>
        <w:t>地下水环境水质监测结果统计见表</w:t>
      </w:r>
      <w:r>
        <w:rPr>
          <w:rFonts w:hint="eastAsia"/>
          <w:color w:val="000000" w:themeColor="text1"/>
          <w14:textFill>
            <w14:solidFill>
              <w14:schemeClr w14:val="tx1"/>
            </w14:solidFill>
          </w14:textFill>
        </w:rPr>
        <w:t>4.2.3-3，</w:t>
      </w:r>
      <w:r>
        <w:rPr>
          <w:rFonts w:hint="eastAsia" w:ascii="宋体" w:hAnsi="宋体" w:cs="宋体"/>
          <w:color w:val="000000"/>
          <w:kern w:val="0"/>
          <w:lang w:bidi="ar"/>
        </w:rPr>
        <w:t>水位监测结果见表</w:t>
      </w:r>
      <w:r>
        <w:rPr>
          <w:rFonts w:hint="eastAsia"/>
          <w:color w:val="000000" w:themeColor="text1"/>
          <w14:textFill>
            <w14:solidFill>
              <w14:schemeClr w14:val="tx1"/>
            </w14:solidFill>
          </w14:textFill>
        </w:rPr>
        <w:t>4.2.3-4</w:t>
      </w:r>
      <w:r>
        <w:rPr>
          <w:rFonts w:hint="eastAsia" w:ascii="宋体" w:hAnsi="宋体" w:cs="宋体"/>
          <w:color w:val="000000"/>
          <w:kern w:val="0"/>
          <w:lang w:bidi="ar"/>
        </w:rPr>
        <w:t>。</w:t>
      </w:r>
    </w:p>
    <w:p>
      <w:pPr>
        <w:widowControl/>
        <w:ind w:firstLine="480"/>
        <w:jc w:val="left"/>
        <w:rPr>
          <w:rFonts w:hint="eastAsia" w:ascii="宋体" w:hAnsi="宋体" w:cs="宋体"/>
          <w:color w:val="000000"/>
          <w:kern w:val="0"/>
          <w:lang w:bidi="ar"/>
        </w:rPr>
      </w:pPr>
    </w:p>
    <w:p>
      <w:pPr>
        <w:pStyle w:val="6"/>
      </w:pPr>
      <w:r>
        <w:rPr>
          <w:rFonts w:hint="eastAsia"/>
        </w:rPr>
        <w:t>表4.2.3-3   地下水水质监测结果一览表 单位：mg/L</w:t>
      </w:r>
    </w:p>
    <w:tbl>
      <w:tblPr>
        <w:tblStyle w:val="39"/>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8"/>
        <w:gridCol w:w="1619"/>
        <w:gridCol w:w="1045"/>
        <w:gridCol w:w="1468"/>
        <w:gridCol w:w="1434"/>
        <w:gridCol w:w="1406"/>
        <w:gridCol w:w="13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 w:hRule="atLeast"/>
          <w:tblHeader/>
          <w:jc w:val="center"/>
        </w:trPr>
        <w:tc>
          <w:tcPr>
            <w:tcW w:w="397" w:type="pct"/>
            <w:vAlign w:val="center"/>
          </w:tcPr>
          <w:p>
            <w:pPr>
              <w:spacing w:line="240" w:lineRule="auto"/>
              <w:ind w:firstLine="0" w:firstLineChars="0"/>
              <w:jc w:val="center"/>
              <w:rPr>
                <w:sz w:val="21"/>
                <w:szCs w:val="21"/>
              </w:rPr>
            </w:pPr>
            <w:r>
              <w:rPr>
                <w:rFonts w:hint="eastAsia"/>
                <w:sz w:val="21"/>
                <w:szCs w:val="21"/>
              </w:rPr>
              <w:t>序号</w:t>
            </w:r>
          </w:p>
        </w:tc>
        <w:tc>
          <w:tcPr>
            <w:tcW w:w="914"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监测项目</w:t>
            </w:r>
          </w:p>
        </w:tc>
        <w:tc>
          <w:tcPr>
            <w:tcW w:w="526"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单位</w:t>
            </w:r>
          </w:p>
        </w:tc>
        <w:tc>
          <w:tcPr>
            <w:tcW w:w="830"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D1</w:t>
            </w:r>
          </w:p>
        </w:tc>
        <w:tc>
          <w:tcPr>
            <w:tcW w:w="811"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D13</w:t>
            </w:r>
          </w:p>
        </w:tc>
        <w:tc>
          <w:tcPr>
            <w:tcW w:w="795"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D2</w:t>
            </w:r>
          </w:p>
        </w:tc>
        <w:tc>
          <w:tcPr>
            <w:tcW w:w="723"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标准值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pH</w:t>
            </w:r>
          </w:p>
        </w:tc>
        <w:tc>
          <w:tcPr>
            <w:tcW w:w="526" w:type="pct"/>
            <w:vAlign w:val="center"/>
          </w:tcPr>
          <w:p>
            <w:pPr>
              <w:pStyle w:val="249"/>
              <w:spacing w:line="240" w:lineRule="auto"/>
              <w:ind w:firstLine="0" w:firstLineChars="0"/>
              <w:jc w:val="center"/>
              <w:rPr>
                <w:rFonts w:eastAsia="宋体"/>
                <w:sz w:val="21"/>
                <w:szCs w:val="21"/>
                <w:lang w:eastAsia="zh-CN"/>
              </w:rPr>
            </w:pP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8.36</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6.92</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7.60</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6.5～8.5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氨氮</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1.439</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0.294</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0.343</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0.50mg/L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3</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硝酸盐氮</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0.95</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0.75</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0.72</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20.0mg/L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4</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亚硝酸盐 氮</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0.003L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0.003L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0.003L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5</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挥发酚</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0.0003L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0.0003L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0.0003L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6</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氰化物</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7</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砷</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7.62×10</w:t>
            </w:r>
            <w:r>
              <w:rPr>
                <w:rFonts w:eastAsia="宋体"/>
                <w:sz w:val="21"/>
                <w:szCs w:val="21"/>
                <w:vertAlign w:val="superscript"/>
              </w:rPr>
              <w:t>-1</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5.51×10</w:t>
            </w:r>
            <w:r>
              <w:rPr>
                <w:rFonts w:eastAsia="宋体"/>
                <w:sz w:val="21"/>
                <w:szCs w:val="21"/>
                <w:vertAlign w:val="superscript"/>
              </w:rPr>
              <w:t>-2</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1.6 × 10</w:t>
            </w:r>
            <w:r>
              <w:rPr>
                <w:rFonts w:eastAsia="宋体"/>
                <w:sz w:val="21"/>
                <w:szCs w:val="21"/>
                <w:vertAlign w:val="superscript"/>
              </w:rPr>
              <w:t>-3</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8</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汞</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4.00× 10</w:t>
            </w:r>
            <w:r>
              <w:rPr>
                <w:rFonts w:eastAsia="宋体"/>
                <w:sz w:val="21"/>
                <w:szCs w:val="21"/>
                <w:vertAlign w:val="superscript"/>
              </w:rPr>
              <w:t>-5</w:t>
            </w:r>
            <w:r>
              <w:rPr>
                <w:rFonts w:eastAsia="宋体"/>
                <w:sz w:val="21"/>
                <w:szCs w:val="21"/>
              </w:rPr>
              <w:t xml:space="preserve"> 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4.00× 10</w:t>
            </w:r>
            <w:r>
              <w:rPr>
                <w:rFonts w:eastAsia="宋体"/>
                <w:sz w:val="21"/>
                <w:szCs w:val="21"/>
                <w:vertAlign w:val="superscript"/>
              </w:rPr>
              <w:t>-5</w:t>
            </w:r>
            <w:r>
              <w:rPr>
                <w:rFonts w:eastAsia="宋体"/>
                <w:sz w:val="21"/>
                <w:szCs w:val="21"/>
              </w:rPr>
              <w:t xml:space="preserve"> 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4.00× 10</w:t>
            </w:r>
            <w:r>
              <w:rPr>
                <w:rFonts w:eastAsia="宋体"/>
                <w:sz w:val="21"/>
                <w:szCs w:val="21"/>
                <w:vertAlign w:val="superscript"/>
              </w:rPr>
              <w:t>-5</w:t>
            </w:r>
            <w:r>
              <w:rPr>
                <w:rFonts w:eastAsia="宋体"/>
                <w:sz w:val="21"/>
                <w:szCs w:val="21"/>
              </w:rPr>
              <w:t xml:space="preserve"> 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9</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六价铬</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0.004L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0.004L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0.004L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10</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总硬度</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231</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476</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590</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450mg/L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11</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铅</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 × 10</w:t>
            </w:r>
            <w:r>
              <w:rPr>
                <w:rFonts w:eastAsia="宋体"/>
                <w:sz w:val="21"/>
                <w:szCs w:val="21"/>
                <w:vertAlign w:val="superscript"/>
              </w:rPr>
              <w:t>-3</w:t>
            </w:r>
            <w:r>
              <w:rPr>
                <w:rFonts w:eastAsia="宋体"/>
                <w:sz w:val="21"/>
                <w:szCs w:val="21"/>
              </w:rPr>
              <w:t>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 × 10</w:t>
            </w:r>
            <w:r>
              <w:rPr>
                <w:rFonts w:eastAsia="宋体"/>
                <w:sz w:val="21"/>
                <w:szCs w:val="21"/>
                <w:vertAlign w:val="superscript"/>
              </w:rPr>
              <w:t>-3</w:t>
            </w:r>
            <w:r>
              <w:rPr>
                <w:rFonts w:eastAsia="宋体"/>
                <w:sz w:val="21"/>
                <w:szCs w:val="21"/>
              </w:rPr>
              <w:t>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 × 10</w:t>
            </w:r>
            <w:r>
              <w:rPr>
                <w:rFonts w:eastAsia="宋体"/>
                <w:sz w:val="21"/>
                <w:szCs w:val="21"/>
                <w:vertAlign w:val="superscript"/>
              </w:rPr>
              <w:t>-3</w:t>
            </w:r>
            <w:r>
              <w:rPr>
                <w:rFonts w:eastAsia="宋体"/>
                <w:sz w:val="21"/>
                <w:szCs w:val="21"/>
              </w:rPr>
              <w:t>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12</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氟化物</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1.58</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0.70</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0. 12</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13</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镉</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5.0 × 10</w:t>
            </w:r>
            <w:r>
              <w:rPr>
                <w:rFonts w:eastAsia="宋体"/>
                <w:sz w:val="21"/>
                <w:szCs w:val="21"/>
                <w:vertAlign w:val="superscript"/>
              </w:rPr>
              <w:t>-4</w:t>
            </w:r>
            <w:r>
              <w:rPr>
                <w:rFonts w:eastAsia="宋体"/>
                <w:sz w:val="21"/>
                <w:szCs w:val="21"/>
              </w:rPr>
              <w:t>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5.0 × 10</w:t>
            </w:r>
            <w:r>
              <w:rPr>
                <w:rFonts w:eastAsia="宋体"/>
                <w:sz w:val="21"/>
                <w:szCs w:val="21"/>
                <w:vertAlign w:val="superscript"/>
              </w:rPr>
              <w:t>-4</w:t>
            </w:r>
            <w:r>
              <w:rPr>
                <w:rFonts w:eastAsia="宋体"/>
                <w:sz w:val="21"/>
                <w:szCs w:val="21"/>
              </w:rPr>
              <w:t>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5.0 × 10</w:t>
            </w:r>
            <w:r>
              <w:rPr>
                <w:rFonts w:eastAsia="宋体"/>
                <w:sz w:val="21"/>
                <w:szCs w:val="21"/>
                <w:vertAlign w:val="superscript"/>
              </w:rPr>
              <w:t>-4</w:t>
            </w:r>
            <w:r>
              <w:rPr>
                <w:rFonts w:eastAsia="宋体"/>
                <w:sz w:val="21"/>
                <w:szCs w:val="21"/>
              </w:rPr>
              <w:t>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14</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铁</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0.30</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0.03L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0. 12</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0.3mg/L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15</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锰</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0.08</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 10mg/L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16</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溶解性总固体</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2378</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659</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873</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17</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lang w:eastAsia="zh-CN"/>
              </w:rPr>
              <w:t>耗氧量（高锰酸盐指数）</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1.58</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1.63</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1.51</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3.0mg/L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18</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总大肠菌群</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MPN/100 mL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未检出</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未检出</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未检出</w:t>
            </w:r>
          </w:p>
        </w:tc>
        <w:tc>
          <w:tcPr>
            <w:tcW w:w="723" w:type="pct"/>
            <w:vAlign w:val="center"/>
          </w:tcPr>
          <w:p>
            <w:pPr>
              <w:pStyle w:val="249"/>
              <w:spacing w:line="240" w:lineRule="auto"/>
              <w:ind w:firstLine="0" w:firstLineChars="0"/>
              <w:jc w:val="center"/>
              <w:rPr>
                <w:rFonts w:eastAsia="宋体"/>
                <w:sz w:val="21"/>
                <w:szCs w:val="21"/>
              </w:rPr>
            </w:pPr>
            <w:r>
              <w:rPr>
                <w:rFonts w:eastAsia="宋体"/>
                <w:sz w:val="21"/>
                <w:szCs w:val="21"/>
              </w:rPr>
              <w:t>3.0</w:t>
            </w:r>
          </w:p>
          <w:p>
            <w:pPr>
              <w:pStyle w:val="249"/>
              <w:spacing w:line="240" w:lineRule="auto"/>
              <w:ind w:firstLine="0" w:firstLineChars="0"/>
              <w:jc w:val="center"/>
              <w:rPr>
                <w:rFonts w:eastAsia="宋体"/>
                <w:sz w:val="21"/>
                <w:szCs w:val="21"/>
                <w:lang w:eastAsia="zh-CN"/>
              </w:rPr>
            </w:pPr>
            <w:r>
              <w:rPr>
                <w:rFonts w:eastAsia="宋体"/>
                <w:sz w:val="21"/>
                <w:szCs w:val="21"/>
              </w:rPr>
              <w:t>MPN/100mL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19</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lang w:eastAsia="zh-CN"/>
              </w:rPr>
              <w:t>细菌总数</w:t>
            </w:r>
          </w:p>
          <w:p>
            <w:pPr>
              <w:pStyle w:val="249"/>
              <w:spacing w:line="240" w:lineRule="auto"/>
              <w:ind w:firstLine="0" w:firstLineChars="0"/>
              <w:jc w:val="center"/>
              <w:rPr>
                <w:rFonts w:eastAsia="宋体"/>
                <w:sz w:val="21"/>
                <w:szCs w:val="21"/>
                <w:lang w:eastAsia="zh-CN"/>
              </w:rPr>
            </w:pPr>
            <w:r>
              <w:rPr>
                <w:rFonts w:eastAsia="宋体"/>
                <w:sz w:val="21"/>
                <w:szCs w:val="21"/>
                <w:lang w:eastAsia="zh-CN"/>
              </w:rPr>
              <w:t>（菌落总数）</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CFU/mL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36</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42</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19</w:t>
            </w:r>
          </w:p>
        </w:tc>
        <w:tc>
          <w:tcPr>
            <w:tcW w:w="723" w:type="pct"/>
            <w:vAlign w:val="center"/>
          </w:tcPr>
          <w:p>
            <w:pPr>
              <w:pStyle w:val="249"/>
              <w:spacing w:line="240" w:lineRule="auto"/>
              <w:ind w:firstLine="0" w:firstLineChars="0"/>
              <w:jc w:val="center"/>
              <w:rPr>
                <w:rFonts w:eastAsia="宋体"/>
                <w:sz w:val="21"/>
                <w:szCs w:val="21"/>
              </w:rPr>
            </w:pPr>
            <w:r>
              <w:rPr>
                <w:rFonts w:eastAsia="宋体"/>
                <w:sz w:val="21"/>
                <w:szCs w:val="21"/>
              </w:rPr>
              <w:t>100</w:t>
            </w:r>
          </w:p>
          <w:p>
            <w:pPr>
              <w:pStyle w:val="249"/>
              <w:spacing w:line="240" w:lineRule="auto"/>
              <w:ind w:firstLine="0" w:firstLineChars="0"/>
              <w:jc w:val="center"/>
              <w:rPr>
                <w:rFonts w:eastAsia="宋体"/>
                <w:sz w:val="21"/>
                <w:szCs w:val="21"/>
                <w:lang w:eastAsia="zh-CN"/>
              </w:rPr>
            </w:pPr>
            <w:r>
              <w:rPr>
                <w:rFonts w:eastAsia="宋体"/>
                <w:sz w:val="21"/>
                <w:szCs w:val="21"/>
              </w:rPr>
              <w:t>CFU/mL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20</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镍</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 × 10</w:t>
            </w:r>
            <w:r>
              <w:rPr>
                <w:rFonts w:eastAsia="宋体"/>
                <w:sz w:val="21"/>
                <w:szCs w:val="21"/>
                <w:vertAlign w:val="superscript"/>
              </w:rPr>
              <w:t>-3</w:t>
            </w:r>
            <w:r>
              <w:rPr>
                <w:rFonts w:eastAsia="宋体"/>
                <w:sz w:val="21"/>
                <w:szCs w:val="21"/>
              </w:rPr>
              <w:t>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 × 10</w:t>
            </w:r>
            <w:r>
              <w:rPr>
                <w:rFonts w:eastAsia="宋体"/>
                <w:sz w:val="21"/>
                <w:szCs w:val="21"/>
                <w:vertAlign w:val="superscript"/>
              </w:rPr>
              <w:t>-3</w:t>
            </w:r>
            <w:r>
              <w:rPr>
                <w:rFonts w:eastAsia="宋体"/>
                <w:sz w:val="21"/>
                <w:szCs w:val="21"/>
              </w:rPr>
              <w:t>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 × 10</w:t>
            </w:r>
            <w:r>
              <w:rPr>
                <w:rFonts w:eastAsia="宋体"/>
                <w:sz w:val="21"/>
                <w:szCs w:val="21"/>
                <w:vertAlign w:val="superscript"/>
              </w:rPr>
              <w:t>-3</w:t>
            </w:r>
            <w:r>
              <w:rPr>
                <w:rFonts w:eastAsia="宋体"/>
                <w:sz w:val="21"/>
                <w:szCs w:val="21"/>
              </w:rPr>
              <w:t>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21</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钾</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1.96</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2.02</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4.75</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22</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钠</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803</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218</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178</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200mg/L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23</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钙</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9.87</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57.0</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49.5</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24</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镁</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14.6</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28.6</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14.3</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25</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碳酸根</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26</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重碳酸根</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1190</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247</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422</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27</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氯化物</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525</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234</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110</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28</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硫酸盐</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180</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215</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87</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color w:val="000000" w:themeColor="text1"/>
                <w14:textFill>
                  <w14:solidFill>
                    <w14:schemeClr w14:val="tx1"/>
                  </w14:solidFill>
                </w14:textFill>
              </w:rPr>
              <w:t>29</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锌</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rFonts w:hint="eastAsia"/>
                <w:color w:val="000000" w:themeColor="text1"/>
                <w14:textFill>
                  <w14:solidFill>
                    <w14:schemeClr w14:val="tx1"/>
                  </w14:solidFill>
                </w14:textFill>
              </w:rPr>
              <w:t>30</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铜</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rFonts w:hint="eastAsia"/>
                <w:color w:val="000000" w:themeColor="text1"/>
                <w14:textFill>
                  <w14:solidFill>
                    <w14:schemeClr w14:val="tx1"/>
                  </w14:solidFill>
                </w14:textFill>
              </w:rPr>
              <w:t>31</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铍</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µg/L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4.00× 10</w:t>
            </w:r>
            <w:r>
              <w:rPr>
                <w:rFonts w:eastAsia="宋体"/>
                <w:sz w:val="21"/>
                <w:szCs w:val="21"/>
                <w:vertAlign w:val="superscript"/>
              </w:rPr>
              <w:t>-5</w:t>
            </w:r>
            <w:r>
              <w:rPr>
                <w:rFonts w:eastAsia="宋体"/>
                <w:sz w:val="21"/>
                <w:szCs w:val="21"/>
              </w:rPr>
              <w:t xml:space="preserve"> 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4.00× 10</w:t>
            </w:r>
            <w:r>
              <w:rPr>
                <w:rFonts w:eastAsia="宋体"/>
                <w:sz w:val="21"/>
                <w:szCs w:val="21"/>
                <w:vertAlign w:val="superscript"/>
              </w:rPr>
              <w:t>-5</w:t>
            </w:r>
            <w:r>
              <w:rPr>
                <w:rFonts w:eastAsia="宋体"/>
                <w:sz w:val="21"/>
                <w:szCs w:val="21"/>
              </w:rPr>
              <w:t xml:space="preserve"> 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4.00× 10</w:t>
            </w:r>
            <w:r>
              <w:rPr>
                <w:rFonts w:eastAsia="宋体"/>
                <w:sz w:val="21"/>
                <w:szCs w:val="21"/>
                <w:vertAlign w:val="superscript"/>
              </w:rPr>
              <w:t>-5</w:t>
            </w:r>
            <w:r>
              <w:rPr>
                <w:rFonts w:eastAsia="宋体"/>
                <w:sz w:val="21"/>
                <w:szCs w:val="21"/>
              </w:rPr>
              <w:t xml:space="preserve"> 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rFonts w:hint="eastAsia"/>
                <w:color w:val="000000" w:themeColor="text1"/>
                <w14:textFill>
                  <w14:solidFill>
                    <w14:schemeClr w14:val="tx1"/>
                  </w14:solidFill>
                </w14:textFill>
              </w:rPr>
              <w:t>32</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银</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 × 10</w:t>
            </w:r>
            <w:r>
              <w:rPr>
                <w:rFonts w:eastAsia="宋体"/>
                <w:sz w:val="21"/>
                <w:szCs w:val="21"/>
                <w:vertAlign w:val="superscript"/>
              </w:rPr>
              <w:t>-3</w:t>
            </w:r>
            <w:r>
              <w:rPr>
                <w:rFonts w:eastAsia="宋体"/>
                <w:sz w:val="21"/>
                <w:szCs w:val="21"/>
              </w:rPr>
              <w:t>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 × 10</w:t>
            </w:r>
            <w:r>
              <w:rPr>
                <w:rFonts w:eastAsia="宋体"/>
                <w:sz w:val="21"/>
                <w:szCs w:val="21"/>
                <w:vertAlign w:val="superscript"/>
              </w:rPr>
              <w:t>-3</w:t>
            </w:r>
            <w:r>
              <w:rPr>
                <w:rFonts w:eastAsia="宋体"/>
                <w:sz w:val="21"/>
                <w:szCs w:val="21"/>
              </w:rPr>
              <w:t>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 × 10</w:t>
            </w:r>
            <w:r>
              <w:rPr>
                <w:rFonts w:eastAsia="宋体"/>
                <w:sz w:val="21"/>
                <w:szCs w:val="21"/>
                <w:vertAlign w:val="superscript"/>
              </w:rPr>
              <w:t>-3</w:t>
            </w:r>
            <w:r>
              <w:rPr>
                <w:rFonts w:eastAsia="宋体"/>
                <w:sz w:val="21"/>
                <w:szCs w:val="21"/>
              </w:rPr>
              <w:t>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97" w:type="pct"/>
            <w:vAlign w:val="center"/>
          </w:tcPr>
          <w:p>
            <w:pPr>
              <w:pStyle w:val="232"/>
            </w:pPr>
            <w:r>
              <w:rPr>
                <w:rFonts w:hint="eastAsia"/>
                <w:color w:val="000000" w:themeColor="text1"/>
                <w14:textFill>
                  <w14:solidFill>
                    <w14:schemeClr w14:val="tx1"/>
                  </w14:solidFill>
                </w14:textFill>
              </w:rPr>
              <w:t>33</w:t>
            </w:r>
          </w:p>
        </w:tc>
        <w:tc>
          <w:tcPr>
            <w:tcW w:w="91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硒</w:t>
            </w:r>
          </w:p>
        </w:tc>
        <w:tc>
          <w:tcPr>
            <w:tcW w:w="526"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mg/L</w:t>
            </w:r>
          </w:p>
        </w:tc>
        <w:tc>
          <w:tcPr>
            <w:tcW w:w="83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 × 10</w:t>
            </w:r>
            <w:r>
              <w:rPr>
                <w:rFonts w:eastAsia="宋体"/>
                <w:sz w:val="21"/>
                <w:szCs w:val="21"/>
                <w:vertAlign w:val="superscript"/>
              </w:rPr>
              <w:t>-4</w:t>
            </w:r>
            <w:r>
              <w:rPr>
                <w:rFonts w:eastAsia="宋体"/>
                <w:sz w:val="21"/>
                <w:szCs w:val="21"/>
              </w:rPr>
              <w:t>L</w:t>
            </w:r>
          </w:p>
        </w:tc>
        <w:tc>
          <w:tcPr>
            <w:tcW w:w="811"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 × 10</w:t>
            </w:r>
            <w:r>
              <w:rPr>
                <w:rFonts w:eastAsia="宋体"/>
                <w:sz w:val="21"/>
                <w:szCs w:val="21"/>
                <w:vertAlign w:val="superscript"/>
              </w:rPr>
              <w:t>-4</w:t>
            </w:r>
            <w:r>
              <w:rPr>
                <w:rFonts w:eastAsia="宋体"/>
                <w:sz w:val="21"/>
                <w:szCs w:val="21"/>
              </w:rPr>
              <w:t>L</w:t>
            </w:r>
          </w:p>
        </w:tc>
        <w:tc>
          <w:tcPr>
            <w:tcW w:w="795"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4.0 × 10</w:t>
            </w:r>
            <w:r>
              <w:rPr>
                <w:rFonts w:eastAsia="宋体"/>
                <w:sz w:val="21"/>
                <w:szCs w:val="21"/>
                <w:vertAlign w:val="superscript"/>
              </w:rPr>
              <w:t>-4</w:t>
            </w:r>
            <w:r>
              <w:rPr>
                <w:rFonts w:eastAsia="宋体"/>
                <w:sz w:val="21"/>
                <w:szCs w:val="21"/>
              </w:rPr>
              <w:t>L</w:t>
            </w:r>
          </w:p>
        </w:tc>
        <w:tc>
          <w:tcPr>
            <w:tcW w:w="723"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0.01mg/L</w:t>
            </w:r>
          </w:p>
        </w:tc>
      </w:tr>
    </w:tbl>
    <w:p>
      <w:pPr>
        <w:ind w:firstLine="480"/>
      </w:pPr>
    </w:p>
    <w:p>
      <w:pPr>
        <w:ind w:firstLine="480"/>
      </w:pPr>
    </w:p>
    <w:p>
      <w:pPr>
        <w:ind w:firstLine="480"/>
      </w:pPr>
    </w:p>
    <w:p>
      <w:pPr>
        <w:ind w:firstLine="480"/>
      </w:pPr>
    </w:p>
    <w:p>
      <w:pPr>
        <w:ind w:firstLine="480"/>
      </w:pPr>
    </w:p>
    <w:p>
      <w:pPr>
        <w:ind w:firstLine="480"/>
      </w:pPr>
    </w:p>
    <w:p>
      <w:pPr>
        <w:ind w:firstLine="480"/>
      </w:pPr>
    </w:p>
    <w:p>
      <w:pPr>
        <w:pStyle w:val="6"/>
        <w:rPr>
          <w:color w:val="000000" w:themeColor="text1"/>
          <w14:textFill>
            <w14:solidFill>
              <w14:schemeClr w14:val="tx1"/>
            </w14:solidFill>
          </w14:textFill>
        </w:rPr>
      </w:pPr>
      <w:r>
        <w:rPr>
          <w:rFonts w:hint="eastAsia"/>
        </w:rPr>
        <w:t>表</w:t>
      </w:r>
      <w:r>
        <w:rPr>
          <w:rFonts w:hint="eastAsia"/>
          <w:color w:val="000000" w:themeColor="text1"/>
          <w14:textFill>
            <w14:solidFill>
              <w14:schemeClr w14:val="tx1"/>
            </w14:solidFill>
          </w14:textFill>
        </w:rPr>
        <w:t>4.2.3-4  地下水水位监测结果一览表</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005"/>
        <w:gridCol w:w="1686"/>
        <w:gridCol w:w="1445"/>
        <w:gridCol w:w="1066"/>
        <w:gridCol w:w="1041"/>
        <w:gridCol w:w="1201"/>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76" w:type="pct"/>
            <w:vMerge w:val="restart"/>
            <w:vAlign w:val="center"/>
          </w:tcPr>
          <w:p>
            <w:pPr>
              <w:spacing w:line="240" w:lineRule="auto"/>
              <w:ind w:firstLine="0" w:firstLineChars="0"/>
              <w:jc w:val="center"/>
              <w:rPr>
                <w:sz w:val="21"/>
                <w:szCs w:val="21"/>
              </w:rPr>
            </w:pPr>
            <w:r>
              <w:rPr>
                <w:rFonts w:hint="eastAsia"/>
                <w:sz w:val="21"/>
                <w:szCs w:val="21"/>
              </w:rPr>
              <w:t>序号</w:t>
            </w:r>
          </w:p>
        </w:tc>
        <w:tc>
          <w:tcPr>
            <w:tcW w:w="558" w:type="pct"/>
            <w:vMerge w:val="restart"/>
            <w:vAlign w:val="center"/>
          </w:tcPr>
          <w:p>
            <w:pPr>
              <w:spacing w:line="240" w:lineRule="auto"/>
              <w:ind w:firstLine="0" w:firstLineChars="0"/>
              <w:jc w:val="center"/>
              <w:rPr>
                <w:sz w:val="21"/>
                <w:szCs w:val="21"/>
              </w:rPr>
            </w:pPr>
            <w:r>
              <w:rPr>
                <w:rFonts w:hint="eastAsia"/>
                <w:sz w:val="21"/>
                <w:szCs w:val="21"/>
              </w:rPr>
              <w:t>监测点</w:t>
            </w:r>
          </w:p>
        </w:tc>
        <w:tc>
          <w:tcPr>
            <w:tcW w:w="1738" w:type="pct"/>
            <w:gridSpan w:val="2"/>
            <w:vAlign w:val="center"/>
          </w:tcPr>
          <w:p>
            <w:pPr>
              <w:spacing w:line="240" w:lineRule="auto"/>
              <w:ind w:firstLine="0" w:firstLineChars="0"/>
              <w:jc w:val="center"/>
              <w:rPr>
                <w:sz w:val="21"/>
                <w:szCs w:val="21"/>
              </w:rPr>
            </w:pPr>
            <w:r>
              <w:rPr>
                <w:rFonts w:hint="eastAsia"/>
                <w:sz w:val="21"/>
                <w:szCs w:val="21"/>
              </w:rPr>
              <w:t>坐标</w:t>
            </w:r>
          </w:p>
        </w:tc>
        <w:tc>
          <w:tcPr>
            <w:tcW w:w="592" w:type="pct"/>
            <w:vMerge w:val="restart"/>
            <w:vAlign w:val="center"/>
          </w:tcPr>
          <w:p>
            <w:pPr>
              <w:spacing w:line="240" w:lineRule="auto"/>
              <w:ind w:firstLine="0" w:firstLineChars="0"/>
              <w:jc w:val="center"/>
              <w:rPr>
                <w:sz w:val="21"/>
                <w:szCs w:val="21"/>
              </w:rPr>
            </w:pPr>
            <w:r>
              <w:rPr>
                <w:rFonts w:hint="eastAsia"/>
                <w:sz w:val="21"/>
                <w:szCs w:val="21"/>
              </w:rPr>
              <w:t>海拔（m）</w:t>
            </w:r>
          </w:p>
        </w:tc>
        <w:tc>
          <w:tcPr>
            <w:tcW w:w="578" w:type="pct"/>
            <w:vMerge w:val="restart"/>
            <w:vAlign w:val="center"/>
          </w:tcPr>
          <w:p>
            <w:pPr>
              <w:spacing w:line="240" w:lineRule="auto"/>
              <w:ind w:firstLine="0" w:firstLineChars="0"/>
              <w:jc w:val="center"/>
              <w:rPr>
                <w:sz w:val="21"/>
                <w:szCs w:val="21"/>
              </w:rPr>
            </w:pPr>
            <w:r>
              <w:rPr>
                <w:rFonts w:hint="eastAsia"/>
                <w:sz w:val="21"/>
                <w:szCs w:val="21"/>
              </w:rPr>
              <w:t>水位埋深（m）</w:t>
            </w:r>
          </w:p>
        </w:tc>
        <w:tc>
          <w:tcPr>
            <w:tcW w:w="667" w:type="pct"/>
            <w:vMerge w:val="restart"/>
            <w:vAlign w:val="center"/>
          </w:tcPr>
          <w:p>
            <w:pPr>
              <w:spacing w:line="240" w:lineRule="auto"/>
              <w:ind w:firstLine="0" w:firstLineChars="0"/>
              <w:jc w:val="center"/>
              <w:rPr>
                <w:sz w:val="21"/>
                <w:szCs w:val="21"/>
              </w:rPr>
            </w:pPr>
            <w:r>
              <w:rPr>
                <w:rFonts w:hint="eastAsia"/>
                <w:sz w:val="21"/>
                <w:szCs w:val="21"/>
              </w:rPr>
              <w:t>水位标高（m）</w:t>
            </w:r>
          </w:p>
        </w:tc>
        <w:tc>
          <w:tcPr>
            <w:tcW w:w="487" w:type="pct"/>
            <w:vMerge w:val="restart"/>
            <w:vAlign w:val="center"/>
          </w:tcPr>
          <w:p>
            <w:pPr>
              <w:spacing w:line="240" w:lineRule="auto"/>
              <w:ind w:firstLine="0" w:firstLineChars="0"/>
              <w:jc w:val="center"/>
              <w:rPr>
                <w:sz w:val="21"/>
                <w:szCs w:val="21"/>
              </w:rPr>
            </w:pPr>
            <w:r>
              <w:rPr>
                <w:rFonts w:hint="eastAsia"/>
                <w:sz w:val="21"/>
                <w:szCs w:val="21"/>
              </w:rPr>
              <w:t>水井功能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76" w:type="pct"/>
            <w:vMerge w:val="continue"/>
            <w:vAlign w:val="center"/>
          </w:tcPr>
          <w:p>
            <w:pPr>
              <w:spacing w:line="240" w:lineRule="auto"/>
              <w:ind w:firstLine="0" w:firstLineChars="0"/>
              <w:jc w:val="center"/>
              <w:rPr>
                <w:sz w:val="21"/>
                <w:szCs w:val="21"/>
              </w:rPr>
            </w:pPr>
          </w:p>
        </w:tc>
        <w:tc>
          <w:tcPr>
            <w:tcW w:w="558" w:type="pct"/>
            <w:vMerge w:val="continue"/>
            <w:vAlign w:val="center"/>
          </w:tcPr>
          <w:p>
            <w:pPr>
              <w:spacing w:line="240" w:lineRule="auto"/>
              <w:ind w:firstLine="0" w:firstLineChars="0"/>
              <w:jc w:val="center"/>
              <w:rPr>
                <w:sz w:val="21"/>
                <w:szCs w:val="21"/>
              </w:rPr>
            </w:pPr>
          </w:p>
        </w:tc>
        <w:tc>
          <w:tcPr>
            <w:tcW w:w="936" w:type="pct"/>
            <w:vAlign w:val="center"/>
          </w:tcPr>
          <w:p>
            <w:pPr>
              <w:spacing w:line="240" w:lineRule="auto"/>
              <w:ind w:firstLine="0" w:firstLineChars="0"/>
              <w:jc w:val="center"/>
              <w:rPr>
                <w:sz w:val="21"/>
                <w:szCs w:val="21"/>
              </w:rPr>
            </w:pPr>
            <w:r>
              <w:rPr>
                <w:rFonts w:hint="eastAsia"/>
                <w:sz w:val="21"/>
                <w:szCs w:val="21"/>
              </w:rPr>
              <w:t>经度</w:t>
            </w:r>
          </w:p>
        </w:tc>
        <w:tc>
          <w:tcPr>
            <w:tcW w:w="802" w:type="pct"/>
            <w:vAlign w:val="center"/>
          </w:tcPr>
          <w:p>
            <w:pPr>
              <w:spacing w:line="240" w:lineRule="auto"/>
              <w:ind w:firstLine="0" w:firstLineChars="0"/>
              <w:jc w:val="center"/>
              <w:rPr>
                <w:sz w:val="21"/>
                <w:szCs w:val="21"/>
              </w:rPr>
            </w:pPr>
            <w:r>
              <w:rPr>
                <w:rFonts w:hint="eastAsia"/>
                <w:sz w:val="21"/>
                <w:szCs w:val="21"/>
              </w:rPr>
              <w:t>纬度</w:t>
            </w:r>
          </w:p>
        </w:tc>
        <w:tc>
          <w:tcPr>
            <w:tcW w:w="592" w:type="pct"/>
            <w:vMerge w:val="continue"/>
            <w:vAlign w:val="center"/>
          </w:tcPr>
          <w:p>
            <w:pPr>
              <w:spacing w:line="240" w:lineRule="auto"/>
              <w:ind w:firstLine="0" w:firstLineChars="0"/>
              <w:jc w:val="center"/>
              <w:rPr>
                <w:sz w:val="21"/>
                <w:szCs w:val="21"/>
              </w:rPr>
            </w:pPr>
          </w:p>
        </w:tc>
        <w:tc>
          <w:tcPr>
            <w:tcW w:w="578" w:type="pct"/>
            <w:vMerge w:val="continue"/>
            <w:vAlign w:val="center"/>
          </w:tcPr>
          <w:p>
            <w:pPr>
              <w:spacing w:line="240" w:lineRule="auto"/>
              <w:ind w:firstLine="0" w:firstLineChars="0"/>
              <w:jc w:val="center"/>
              <w:rPr>
                <w:sz w:val="21"/>
                <w:szCs w:val="21"/>
              </w:rPr>
            </w:pPr>
          </w:p>
        </w:tc>
        <w:tc>
          <w:tcPr>
            <w:tcW w:w="667" w:type="pct"/>
            <w:vMerge w:val="continue"/>
            <w:vAlign w:val="center"/>
          </w:tcPr>
          <w:p>
            <w:pPr>
              <w:spacing w:line="240" w:lineRule="auto"/>
              <w:ind w:firstLine="0" w:firstLineChars="0"/>
              <w:jc w:val="center"/>
              <w:rPr>
                <w:sz w:val="21"/>
                <w:szCs w:val="21"/>
              </w:rPr>
            </w:pPr>
          </w:p>
        </w:tc>
        <w:tc>
          <w:tcPr>
            <w:tcW w:w="487" w:type="pct"/>
            <w:vMerge w:val="continue"/>
            <w:vAlign w:val="center"/>
          </w:tcPr>
          <w:p>
            <w:pPr>
              <w:spacing w:line="240" w:lineRule="auto"/>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pPr>
              <w:spacing w:line="240" w:lineRule="auto"/>
              <w:ind w:firstLine="0" w:firstLineChars="0"/>
              <w:jc w:val="center"/>
              <w:rPr>
                <w:sz w:val="21"/>
                <w:szCs w:val="21"/>
              </w:rPr>
            </w:pPr>
            <w:r>
              <w:rPr>
                <w:rFonts w:hint="eastAsia"/>
                <w:sz w:val="21"/>
                <w:szCs w:val="21"/>
              </w:rPr>
              <w:t>D1</w:t>
            </w:r>
          </w:p>
        </w:tc>
        <w:tc>
          <w:tcPr>
            <w:tcW w:w="558" w:type="pct"/>
            <w:vAlign w:val="center"/>
          </w:tcPr>
          <w:p>
            <w:pPr>
              <w:widowControl/>
              <w:spacing w:line="240" w:lineRule="auto"/>
              <w:ind w:firstLine="0" w:firstLineChars="0"/>
              <w:jc w:val="center"/>
              <w:rPr>
                <w:sz w:val="21"/>
                <w:szCs w:val="21"/>
              </w:rPr>
            </w:pPr>
            <w:r>
              <w:rPr>
                <w:rFonts w:hint="eastAsia" w:cs="宋体"/>
                <w:kern w:val="0"/>
                <w:sz w:val="21"/>
                <w:szCs w:val="21"/>
                <w:lang w:bidi="ar"/>
              </w:rPr>
              <w:t>项目区上游</w:t>
            </w:r>
          </w:p>
        </w:tc>
        <w:tc>
          <w:tcPr>
            <w:tcW w:w="936" w:type="pct"/>
            <w:vAlign w:val="center"/>
          </w:tcPr>
          <w:p>
            <w:pPr>
              <w:widowControl/>
              <w:spacing w:line="240" w:lineRule="auto"/>
              <w:ind w:firstLine="0" w:firstLineChars="0"/>
              <w:jc w:val="center"/>
              <w:rPr>
                <w:sz w:val="21"/>
                <w:szCs w:val="21"/>
              </w:rPr>
            </w:pPr>
            <w:r>
              <w:rPr>
                <w:kern w:val="0"/>
                <w:sz w:val="21"/>
                <w:szCs w:val="21"/>
                <w:lang w:bidi="ar"/>
              </w:rPr>
              <w:t>107°46′0.00″</w:t>
            </w:r>
          </w:p>
        </w:tc>
        <w:tc>
          <w:tcPr>
            <w:tcW w:w="802" w:type="pct"/>
            <w:vAlign w:val="center"/>
          </w:tcPr>
          <w:p>
            <w:pPr>
              <w:widowControl/>
              <w:spacing w:line="240" w:lineRule="auto"/>
              <w:ind w:firstLine="0" w:firstLineChars="0"/>
              <w:jc w:val="center"/>
              <w:rPr>
                <w:sz w:val="21"/>
                <w:szCs w:val="21"/>
              </w:rPr>
            </w:pPr>
            <w:r>
              <w:rPr>
                <w:kern w:val="0"/>
                <w:sz w:val="21"/>
                <w:szCs w:val="21"/>
                <w:lang w:bidi="ar"/>
              </w:rPr>
              <w:t>41°6′35.26″</w:t>
            </w:r>
          </w:p>
        </w:tc>
        <w:tc>
          <w:tcPr>
            <w:tcW w:w="592" w:type="pct"/>
            <w:vAlign w:val="center"/>
          </w:tcPr>
          <w:p>
            <w:pPr>
              <w:pStyle w:val="249"/>
              <w:spacing w:line="240" w:lineRule="auto"/>
              <w:ind w:firstLine="0" w:firstLineChars="0"/>
              <w:jc w:val="center"/>
              <w:rPr>
                <w:rFonts w:eastAsia="宋体"/>
                <w:sz w:val="21"/>
                <w:szCs w:val="21"/>
                <w:lang w:eastAsia="zh-CN"/>
              </w:rPr>
            </w:pPr>
            <w:r>
              <w:rPr>
                <w:spacing w:val="1"/>
                <w:sz w:val="21"/>
                <w:szCs w:val="21"/>
              </w:rPr>
              <w:t>1030.44</w:t>
            </w:r>
          </w:p>
        </w:tc>
        <w:tc>
          <w:tcPr>
            <w:tcW w:w="578" w:type="pct"/>
            <w:vAlign w:val="center"/>
          </w:tcPr>
          <w:p>
            <w:pPr>
              <w:pStyle w:val="249"/>
              <w:spacing w:line="240" w:lineRule="auto"/>
              <w:ind w:firstLine="0" w:firstLineChars="0"/>
              <w:jc w:val="center"/>
              <w:rPr>
                <w:rFonts w:eastAsia="宋体"/>
                <w:sz w:val="21"/>
                <w:szCs w:val="21"/>
                <w:lang w:eastAsia="zh-CN"/>
              </w:rPr>
            </w:pPr>
            <w:r>
              <w:rPr>
                <w:spacing w:val="-2"/>
                <w:sz w:val="21"/>
                <w:szCs w:val="21"/>
              </w:rPr>
              <w:t>18.9</w:t>
            </w:r>
          </w:p>
        </w:tc>
        <w:tc>
          <w:tcPr>
            <w:tcW w:w="667" w:type="pct"/>
            <w:vAlign w:val="center"/>
          </w:tcPr>
          <w:p>
            <w:pPr>
              <w:pStyle w:val="249"/>
              <w:spacing w:line="240" w:lineRule="auto"/>
              <w:ind w:firstLine="0" w:firstLineChars="0"/>
              <w:jc w:val="center"/>
              <w:rPr>
                <w:rFonts w:eastAsia="宋体"/>
                <w:sz w:val="21"/>
                <w:szCs w:val="21"/>
                <w:lang w:eastAsia="zh-CN"/>
              </w:rPr>
            </w:pPr>
            <w:r>
              <w:rPr>
                <w:sz w:val="21"/>
                <w:szCs w:val="21"/>
              </w:rPr>
              <w:t>1011.54</w:t>
            </w:r>
          </w:p>
        </w:tc>
        <w:tc>
          <w:tcPr>
            <w:tcW w:w="487" w:type="pct"/>
            <w:vAlign w:val="center"/>
          </w:tcPr>
          <w:p>
            <w:pPr>
              <w:spacing w:line="240" w:lineRule="auto"/>
              <w:ind w:firstLine="0" w:firstLineChars="0"/>
              <w:jc w:val="center"/>
              <w:rPr>
                <w:sz w:val="21"/>
                <w:szCs w:val="21"/>
              </w:rPr>
            </w:pPr>
            <w:r>
              <w:rPr>
                <w:rFonts w:ascii="宋体" w:hAnsi="宋体" w:cs="宋体"/>
                <w:spacing w:val="7"/>
                <w:sz w:val="21"/>
                <w:szCs w:val="21"/>
              </w:rPr>
              <w:t>牲畜饮</w:t>
            </w:r>
            <w:r>
              <w:rPr>
                <w:rFonts w:ascii="宋体" w:hAnsi="宋体" w:cs="宋体"/>
                <w:sz w:val="21"/>
                <w:szCs w:val="21"/>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pPr>
              <w:spacing w:line="240" w:lineRule="auto"/>
              <w:ind w:firstLine="0" w:firstLineChars="0"/>
              <w:jc w:val="center"/>
              <w:rPr>
                <w:sz w:val="21"/>
                <w:szCs w:val="21"/>
              </w:rPr>
            </w:pPr>
            <w:r>
              <w:rPr>
                <w:rFonts w:hint="eastAsia"/>
                <w:sz w:val="21"/>
                <w:szCs w:val="21"/>
              </w:rPr>
              <w:t>D13</w:t>
            </w:r>
          </w:p>
        </w:tc>
        <w:tc>
          <w:tcPr>
            <w:tcW w:w="558" w:type="pct"/>
            <w:vAlign w:val="center"/>
          </w:tcPr>
          <w:p>
            <w:pPr>
              <w:spacing w:line="240" w:lineRule="auto"/>
              <w:ind w:firstLine="0" w:firstLineChars="0"/>
              <w:jc w:val="center"/>
              <w:rPr>
                <w:sz w:val="21"/>
                <w:szCs w:val="21"/>
              </w:rPr>
            </w:pPr>
            <w:r>
              <w:rPr>
                <w:rFonts w:hint="eastAsia"/>
                <w:sz w:val="21"/>
                <w:szCs w:val="21"/>
              </w:rPr>
              <w:t>项目区</w:t>
            </w:r>
          </w:p>
        </w:tc>
        <w:tc>
          <w:tcPr>
            <w:tcW w:w="936" w:type="pct"/>
            <w:vAlign w:val="center"/>
          </w:tcPr>
          <w:p>
            <w:pPr>
              <w:widowControl/>
              <w:spacing w:line="240" w:lineRule="auto"/>
              <w:ind w:firstLine="0" w:firstLineChars="0"/>
              <w:jc w:val="center"/>
              <w:rPr>
                <w:sz w:val="21"/>
                <w:szCs w:val="21"/>
              </w:rPr>
            </w:pPr>
            <w:r>
              <w:rPr>
                <w:kern w:val="0"/>
                <w:sz w:val="21"/>
                <w:szCs w:val="21"/>
                <w:lang w:bidi="ar"/>
              </w:rPr>
              <w:t>107°47′19.10″</w:t>
            </w:r>
          </w:p>
        </w:tc>
        <w:tc>
          <w:tcPr>
            <w:tcW w:w="802" w:type="pct"/>
            <w:vAlign w:val="center"/>
          </w:tcPr>
          <w:p>
            <w:pPr>
              <w:widowControl/>
              <w:spacing w:line="240" w:lineRule="auto"/>
              <w:ind w:firstLine="0" w:firstLineChars="0"/>
              <w:jc w:val="center"/>
              <w:rPr>
                <w:sz w:val="21"/>
                <w:szCs w:val="21"/>
              </w:rPr>
            </w:pPr>
            <w:r>
              <w:rPr>
                <w:kern w:val="0"/>
                <w:sz w:val="21"/>
                <w:szCs w:val="21"/>
                <w:lang w:bidi="ar"/>
              </w:rPr>
              <w:t>41°6′25.19″</w:t>
            </w:r>
          </w:p>
        </w:tc>
        <w:tc>
          <w:tcPr>
            <w:tcW w:w="592" w:type="pct"/>
            <w:vAlign w:val="center"/>
          </w:tcPr>
          <w:p>
            <w:pPr>
              <w:pStyle w:val="249"/>
              <w:spacing w:line="240" w:lineRule="auto"/>
              <w:ind w:firstLine="0" w:firstLineChars="0"/>
              <w:jc w:val="center"/>
              <w:rPr>
                <w:rFonts w:eastAsia="宋体"/>
                <w:b/>
                <w:bCs/>
                <w:sz w:val="21"/>
                <w:szCs w:val="21"/>
                <w:lang w:eastAsia="zh-CN"/>
              </w:rPr>
            </w:pPr>
            <w:r>
              <w:rPr>
                <w:spacing w:val="1"/>
                <w:sz w:val="21"/>
                <w:szCs w:val="21"/>
              </w:rPr>
              <w:t>1027.22</w:t>
            </w:r>
          </w:p>
        </w:tc>
        <w:tc>
          <w:tcPr>
            <w:tcW w:w="578" w:type="pct"/>
            <w:vAlign w:val="center"/>
          </w:tcPr>
          <w:p>
            <w:pPr>
              <w:pStyle w:val="249"/>
              <w:spacing w:line="240" w:lineRule="auto"/>
              <w:ind w:firstLine="0" w:firstLineChars="0"/>
              <w:jc w:val="center"/>
              <w:rPr>
                <w:rFonts w:eastAsia="宋体"/>
                <w:b/>
                <w:bCs/>
                <w:sz w:val="21"/>
                <w:szCs w:val="21"/>
                <w:lang w:eastAsia="zh-CN"/>
              </w:rPr>
            </w:pPr>
            <w:r>
              <w:rPr>
                <w:spacing w:val="1"/>
                <w:sz w:val="21"/>
                <w:szCs w:val="21"/>
              </w:rPr>
              <w:t>9.9</w:t>
            </w:r>
          </w:p>
        </w:tc>
        <w:tc>
          <w:tcPr>
            <w:tcW w:w="667" w:type="pct"/>
            <w:vAlign w:val="center"/>
          </w:tcPr>
          <w:p>
            <w:pPr>
              <w:pStyle w:val="249"/>
              <w:spacing w:line="240" w:lineRule="auto"/>
              <w:ind w:firstLine="0" w:firstLineChars="0"/>
              <w:jc w:val="center"/>
              <w:rPr>
                <w:rFonts w:eastAsia="宋体"/>
                <w:b/>
                <w:bCs/>
                <w:sz w:val="21"/>
                <w:szCs w:val="21"/>
                <w:lang w:eastAsia="zh-CN"/>
              </w:rPr>
            </w:pPr>
            <w:r>
              <w:rPr>
                <w:spacing w:val="1"/>
                <w:sz w:val="21"/>
                <w:szCs w:val="21"/>
              </w:rPr>
              <w:t>1017.32</w:t>
            </w:r>
          </w:p>
        </w:tc>
        <w:tc>
          <w:tcPr>
            <w:tcW w:w="487" w:type="pct"/>
            <w:vAlign w:val="center"/>
          </w:tcPr>
          <w:p>
            <w:pPr>
              <w:spacing w:line="240" w:lineRule="auto"/>
              <w:ind w:firstLine="0" w:firstLineChars="0"/>
              <w:jc w:val="center"/>
              <w:rPr>
                <w:b/>
                <w:bCs/>
                <w:sz w:val="21"/>
                <w:szCs w:val="21"/>
              </w:rPr>
            </w:pPr>
            <w:r>
              <w:rPr>
                <w:rFonts w:ascii="宋体" w:hAnsi="宋体" w:cs="宋体"/>
                <w:spacing w:val="6"/>
                <w:sz w:val="21"/>
                <w:szCs w:val="21"/>
              </w:rPr>
              <w:t>监测井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pPr>
              <w:spacing w:line="240" w:lineRule="auto"/>
              <w:ind w:firstLine="0" w:firstLineChars="0"/>
              <w:jc w:val="center"/>
              <w:rPr>
                <w:sz w:val="21"/>
                <w:szCs w:val="21"/>
              </w:rPr>
            </w:pPr>
            <w:r>
              <w:rPr>
                <w:rFonts w:hint="eastAsia"/>
                <w:sz w:val="21"/>
                <w:szCs w:val="21"/>
              </w:rPr>
              <w:t>D2</w:t>
            </w:r>
          </w:p>
        </w:tc>
        <w:tc>
          <w:tcPr>
            <w:tcW w:w="558" w:type="pct"/>
            <w:vAlign w:val="center"/>
          </w:tcPr>
          <w:p>
            <w:pPr>
              <w:widowControl/>
              <w:spacing w:line="240" w:lineRule="auto"/>
              <w:ind w:firstLine="0" w:firstLineChars="0"/>
              <w:jc w:val="center"/>
              <w:rPr>
                <w:sz w:val="21"/>
                <w:szCs w:val="21"/>
              </w:rPr>
            </w:pPr>
            <w:r>
              <w:rPr>
                <w:rFonts w:hint="eastAsia" w:cs="宋体"/>
                <w:kern w:val="0"/>
                <w:sz w:val="21"/>
                <w:szCs w:val="21"/>
                <w:lang w:bidi="ar"/>
              </w:rPr>
              <w:t>项目区下游</w:t>
            </w:r>
          </w:p>
        </w:tc>
        <w:tc>
          <w:tcPr>
            <w:tcW w:w="936" w:type="pct"/>
            <w:vAlign w:val="center"/>
          </w:tcPr>
          <w:p>
            <w:pPr>
              <w:widowControl/>
              <w:spacing w:line="240" w:lineRule="auto"/>
              <w:ind w:firstLine="0" w:firstLineChars="0"/>
              <w:jc w:val="center"/>
              <w:rPr>
                <w:sz w:val="21"/>
                <w:szCs w:val="21"/>
              </w:rPr>
            </w:pPr>
            <w:r>
              <w:rPr>
                <w:kern w:val="0"/>
                <w:sz w:val="21"/>
                <w:szCs w:val="21"/>
                <w:lang w:bidi="ar"/>
              </w:rPr>
              <w:t>107°47′24.39″</w:t>
            </w:r>
          </w:p>
        </w:tc>
        <w:tc>
          <w:tcPr>
            <w:tcW w:w="802" w:type="pct"/>
            <w:vAlign w:val="center"/>
          </w:tcPr>
          <w:p>
            <w:pPr>
              <w:widowControl/>
              <w:spacing w:line="240" w:lineRule="auto"/>
              <w:ind w:firstLine="0" w:firstLineChars="0"/>
              <w:jc w:val="center"/>
              <w:rPr>
                <w:sz w:val="21"/>
                <w:szCs w:val="21"/>
              </w:rPr>
            </w:pPr>
            <w:r>
              <w:rPr>
                <w:kern w:val="0"/>
                <w:sz w:val="21"/>
                <w:szCs w:val="21"/>
                <w:lang w:bidi="ar"/>
              </w:rPr>
              <w:t>41°5′48.30″</w:t>
            </w:r>
          </w:p>
        </w:tc>
        <w:tc>
          <w:tcPr>
            <w:tcW w:w="592" w:type="pct"/>
            <w:vAlign w:val="center"/>
          </w:tcPr>
          <w:p>
            <w:pPr>
              <w:pStyle w:val="249"/>
              <w:spacing w:line="240" w:lineRule="auto"/>
              <w:ind w:firstLine="0" w:firstLineChars="0"/>
              <w:jc w:val="center"/>
              <w:rPr>
                <w:rFonts w:eastAsia="宋体"/>
                <w:sz w:val="21"/>
                <w:szCs w:val="21"/>
                <w:lang w:eastAsia="zh-CN"/>
              </w:rPr>
            </w:pPr>
            <w:r>
              <w:rPr>
                <w:spacing w:val="1"/>
                <w:sz w:val="21"/>
                <w:szCs w:val="21"/>
              </w:rPr>
              <w:t>1030.52</w:t>
            </w:r>
          </w:p>
        </w:tc>
        <w:tc>
          <w:tcPr>
            <w:tcW w:w="578" w:type="pct"/>
            <w:vAlign w:val="center"/>
          </w:tcPr>
          <w:p>
            <w:pPr>
              <w:pStyle w:val="249"/>
              <w:spacing w:line="240" w:lineRule="auto"/>
              <w:ind w:firstLine="0" w:firstLineChars="0"/>
              <w:jc w:val="center"/>
              <w:rPr>
                <w:rFonts w:eastAsia="宋体"/>
                <w:sz w:val="21"/>
                <w:szCs w:val="21"/>
                <w:lang w:eastAsia="zh-CN"/>
              </w:rPr>
            </w:pPr>
            <w:r>
              <w:rPr>
                <w:spacing w:val="3"/>
                <w:sz w:val="21"/>
                <w:szCs w:val="21"/>
              </w:rPr>
              <w:t>23.9</w:t>
            </w:r>
          </w:p>
        </w:tc>
        <w:tc>
          <w:tcPr>
            <w:tcW w:w="667" w:type="pct"/>
            <w:vAlign w:val="center"/>
          </w:tcPr>
          <w:p>
            <w:pPr>
              <w:pStyle w:val="249"/>
              <w:spacing w:line="240" w:lineRule="auto"/>
              <w:ind w:firstLine="0" w:firstLineChars="0"/>
              <w:jc w:val="center"/>
              <w:rPr>
                <w:rFonts w:eastAsia="宋体"/>
                <w:sz w:val="21"/>
                <w:szCs w:val="21"/>
                <w:lang w:eastAsia="zh-CN"/>
              </w:rPr>
            </w:pPr>
            <w:r>
              <w:rPr>
                <w:spacing w:val="1"/>
                <w:sz w:val="21"/>
                <w:szCs w:val="21"/>
              </w:rPr>
              <w:t>1006.62</w:t>
            </w:r>
          </w:p>
        </w:tc>
        <w:tc>
          <w:tcPr>
            <w:tcW w:w="487" w:type="pct"/>
            <w:vAlign w:val="center"/>
          </w:tcPr>
          <w:p>
            <w:pPr>
              <w:spacing w:line="240" w:lineRule="auto"/>
              <w:ind w:firstLine="0" w:firstLineChars="0"/>
              <w:jc w:val="center"/>
              <w:rPr>
                <w:sz w:val="21"/>
                <w:szCs w:val="21"/>
              </w:rPr>
            </w:pPr>
            <w:r>
              <w:rPr>
                <w:rFonts w:ascii="宋体" w:hAnsi="宋体" w:cs="宋体"/>
                <w:spacing w:val="4"/>
                <w:sz w:val="21"/>
                <w:szCs w:val="21"/>
              </w:rPr>
              <w:t>饮用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pPr>
              <w:spacing w:line="240" w:lineRule="auto"/>
              <w:ind w:firstLine="0" w:firstLineChars="0"/>
              <w:jc w:val="center"/>
              <w:rPr>
                <w:sz w:val="21"/>
                <w:szCs w:val="21"/>
              </w:rPr>
            </w:pPr>
            <w:r>
              <w:rPr>
                <w:rFonts w:hint="eastAsia"/>
                <w:sz w:val="21"/>
                <w:szCs w:val="21"/>
              </w:rPr>
              <w:t>D3</w:t>
            </w:r>
          </w:p>
        </w:tc>
        <w:tc>
          <w:tcPr>
            <w:tcW w:w="558" w:type="pct"/>
            <w:vAlign w:val="center"/>
          </w:tcPr>
          <w:p>
            <w:pPr>
              <w:spacing w:line="240" w:lineRule="auto"/>
              <w:ind w:firstLine="0" w:firstLineChars="0"/>
              <w:jc w:val="center"/>
              <w:rPr>
                <w:sz w:val="21"/>
                <w:szCs w:val="21"/>
              </w:rPr>
            </w:pPr>
            <w:r>
              <w:rPr>
                <w:rFonts w:hint="eastAsia" w:cs="宋体"/>
                <w:kern w:val="0"/>
                <w:sz w:val="21"/>
                <w:szCs w:val="21"/>
                <w:lang w:bidi="ar"/>
              </w:rPr>
              <w:t>项目区下游</w:t>
            </w:r>
          </w:p>
        </w:tc>
        <w:tc>
          <w:tcPr>
            <w:tcW w:w="936" w:type="pct"/>
            <w:vAlign w:val="center"/>
          </w:tcPr>
          <w:p>
            <w:pPr>
              <w:widowControl/>
              <w:spacing w:line="240" w:lineRule="auto"/>
              <w:ind w:firstLine="0" w:firstLineChars="0"/>
              <w:jc w:val="center"/>
              <w:rPr>
                <w:sz w:val="21"/>
                <w:szCs w:val="21"/>
              </w:rPr>
            </w:pPr>
            <w:r>
              <w:rPr>
                <w:kern w:val="0"/>
                <w:sz w:val="21"/>
                <w:szCs w:val="21"/>
                <w:lang w:bidi="ar"/>
              </w:rPr>
              <w:t>107°48′4.79″</w:t>
            </w:r>
          </w:p>
        </w:tc>
        <w:tc>
          <w:tcPr>
            <w:tcW w:w="802" w:type="pct"/>
            <w:vAlign w:val="center"/>
          </w:tcPr>
          <w:p>
            <w:pPr>
              <w:widowControl/>
              <w:spacing w:line="240" w:lineRule="auto"/>
              <w:ind w:firstLine="0" w:firstLineChars="0"/>
              <w:jc w:val="center"/>
              <w:rPr>
                <w:sz w:val="21"/>
                <w:szCs w:val="21"/>
              </w:rPr>
            </w:pPr>
            <w:r>
              <w:rPr>
                <w:kern w:val="0"/>
                <w:sz w:val="21"/>
                <w:szCs w:val="21"/>
                <w:lang w:bidi="ar"/>
              </w:rPr>
              <w:t>41°6′3.78″</w:t>
            </w:r>
          </w:p>
        </w:tc>
        <w:tc>
          <w:tcPr>
            <w:tcW w:w="592" w:type="pct"/>
            <w:vAlign w:val="center"/>
          </w:tcPr>
          <w:p>
            <w:pPr>
              <w:pStyle w:val="249"/>
              <w:spacing w:line="240" w:lineRule="auto"/>
              <w:ind w:firstLine="0" w:firstLineChars="0"/>
              <w:jc w:val="center"/>
              <w:rPr>
                <w:rFonts w:eastAsia="宋体"/>
                <w:sz w:val="21"/>
                <w:szCs w:val="21"/>
                <w:lang w:eastAsia="zh-CN"/>
              </w:rPr>
            </w:pPr>
            <w:r>
              <w:rPr>
                <w:spacing w:val="1"/>
                <w:sz w:val="21"/>
                <w:szCs w:val="21"/>
              </w:rPr>
              <w:t>1030.54</w:t>
            </w:r>
          </w:p>
        </w:tc>
        <w:tc>
          <w:tcPr>
            <w:tcW w:w="578" w:type="pct"/>
            <w:vAlign w:val="center"/>
          </w:tcPr>
          <w:p>
            <w:pPr>
              <w:pStyle w:val="249"/>
              <w:spacing w:line="240" w:lineRule="auto"/>
              <w:ind w:firstLine="0" w:firstLineChars="0"/>
              <w:jc w:val="center"/>
              <w:rPr>
                <w:rFonts w:eastAsia="宋体"/>
                <w:sz w:val="21"/>
                <w:szCs w:val="21"/>
                <w:lang w:eastAsia="zh-CN"/>
              </w:rPr>
            </w:pPr>
            <w:r>
              <w:rPr>
                <w:spacing w:val="3"/>
                <w:sz w:val="21"/>
                <w:szCs w:val="21"/>
              </w:rPr>
              <w:t>24.0</w:t>
            </w:r>
          </w:p>
        </w:tc>
        <w:tc>
          <w:tcPr>
            <w:tcW w:w="667" w:type="pct"/>
            <w:vAlign w:val="center"/>
          </w:tcPr>
          <w:p>
            <w:pPr>
              <w:pStyle w:val="249"/>
              <w:spacing w:line="240" w:lineRule="auto"/>
              <w:ind w:firstLine="0" w:firstLineChars="0"/>
              <w:jc w:val="center"/>
              <w:rPr>
                <w:rFonts w:eastAsia="宋体"/>
                <w:sz w:val="21"/>
                <w:szCs w:val="21"/>
                <w:lang w:eastAsia="zh-CN"/>
              </w:rPr>
            </w:pPr>
            <w:r>
              <w:rPr>
                <w:spacing w:val="1"/>
                <w:sz w:val="21"/>
                <w:szCs w:val="21"/>
              </w:rPr>
              <w:t>1006.54</w:t>
            </w:r>
          </w:p>
        </w:tc>
        <w:tc>
          <w:tcPr>
            <w:tcW w:w="487" w:type="pct"/>
            <w:vAlign w:val="center"/>
          </w:tcPr>
          <w:p>
            <w:pPr>
              <w:spacing w:line="240" w:lineRule="auto"/>
              <w:ind w:firstLine="0" w:firstLineChars="0"/>
              <w:jc w:val="center"/>
              <w:rPr>
                <w:sz w:val="21"/>
                <w:szCs w:val="21"/>
              </w:rPr>
            </w:pPr>
            <w:r>
              <w:rPr>
                <w:rFonts w:ascii="宋体" w:hAnsi="宋体" w:cs="宋体"/>
                <w:spacing w:val="4"/>
                <w:sz w:val="21"/>
                <w:szCs w:val="21"/>
              </w:rPr>
              <w:t>饮用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pPr>
              <w:spacing w:line="240" w:lineRule="auto"/>
              <w:ind w:firstLine="0" w:firstLineChars="0"/>
              <w:jc w:val="center"/>
              <w:rPr>
                <w:sz w:val="21"/>
                <w:szCs w:val="21"/>
              </w:rPr>
            </w:pPr>
            <w:r>
              <w:rPr>
                <w:rFonts w:hint="eastAsia"/>
                <w:sz w:val="21"/>
                <w:szCs w:val="21"/>
              </w:rPr>
              <w:t>D6</w:t>
            </w:r>
          </w:p>
        </w:tc>
        <w:tc>
          <w:tcPr>
            <w:tcW w:w="558" w:type="pct"/>
            <w:vAlign w:val="center"/>
          </w:tcPr>
          <w:p>
            <w:pPr>
              <w:widowControl/>
              <w:spacing w:line="240" w:lineRule="auto"/>
              <w:ind w:firstLine="0" w:firstLineChars="0"/>
              <w:jc w:val="center"/>
              <w:rPr>
                <w:sz w:val="21"/>
                <w:szCs w:val="21"/>
              </w:rPr>
            </w:pPr>
            <w:r>
              <w:rPr>
                <w:rFonts w:hint="eastAsia" w:cs="宋体"/>
                <w:kern w:val="0"/>
                <w:sz w:val="21"/>
                <w:szCs w:val="21"/>
                <w:lang w:bidi="ar"/>
              </w:rPr>
              <w:t>项目区周边</w:t>
            </w:r>
          </w:p>
        </w:tc>
        <w:tc>
          <w:tcPr>
            <w:tcW w:w="936" w:type="pct"/>
            <w:vAlign w:val="center"/>
          </w:tcPr>
          <w:p>
            <w:pPr>
              <w:widowControl/>
              <w:spacing w:line="240" w:lineRule="auto"/>
              <w:ind w:firstLine="0" w:firstLineChars="0"/>
              <w:jc w:val="center"/>
              <w:rPr>
                <w:sz w:val="21"/>
                <w:szCs w:val="21"/>
              </w:rPr>
            </w:pPr>
            <w:r>
              <w:rPr>
                <w:kern w:val="0"/>
                <w:sz w:val="21"/>
                <w:szCs w:val="21"/>
                <w:lang w:bidi="ar"/>
              </w:rPr>
              <w:t>107°45′55.42″</w:t>
            </w:r>
          </w:p>
        </w:tc>
        <w:tc>
          <w:tcPr>
            <w:tcW w:w="802" w:type="pct"/>
            <w:vAlign w:val="center"/>
          </w:tcPr>
          <w:p>
            <w:pPr>
              <w:widowControl/>
              <w:spacing w:line="240" w:lineRule="auto"/>
              <w:ind w:firstLine="0" w:firstLineChars="0"/>
              <w:jc w:val="center"/>
              <w:rPr>
                <w:sz w:val="21"/>
                <w:szCs w:val="21"/>
              </w:rPr>
            </w:pPr>
            <w:r>
              <w:rPr>
                <w:kern w:val="0"/>
                <w:sz w:val="21"/>
                <w:szCs w:val="21"/>
                <w:lang w:bidi="ar"/>
              </w:rPr>
              <w:t>41°5′47.30″</w:t>
            </w:r>
          </w:p>
        </w:tc>
        <w:tc>
          <w:tcPr>
            <w:tcW w:w="592" w:type="pct"/>
            <w:vAlign w:val="center"/>
          </w:tcPr>
          <w:p>
            <w:pPr>
              <w:pStyle w:val="249"/>
              <w:spacing w:line="240" w:lineRule="auto"/>
              <w:ind w:firstLine="0" w:firstLineChars="0"/>
              <w:jc w:val="center"/>
              <w:rPr>
                <w:rFonts w:eastAsia="宋体"/>
                <w:sz w:val="21"/>
                <w:szCs w:val="21"/>
                <w:lang w:eastAsia="zh-CN"/>
              </w:rPr>
            </w:pPr>
            <w:r>
              <w:rPr>
                <w:spacing w:val="1"/>
                <w:sz w:val="21"/>
                <w:szCs w:val="21"/>
              </w:rPr>
              <w:t>1029.19</w:t>
            </w:r>
          </w:p>
        </w:tc>
        <w:tc>
          <w:tcPr>
            <w:tcW w:w="578" w:type="pct"/>
            <w:vAlign w:val="center"/>
          </w:tcPr>
          <w:p>
            <w:pPr>
              <w:pStyle w:val="249"/>
              <w:spacing w:line="240" w:lineRule="auto"/>
              <w:ind w:firstLine="0" w:firstLineChars="0"/>
              <w:jc w:val="center"/>
              <w:rPr>
                <w:rFonts w:eastAsia="宋体"/>
                <w:sz w:val="21"/>
                <w:szCs w:val="21"/>
                <w:lang w:eastAsia="zh-CN"/>
              </w:rPr>
            </w:pPr>
            <w:r>
              <w:rPr>
                <w:spacing w:val="2"/>
                <w:sz w:val="21"/>
                <w:szCs w:val="21"/>
              </w:rPr>
              <w:t>20.</w:t>
            </w:r>
            <w:r>
              <w:rPr>
                <w:spacing w:val="-25"/>
                <w:sz w:val="21"/>
                <w:szCs w:val="21"/>
              </w:rPr>
              <w:t xml:space="preserve"> </w:t>
            </w:r>
            <w:r>
              <w:rPr>
                <w:spacing w:val="2"/>
                <w:sz w:val="21"/>
                <w:szCs w:val="21"/>
              </w:rPr>
              <w:t>1</w:t>
            </w:r>
          </w:p>
        </w:tc>
        <w:tc>
          <w:tcPr>
            <w:tcW w:w="667" w:type="pct"/>
            <w:vAlign w:val="center"/>
          </w:tcPr>
          <w:p>
            <w:pPr>
              <w:pStyle w:val="249"/>
              <w:spacing w:line="240" w:lineRule="auto"/>
              <w:ind w:firstLine="0" w:firstLineChars="0"/>
              <w:jc w:val="center"/>
              <w:rPr>
                <w:rFonts w:eastAsia="宋体"/>
                <w:sz w:val="21"/>
                <w:szCs w:val="21"/>
                <w:lang w:eastAsia="zh-CN"/>
              </w:rPr>
            </w:pPr>
            <w:r>
              <w:rPr>
                <w:spacing w:val="1"/>
                <w:sz w:val="21"/>
                <w:szCs w:val="21"/>
              </w:rPr>
              <w:t>1009.09</w:t>
            </w:r>
          </w:p>
        </w:tc>
        <w:tc>
          <w:tcPr>
            <w:tcW w:w="487" w:type="pct"/>
            <w:vAlign w:val="center"/>
          </w:tcPr>
          <w:p>
            <w:pPr>
              <w:spacing w:line="240" w:lineRule="auto"/>
              <w:ind w:firstLine="0" w:firstLineChars="0"/>
              <w:jc w:val="center"/>
              <w:rPr>
                <w:sz w:val="21"/>
                <w:szCs w:val="21"/>
              </w:rPr>
            </w:pPr>
            <w:r>
              <w:rPr>
                <w:rFonts w:ascii="宋体" w:hAnsi="宋体" w:cs="宋体"/>
                <w:spacing w:val="3"/>
                <w:sz w:val="21"/>
                <w:szCs w:val="21"/>
              </w:rPr>
              <w:t>灌溉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pPr>
              <w:spacing w:line="240" w:lineRule="auto"/>
              <w:ind w:firstLine="0" w:firstLineChars="0"/>
              <w:jc w:val="center"/>
              <w:rPr>
                <w:sz w:val="21"/>
                <w:szCs w:val="21"/>
              </w:rPr>
            </w:pPr>
            <w:r>
              <w:rPr>
                <w:rFonts w:hint="eastAsia"/>
                <w:sz w:val="21"/>
                <w:szCs w:val="21"/>
              </w:rPr>
              <w:t>D9</w:t>
            </w:r>
          </w:p>
        </w:tc>
        <w:tc>
          <w:tcPr>
            <w:tcW w:w="558" w:type="pct"/>
            <w:vAlign w:val="center"/>
          </w:tcPr>
          <w:p>
            <w:pPr>
              <w:widowControl/>
              <w:spacing w:line="240" w:lineRule="auto"/>
              <w:ind w:firstLine="0" w:firstLineChars="0"/>
              <w:jc w:val="center"/>
              <w:rPr>
                <w:sz w:val="21"/>
                <w:szCs w:val="21"/>
              </w:rPr>
            </w:pPr>
            <w:r>
              <w:rPr>
                <w:rFonts w:hint="eastAsia" w:cs="宋体"/>
                <w:kern w:val="0"/>
                <w:sz w:val="21"/>
                <w:szCs w:val="21"/>
                <w:lang w:bidi="ar"/>
              </w:rPr>
              <w:t>项目区周边</w:t>
            </w:r>
          </w:p>
        </w:tc>
        <w:tc>
          <w:tcPr>
            <w:tcW w:w="936" w:type="pct"/>
            <w:vAlign w:val="center"/>
          </w:tcPr>
          <w:p>
            <w:pPr>
              <w:widowControl/>
              <w:spacing w:line="240" w:lineRule="auto"/>
              <w:ind w:firstLine="0" w:firstLineChars="0"/>
              <w:jc w:val="center"/>
              <w:rPr>
                <w:sz w:val="21"/>
                <w:szCs w:val="21"/>
              </w:rPr>
            </w:pPr>
            <w:r>
              <w:rPr>
                <w:kern w:val="0"/>
                <w:sz w:val="21"/>
                <w:szCs w:val="21"/>
                <w:lang w:bidi="ar"/>
              </w:rPr>
              <w:t>107°47′58.53″</w:t>
            </w:r>
          </w:p>
        </w:tc>
        <w:tc>
          <w:tcPr>
            <w:tcW w:w="802" w:type="pct"/>
            <w:vAlign w:val="center"/>
          </w:tcPr>
          <w:p>
            <w:pPr>
              <w:widowControl/>
              <w:spacing w:line="240" w:lineRule="auto"/>
              <w:ind w:firstLine="0" w:firstLineChars="0"/>
              <w:jc w:val="center"/>
              <w:rPr>
                <w:sz w:val="21"/>
                <w:szCs w:val="21"/>
              </w:rPr>
            </w:pPr>
            <w:r>
              <w:rPr>
                <w:kern w:val="0"/>
                <w:sz w:val="21"/>
                <w:szCs w:val="21"/>
                <w:lang w:bidi="ar"/>
              </w:rPr>
              <w:t>41°6′22.09″</w:t>
            </w:r>
          </w:p>
        </w:tc>
        <w:tc>
          <w:tcPr>
            <w:tcW w:w="592" w:type="pct"/>
            <w:vAlign w:val="center"/>
          </w:tcPr>
          <w:p>
            <w:pPr>
              <w:pStyle w:val="249"/>
              <w:spacing w:line="240" w:lineRule="auto"/>
              <w:ind w:firstLine="0" w:firstLineChars="0"/>
              <w:jc w:val="center"/>
              <w:rPr>
                <w:rFonts w:eastAsia="宋体"/>
                <w:sz w:val="21"/>
                <w:szCs w:val="21"/>
                <w:lang w:eastAsia="zh-CN"/>
              </w:rPr>
            </w:pPr>
            <w:r>
              <w:rPr>
                <w:spacing w:val="1"/>
                <w:sz w:val="21"/>
                <w:szCs w:val="21"/>
              </w:rPr>
              <w:t>1029.36</w:t>
            </w:r>
          </w:p>
        </w:tc>
        <w:tc>
          <w:tcPr>
            <w:tcW w:w="578" w:type="pct"/>
            <w:vAlign w:val="center"/>
          </w:tcPr>
          <w:p>
            <w:pPr>
              <w:pStyle w:val="249"/>
              <w:spacing w:line="240" w:lineRule="auto"/>
              <w:ind w:firstLine="0" w:firstLineChars="0"/>
              <w:jc w:val="center"/>
              <w:rPr>
                <w:rFonts w:eastAsia="宋体"/>
                <w:sz w:val="21"/>
                <w:szCs w:val="21"/>
                <w:lang w:eastAsia="zh-CN"/>
              </w:rPr>
            </w:pPr>
            <w:r>
              <w:rPr>
                <w:spacing w:val="3"/>
                <w:sz w:val="21"/>
                <w:szCs w:val="21"/>
              </w:rPr>
              <w:t>23.4</w:t>
            </w:r>
          </w:p>
        </w:tc>
        <w:tc>
          <w:tcPr>
            <w:tcW w:w="667" w:type="pct"/>
            <w:vAlign w:val="center"/>
          </w:tcPr>
          <w:p>
            <w:pPr>
              <w:pStyle w:val="249"/>
              <w:spacing w:line="240" w:lineRule="auto"/>
              <w:ind w:firstLine="0" w:firstLineChars="0"/>
              <w:jc w:val="center"/>
              <w:rPr>
                <w:rFonts w:eastAsia="宋体"/>
                <w:sz w:val="21"/>
                <w:szCs w:val="21"/>
                <w:lang w:eastAsia="zh-CN"/>
              </w:rPr>
            </w:pPr>
            <w:r>
              <w:rPr>
                <w:spacing w:val="1"/>
                <w:sz w:val="21"/>
                <w:szCs w:val="21"/>
              </w:rPr>
              <w:t>1005.96</w:t>
            </w:r>
          </w:p>
        </w:tc>
        <w:tc>
          <w:tcPr>
            <w:tcW w:w="487" w:type="pct"/>
            <w:vAlign w:val="center"/>
          </w:tcPr>
          <w:p>
            <w:pPr>
              <w:spacing w:line="240" w:lineRule="auto"/>
              <w:ind w:firstLine="0" w:firstLineChars="0"/>
              <w:jc w:val="center"/>
              <w:rPr>
                <w:sz w:val="21"/>
                <w:szCs w:val="21"/>
              </w:rPr>
            </w:pPr>
            <w:r>
              <w:rPr>
                <w:rFonts w:ascii="宋体" w:hAnsi="宋体" w:cs="宋体"/>
                <w:spacing w:val="3"/>
                <w:sz w:val="21"/>
                <w:szCs w:val="21"/>
              </w:rPr>
              <w:t>灌溉</w:t>
            </w:r>
          </w:p>
        </w:tc>
      </w:tr>
    </w:tbl>
    <w:p>
      <w:pPr>
        <w:ind w:firstLine="0" w:firstLineChars="0"/>
        <w:jc w:val="center"/>
        <w:rPr>
          <w:color w:val="000000" w:themeColor="text1"/>
          <w14:textFill>
            <w14:solidFill>
              <w14:schemeClr w14:val="tx1"/>
            </w14:solidFill>
          </w14:textFill>
        </w:rPr>
      </w:pPr>
    </w:p>
    <w:p>
      <w:pPr>
        <w:pStyle w:val="5"/>
      </w:pPr>
      <w:r>
        <w:rPr>
          <w:rFonts w:hint="eastAsia"/>
        </w:rPr>
        <w:t>现状评价</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）评价标准</w:t>
      </w:r>
    </w:p>
    <w:p>
      <w:pPr>
        <w:ind w:firstLine="480"/>
        <w:rPr>
          <w:color w:val="000000" w:themeColor="text1"/>
          <w14:textFill>
            <w14:solidFill>
              <w14:schemeClr w14:val="tx1"/>
            </w14:solidFill>
          </w14:textFill>
        </w:rPr>
      </w:pPr>
      <w:bookmarkStart w:id="155" w:name="_Ref432775268"/>
      <w:r>
        <w:rPr>
          <w:rFonts w:hint="eastAsia"/>
          <w:color w:val="000000" w:themeColor="text1"/>
          <w14:textFill>
            <w14:solidFill>
              <w14:schemeClr w14:val="tx1"/>
            </w14:solidFill>
          </w14:textFill>
        </w:rPr>
        <w:t>本次地下水水质现状评价，检测项目均执行《地下水环境质量标准》（</w:t>
      </w:r>
      <w:r>
        <w:rPr>
          <w:color w:val="000000" w:themeColor="text1"/>
          <w14:textFill>
            <w14:solidFill>
              <w14:schemeClr w14:val="tx1"/>
            </w14:solidFill>
          </w14:textFill>
        </w:rPr>
        <w:t>GB/T14848</w:t>
      </w:r>
      <w:r>
        <w:rPr>
          <w:rFonts w:hint="eastAsia"/>
          <w:color w:val="000000" w:themeColor="text1"/>
          <w14:textFill>
            <w14:solidFill>
              <w14:schemeClr w14:val="tx1"/>
            </w14:solidFill>
          </w14:textFill>
        </w:rPr>
        <w:t>－2017）的</w:t>
      </w:r>
      <w:r>
        <w:rPr>
          <w:color w:val="000000" w:themeColor="text1"/>
          <w14:textFill>
            <w14:solidFill>
              <w14:schemeClr w14:val="tx1"/>
            </w14:solidFill>
          </w14:textFill>
        </w:rPr>
        <w:t>III</w:t>
      </w:r>
      <w:r>
        <w:rPr>
          <w:rFonts w:hint="eastAsia"/>
          <w:color w:val="000000" w:themeColor="text1"/>
          <w14:textFill>
            <w14:solidFill>
              <w14:schemeClr w14:val="tx1"/>
            </w14:solidFill>
          </w14:textFill>
        </w:rPr>
        <w:t>类标准</w:t>
      </w:r>
      <w:r>
        <w:rPr>
          <w:color w:val="000000" w:themeColor="text1"/>
          <w14:textFill>
            <w14:solidFill>
              <w14:schemeClr w14:val="tx1"/>
            </w14:solidFill>
          </w14:textFill>
        </w:rPr>
        <w:t>。</w:t>
      </w:r>
    </w:p>
    <w:bookmarkEnd w:id="155"/>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）评价方法</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采用单因子标准指数法进行评价。当水质参数的标准指数大于1时，表明该水质参数超过了规定的水质标准，已经不能满足相应的使用要求。标准指数值越大，超标越严重。标准指数计算公式分为以下两种情况：</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①对于评价标准为定值的水质因子，其标准指数计算公式如下：</w:t>
      </w:r>
    </w:p>
    <w:p>
      <w:pPr>
        <w:ind w:firstLine="0" w:firstLineChars="0"/>
        <w:rPr>
          <w:color w:val="000000" w:themeColor="text1"/>
          <w14:textFill>
            <w14:solidFill>
              <w14:schemeClr w14:val="tx1"/>
            </w14:solidFill>
          </w14:textFill>
        </w:rPr>
      </w:pPr>
      <m:oMathPara>
        <m:oMathParaPr>
          <m:jc m:val="center"/>
        </m:oMathPara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i</m:t>
              </m:r>
              <m:ctrlPr>
                <w:rPr>
                  <w:rFonts w:ascii="Cambria Math" w:hAnsi="Cambria Math"/>
                  <w:i/>
                  <w:color w:val="000000" w:themeColor="text1"/>
                  <w:szCs w:val="30"/>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i/>
                  <w:color w:val="000000" w:themeColor="text1"/>
                  <w:szCs w:val="30"/>
                  <w14:textFill>
                    <w14:solidFill>
                      <w14:schemeClr w14:val="tx1"/>
                    </w14:solidFill>
                  </w14:textFill>
                </w:rPr>
              </m:ctrlPr>
            </m:fPr>
            <m:num>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C</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i</m:t>
                  </m:r>
                  <m:ctrlPr>
                    <w:rPr>
                      <w:rFonts w:ascii="Cambria Math" w:hAnsi="Cambria Math"/>
                      <w:i/>
                      <w:color w:val="000000" w:themeColor="text1"/>
                      <w:szCs w:val="30"/>
                      <w14:textFill>
                        <w14:solidFill>
                          <w14:schemeClr w14:val="tx1"/>
                        </w14:solidFill>
                      </w14:textFill>
                    </w:rPr>
                  </m:ctrlPr>
                </m:sub>
              </m:sSub>
              <m:ctrlPr>
                <w:rPr>
                  <w:rFonts w:ascii="Cambria Math" w:hAnsi="Cambria Math"/>
                  <w:i/>
                  <w:color w:val="000000" w:themeColor="text1"/>
                  <w:szCs w:val="30"/>
                  <w14:textFill>
                    <w14:solidFill>
                      <w14:schemeClr w14:val="tx1"/>
                    </w14:solidFill>
                  </w14:textFill>
                </w:rPr>
              </m:ctrlPr>
            </m:num>
            <m:den>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C</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si</m:t>
                  </m:r>
                  <m:ctrlPr>
                    <w:rPr>
                      <w:rFonts w:ascii="Cambria Math" w:hAnsi="Cambria Math"/>
                      <w:i/>
                      <w:color w:val="000000" w:themeColor="text1"/>
                      <w:szCs w:val="30"/>
                      <w14:textFill>
                        <w14:solidFill>
                          <w14:schemeClr w14:val="tx1"/>
                        </w14:solidFill>
                      </w14:textFill>
                    </w:rPr>
                  </m:ctrlPr>
                </m:sub>
              </m:sSub>
              <m:ctrlPr>
                <w:rPr>
                  <w:rFonts w:ascii="Cambria Math" w:hAnsi="Cambria Math"/>
                  <w:i/>
                  <w:color w:val="000000" w:themeColor="text1"/>
                  <w:szCs w:val="30"/>
                  <w14:textFill>
                    <w14:solidFill>
                      <w14:schemeClr w14:val="tx1"/>
                    </w14:solidFill>
                  </w14:textFill>
                </w:rPr>
              </m:ctrlPr>
            </m:den>
          </m:f>
        </m:oMath>
      </m:oMathPara>
    </w:p>
    <w:p>
      <w:pPr>
        <w:ind w:firstLine="480"/>
        <w:rPr>
          <w:color w:val="000000" w:themeColor="text1"/>
          <w14:textFill>
            <w14:solidFill>
              <w14:schemeClr w14:val="tx1"/>
            </w14:solidFill>
          </w14:textFill>
        </w:rPr>
      </w:pPr>
      <w:r>
        <w:rPr>
          <w:color w:val="000000" w:themeColor="text1"/>
          <w14:textFill>
            <w14:solidFill>
              <w14:schemeClr w14:val="tx1"/>
            </w14:solidFill>
          </w14:textFill>
        </w:rPr>
        <w:t>式中：</w:t>
      </w:r>
    </w:p>
    <w:p>
      <w:pPr>
        <w:ind w:firstLine="480"/>
        <w:rPr>
          <w:color w:val="000000" w:themeColor="text1"/>
          <w14:textFill>
            <w14:solidFill>
              <w14:schemeClr w14:val="tx1"/>
            </w14:solidFill>
          </w14:textFill>
        </w:rPr>
      </w:p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i</m:t>
            </m:r>
            <m:ctrlPr>
              <w:rPr>
                <w:rFonts w:ascii="Cambria Math" w:hAnsi="Cambria Math"/>
                <w:i/>
                <w:color w:val="000000" w:themeColor="text1"/>
                <w:szCs w:val="30"/>
                <w14:textFill>
                  <w14:solidFill>
                    <w14:schemeClr w14:val="tx1"/>
                  </w14:solidFill>
                </w14:textFill>
              </w:rPr>
            </m:ctrlPr>
          </m:sub>
        </m:sSub>
      </m:oMath>
      <w:r>
        <w:rPr>
          <w:color w:val="000000" w:themeColor="text1"/>
          <w14:textFill>
            <w14:solidFill>
              <w14:schemeClr w14:val="tx1"/>
            </w14:solidFill>
          </w14:textFill>
        </w:rPr>
        <w:t>—</w:t>
      </w:r>
      <w:r>
        <w:rPr>
          <w:rFonts w:hint="eastAsia"/>
          <w:color w:val="000000" w:themeColor="text1"/>
          <w14:textFill>
            <w14:solidFill>
              <w14:schemeClr w14:val="tx1"/>
            </w14:solidFill>
          </w14:textFill>
        </w:rPr>
        <w:t>第</w:t>
      </w:r>
      <w:r>
        <w:rPr>
          <w:color w:val="000000" w:themeColor="text1"/>
          <w14:textFill>
            <w14:solidFill>
              <w14:schemeClr w14:val="tx1"/>
            </w14:solidFill>
          </w14:textFill>
        </w:rPr>
        <w:t>i</w:t>
      </w:r>
      <w:r>
        <w:rPr>
          <w:rFonts w:hint="eastAsia"/>
          <w:color w:val="000000" w:themeColor="text1"/>
          <w14:textFill>
            <w14:solidFill>
              <w14:schemeClr w14:val="tx1"/>
            </w14:solidFill>
          </w14:textFill>
        </w:rPr>
        <w:t>个水质因子的标准指数，量纲为</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C</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i</m:t>
            </m:r>
            <m:ctrlPr>
              <w:rPr>
                <w:rFonts w:ascii="Cambria Math" w:hAnsi="Cambria Math"/>
                <w:i/>
                <w:color w:val="000000" w:themeColor="text1"/>
                <w:szCs w:val="30"/>
                <w14:textFill>
                  <w14:solidFill>
                    <w14:schemeClr w14:val="tx1"/>
                  </w14:solidFill>
                </w14:textFill>
              </w:rPr>
            </m:ctrlPr>
          </m:sub>
        </m:sSub>
      </m:oMath>
      <w:r>
        <w:rPr>
          <w:color w:val="000000" w:themeColor="text1"/>
          <w14:textFill>
            <w14:solidFill>
              <w14:schemeClr w14:val="tx1"/>
            </w14:solidFill>
          </w14:textFill>
        </w:rPr>
        <w:t>—</w:t>
      </w:r>
      <w:r>
        <w:rPr>
          <w:rFonts w:hint="eastAsia"/>
          <w:color w:val="000000" w:themeColor="text1"/>
          <w14:textFill>
            <w14:solidFill>
              <w14:schemeClr w14:val="tx1"/>
            </w14:solidFill>
          </w14:textFill>
        </w:rPr>
        <w:t>第</w:t>
      </w:r>
      <w:r>
        <w:rPr>
          <w:color w:val="000000" w:themeColor="text1"/>
          <w14:textFill>
            <w14:solidFill>
              <w14:schemeClr w14:val="tx1"/>
            </w14:solidFill>
          </w14:textFill>
        </w:rPr>
        <w:t>i</w:t>
      </w:r>
      <w:r>
        <w:rPr>
          <w:rFonts w:hint="eastAsia"/>
          <w:color w:val="000000" w:themeColor="text1"/>
          <w14:textFill>
            <w14:solidFill>
              <w14:schemeClr w14:val="tx1"/>
            </w14:solidFill>
          </w14:textFill>
        </w:rPr>
        <w:t>个水质因子的监测浓度值，</w:t>
      </w:r>
      <w:r>
        <w:rPr>
          <w:color w:val="000000" w:themeColor="text1"/>
          <w14:textFill>
            <w14:solidFill>
              <w14:schemeClr w14:val="tx1"/>
            </w14:solidFill>
          </w14:textFill>
        </w:rPr>
        <w:t>mg/L</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C</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si</m:t>
            </m:r>
            <m:ctrlPr>
              <w:rPr>
                <w:rFonts w:ascii="Cambria Math" w:hAnsi="Cambria Math"/>
                <w:i/>
                <w:color w:val="000000" w:themeColor="text1"/>
                <w:szCs w:val="30"/>
                <w14:textFill>
                  <w14:solidFill>
                    <w14:schemeClr w14:val="tx1"/>
                  </w14:solidFill>
                </w14:textFill>
              </w:rPr>
            </m:ctrlPr>
          </m:sub>
        </m:sSub>
      </m:oMath>
      <w:r>
        <w:rPr>
          <w:color w:val="000000" w:themeColor="text1"/>
          <w14:textFill>
            <w14:solidFill>
              <w14:schemeClr w14:val="tx1"/>
            </w14:solidFill>
          </w14:textFill>
        </w:rPr>
        <w:t>—</w:t>
      </w:r>
      <w:r>
        <w:rPr>
          <w:rFonts w:hint="eastAsia"/>
          <w:color w:val="000000" w:themeColor="text1"/>
          <w14:textFill>
            <w14:solidFill>
              <w14:schemeClr w14:val="tx1"/>
            </w14:solidFill>
          </w14:textFill>
        </w:rPr>
        <w:t>第</w:t>
      </w:r>
      <w:r>
        <w:rPr>
          <w:color w:val="000000" w:themeColor="text1"/>
          <w14:textFill>
            <w14:solidFill>
              <w14:schemeClr w14:val="tx1"/>
            </w14:solidFill>
          </w14:textFill>
        </w:rPr>
        <w:t>i</w:t>
      </w:r>
      <w:r>
        <w:rPr>
          <w:rFonts w:hint="eastAsia"/>
          <w:color w:val="000000" w:themeColor="text1"/>
          <w14:textFill>
            <w14:solidFill>
              <w14:schemeClr w14:val="tx1"/>
            </w14:solidFill>
          </w14:textFill>
        </w:rPr>
        <w:t>个水质因子的标准浓度值，</w:t>
      </w:r>
      <w:r>
        <w:rPr>
          <w:color w:val="000000" w:themeColor="text1"/>
          <w14:textFill>
            <w14:solidFill>
              <w14:schemeClr w14:val="tx1"/>
            </w14:solidFill>
          </w14:textFill>
        </w:rPr>
        <w:t>mg/L</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②对于评价标准为区间值的水质因子（如</w:t>
      </w:r>
      <w:r>
        <w:rPr>
          <w:color w:val="000000" w:themeColor="text1"/>
          <w14:textFill>
            <w14:solidFill>
              <w14:schemeClr w14:val="tx1"/>
            </w14:solidFill>
          </w14:textFill>
        </w:rPr>
        <w:t>pH</w:t>
      </w:r>
      <w:r>
        <w:rPr>
          <w:rFonts w:hint="eastAsia"/>
          <w:color w:val="000000" w:themeColor="text1"/>
          <w14:textFill>
            <w14:solidFill>
              <w14:schemeClr w14:val="tx1"/>
            </w14:solidFill>
          </w14:textFill>
        </w:rPr>
        <w:t>值），其标准指数计算公式如下：</w:t>
      </w:r>
    </w:p>
    <w:p>
      <w:pPr>
        <w:ind w:firstLine="0" w:firstLineChars="0"/>
        <w:rPr>
          <w:color w:val="000000" w:themeColor="text1"/>
          <w14:textFill>
            <w14:solidFill>
              <w14:schemeClr w14:val="tx1"/>
            </w14:solidFill>
          </w14:textFill>
        </w:rPr>
      </w:pPr>
      <m:oMathPara>
        <m:oMathParaPr>
          <m:jc m:val="center"/>
        </m:oMathPara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i/>
                  <w:color w:val="000000" w:themeColor="text1"/>
                  <w:szCs w:val="30"/>
                  <w14:textFill>
                    <w14:solidFill>
                      <w14:schemeClr w14:val="tx1"/>
                    </w14:solidFill>
                  </w14:textFill>
                </w:rPr>
              </m:ctrlPr>
            </m:fPr>
            <m:num>
              <m:r>
                <m:rPr/>
                <w:rPr>
                  <w:rFonts w:ascii="Cambria Math" w:hAnsi="Cambria Math"/>
                  <w:color w:val="000000" w:themeColor="text1"/>
                  <w14:textFill>
                    <w14:solidFill>
                      <w14:schemeClr w14:val="tx1"/>
                    </w14:solidFill>
                  </w14:textFill>
                </w:rPr>
                <m:t>7.0−pH</m:t>
              </m:r>
              <m:ctrlPr>
                <w:rPr>
                  <w:rFonts w:ascii="Cambria Math" w:hAnsi="Cambria Math"/>
                  <w:i/>
                  <w:color w:val="000000" w:themeColor="text1"/>
                  <w:szCs w:val="30"/>
                  <w14:textFill>
                    <w14:solidFill>
                      <w14:schemeClr w14:val="tx1"/>
                    </w14:solidFill>
                  </w14:textFill>
                </w:rPr>
              </m:ctrlPr>
            </m:num>
            <m:den>
              <m:r>
                <m:rPr/>
                <w:rPr>
                  <w:rFonts w:ascii="Cambria Math" w:hAnsi="Cambria Math"/>
                  <w:color w:val="000000" w:themeColor="text1"/>
                  <w14:textFill>
                    <w14:solidFill>
                      <w14:schemeClr w14:val="tx1"/>
                    </w14:solidFill>
                  </w14:textFill>
                </w:rPr>
                <m:t>7.0−</m:t>
              </m:r>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sd</m:t>
                  </m:r>
                  <m:ctrlPr>
                    <w:rPr>
                      <w:rFonts w:ascii="Cambria Math" w:hAnsi="Cambria Math"/>
                      <w:i/>
                      <w:color w:val="000000" w:themeColor="text1"/>
                      <w:szCs w:val="30"/>
                      <w14:textFill>
                        <w14:solidFill>
                          <w14:schemeClr w14:val="tx1"/>
                        </w14:solidFill>
                      </w14:textFill>
                    </w:rPr>
                  </m:ctrlPr>
                </m:sub>
              </m:sSub>
              <m:ctrlPr>
                <w:rPr>
                  <w:rFonts w:ascii="Cambria Math" w:hAnsi="Cambria Math"/>
                  <w:i/>
                  <w:color w:val="000000" w:themeColor="text1"/>
                  <w:szCs w:val="30"/>
                  <w14:textFill>
                    <w14:solidFill>
                      <w14:schemeClr w14:val="tx1"/>
                    </w14:solidFill>
                  </w14:textFill>
                </w:rPr>
              </m:ctrlPr>
            </m:den>
          </m:f>
          <m:r>
            <m:rPr/>
            <w:rPr>
              <w:rFonts w:ascii="Cambria Math" w:hAnsi="Cambria Math"/>
              <w:color w:val="000000" w:themeColor="text1"/>
              <w14:textFill>
                <w14:solidFill>
                  <w14:schemeClr w14:val="tx1"/>
                </w14:solidFill>
              </w14:textFill>
            </w:rPr>
            <m:t xml:space="preserve"> pH</m:t>
          </m:r>
          <m:r>
            <m:rPr>
              <m:sty m:val="p"/>
            </m:rPr>
            <w:rPr>
              <w:rFonts w:ascii="Cambria Math" w:hAnsi="Cambria Math"/>
              <w:color w:val="000000" w:themeColor="text1"/>
              <w14:textFill>
                <w14:solidFill>
                  <w14:schemeClr w14:val="tx1"/>
                </w14:solidFill>
              </w14:textFill>
            </w:rPr>
            <m:t>≤7时</m:t>
          </m:r>
        </m:oMath>
      </m:oMathPara>
    </w:p>
    <w:p>
      <w:pPr>
        <w:ind w:firstLine="0" w:firstLineChars="0"/>
        <w:rPr>
          <w:color w:val="000000" w:themeColor="text1"/>
          <w14:textFill>
            <w14:solidFill>
              <w14:schemeClr w14:val="tx1"/>
            </w14:solidFill>
          </w14:textFill>
        </w:rPr>
      </w:pPr>
      <m:oMathPara>
        <m:oMathParaPr>
          <m:jc m:val="center"/>
        </m:oMathPara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i/>
                  <w:color w:val="000000" w:themeColor="text1"/>
                  <w:szCs w:val="30"/>
                  <w14:textFill>
                    <w14:solidFill>
                      <w14:schemeClr w14:val="tx1"/>
                    </w14:solidFill>
                  </w14:textFill>
                </w:rPr>
              </m:ctrlPr>
            </m:fPr>
            <m:num>
              <m:r>
                <m:rPr/>
                <w:rPr>
                  <w:rFonts w:ascii="Cambria Math" w:hAnsi="Cambria Math"/>
                  <w:color w:val="000000" w:themeColor="text1"/>
                  <w14:textFill>
                    <w14:solidFill>
                      <w14:schemeClr w14:val="tx1"/>
                    </w14:solidFill>
                  </w14:textFill>
                </w:rPr>
                <m:t>pH−</m:t>
              </m:r>
              <m:r>
                <m:rPr>
                  <m:sty m:val="p"/>
                </m:rPr>
                <w:rPr>
                  <w:rFonts w:ascii="Cambria Math" w:hAnsi="Cambria Math"/>
                  <w:color w:val="000000" w:themeColor="text1"/>
                  <w14:textFill>
                    <w14:solidFill>
                      <w14:schemeClr w14:val="tx1"/>
                    </w14:solidFill>
                  </w14:textFill>
                </w:rPr>
                <m:t>7.0</m:t>
              </m:r>
              <m:ctrlPr>
                <w:rPr>
                  <w:rFonts w:ascii="Cambria Math" w:hAnsi="Cambria Math"/>
                  <w:i/>
                  <w:color w:val="000000" w:themeColor="text1"/>
                  <w:szCs w:val="30"/>
                  <w14:textFill>
                    <w14:solidFill>
                      <w14:schemeClr w14:val="tx1"/>
                    </w14:solidFill>
                  </w14:textFill>
                </w:rPr>
              </m:ctrlPr>
            </m:num>
            <m:den>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su</m:t>
                  </m:r>
                  <m:ctrlPr>
                    <w:rPr>
                      <w:rFonts w:ascii="Cambria Math" w:hAnsi="Cambria Math"/>
                      <w:i/>
                      <w:color w:val="000000" w:themeColor="text1"/>
                      <w:szCs w:val="30"/>
                      <w14:textFill>
                        <w14:solidFill>
                          <w14:schemeClr w14:val="tx1"/>
                        </w14:solidFill>
                      </w14:textFill>
                    </w:rPr>
                  </m:ctrlPr>
                </m:sub>
              </m:sSub>
              <m:r>
                <m:rPr/>
                <w:rPr>
                  <w:rFonts w:ascii="Cambria Math" w:hAnsi="Cambria Math"/>
                  <w:color w:val="000000" w:themeColor="text1"/>
                  <w14:textFill>
                    <w14:solidFill>
                      <w14:schemeClr w14:val="tx1"/>
                    </w14:solidFill>
                  </w14:textFill>
                </w:rPr>
                <m:t>−</m:t>
              </m:r>
              <m:r>
                <m:rPr>
                  <m:sty m:val="p"/>
                </m:rPr>
                <w:rPr>
                  <w:rFonts w:ascii="Cambria Math" w:hAnsi="Cambria Math"/>
                  <w:color w:val="000000" w:themeColor="text1"/>
                  <w14:textFill>
                    <w14:solidFill>
                      <w14:schemeClr w14:val="tx1"/>
                    </w14:solidFill>
                  </w14:textFill>
                </w:rPr>
                <m:t>7.0</m:t>
              </m:r>
              <m:ctrlPr>
                <w:rPr>
                  <w:rFonts w:ascii="Cambria Math" w:hAnsi="Cambria Math"/>
                  <w:i/>
                  <w:color w:val="000000" w:themeColor="text1"/>
                  <w:szCs w:val="30"/>
                  <w14:textFill>
                    <w14:solidFill>
                      <w14:schemeClr w14:val="tx1"/>
                    </w14:solidFill>
                  </w14:textFill>
                </w:rPr>
              </m:ctrlPr>
            </m:den>
          </m:f>
          <m:r>
            <m:rPr/>
            <w:rPr>
              <w:rFonts w:ascii="Cambria Math" w:hAnsi="Cambria Math"/>
              <w:color w:val="000000" w:themeColor="text1"/>
              <w14:textFill>
                <w14:solidFill>
                  <w14:schemeClr w14:val="tx1"/>
                </w14:solidFill>
              </w14:textFill>
            </w:rPr>
            <m:t xml:space="preserve"> pH</m:t>
          </m:r>
          <m:r>
            <m:rPr>
              <m:sty m:val="p"/>
            </m:rPr>
            <w:rPr>
              <w:rFonts w:ascii="Cambria Math" w:hAnsi="Cambria Math"/>
              <w:color w:val="000000" w:themeColor="text1"/>
              <w14:textFill>
                <w14:solidFill>
                  <w14:schemeClr w14:val="tx1"/>
                </w14:solidFill>
              </w14:textFill>
            </w:rPr>
            <m:t>&gt;</m:t>
          </m:r>
          <m:r>
            <m:rPr/>
            <w:rPr>
              <w:rFonts w:ascii="Cambria Math" w:hAnsi="Cambria Math"/>
              <w:color w:val="000000" w:themeColor="text1"/>
              <w14:textFill>
                <w14:solidFill>
                  <w14:schemeClr w14:val="tx1"/>
                </w14:solidFill>
              </w14:textFill>
            </w:rPr>
            <m:t>7</m:t>
          </m:r>
          <m:r>
            <m:rPr>
              <m:sty m:val="p"/>
            </m:rPr>
            <w:rPr>
              <w:rFonts w:ascii="Cambria Math" w:hAnsi="Cambria Math"/>
              <w:color w:val="000000" w:themeColor="text1"/>
              <w14:textFill>
                <w14:solidFill>
                  <w14:schemeClr w14:val="tx1"/>
                </w14:solidFill>
              </w14:textFill>
            </w:rPr>
            <m:t>时</m:t>
          </m:r>
        </m:oMath>
      </m:oMathPara>
    </w:p>
    <w:p>
      <w:pPr>
        <w:ind w:firstLine="480"/>
        <w:rPr>
          <w:color w:val="000000" w:themeColor="text1"/>
          <w14:textFill>
            <w14:solidFill>
              <w14:schemeClr w14:val="tx1"/>
            </w14:solidFill>
          </w14:textFill>
        </w:rPr>
      </w:pPr>
      <w:r>
        <w:rPr>
          <w:color w:val="000000" w:themeColor="text1"/>
          <w14:textFill>
            <w14:solidFill>
              <w14:schemeClr w14:val="tx1"/>
            </w14:solidFill>
          </w14:textFill>
        </w:rPr>
        <w:t>式中：</w:t>
      </w:r>
    </w:p>
    <w:p>
      <w:pPr>
        <w:ind w:firstLine="480"/>
        <w:rPr>
          <w:color w:val="000000" w:themeColor="text1"/>
          <w14:textFill>
            <w14:solidFill>
              <w14:schemeClr w14:val="tx1"/>
            </w14:solidFill>
          </w14:textFill>
        </w:rPr>
      </w:p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sub>
        </m:sSub>
      </m:oMath>
      <w:r>
        <w:rPr>
          <w:color w:val="000000" w:themeColor="text1"/>
          <w14:textFill>
            <w14:solidFill>
              <w14:schemeClr w14:val="tx1"/>
            </w14:solidFill>
          </w14:textFill>
        </w:rPr>
        <w:t>—pH的标准指数，无量纲；</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pH—pH监测值；</w:t>
      </w:r>
    </w:p>
    <w:p>
      <w:pPr>
        <w:ind w:firstLine="480"/>
        <w:rPr>
          <w:color w:val="000000" w:themeColor="text1"/>
          <w14:textFill>
            <w14:solidFill>
              <w14:schemeClr w14:val="tx1"/>
            </w14:solidFill>
          </w14:textFill>
        </w:rPr>
      </w:p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su</m:t>
            </m:r>
            <m:ctrlPr>
              <w:rPr>
                <w:rFonts w:ascii="Cambria Math" w:hAnsi="Cambria Math"/>
                <w:i/>
                <w:color w:val="000000" w:themeColor="text1"/>
                <w:szCs w:val="30"/>
                <w14:textFill>
                  <w14:solidFill>
                    <w14:schemeClr w14:val="tx1"/>
                  </w14:solidFill>
                </w14:textFill>
              </w:rPr>
            </m:ctrlPr>
          </m:sub>
        </m:sSub>
      </m:oMath>
      <w:r>
        <w:rPr>
          <w:color w:val="000000" w:themeColor="text1"/>
          <w14:textFill>
            <w14:solidFill>
              <w14:schemeClr w14:val="tx1"/>
            </w14:solidFill>
          </w14:textFill>
        </w:rPr>
        <w:t>—标准中pH</w:t>
      </w:r>
      <w:r>
        <w:rPr>
          <w:rFonts w:hint="eastAsia"/>
          <w:color w:val="000000" w:themeColor="text1"/>
          <w14:textFill>
            <w14:solidFill>
              <w14:schemeClr w14:val="tx1"/>
            </w14:solidFill>
          </w14:textFill>
        </w:rPr>
        <w:t>的上限值；</w:t>
      </w:r>
    </w:p>
    <w:p>
      <w:pPr>
        <w:ind w:firstLine="480"/>
        <w:rPr>
          <w:color w:val="000000" w:themeColor="text1"/>
          <w14:textFill>
            <w14:solidFill>
              <w14:schemeClr w14:val="tx1"/>
            </w14:solidFill>
          </w14:textFill>
        </w:rPr>
      </w:pPr>
      <m:oMath>
        <m:sSub>
          <m:sSubPr>
            <m:ctrlPr>
              <w:rPr>
                <w:rFonts w:ascii="Cambria Math" w:hAnsi="Cambria Math"/>
                <w:i/>
                <w:color w:val="000000" w:themeColor="text1"/>
                <w:szCs w:val="30"/>
                <w14:textFill>
                  <w14:solidFill>
                    <w14:schemeClr w14:val="tx1"/>
                  </w14:solidFill>
                </w14:textFill>
              </w:rPr>
            </m:ctrlPr>
          </m:sSubPr>
          <m:e>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szCs w:val="30"/>
                <w14:textFill>
                  <w14:solidFill>
                    <w14:schemeClr w14:val="tx1"/>
                  </w14:solidFill>
                </w14:textFill>
              </w:rPr>
            </m:ctrlPr>
          </m:e>
          <m:sub>
            <m:r>
              <m:rPr/>
              <w:rPr>
                <w:rFonts w:ascii="Cambria Math" w:hAnsi="Cambria Math"/>
                <w:color w:val="000000" w:themeColor="text1"/>
                <w14:textFill>
                  <w14:solidFill>
                    <w14:schemeClr w14:val="tx1"/>
                  </w14:solidFill>
                </w14:textFill>
              </w:rPr>
              <m:t>sd</m:t>
            </m:r>
            <m:ctrlPr>
              <w:rPr>
                <w:rFonts w:ascii="Cambria Math" w:hAnsi="Cambria Math"/>
                <w:i/>
                <w:color w:val="000000" w:themeColor="text1"/>
                <w:szCs w:val="30"/>
                <w14:textFill>
                  <w14:solidFill>
                    <w14:schemeClr w14:val="tx1"/>
                  </w14:solidFill>
                </w14:textFill>
              </w:rPr>
            </m:ctrlPr>
          </m:sub>
        </m:sSub>
      </m:oMath>
      <w:r>
        <w:rPr>
          <w:color w:val="000000" w:themeColor="text1"/>
          <w14:textFill>
            <w14:solidFill>
              <w14:schemeClr w14:val="tx1"/>
            </w14:solidFill>
          </w14:textFill>
        </w:rPr>
        <w:t>—</w:t>
      </w:r>
      <w:r>
        <w:rPr>
          <w:rFonts w:hint="eastAsia"/>
          <w:color w:val="000000" w:themeColor="text1"/>
          <w14:textFill>
            <w14:solidFill>
              <w14:schemeClr w14:val="tx1"/>
            </w14:solidFill>
          </w14:textFill>
        </w:rPr>
        <w:t>标准中</w:t>
      </w:r>
      <w:r>
        <w:rPr>
          <w:color w:val="000000" w:themeColor="text1"/>
          <w14:textFill>
            <w14:solidFill>
              <w14:schemeClr w14:val="tx1"/>
            </w14:solidFill>
          </w14:textFill>
        </w:rPr>
        <w:t>pH的下限值。</w:t>
      </w:r>
    </w:p>
    <w:p>
      <w:pPr>
        <w:numPr>
          <w:ilvl w:val="0"/>
          <w:numId w:val="11"/>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地下水现状评价</w:t>
      </w:r>
    </w:p>
    <w:p>
      <w:pPr>
        <w:ind w:firstLine="480"/>
        <w:rPr>
          <w:color w:val="000000" w:themeColor="text1"/>
          <w14:textFill>
            <w14:solidFill>
              <w14:schemeClr w14:val="tx1"/>
            </w14:solidFill>
          </w14:textFill>
        </w:rPr>
      </w:pPr>
      <w:r>
        <w:rPr>
          <w:rFonts w:hint="eastAsia"/>
        </w:rPr>
        <w:t>地下水现状评价结果见表</w:t>
      </w:r>
      <w:r>
        <w:rPr>
          <w:rFonts w:hint="eastAsia"/>
          <w:color w:val="000000" w:themeColor="text1"/>
          <w14:textFill>
            <w14:solidFill>
              <w14:schemeClr w14:val="tx1"/>
            </w14:solidFill>
          </w14:textFill>
        </w:rPr>
        <w:t>4.2.3-5 。</w:t>
      </w:r>
    </w:p>
    <w:p>
      <w:pPr>
        <w:pStyle w:val="6"/>
      </w:pPr>
      <w:r>
        <w:rPr>
          <w:rFonts w:hint="eastAsia"/>
        </w:rPr>
        <w:t>表4.2.3-5   地下水水质评价结果一览表</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312"/>
        <w:gridCol w:w="1201"/>
        <w:gridCol w:w="2125"/>
        <w:gridCol w:w="1106"/>
        <w:gridCol w:w="1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444" w:type="pct"/>
            <w:vAlign w:val="center"/>
          </w:tcPr>
          <w:p>
            <w:pPr>
              <w:spacing w:line="240" w:lineRule="auto"/>
              <w:ind w:firstLine="0" w:firstLineChars="0"/>
              <w:jc w:val="center"/>
              <w:rPr>
                <w:sz w:val="21"/>
                <w:szCs w:val="21"/>
              </w:rPr>
            </w:pPr>
            <w:r>
              <w:rPr>
                <w:rFonts w:hint="eastAsia"/>
                <w:sz w:val="21"/>
                <w:szCs w:val="21"/>
              </w:rPr>
              <w:t>序号</w:t>
            </w:r>
          </w:p>
        </w:tc>
        <w:tc>
          <w:tcPr>
            <w:tcW w:w="1284"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监测项目</w:t>
            </w:r>
          </w:p>
        </w:tc>
        <w:tc>
          <w:tcPr>
            <w:tcW w:w="667"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D1</w:t>
            </w:r>
          </w:p>
        </w:tc>
        <w:tc>
          <w:tcPr>
            <w:tcW w:w="1180"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D13</w:t>
            </w:r>
          </w:p>
        </w:tc>
        <w:tc>
          <w:tcPr>
            <w:tcW w:w="614"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D2</w:t>
            </w:r>
          </w:p>
        </w:tc>
        <w:tc>
          <w:tcPr>
            <w:tcW w:w="808"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pH</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0.91</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0.07</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0.40</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6.5～8.5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氨氮</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2.88</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3"/>
                <w:sz w:val="21"/>
                <w:szCs w:val="21"/>
              </w:rPr>
              <w:t>1.73</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0.69</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3</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硝酸盐氮</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0.05</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0.05</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0.04</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4</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亚硝酸盐 氮</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5</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挥发酚</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6</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氰化物</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7</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砷</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3"/>
                <w:sz w:val="21"/>
                <w:szCs w:val="21"/>
              </w:rPr>
              <w:t>76.20</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13.90</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0.16</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8</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汞</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0.001mg/L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9</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六价铬</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10</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总硬度</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0.51</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1.06</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1"/>
                <w:sz w:val="21"/>
                <w:szCs w:val="21"/>
              </w:rPr>
              <w:t>1.31</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450mg/L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11</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铅</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12</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氟化物</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1.58</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0.70</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4"/>
                <w:sz w:val="21"/>
                <w:szCs w:val="21"/>
              </w:rPr>
              <w:t>0.</w:t>
            </w:r>
            <w:r>
              <w:rPr>
                <w:rFonts w:eastAsia="宋体"/>
                <w:spacing w:val="-25"/>
                <w:sz w:val="21"/>
                <w:szCs w:val="21"/>
              </w:rPr>
              <w:t xml:space="preserve"> </w:t>
            </w:r>
            <w:r>
              <w:rPr>
                <w:rFonts w:eastAsia="宋体"/>
                <w:spacing w:val="-4"/>
                <w:sz w:val="21"/>
                <w:szCs w:val="21"/>
              </w:rPr>
              <w:t>12</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13</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镉</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14</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铁</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3"/>
                <w:sz w:val="21"/>
                <w:szCs w:val="21"/>
              </w:rPr>
              <w:t>1.00</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0.40</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0.3mg/L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15</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锰</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1"/>
                <w:sz w:val="21"/>
                <w:szCs w:val="21"/>
              </w:rPr>
              <w:t>0.8</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 10mg/L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16</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溶解性总固体</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2.38</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0.66</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0.87</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17</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lang w:eastAsia="zh-CN"/>
              </w:rPr>
              <w:t>耗氧量（高锰酸盐指数）</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0.53</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0.54</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0.50</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3.0mg/L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18</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总大肠菌群</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rPr>
            </w:pPr>
            <w:r>
              <w:rPr>
                <w:rFonts w:eastAsia="宋体"/>
                <w:sz w:val="21"/>
                <w:szCs w:val="21"/>
              </w:rPr>
              <w:t>3.0</w:t>
            </w:r>
          </w:p>
          <w:p>
            <w:pPr>
              <w:pStyle w:val="249"/>
              <w:spacing w:line="240" w:lineRule="auto"/>
              <w:ind w:firstLine="0" w:firstLineChars="0"/>
              <w:jc w:val="center"/>
              <w:rPr>
                <w:rFonts w:eastAsia="宋体"/>
                <w:sz w:val="21"/>
                <w:szCs w:val="21"/>
                <w:lang w:eastAsia="zh-CN"/>
              </w:rPr>
            </w:pPr>
            <w:r>
              <w:rPr>
                <w:rFonts w:eastAsia="宋体"/>
                <w:sz w:val="21"/>
                <w:szCs w:val="21"/>
              </w:rPr>
              <w:t>MPN/100mL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19</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lang w:eastAsia="zh-CN"/>
              </w:rPr>
              <w:t>细菌总数</w:t>
            </w:r>
          </w:p>
          <w:p>
            <w:pPr>
              <w:pStyle w:val="249"/>
              <w:spacing w:line="240" w:lineRule="auto"/>
              <w:ind w:firstLine="0" w:firstLineChars="0"/>
              <w:jc w:val="center"/>
              <w:rPr>
                <w:rFonts w:eastAsia="宋体"/>
                <w:sz w:val="21"/>
                <w:szCs w:val="21"/>
                <w:lang w:eastAsia="zh-CN"/>
              </w:rPr>
            </w:pPr>
            <w:r>
              <w:rPr>
                <w:rFonts w:eastAsia="宋体"/>
                <w:sz w:val="21"/>
                <w:szCs w:val="21"/>
                <w:lang w:eastAsia="zh-CN"/>
              </w:rPr>
              <w:t>（菌落总数）</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0.36</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0.42</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0.19</w:t>
            </w:r>
          </w:p>
        </w:tc>
        <w:tc>
          <w:tcPr>
            <w:tcW w:w="808" w:type="pct"/>
            <w:vAlign w:val="center"/>
          </w:tcPr>
          <w:p>
            <w:pPr>
              <w:pStyle w:val="249"/>
              <w:spacing w:line="240" w:lineRule="auto"/>
              <w:ind w:firstLine="0" w:firstLineChars="0"/>
              <w:jc w:val="center"/>
              <w:rPr>
                <w:rFonts w:eastAsia="宋体"/>
                <w:sz w:val="21"/>
                <w:szCs w:val="21"/>
              </w:rPr>
            </w:pPr>
            <w:r>
              <w:rPr>
                <w:rFonts w:eastAsia="宋体"/>
                <w:sz w:val="21"/>
                <w:szCs w:val="21"/>
              </w:rPr>
              <w:t>100</w:t>
            </w:r>
          </w:p>
          <w:p>
            <w:pPr>
              <w:pStyle w:val="249"/>
              <w:spacing w:line="240" w:lineRule="auto"/>
              <w:ind w:firstLine="0" w:firstLineChars="0"/>
              <w:jc w:val="center"/>
              <w:rPr>
                <w:rFonts w:eastAsia="宋体"/>
                <w:sz w:val="21"/>
                <w:szCs w:val="21"/>
                <w:lang w:eastAsia="zh-CN"/>
              </w:rPr>
            </w:pPr>
            <w:r>
              <w:rPr>
                <w:rFonts w:eastAsia="宋体"/>
                <w:sz w:val="21"/>
                <w:szCs w:val="21"/>
              </w:rPr>
              <w:t>CFU/mL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20</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镍</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21</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钾</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22</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钠</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4.02</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1.09</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0.89</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23</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钙</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24</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镁</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25</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碳酸根</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26</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重碳酸根</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27</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氯化物</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2.10</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0.94</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0.44</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28</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硫酸盐</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0.72</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0.86</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0.35</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250mg/L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color w:val="000000" w:themeColor="text1"/>
                <w14:textFill>
                  <w14:solidFill>
                    <w14:schemeClr w14:val="tx1"/>
                  </w14:solidFill>
                </w14:textFill>
              </w:rPr>
              <w:t>29</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锌</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rFonts w:hint="eastAsia"/>
                <w:color w:val="000000" w:themeColor="text1"/>
                <w14:textFill>
                  <w14:solidFill>
                    <w14:schemeClr w14:val="tx1"/>
                  </w14:solidFill>
                </w14:textFill>
              </w:rPr>
              <w:t>30</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铜</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1.00mg/L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rFonts w:hint="eastAsia"/>
                <w:color w:val="000000" w:themeColor="text1"/>
                <w14:textFill>
                  <w14:solidFill>
                    <w14:schemeClr w14:val="tx1"/>
                  </w14:solidFill>
                </w14:textFill>
              </w:rPr>
              <w:t>31</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铍</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0.002mg/L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rFonts w:hint="eastAsia"/>
                <w:color w:val="000000" w:themeColor="text1"/>
                <w14:textFill>
                  <w14:solidFill>
                    <w14:schemeClr w14:val="tx1"/>
                  </w14:solidFill>
                </w14:textFill>
              </w:rPr>
              <w:t>32</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银</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 w:type="pct"/>
            <w:vAlign w:val="center"/>
          </w:tcPr>
          <w:p>
            <w:pPr>
              <w:pStyle w:val="232"/>
            </w:pPr>
            <w:r>
              <w:rPr>
                <w:rFonts w:hint="eastAsia"/>
                <w:color w:val="000000" w:themeColor="text1"/>
                <w14:textFill>
                  <w14:solidFill>
                    <w14:schemeClr w14:val="tx1"/>
                  </w14:solidFill>
                </w14:textFill>
              </w:rPr>
              <w:t>33</w:t>
            </w:r>
          </w:p>
        </w:tc>
        <w:tc>
          <w:tcPr>
            <w:tcW w:w="1284"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硒</w:t>
            </w:r>
          </w:p>
        </w:tc>
        <w:tc>
          <w:tcPr>
            <w:tcW w:w="667"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1180"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614" w:type="pct"/>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w:t>
            </w:r>
          </w:p>
        </w:tc>
        <w:tc>
          <w:tcPr>
            <w:tcW w:w="808" w:type="pct"/>
            <w:vAlign w:val="center"/>
          </w:tcPr>
          <w:p>
            <w:pPr>
              <w:pStyle w:val="249"/>
              <w:spacing w:line="240" w:lineRule="auto"/>
              <w:ind w:firstLine="0" w:firstLineChars="0"/>
              <w:jc w:val="center"/>
              <w:rPr>
                <w:rFonts w:eastAsia="宋体"/>
                <w:sz w:val="21"/>
                <w:szCs w:val="21"/>
                <w:lang w:eastAsia="zh-CN"/>
              </w:rPr>
            </w:pPr>
            <w:r>
              <w:rPr>
                <w:rFonts w:eastAsia="宋体"/>
                <w:sz w:val="21"/>
                <w:szCs w:val="21"/>
              </w:rPr>
              <w:t>0.01mg/L</w:t>
            </w:r>
          </w:p>
        </w:tc>
      </w:tr>
    </w:tbl>
    <w:p>
      <w:pPr>
        <w:ind w:firstLine="480"/>
      </w:pPr>
      <w:r>
        <w:t>根据上表监测结果分析，对各监测因子采用单因子标准指数法计算，除地下 水监测点D1氨氮、砷、氟化物、钠、氯化物监测结果超标，D2总硬度监测结果超标，D13 砷、总硬度、钠监测结果超标，其他监测项目均满足《地下水质量标准》GB/T14848-2017中表1 Ⅲ类水质的要求。</w:t>
      </w:r>
    </w:p>
    <w:p>
      <w:pPr>
        <w:ind w:firstLine="480"/>
      </w:pPr>
      <w:r>
        <w:t>D1为牲畜饮用井，且周边均为耕地，造成 D1 水井氨氮超标；由于本项目位于内蒙古河套平原，阴山山脉狼山段低山丘陵区与山前冲洪积平原交接地带以南，当地天然水文地质特征造成项目区地下水总硬度、钠超标，以及D1水井氟化物、氯化物超标。</w:t>
      </w:r>
    </w:p>
    <w:p>
      <w:pPr>
        <w:ind w:firstLine="480"/>
      </w:pPr>
      <w:r>
        <w:t>根据《巴彦淖尔市地方性砷中毒》（中国地方病防治杂志，第30卷第3期， 作者：何玲玲），巴彦淖尔市高砷区主要包括杭锦后旗、五原县、临河区北部，且径流条件滞缓的盆地和盐碱化较严重的地区，更有利于砷的富集，本项目位于五原县，项目占地范围内包含盐碱化严重的地块，项目区地下水砷超标。</w:t>
      </w:r>
    </w:p>
    <w:p>
      <w:pPr>
        <w:ind w:firstLine="480"/>
      </w:pPr>
      <w:r>
        <w:rPr>
          <w:rFonts w:hint="eastAsia"/>
        </w:rPr>
        <w:t>综上，项目区所在地下水虽有超标因子，但不影响项目养殖使用，可满足项目生产用水要求。</w:t>
      </w:r>
    </w:p>
    <w:p>
      <w:pPr>
        <w:pStyle w:val="4"/>
      </w:pPr>
      <w:r>
        <w:rPr>
          <w:rFonts w:hint="eastAsia"/>
        </w:rPr>
        <w:t>声环境质量现状</w:t>
      </w:r>
    </w:p>
    <w:p>
      <w:pPr>
        <w:ind w:firstLine="480"/>
      </w:pPr>
      <w:r>
        <w:rPr>
          <w:rFonts w:hint="eastAsia"/>
        </w:rPr>
        <w:t>本次评价对声环境质量现状进行实测，监测单位为内蒙古航峰检测技术有限公司，监测时间为2023年8月28日~8月29日。</w:t>
      </w:r>
    </w:p>
    <w:p>
      <w:pPr>
        <w:pStyle w:val="5"/>
      </w:pPr>
      <w:r>
        <w:rPr>
          <w:rFonts w:hint="eastAsia"/>
        </w:rPr>
        <w:t>监测布点</w:t>
      </w:r>
    </w:p>
    <w:p>
      <w:pPr>
        <w:ind w:firstLine="480"/>
      </w:pPr>
      <w:r>
        <w:t>在建设项目</w:t>
      </w:r>
      <w:r>
        <w:rPr>
          <w:rFonts w:hint="eastAsia"/>
        </w:rPr>
        <w:t>东、南、西、北</w:t>
      </w:r>
      <w:r>
        <w:t>厂界外1m</w:t>
      </w:r>
      <w:r>
        <w:rPr>
          <w:rFonts w:hint="eastAsia"/>
        </w:rPr>
        <w:t>处</w:t>
      </w:r>
      <w:r>
        <w:t>各布设1个噪声现状监测点</w:t>
      </w:r>
      <w:r>
        <w:rPr>
          <w:rFonts w:hint="eastAsia"/>
        </w:rPr>
        <w:t>，如</w:t>
      </w:r>
      <w:r>
        <w:t>图</w:t>
      </w:r>
      <w:r>
        <w:rPr>
          <w:rFonts w:hint="eastAsia"/>
        </w:rPr>
        <w:t>4.2</w:t>
      </w:r>
      <w:r>
        <w:t>-</w:t>
      </w:r>
      <w:r>
        <w:rPr>
          <w:rFonts w:hint="eastAsia"/>
        </w:rPr>
        <w:t>1所示</w:t>
      </w:r>
      <w:r>
        <w:t>，噪声监测点的编号依次为1﹟</w:t>
      </w:r>
      <w:r>
        <w:rPr>
          <w:rFonts w:hint="eastAsia"/>
          <w:lang w:val="en-US" w:eastAsia="zh-CN"/>
        </w:rPr>
        <w:t>~</w:t>
      </w:r>
      <w:r>
        <w:rPr>
          <w:rFonts w:hint="eastAsia"/>
        </w:rPr>
        <w:t>4</w:t>
      </w:r>
      <w:r>
        <w:t>﹟。</w:t>
      </w:r>
    </w:p>
    <w:p>
      <w:pPr>
        <w:pStyle w:val="5"/>
      </w:pP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时间及</w:t>
      </w:r>
      <w:r>
        <w:rPr>
          <w:color w:val="000000" w:themeColor="text1"/>
          <w14:textFill>
            <w14:solidFill>
              <w14:schemeClr w14:val="tx1"/>
            </w14:solidFill>
          </w14:textFill>
        </w:rPr>
        <w:t>频次</w:t>
      </w:r>
    </w:p>
    <w:p>
      <w:pPr>
        <w:ind w:firstLine="480"/>
      </w:pPr>
      <w:r>
        <w:t>监测频次：监测时间选择昼间（6：00～22：00）和夜间（22：00～6：00）两个时段分别测2天，每次测量10分钟的连续等效A声级。</w:t>
      </w:r>
    </w:p>
    <w:p>
      <w:pPr>
        <w:pStyle w:val="5"/>
      </w:pPr>
      <w:r>
        <w:rPr>
          <w:color w:val="000000" w:themeColor="text1"/>
          <w14:textFill>
            <w14:solidFill>
              <w14:schemeClr w14:val="tx1"/>
            </w14:solidFill>
          </w14:textFill>
        </w:rPr>
        <w:t>监测方法</w:t>
      </w:r>
    </w:p>
    <w:p>
      <w:pPr>
        <w:ind w:firstLine="480"/>
      </w:pPr>
      <w:r>
        <w:t>监测方法采用《声环境质量标准》（GB3096－2008）中要求的监测方法，采用的测试仪器为</w:t>
      </w:r>
      <w:r>
        <w:rPr>
          <w:rFonts w:hint="eastAsia"/>
        </w:rPr>
        <w:t>AWA6228</w:t>
      </w:r>
      <w:r>
        <w:t>型</w:t>
      </w:r>
      <w:r>
        <w:rPr>
          <w:rFonts w:hint="eastAsia"/>
        </w:rPr>
        <w:t>多功能声级计/1级及HS6020声级校准器</w:t>
      </w:r>
      <w:r>
        <w:t>。</w:t>
      </w:r>
    </w:p>
    <w:p>
      <w:pPr>
        <w:pStyle w:val="5"/>
      </w:pPr>
      <w:r>
        <w:rPr>
          <w:rFonts w:hint="eastAsia"/>
        </w:rPr>
        <w:t>监测结果</w:t>
      </w:r>
    </w:p>
    <w:p>
      <w:pPr>
        <w:ind w:firstLine="480"/>
      </w:pPr>
      <w:r>
        <w:t>噪声监测数据统计结果见下表。</w:t>
      </w:r>
    </w:p>
    <w:p>
      <w:pPr>
        <w:ind w:firstLine="480"/>
      </w:pPr>
    </w:p>
    <w:p>
      <w:pPr>
        <w:ind w:firstLine="480"/>
      </w:pPr>
    </w:p>
    <w:p>
      <w:pPr>
        <w:pStyle w:val="6"/>
      </w:pPr>
      <w:r>
        <w:rPr>
          <w:rFonts w:hint="eastAsia"/>
        </w:rPr>
        <w:t>表4.2.4-1   噪声监测结果统计表</w:t>
      </w:r>
    </w:p>
    <w:tbl>
      <w:tblPr>
        <w:tblStyle w:val="3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6"/>
        <w:gridCol w:w="1500"/>
        <w:gridCol w:w="1689"/>
        <w:gridCol w:w="1689"/>
        <w:gridCol w:w="1689"/>
        <w:gridCol w:w="16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编号</w:t>
            </w:r>
          </w:p>
        </w:tc>
        <w:tc>
          <w:tcPr>
            <w:tcW w:w="833" w:type="pct"/>
            <w:vMerge w:val="restar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检测点位置</w:t>
            </w:r>
          </w:p>
        </w:tc>
        <w:tc>
          <w:tcPr>
            <w:tcW w:w="1876"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昼间Leq dB(A)</w:t>
            </w:r>
          </w:p>
        </w:tc>
        <w:tc>
          <w:tcPr>
            <w:tcW w:w="1876"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夜间Leq dB(A)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 w:type="pct"/>
            <w:vMerge w:val="continue"/>
            <w:tcBorders>
              <w:tl2br w:val="nil"/>
              <w:tr2bl w:val="nil"/>
            </w:tcBorders>
            <w:vAlign w:val="center"/>
          </w:tcPr>
          <w:p>
            <w:pPr>
              <w:pStyle w:val="232"/>
              <w:rPr>
                <w:color w:val="000000" w:themeColor="text1"/>
                <w14:textFill>
                  <w14:solidFill>
                    <w14:schemeClr w14:val="tx1"/>
                  </w14:solidFill>
                </w14:textFill>
              </w:rPr>
            </w:pPr>
          </w:p>
        </w:tc>
        <w:tc>
          <w:tcPr>
            <w:tcW w:w="833" w:type="pct"/>
            <w:vMerge w:val="continue"/>
            <w:tcBorders>
              <w:tl2br w:val="nil"/>
              <w:tr2bl w:val="nil"/>
            </w:tcBorders>
            <w:vAlign w:val="center"/>
          </w:tcPr>
          <w:p>
            <w:pPr>
              <w:pStyle w:val="232"/>
              <w:rPr>
                <w:color w:val="000000" w:themeColor="text1"/>
                <w14:textFill>
                  <w14:solidFill>
                    <w14:schemeClr w14:val="tx1"/>
                  </w14:solidFill>
                </w14:textFill>
              </w:rPr>
            </w:pPr>
          </w:p>
        </w:tc>
        <w:tc>
          <w:tcPr>
            <w:tcW w:w="938"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8月28日</w:t>
            </w:r>
          </w:p>
        </w:tc>
        <w:tc>
          <w:tcPr>
            <w:tcW w:w="938"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8月29日</w:t>
            </w:r>
          </w:p>
        </w:tc>
        <w:tc>
          <w:tcPr>
            <w:tcW w:w="938"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8月28日</w:t>
            </w:r>
          </w:p>
        </w:tc>
        <w:tc>
          <w:tcPr>
            <w:tcW w:w="938" w:type="pc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8月29日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 w:type="pct"/>
            <w:tcBorders>
              <w:tl2br w:val="nil"/>
              <w:tr2bl w:val="nil"/>
            </w:tcBorders>
            <w:vAlign w:val="center"/>
          </w:tcPr>
          <w:p>
            <w:pPr>
              <w:pStyle w:val="232"/>
              <w:rPr>
                <w:color w:val="FF0000"/>
              </w:rPr>
            </w:pPr>
            <w:r>
              <w:rPr>
                <w:color w:val="FF0000"/>
              </w:rPr>
              <w:t>1#</w:t>
            </w:r>
          </w:p>
        </w:tc>
        <w:tc>
          <w:tcPr>
            <w:tcW w:w="833" w:type="pct"/>
            <w:tcBorders>
              <w:tl2br w:val="nil"/>
              <w:tr2bl w:val="nil"/>
            </w:tcBorders>
            <w:vAlign w:val="center"/>
          </w:tcPr>
          <w:p>
            <w:pPr>
              <w:pStyle w:val="232"/>
              <w:rPr>
                <w:color w:val="000000" w:themeColor="text1"/>
                <w14:textFill>
                  <w14:solidFill>
                    <w14:schemeClr w14:val="tx1"/>
                  </w14:solidFill>
                </w14:textFill>
              </w:rPr>
            </w:pPr>
            <w:r>
              <w:rPr>
                <w:color w:val="000000" w:themeColor="text1"/>
                <w:kern w:val="0"/>
                <w14:textFill>
                  <w14:solidFill>
                    <w14:schemeClr w14:val="tx1"/>
                  </w14:solidFill>
                </w14:textFill>
              </w:rPr>
              <w:t>厂址</w:t>
            </w:r>
            <w:r>
              <w:rPr>
                <w:rFonts w:hint="eastAsia"/>
                <w:color w:val="000000" w:themeColor="text1"/>
                <w:kern w:val="0"/>
                <w14:textFill>
                  <w14:solidFill>
                    <w14:schemeClr w14:val="tx1"/>
                  </w14:solidFill>
                </w14:textFill>
              </w:rPr>
              <w:t>东</w:t>
            </w:r>
            <w:r>
              <w:rPr>
                <w:color w:val="000000" w:themeColor="text1"/>
                <w:kern w:val="0"/>
                <w14:textFill>
                  <w14:solidFill>
                    <w14:schemeClr w14:val="tx1"/>
                  </w14:solidFill>
                </w14:textFill>
              </w:rPr>
              <w:t>侧</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53</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53</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44</w:t>
            </w:r>
          </w:p>
        </w:tc>
        <w:tc>
          <w:tcPr>
            <w:tcW w:w="1690" w:type="dxa"/>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 w:type="pct"/>
            <w:tcBorders>
              <w:tl2br w:val="nil"/>
              <w:tr2bl w:val="nil"/>
            </w:tcBorders>
            <w:vAlign w:val="center"/>
          </w:tcPr>
          <w:p>
            <w:pPr>
              <w:pStyle w:val="232"/>
              <w:rPr>
                <w:color w:val="FF0000"/>
              </w:rPr>
            </w:pPr>
            <w:r>
              <w:rPr>
                <w:rFonts w:hint="eastAsia"/>
                <w:color w:val="FF0000"/>
              </w:rPr>
              <w:t>2</w:t>
            </w:r>
            <w:r>
              <w:rPr>
                <w:color w:val="FF0000"/>
              </w:rPr>
              <w:t>#</w:t>
            </w:r>
          </w:p>
        </w:tc>
        <w:tc>
          <w:tcPr>
            <w:tcW w:w="833"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厂址</w:t>
            </w:r>
            <w:r>
              <w:rPr>
                <w:rFonts w:hint="eastAsia"/>
                <w:color w:val="000000" w:themeColor="text1"/>
                <w14:textFill>
                  <w14:solidFill>
                    <w14:schemeClr w14:val="tx1"/>
                  </w14:solidFill>
                </w14:textFill>
              </w:rPr>
              <w:t>南</w:t>
            </w:r>
            <w:r>
              <w:rPr>
                <w:color w:val="000000" w:themeColor="text1"/>
                <w14:textFill>
                  <w14:solidFill>
                    <w14:schemeClr w14:val="tx1"/>
                  </w14:solidFill>
                </w14:textFill>
              </w:rPr>
              <w:t>侧</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50</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51</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42</w:t>
            </w:r>
          </w:p>
        </w:tc>
        <w:tc>
          <w:tcPr>
            <w:tcW w:w="1690" w:type="dxa"/>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 w:type="pct"/>
            <w:tcBorders>
              <w:tl2br w:val="nil"/>
              <w:tr2bl w:val="nil"/>
            </w:tcBorders>
            <w:vAlign w:val="center"/>
          </w:tcPr>
          <w:p>
            <w:pPr>
              <w:pStyle w:val="232"/>
              <w:rPr>
                <w:color w:val="FF0000"/>
              </w:rPr>
            </w:pPr>
            <w:r>
              <w:rPr>
                <w:rFonts w:hint="eastAsia"/>
                <w:color w:val="FF0000"/>
              </w:rPr>
              <w:t>3</w:t>
            </w:r>
            <w:r>
              <w:rPr>
                <w:color w:val="FF0000"/>
              </w:rPr>
              <w:t>#</w:t>
            </w:r>
          </w:p>
        </w:tc>
        <w:tc>
          <w:tcPr>
            <w:tcW w:w="833"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厂址</w:t>
            </w:r>
            <w:r>
              <w:rPr>
                <w:rFonts w:hint="eastAsia"/>
                <w:color w:val="000000" w:themeColor="text1"/>
                <w14:textFill>
                  <w14:solidFill>
                    <w14:schemeClr w14:val="tx1"/>
                  </w14:solidFill>
                </w14:textFill>
              </w:rPr>
              <w:t>西</w:t>
            </w:r>
            <w:r>
              <w:rPr>
                <w:color w:val="000000" w:themeColor="text1"/>
                <w14:textFill>
                  <w14:solidFill>
                    <w14:schemeClr w14:val="tx1"/>
                  </w14:solidFill>
                </w14:textFill>
              </w:rPr>
              <w:t>侧</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51</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51</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42</w:t>
            </w:r>
          </w:p>
        </w:tc>
        <w:tc>
          <w:tcPr>
            <w:tcW w:w="1690" w:type="dxa"/>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 w:type="pct"/>
            <w:tcBorders>
              <w:tl2br w:val="nil"/>
              <w:tr2bl w:val="nil"/>
            </w:tcBorders>
            <w:vAlign w:val="center"/>
          </w:tcPr>
          <w:p>
            <w:pPr>
              <w:pStyle w:val="232"/>
              <w:rPr>
                <w:color w:val="FF0000"/>
              </w:rPr>
            </w:pPr>
            <w:r>
              <w:rPr>
                <w:color w:val="FF0000"/>
              </w:rPr>
              <w:t>4#</w:t>
            </w:r>
          </w:p>
        </w:tc>
        <w:tc>
          <w:tcPr>
            <w:tcW w:w="833" w:type="pct"/>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厂址</w:t>
            </w:r>
            <w:r>
              <w:rPr>
                <w:rFonts w:hint="eastAsia"/>
                <w:color w:val="000000" w:themeColor="text1"/>
                <w14:textFill>
                  <w14:solidFill>
                    <w14:schemeClr w14:val="tx1"/>
                  </w14:solidFill>
                </w14:textFill>
              </w:rPr>
              <w:t>北</w:t>
            </w:r>
            <w:r>
              <w:rPr>
                <w:color w:val="000000" w:themeColor="text1"/>
                <w14:textFill>
                  <w14:solidFill>
                    <w14:schemeClr w14:val="tx1"/>
                  </w14:solidFill>
                </w14:textFill>
              </w:rPr>
              <w:t>侧</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51</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51</w:t>
            </w:r>
          </w:p>
        </w:tc>
        <w:tc>
          <w:tcPr>
            <w:tcW w:w="938" w:type="pct"/>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41</w:t>
            </w:r>
          </w:p>
        </w:tc>
        <w:tc>
          <w:tcPr>
            <w:tcW w:w="1690" w:type="dxa"/>
            <w:tcBorders>
              <w:tl2br w:val="nil"/>
              <w:tr2bl w:val="nil"/>
            </w:tcBorders>
            <w:vAlign w:val="center"/>
          </w:tcPr>
          <w:p>
            <w:pPr>
              <w:spacing w:line="240" w:lineRule="auto"/>
              <w:ind w:firstLine="0" w:firstLineChars="0"/>
              <w:jc w:val="center"/>
              <w:rPr>
                <w:color w:val="000000" w:themeColor="text1"/>
                <w:sz w:val="21"/>
                <w:szCs w:val="21"/>
                <w14:textFill>
                  <w14:solidFill>
                    <w14:schemeClr w14:val="tx1"/>
                  </w14:solidFill>
                </w14:textFill>
              </w:rPr>
            </w:pPr>
            <w:r>
              <w:rPr>
                <w:rFonts w:hint="eastAsia"/>
                <w:sz w:val="21"/>
                <w:szCs w:val="21"/>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限值</w:t>
            </w:r>
          </w:p>
        </w:tc>
        <w:tc>
          <w:tcPr>
            <w:tcW w:w="1876" w:type="pct"/>
            <w:gridSpan w:val="2"/>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0</w:t>
            </w:r>
          </w:p>
        </w:tc>
        <w:tc>
          <w:tcPr>
            <w:tcW w:w="1876" w:type="pct"/>
            <w:gridSpan w:val="2"/>
            <w:tcBorders>
              <w:tl2br w:val="nil"/>
              <w:tr2bl w:val="nil"/>
            </w:tcBorders>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7" w:type="pct"/>
            <w:gridSpan w:val="2"/>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执行标准</w:t>
            </w:r>
          </w:p>
        </w:tc>
        <w:tc>
          <w:tcPr>
            <w:tcW w:w="3752" w:type="pct"/>
            <w:gridSpan w:val="4"/>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《声环境质量标准》（GB3096-2008）中2类标准</w:t>
            </w:r>
          </w:p>
        </w:tc>
      </w:tr>
    </w:tbl>
    <w:p>
      <w:pPr>
        <w:pStyle w:val="5"/>
        <w:rPr>
          <w:color w:val="000000" w:themeColor="text1"/>
          <w14:textFill>
            <w14:solidFill>
              <w14:schemeClr w14:val="tx1"/>
            </w14:solidFill>
          </w14:textFill>
        </w:rPr>
      </w:pPr>
      <w:r>
        <w:rPr>
          <w:color w:val="000000" w:themeColor="text1"/>
          <w14:textFill>
            <w14:solidFill>
              <w14:schemeClr w14:val="tx1"/>
            </w14:solidFill>
          </w14:textFill>
        </w:rPr>
        <w:t>声环境质量现状评价</w:t>
      </w:r>
    </w:p>
    <w:p>
      <w:pPr>
        <w:ind w:firstLine="480"/>
      </w:pPr>
      <w:r>
        <w:rPr>
          <w:rFonts w:hint="eastAsia"/>
        </w:rPr>
        <w:t>（1）</w:t>
      </w:r>
      <w:r>
        <w:t>评价标准</w:t>
      </w:r>
    </w:p>
    <w:p>
      <w:pPr>
        <w:ind w:firstLine="480"/>
      </w:pPr>
      <w:r>
        <w:t>根据项目区域的环境特征，声环境现状评价</w:t>
      </w:r>
      <w:r>
        <w:rPr>
          <w:rFonts w:hint="eastAsia"/>
        </w:rPr>
        <w:t>依据</w:t>
      </w:r>
      <w:r>
        <w:t>《声环境质量标准》（GB3096－2008）中的</w:t>
      </w:r>
      <w:r>
        <w:rPr>
          <w:rFonts w:hint="eastAsia"/>
        </w:rPr>
        <w:t>2类</w:t>
      </w:r>
      <w:r>
        <w:t>区标准：昼间60dB（A），夜间50dB（A）</w:t>
      </w:r>
      <w:r>
        <w:rPr>
          <w:rFonts w:hint="eastAsia"/>
        </w:rPr>
        <w:t>。</w:t>
      </w:r>
    </w:p>
    <w:p>
      <w:pPr>
        <w:ind w:firstLine="480"/>
      </w:pPr>
      <w:r>
        <w:rPr>
          <w:rFonts w:hint="eastAsia"/>
        </w:rPr>
        <w:t>（2）</w:t>
      </w:r>
      <w:r>
        <w:t>评价结果</w:t>
      </w:r>
    </w:p>
    <w:p>
      <w:pPr>
        <w:ind w:firstLine="480"/>
      </w:pPr>
      <w:r>
        <w:t>根据监测结果厂界昼间等效声级值在50</w:t>
      </w:r>
      <w:r>
        <w:rPr>
          <w:rFonts w:hint="eastAsia"/>
        </w:rPr>
        <w:t>~53</w:t>
      </w:r>
      <w:r>
        <w:t>dB</w:t>
      </w:r>
      <w:r>
        <w:rPr>
          <w:rFonts w:hint="eastAsia"/>
        </w:rPr>
        <w:t>（</w:t>
      </w:r>
      <w:r>
        <w:t>A</w:t>
      </w:r>
      <w:r>
        <w:rPr>
          <w:rFonts w:hint="eastAsia"/>
        </w:rPr>
        <w:t>）</w:t>
      </w:r>
      <w:r>
        <w:t>、夜间在41~</w:t>
      </w:r>
      <w:r>
        <w:rPr>
          <w:rFonts w:hint="eastAsia"/>
        </w:rPr>
        <w:t>44</w:t>
      </w:r>
      <w:r>
        <w:t>dB</w:t>
      </w:r>
      <w:r>
        <w:rPr>
          <w:rFonts w:hint="eastAsia"/>
        </w:rPr>
        <w:t>（</w:t>
      </w:r>
      <w:r>
        <w:t>A</w:t>
      </w:r>
      <w:r>
        <w:rPr>
          <w:rFonts w:hint="eastAsia"/>
        </w:rPr>
        <w:t>）</w:t>
      </w:r>
      <w:r>
        <w:t>，四周厂界监测值均满足《声环境质量标准》(GB3096-2008)中</w:t>
      </w:r>
      <w:r>
        <w:rPr>
          <w:rFonts w:hint="eastAsia"/>
        </w:rPr>
        <w:t>2类</w:t>
      </w:r>
      <w:r>
        <w:t>标准限值要求。</w:t>
      </w:r>
    </w:p>
    <w:p>
      <w:pPr>
        <w:pStyle w:val="4"/>
      </w:pPr>
      <w:r>
        <w:rPr>
          <w:rFonts w:hint="eastAsia"/>
        </w:rPr>
        <w:t>生态环境现状调查与评价</w:t>
      </w:r>
    </w:p>
    <w:p>
      <w:pPr>
        <w:ind w:firstLine="480"/>
      </w:pPr>
      <w:r>
        <w:rPr>
          <w:rFonts w:hint="eastAsia"/>
        </w:rPr>
        <w:t xml:space="preserve">根据《内蒙古自治区生态功能区划》，项目评价区域生态功能区划为河套平 原灌溉生态功能区，主要生态环境问题是壤风蚀沙化和水土流失，土壤肥力下降，主要生态系统服务功能为粮食生产，主要措施与发展方向为建立基本农田保护区为中心，治理农田土壤盐渍化和土壤板结为根本。 </w:t>
      </w:r>
    </w:p>
    <w:p>
      <w:pPr>
        <w:ind w:firstLine="480"/>
      </w:pPr>
      <w:r>
        <w:rPr>
          <w:rFonts w:hint="eastAsia"/>
        </w:rPr>
        <w:t>本次通过土地利用现状、植被类型、植被覆盖度、土壤侵蚀等生态环境要素进行评价，根据解译成果，结合现场调查和收集资料，分析评价区内生态环境要素的空间分布特征。</w:t>
      </w:r>
    </w:p>
    <w:p>
      <w:pPr>
        <w:pStyle w:val="5"/>
      </w:pPr>
      <w:r>
        <w:rPr>
          <w:rFonts w:hint="eastAsia"/>
        </w:rPr>
        <w:t>土地利用现状</w:t>
      </w:r>
    </w:p>
    <w:p>
      <w:pPr>
        <w:ind w:firstLine="480"/>
        <w:rPr>
          <w:color w:val="FF0000"/>
        </w:rPr>
      </w:pPr>
      <w:r>
        <w:rPr>
          <w:color w:val="FF0000"/>
        </w:rPr>
        <w:t>本项目土地利用现状通过现场调查、资料收集与卫星遥感影像解译相结合的方法，具体以Landsat8美国陆地卫星2021年8月16日接收的空间分辨率为15m的遥感图像数据为信息源，并采用地理信息系统软件进行图件数字化，并分类统计面积。</w:t>
      </w:r>
    </w:p>
    <w:p>
      <w:pPr>
        <w:ind w:firstLine="480"/>
        <w:rPr>
          <w:color w:val="FF0000"/>
        </w:rPr>
      </w:pPr>
      <w:r>
        <w:rPr>
          <w:color w:val="FF0000"/>
        </w:rPr>
        <w:t>参考《环境影响评价技术导则 生态影响》（HJ19-2022），经判定生态影响评价等级，并结合项目所在区域生态特点，项目生态环境影响评价的范围为场界占地及边界外沿 500m。</w:t>
      </w:r>
    </w:p>
    <w:p>
      <w:pPr>
        <w:ind w:firstLine="480"/>
        <w:rPr>
          <w:rFonts w:hint="eastAsia"/>
          <w:color w:val="FF0000"/>
        </w:rPr>
      </w:pPr>
      <w:r>
        <w:rPr>
          <w:color w:val="FF0000"/>
        </w:rPr>
        <w:t>评价区域内的土地利用类型可划分为耕地、林地、草地、住宅用地、交通运 输用地、水域和水利设施用地和其他土地。根据生态解译结果，评价区域内所占比例最高的为耕地（二级为水浇地），面积为327.92 hm</w:t>
      </w:r>
      <w:r>
        <w:rPr>
          <w:color w:val="FF0000"/>
          <w:vertAlign w:val="superscript"/>
        </w:rPr>
        <w:t>2</w:t>
      </w:r>
      <w:r>
        <w:rPr>
          <w:color w:val="FF0000"/>
        </w:rPr>
        <w:t>，占比为41.63%</w:t>
      </w:r>
      <w:r>
        <w:rPr>
          <w:rFonts w:hint="eastAsia"/>
          <w:color w:val="FF0000"/>
        </w:rPr>
        <w:t>，</w:t>
      </w:r>
      <w:r>
        <w:rPr>
          <w:color w:val="FF0000"/>
        </w:rPr>
        <w:t>其次为其他土地（二级为盐碱地），面积为313.59 hm</w:t>
      </w:r>
      <w:r>
        <w:rPr>
          <w:color w:val="FF0000"/>
          <w:vertAlign w:val="superscript"/>
        </w:rPr>
        <w:t>2</w:t>
      </w:r>
      <w:r>
        <w:rPr>
          <w:color w:val="FF0000"/>
        </w:rPr>
        <w:t>，占比为39.81 %</w:t>
      </w:r>
      <w:r>
        <w:rPr>
          <w:rFonts w:hint="eastAsia"/>
          <w:color w:val="FF0000"/>
        </w:rPr>
        <w:t>。</w:t>
      </w:r>
      <w:r>
        <w:rPr>
          <w:color w:val="FF0000"/>
        </w:rPr>
        <w:t>项目区建筑地基施工地块占地面积约</w:t>
      </w:r>
      <w:r>
        <w:rPr>
          <w:rFonts w:hint="eastAsia"/>
          <w:color w:val="FF0000"/>
        </w:rPr>
        <w:t>116.91</w:t>
      </w:r>
      <w:r>
        <w:rPr>
          <w:color w:val="FF0000"/>
        </w:rPr>
        <w:t>hm</w:t>
      </w:r>
      <w:r>
        <w:rPr>
          <w:color w:val="FF0000"/>
          <w:vertAlign w:val="superscript"/>
        </w:rPr>
        <w:t>2</w:t>
      </w:r>
      <w:r>
        <w:rPr>
          <w:rFonts w:hint="eastAsia"/>
          <w:color w:val="FF0000"/>
        </w:rPr>
        <w:t>，</w:t>
      </w:r>
      <w:r>
        <w:rPr>
          <w:color w:val="FF0000"/>
        </w:rPr>
        <w:t>其中盐碱地面积为82.01 hm</w:t>
      </w:r>
      <w:r>
        <w:rPr>
          <w:color w:val="FF0000"/>
          <w:vertAlign w:val="superscript"/>
        </w:rPr>
        <w:t>2</w:t>
      </w:r>
      <w:r>
        <w:rPr>
          <w:rFonts w:hint="eastAsia"/>
          <w:color w:val="FF0000"/>
        </w:rPr>
        <w:t>，</w:t>
      </w:r>
      <w:r>
        <w:rPr>
          <w:color w:val="FF0000"/>
        </w:rPr>
        <w:t>占项目区面积的</w:t>
      </w:r>
      <w:r>
        <w:rPr>
          <w:rFonts w:hint="eastAsia"/>
          <w:color w:val="FF0000"/>
        </w:rPr>
        <w:t>70.15</w:t>
      </w:r>
      <w:r>
        <w:rPr>
          <w:color w:val="FF0000"/>
        </w:rPr>
        <w:t>%，评价区土</w:t>
      </w:r>
      <w:r>
        <w:rPr>
          <w:rFonts w:ascii="宋体" w:hAnsi="宋体" w:cs="宋体"/>
          <w:color w:val="FF0000"/>
        </w:rPr>
        <w:t>地利用现状见表</w:t>
      </w:r>
      <w:r>
        <w:rPr>
          <w:rFonts w:ascii="宋体" w:hAnsi="宋体" w:cs="宋体"/>
          <w:color w:val="FF0000"/>
          <w:spacing w:val="-51"/>
        </w:rPr>
        <w:t xml:space="preserve"> </w:t>
      </w:r>
      <w:r>
        <w:rPr>
          <w:rFonts w:eastAsia="Times New Roman"/>
          <w:color w:val="FF0000"/>
        </w:rPr>
        <w:t>4.</w:t>
      </w:r>
      <w:r>
        <w:rPr>
          <w:rFonts w:hint="eastAsia"/>
          <w:color w:val="FF0000"/>
        </w:rPr>
        <w:t>2.5</w:t>
      </w:r>
      <w:r>
        <w:rPr>
          <w:rFonts w:eastAsia="Times New Roman"/>
          <w:color w:val="FF0000"/>
        </w:rPr>
        <w:t>-</w:t>
      </w:r>
      <w:r>
        <w:rPr>
          <w:rFonts w:hint="eastAsia"/>
          <w:color w:val="FF0000"/>
          <w:spacing w:val="-1"/>
        </w:rPr>
        <w:t>1</w:t>
      </w:r>
      <w:r>
        <w:rPr>
          <w:rFonts w:ascii="宋体" w:hAnsi="宋体" w:cs="宋体"/>
          <w:color w:val="FF0000"/>
          <w:spacing w:val="-1"/>
        </w:rPr>
        <w:t>及图</w:t>
      </w:r>
      <w:r>
        <w:rPr>
          <w:rFonts w:ascii="宋体" w:hAnsi="宋体" w:cs="宋体"/>
          <w:color w:val="FF0000"/>
          <w:spacing w:val="-54"/>
        </w:rPr>
        <w:t xml:space="preserve"> </w:t>
      </w:r>
      <w:r>
        <w:rPr>
          <w:rFonts w:eastAsia="Times New Roman"/>
          <w:color w:val="FF0000"/>
          <w:spacing w:val="-1"/>
        </w:rPr>
        <w:t>4.</w:t>
      </w:r>
      <w:r>
        <w:rPr>
          <w:rFonts w:hint="eastAsia"/>
          <w:color w:val="FF0000"/>
          <w:spacing w:val="-1"/>
        </w:rPr>
        <w:t>2.5</w:t>
      </w:r>
      <w:r>
        <w:rPr>
          <w:rFonts w:eastAsia="Times New Roman"/>
          <w:color w:val="FF0000"/>
          <w:spacing w:val="-1"/>
        </w:rPr>
        <w:t>-</w:t>
      </w:r>
      <w:r>
        <w:rPr>
          <w:rFonts w:hint="eastAsia"/>
          <w:color w:val="FF0000"/>
          <w:spacing w:val="-1"/>
        </w:rPr>
        <w:t>1</w:t>
      </w:r>
      <w:r>
        <w:rPr>
          <w:rFonts w:eastAsia="Times New Roman"/>
          <w:color w:val="FF0000"/>
          <w:spacing w:val="-26"/>
        </w:rPr>
        <w:t xml:space="preserve"> </w:t>
      </w:r>
      <w:r>
        <w:rPr>
          <w:rFonts w:ascii="宋体" w:hAnsi="宋体" w:cs="宋体"/>
          <w:color w:val="FF0000"/>
          <w:spacing w:val="-1"/>
        </w:rPr>
        <w:t>，项目区地利用现</w:t>
      </w:r>
      <w:r>
        <w:rPr>
          <w:rFonts w:ascii="宋体" w:hAnsi="宋体" w:cs="宋体"/>
          <w:color w:val="FF0000"/>
          <w:spacing w:val="-2"/>
        </w:rPr>
        <w:t>状见表</w:t>
      </w:r>
      <w:r>
        <w:rPr>
          <w:rFonts w:ascii="宋体" w:hAnsi="宋体" w:cs="宋体"/>
          <w:color w:val="FF0000"/>
          <w:spacing w:val="-54"/>
        </w:rPr>
        <w:t xml:space="preserve"> </w:t>
      </w:r>
      <w:r>
        <w:rPr>
          <w:rFonts w:eastAsia="Times New Roman"/>
          <w:color w:val="FF0000"/>
          <w:spacing w:val="-2"/>
        </w:rPr>
        <w:t>4.</w:t>
      </w:r>
      <w:r>
        <w:rPr>
          <w:rFonts w:hint="eastAsia"/>
          <w:color w:val="FF0000"/>
          <w:spacing w:val="-2"/>
        </w:rPr>
        <w:t>2.5</w:t>
      </w:r>
      <w:r>
        <w:rPr>
          <w:rFonts w:eastAsia="Times New Roman"/>
          <w:color w:val="FF0000"/>
          <w:spacing w:val="-2"/>
        </w:rPr>
        <w:t>-</w:t>
      </w:r>
      <w:r>
        <w:rPr>
          <w:rFonts w:hint="eastAsia"/>
          <w:color w:val="FF0000"/>
          <w:spacing w:val="-2"/>
        </w:rPr>
        <w:t>2</w:t>
      </w:r>
      <w:r>
        <w:rPr>
          <w:rFonts w:ascii="宋体" w:hAnsi="宋体" w:cs="宋体"/>
          <w:color w:val="FF0000"/>
          <w:spacing w:val="-2"/>
        </w:rPr>
        <w:t>。</w:t>
      </w:r>
    </w:p>
    <w:p>
      <w:pPr>
        <w:pStyle w:val="6"/>
        <w:rPr>
          <w:color w:val="FF0000"/>
        </w:rPr>
      </w:pPr>
      <w:r>
        <w:rPr>
          <w:rFonts w:hint="eastAsia"/>
          <w:color w:val="FF0000"/>
        </w:rPr>
        <w:t>表 4.2.5-1   评价区土地利用现状一览表</w:t>
      </w:r>
    </w:p>
    <w:p>
      <w:pPr>
        <w:spacing w:line="68" w:lineRule="exact"/>
        <w:ind w:firstLine="480"/>
        <w:rPr>
          <w:color w:val="FF0000"/>
        </w:rPr>
      </w:pPr>
    </w:p>
    <w:tbl>
      <w:tblPr>
        <w:tblStyle w:val="2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80"/>
        <w:gridCol w:w="1300"/>
        <w:gridCol w:w="1538"/>
        <w:gridCol w:w="1513"/>
        <w:gridCol w:w="2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blHeader/>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4"/>
                <w:sz w:val="21"/>
                <w:szCs w:val="21"/>
              </w:rPr>
              <w:t>一级</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3"/>
                <w:sz w:val="21"/>
                <w:szCs w:val="21"/>
              </w:rPr>
              <w:t>二级</w:t>
            </w:r>
          </w:p>
        </w:tc>
        <w:tc>
          <w:tcPr>
            <w:tcW w:w="874"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斑块数（个）</w:t>
            </w:r>
          </w:p>
        </w:tc>
        <w:tc>
          <w:tcPr>
            <w:tcW w:w="860" w:type="pct"/>
            <w:vAlign w:val="center"/>
          </w:tcPr>
          <w:p>
            <w:pPr>
              <w:pStyle w:val="249"/>
              <w:spacing w:line="240" w:lineRule="auto"/>
              <w:ind w:firstLine="0" w:firstLineChars="0"/>
              <w:jc w:val="center"/>
              <w:rPr>
                <w:rFonts w:eastAsia="宋体" w:cs="宋体"/>
                <w:color w:val="FF0000"/>
                <w:sz w:val="21"/>
                <w:szCs w:val="21"/>
              </w:rPr>
            </w:pPr>
            <w:r>
              <w:rPr>
                <w:rFonts w:eastAsia="宋体" w:cs="宋体"/>
                <w:color w:val="FF0000"/>
                <w:spacing w:val="7"/>
                <w:sz w:val="21"/>
                <w:szCs w:val="21"/>
              </w:rPr>
              <w:t>面积（</w:t>
            </w:r>
            <w:r>
              <w:rPr>
                <w:rFonts w:eastAsia="宋体"/>
                <w:color w:val="FF0000"/>
                <w:sz w:val="21"/>
                <w:szCs w:val="21"/>
              </w:rPr>
              <w:t>hm</w:t>
            </w:r>
            <w:r>
              <w:rPr>
                <w:rFonts w:eastAsia="宋体"/>
                <w:color w:val="FF0000"/>
                <w:spacing w:val="7"/>
                <w:position w:val="6"/>
                <w:sz w:val="21"/>
                <w:szCs w:val="21"/>
                <w:vertAlign w:val="superscript"/>
              </w:rPr>
              <w:t>2</w:t>
            </w:r>
            <w:r>
              <w:rPr>
                <w:rFonts w:eastAsia="宋体" w:cs="宋体"/>
                <w:color w:val="FF0000"/>
                <w:spacing w:val="7"/>
                <w:sz w:val="21"/>
                <w:szCs w:val="21"/>
              </w:rPr>
              <w:t>）</w:t>
            </w:r>
          </w:p>
        </w:tc>
        <w:tc>
          <w:tcPr>
            <w:tcW w:w="1228" w:type="pct"/>
            <w:vAlign w:val="center"/>
          </w:tcPr>
          <w:p>
            <w:pPr>
              <w:pStyle w:val="249"/>
              <w:spacing w:line="240" w:lineRule="auto"/>
              <w:ind w:firstLine="0" w:firstLineChars="0"/>
              <w:jc w:val="center"/>
              <w:rPr>
                <w:rFonts w:eastAsia="宋体" w:cs="宋体"/>
                <w:color w:val="FF0000"/>
                <w:sz w:val="21"/>
                <w:szCs w:val="21"/>
              </w:rPr>
            </w:pPr>
            <w:r>
              <w:rPr>
                <w:rFonts w:eastAsia="宋体" w:cs="宋体"/>
                <w:color w:val="FF0000"/>
                <w:spacing w:val="3"/>
                <w:sz w:val="21"/>
                <w:szCs w:val="21"/>
              </w:rPr>
              <w:t>占总面积比例（</w:t>
            </w:r>
            <w:r>
              <w:rPr>
                <w:rFonts w:eastAsia="宋体"/>
                <w:color w:val="FF0000"/>
                <w:spacing w:val="3"/>
                <w:sz w:val="21"/>
                <w:szCs w:val="21"/>
              </w:rPr>
              <w:t>%</w:t>
            </w:r>
            <w:r>
              <w:rPr>
                <w:rFonts w:eastAsia="宋体" w:cs="宋体"/>
                <w:color w:val="FF0000"/>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4"/>
                <w:sz w:val="21"/>
                <w:szCs w:val="21"/>
              </w:rPr>
              <w:t>耕地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水浇地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23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327.92</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41.63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restart"/>
            <w:vAlign w:val="center"/>
          </w:tcPr>
          <w:p>
            <w:pPr>
              <w:spacing w:line="240" w:lineRule="auto"/>
              <w:ind w:firstLine="0" w:firstLineChars="0"/>
              <w:jc w:val="center"/>
              <w:rPr>
                <w:rFonts w:cs="宋体"/>
                <w:color w:val="FF0000"/>
                <w:sz w:val="21"/>
                <w:szCs w:val="21"/>
              </w:rPr>
            </w:pPr>
            <w:r>
              <w:rPr>
                <w:rFonts w:cs="宋体"/>
                <w:color w:val="FF0000"/>
                <w:spacing w:val="4"/>
                <w:sz w:val="21"/>
                <w:szCs w:val="21"/>
              </w:rPr>
              <w:t>林地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乔木林地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2</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1.33</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其他林地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1.37</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Merge w:val="restart"/>
            <w:vAlign w:val="center"/>
          </w:tcPr>
          <w:p>
            <w:pPr>
              <w:spacing w:line="240" w:lineRule="auto"/>
              <w:ind w:firstLine="0" w:firstLineChars="0"/>
              <w:jc w:val="center"/>
              <w:rPr>
                <w:rFonts w:cs="宋体"/>
                <w:color w:val="FF0000"/>
                <w:sz w:val="21"/>
                <w:szCs w:val="21"/>
              </w:rPr>
            </w:pPr>
            <w:r>
              <w:rPr>
                <w:rFonts w:cs="宋体"/>
                <w:color w:val="FF0000"/>
                <w:spacing w:val="3"/>
                <w:sz w:val="21"/>
                <w:szCs w:val="21"/>
              </w:rPr>
              <w:t>草地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其他草地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8"/>
                <w:sz w:val="21"/>
                <w:szCs w:val="21"/>
              </w:rPr>
              <w:t>17</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72.</w:t>
            </w:r>
            <w:r>
              <w:rPr>
                <w:rFonts w:eastAsia="宋体"/>
                <w:color w:val="FF0000"/>
                <w:spacing w:val="-23"/>
                <w:sz w:val="21"/>
                <w:szCs w:val="21"/>
              </w:rPr>
              <w:t xml:space="preserve"> </w:t>
            </w:r>
            <w:r>
              <w:rPr>
                <w:rFonts w:eastAsia="宋体"/>
                <w:color w:val="FF0000"/>
                <w:spacing w:val="-3"/>
                <w:sz w:val="21"/>
                <w:szCs w:val="21"/>
              </w:rPr>
              <w:t>12</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9.16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沼泽草地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1"/>
                <w:sz w:val="21"/>
                <w:szCs w:val="21"/>
              </w:rPr>
              <w:t>19.95</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住宅用地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8"/>
                <w:sz w:val="21"/>
                <w:szCs w:val="21"/>
              </w:rPr>
              <w:t>农村宅基地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23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11.33</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restar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交通运输用地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5"/>
                <w:sz w:val="21"/>
                <w:szCs w:val="21"/>
              </w:rPr>
              <w:t>公路用地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3.34</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农村道路</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2</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0.64</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Merge w:val="restart"/>
            <w:vAlign w:val="center"/>
          </w:tcPr>
          <w:p>
            <w:pPr>
              <w:spacing w:line="240" w:lineRule="auto"/>
              <w:ind w:firstLine="0" w:firstLineChars="0"/>
              <w:jc w:val="center"/>
              <w:rPr>
                <w:rFonts w:cs="宋体"/>
                <w:color w:val="FF0000"/>
                <w:sz w:val="21"/>
                <w:szCs w:val="21"/>
              </w:rPr>
            </w:pPr>
            <w:r>
              <w:rPr>
                <w:rFonts w:cs="宋体"/>
                <w:color w:val="FF0000"/>
                <w:spacing w:val="8"/>
                <w:sz w:val="21"/>
                <w:szCs w:val="21"/>
              </w:rPr>
              <w:t>水域及水利设施用地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湖泊水面</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2</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1"/>
                <w:sz w:val="21"/>
                <w:szCs w:val="21"/>
              </w:rPr>
              <w:t>14.79</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坑塘水面</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0.72</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4"/>
                <w:sz w:val="21"/>
                <w:szCs w:val="21"/>
              </w:rPr>
              <w:t>沟渠</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22.70</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restar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其他土地</w:t>
            </w: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设施农用地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29.89</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盐碱地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8"/>
                <w:sz w:val="21"/>
                <w:szCs w:val="21"/>
              </w:rPr>
              <w:t>12</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276.28</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35.07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3"/>
                <w:sz w:val="21"/>
                <w:szCs w:val="21"/>
              </w:rPr>
              <w:t>沙地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3.01</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1296" w:type="pct"/>
            <w:vMerge w:val="continue"/>
            <w:vAlign w:val="center"/>
          </w:tcPr>
          <w:p>
            <w:pPr>
              <w:spacing w:line="240" w:lineRule="auto"/>
              <w:ind w:firstLine="0" w:firstLineChars="0"/>
              <w:jc w:val="center"/>
              <w:rPr>
                <w:color w:val="FF0000"/>
                <w:sz w:val="21"/>
                <w:szCs w:val="21"/>
              </w:rPr>
            </w:pPr>
          </w:p>
        </w:tc>
        <w:tc>
          <w:tcPr>
            <w:tcW w:w="739"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裸土地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2.37</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2"/>
                <w:sz w:val="21"/>
                <w:szCs w:val="21"/>
              </w:rPr>
              <w:t>总计</w:t>
            </w:r>
          </w:p>
        </w:tc>
        <w:tc>
          <w:tcPr>
            <w:tcW w:w="739" w:type="pct"/>
            <w:vAlign w:val="center"/>
          </w:tcPr>
          <w:p>
            <w:pPr>
              <w:spacing w:line="240" w:lineRule="auto"/>
              <w:ind w:firstLine="0" w:firstLineChars="0"/>
              <w:jc w:val="center"/>
              <w:rPr>
                <w:color w:val="FF0000"/>
                <w:sz w:val="21"/>
                <w:szCs w:val="21"/>
              </w:rPr>
            </w:pP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97</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3"/>
                <w:sz w:val="21"/>
                <w:szCs w:val="21"/>
              </w:rPr>
              <w:t>787.74</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100.00</w:t>
            </w:r>
          </w:p>
        </w:tc>
      </w:tr>
    </w:tbl>
    <w:p>
      <w:pPr>
        <w:pStyle w:val="6"/>
        <w:rPr>
          <w:color w:val="FF0000"/>
        </w:rPr>
      </w:pPr>
      <w:r>
        <w:rPr>
          <w:rFonts w:hint="eastAsia"/>
          <w:color w:val="FF0000"/>
        </w:rPr>
        <w:t>表</w:t>
      </w:r>
      <w:r>
        <w:rPr>
          <w:rFonts w:ascii="宋体" w:hAnsi="宋体" w:cs="宋体"/>
          <w:color w:val="FF0000"/>
          <w:spacing w:val="-54"/>
          <w:szCs w:val="24"/>
        </w:rPr>
        <w:t xml:space="preserve"> </w:t>
      </w:r>
      <w:r>
        <w:rPr>
          <w:rFonts w:eastAsia="Times New Roman"/>
          <w:color w:val="FF0000"/>
          <w:spacing w:val="-2"/>
          <w:szCs w:val="24"/>
        </w:rPr>
        <w:t>4.</w:t>
      </w:r>
      <w:r>
        <w:rPr>
          <w:rFonts w:hint="eastAsia"/>
          <w:color w:val="FF0000"/>
          <w:spacing w:val="-2"/>
          <w:szCs w:val="24"/>
        </w:rPr>
        <w:t>2.5</w:t>
      </w:r>
      <w:r>
        <w:rPr>
          <w:rFonts w:eastAsia="Times New Roman"/>
          <w:color w:val="FF0000"/>
          <w:spacing w:val="-2"/>
          <w:szCs w:val="24"/>
        </w:rPr>
        <w:t>-</w:t>
      </w:r>
      <w:r>
        <w:rPr>
          <w:rFonts w:hint="eastAsia"/>
          <w:color w:val="FF0000"/>
          <w:spacing w:val="-2"/>
          <w:szCs w:val="24"/>
        </w:rPr>
        <w:t xml:space="preserve">2   </w:t>
      </w:r>
      <w:r>
        <w:rPr>
          <w:rFonts w:hint="eastAsia"/>
          <w:color w:val="FF0000"/>
        </w:rPr>
        <w:t>项目区土地利用现状一览表</w:t>
      </w:r>
    </w:p>
    <w:p>
      <w:pPr>
        <w:spacing w:line="68" w:lineRule="exact"/>
        <w:ind w:firstLine="480"/>
        <w:rPr>
          <w:color w:val="FF0000"/>
        </w:rPr>
      </w:pPr>
    </w:p>
    <w:tbl>
      <w:tblPr>
        <w:tblStyle w:val="2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79"/>
        <w:gridCol w:w="1302"/>
        <w:gridCol w:w="1538"/>
        <w:gridCol w:w="1513"/>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4"/>
                <w:sz w:val="21"/>
                <w:szCs w:val="21"/>
              </w:rPr>
              <w:t>一级</w:t>
            </w:r>
          </w:p>
        </w:tc>
        <w:tc>
          <w:tcPr>
            <w:tcW w:w="740" w:type="pct"/>
            <w:vAlign w:val="center"/>
          </w:tcPr>
          <w:p>
            <w:pPr>
              <w:spacing w:line="240" w:lineRule="auto"/>
              <w:ind w:firstLine="0" w:firstLineChars="0"/>
              <w:jc w:val="center"/>
              <w:rPr>
                <w:rFonts w:cs="宋体"/>
                <w:color w:val="FF0000"/>
                <w:sz w:val="21"/>
                <w:szCs w:val="21"/>
              </w:rPr>
            </w:pPr>
            <w:r>
              <w:rPr>
                <w:rFonts w:cs="宋体"/>
                <w:color w:val="FF0000"/>
                <w:spacing w:val="3"/>
                <w:sz w:val="21"/>
                <w:szCs w:val="21"/>
              </w:rPr>
              <w:t>二级</w:t>
            </w:r>
          </w:p>
        </w:tc>
        <w:tc>
          <w:tcPr>
            <w:tcW w:w="874"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斑块数（个）</w:t>
            </w:r>
          </w:p>
        </w:tc>
        <w:tc>
          <w:tcPr>
            <w:tcW w:w="860" w:type="pct"/>
            <w:vAlign w:val="center"/>
          </w:tcPr>
          <w:p>
            <w:pPr>
              <w:pStyle w:val="249"/>
              <w:spacing w:line="240" w:lineRule="auto"/>
              <w:ind w:firstLine="0" w:firstLineChars="0"/>
              <w:jc w:val="center"/>
              <w:rPr>
                <w:rFonts w:eastAsia="宋体" w:cs="宋体"/>
                <w:color w:val="FF0000"/>
                <w:sz w:val="21"/>
                <w:szCs w:val="21"/>
              </w:rPr>
            </w:pPr>
            <w:r>
              <w:rPr>
                <w:rFonts w:eastAsia="宋体" w:cs="宋体"/>
                <w:color w:val="FF0000"/>
                <w:spacing w:val="7"/>
                <w:sz w:val="21"/>
                <w:szCs w:val="21"/>
              </w:rPr>
              <w:t>面积（</w:t>
            </w:r>
            <w:r>
              <w:rPr>
                <w:rFonts w:eastAsia="宋体"/>
                <w:color w:val="FF0000"/>
                <w:sz w:val="21"/>
                <w:szCs w:val="21"/>
              </w:rPr>
              <w:t>hm</w:t>
            </w:r>
            <w:r>
              <w:rPr>
                <w:rFonts w:hint="eastAsia" w:eastAsia="宋体"/>
                <w:color w:val="FF0000"/>
                <w:sz w:val="21"/>
                <w:szCs w:val="21"/>
                <w:vertAlign w:val="superscript"/>
                <w:lang w:eastAsia="zh-CN"/>
              </w:rPr>
              <w:t>2</w:t>
            </w:r>
            <w:r>
              <w:rPr>
                <w:rFonts w:eastAsia="宋体" w:cs="宋体"/>
                <w:color w:val="FF0000"/>
                <w:spacing w:val="7"/>
                <w:sz w:val="21"/>
                <w:szCs w:val="21"/>
              </w:rPr>
              <w:t>）</w:t>
            </w:r>
          </w:p>
        </w:tc>
        <w:tc>
          <w:tcPr>
            <w:tcW w:w="1228" w:type="pct"/>
            <w:vAlign w:val="center"/>
          </w:tcPr>
          <w:p>
            <w:pPr>
              <w:pStyle w:val="249"/>
              <w:spacing w:line="240" w:lineRule="auto"/>
              <w:ind w:firstLine="0" w:firstLineChars="0"/>
              <w:jc w:val="center"/>
              <w:rPr>
                <w:rFonts w:eastAsia="宋体" w:cs="宋体"/>
                <w:color w:val="FF0000"/>
                <w:sz w:val="21"/>
                <w:szCs w:val="21"/>
              </w:rPr>
            </w:pPr>
            <w:r>
              <w:rPr>
                <w:rFonts w:eastAsia="宋体" w:cs="宋体"/>
                <w:color w:val="FF0000"/>
                <w:spacing w:val="3"/>
                <w:sz w:val="21"/>
                <w:szCs w:val="21"/>
              </w:rPr>
              <w:t>占总面积比例（</w:t>
            </w:r>
            <w:r>
              <w:rPr>
                <w:rFonts w:eastAsia="宋体"/>
                <w:color w:val="FF0000"/>
                <w:spacing w:val="3"/>
                <w:sz w:val="21"/>
                <w:szCs w:val="21"/>
              </w:rPr>
              <w:t>%</w:t>
            </w:r>
            <w:r>
              <w:rPr>
                <w:rFonts w:eastAsia="宋体" w:cs="宋体"/>
                <w:color w:val="FF0000"/>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8"/>
                <w:sz w:val="21"/>
                <w:szCs w:val="21"/>
              </w:rPr>
              <w:t>水域及水利设施用地</w:t>
            </w:r>
          </w:p>
        </w:tc>
        <w:tc>
          <w:tcPr>
            <w:tcW w:w="740" w:type="pct"/>
            <w:vAlign w:val="center"/>
          </w:tcPr>
          <w:p>
            <w:pPr>
              <w:spacing w:line="240" w:lineRule="auto"/>
              <w:ind w:firstLine="0" w:firstLineChars="0"/>
              <w:jc w:val="center"/>
              <w:rPr>
                <w:rFonts w:cs="宋体"/>
                <w:color w:val="FF0000"/>
                <w:sz w:val="21"/>
                <w:szCs w:val="21"/>
              </w:rPr>
            </w:pPr>
            <w:r>
              <w:rPr>
                <w:rFonts w:cs="宋体"/>
                <w:color w:val="FF0000"/>
                <w:spacing w:val="4"/>
                <w:sz w:val="21"/>
                <w:szCs w:val="21"/>
              </w:rPr>
              <w:t>沟渠</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2"/>
                <w:sz w:val="21"/>
                <w:szCs w:val="21"/>
              </w:rPr>
              <w:t>1.29</w:t>
            </w:r>
          </w:p>
        </w:tc>
        <w:tc>
          <w:tcPr>
            <w:tcW w:w="1228" w:type="pct"/>
            <w:vAlign w:val="center"/>
          </w:tcPr>
          <w:p>
            <w:pPr>
              <w:pStyle w:val="249"/>
              <w:spacing w:line="240" w:lineRule="auto"/>
              <w:ind w:firstLine="0" w:firstLineChars="0"/>
              <w:jc w:val="center"/>
              <w:rPr>
                <w:rFonts w:eastAsia="宋体"/>
                <w:color w:val="FF0000"/>
                <w:sz w:val="21"/>
                <w:szCs w:val="21"/>
                <w:lang w:eastAsia="zh-CN"/>
              </w:rPr>
            </w:pPr>
            <w:r>
              <w:rPr>
                <w:rFonts w:hint="eastAsia" w:eastAsia="宋体"/>
                <w:color w:val="FF0000"/>
                <w:sz w:val="21"/>
                <w:szCs w:val="21"/>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296" w:type="pct"/>
            <w:vAlign w:val="center"/>
          </w:tcPr>
          <w:p>
            <w:pPr>
              <w:spacing w:line="240" w:lineRule="auto"/>
              <w:ind w:firstLine="0" w:firstLineChars="0"/>
              <w:jc w:val="center"/>
              <w:rPr>
                <w:rFonts w:cs="宋体"/>
                <w:color w:val="FF0000"/>
                <w:spacing w:val="8"/>
                <w:sz w:val="21"/>
                <w:szCs w:val="21"/>
              </w:rPr>
            </w:pPr>
            <w:r>
              <w:rPr>
                <w:rFonts w:cs="宋体"/>
                <w:color w:val="FF0000"/>
                <w:spacing w:val="3"/>
                <w:sz w:val="21"/>
                <w:szCs w:val="21"/>
              </w:rPr>
              <w:t>草地</w:t>
            </w:r>
          </w:p>
        </w:tc>
        <w:tc>
          <w:tcPr>
            <w:tcW w:w="740" w:type="pct"/>
            <w:vAlign w:val="center"/>
          </w:tcPr>
          <w:p>
            <w:pPr>
              <w:spacing w:line="240" w:lineRule="auto"/>
              <w:ind w:firstLine="0" w:firstLineChars="0"/>
              <w:jc w:val="center"/>
              <w:rPr>
                <w:rFonts w:cs="宋体"/>
                <w:color w:val="FF0000"/>
                <w:spacing w:val="4"/>
                <w:sz w:val="21"/>
                <w:szCs w:val="21"/>
              </w:rPr>
            </w:pPr>
            <w:r>
              <w:rPr>
                <w:rFonts w:hint="eastAsia" w:cs="宋体"/>
                <w:color w:val="FF0000"/>
                <w:spacing w:val="4"/>
                <w:sz w:val="21"/>
                <w:szCs w:val="21"/>
              </w:rPr>
              <w:t>其他草地</w:t>
            </w:r>
          </w:p>
        </w:tc>
        <w:tc>
          <w:tcPr>
            <w:tcW w:w="874" w:type="pct"/>
            <w:vAlign w:val="center"/>
          </w:tcPr>
          <w:p>
            <w:pPr>
              <w:pStyle w:val="249"/>
              <w:spacing w:line="240" w:lineRule="auto"/>
              <w:ind w:firstLine="0" w:firstLineChars="0"/>
              <w:jc w:val="center"/>
              <w:rPr>
                <w:rFonts w:eastAsia="宋体"/>
                <w:color w:val="FF0000"/>
                <w:sz w:val="21"/>
                <w:szCs w:val="21"/>
                <w:lang w:eastAsia="zh-CN"/>
              </w:rPr>
            </w:pPr>
            <w:r>
              <w:rPr>
                <w:rFonts w:hint="eastAsia" w:eastAsia="宋体"/>
                <w:color w:val="FF0000"/>
                <w:sz w:val="21"/>
                <w:szCs w:val="21"/>
                <w:lang w:eastAsia="zh-CN"/>
              </w:rPr>
              <w:t>1</w:t>
            </w:r>
          </w:p>
        </w:tc>
        <w:tc>
          <w:tcPr>
            <w:tcW w:w="860" w:type="pct"/>
            <w:vAlign w:val="center"/>
          </w:tcPr>
          <w:p>
            <w:pPr>
              <w:pStyle w:val="249"/>
              <w:spacing w:line="240" w:lineRule="auto"/>
              <w:ind w:firstLine="0" w:firstLineChars="0"/>
              <w:jc w:val="center"/>
              <w:rPr>
                <w:rFonts w:eastAsia="宋体"/>
                <w:color w:val="FF0000"/>
                <w:spacing w:val="-2"/>
                <w:sz w:val="21"/>
                <w:szCs w:val="21"/>
                <w:lang w:eastAsia="zh-CN"/>
              </w:rPr>
            </w:pPr>
            <w:r>
              <w:rPr>
                <w:rFonts w:hint="eastAsia" w:eastAsia="宋体"/>
                <w:color w:val="FF0000"/>
                <w:spacing w:val="-2"/>
                <w:sz w:val="21"/>
                <w:szCs w:val="21"/>
                <w:lang w:eastAsia="zh-CN"/>
              </w:rPr>
              <w:t>33.61</w:t>
            </w:r>
          </w:p>
        </w:tc>
        <w:tc>
          <w:tcPr>
            <w:tcW w:w="1228" w:type="pct"/>
            <w:vAlign w:val="center"/>
          </w:tcPr>
          <w:p>
            <w:pPr>
              <w:pStyle w:val="249"/>
              <w:spacing w:line="240" w:lineRule="auto"/>
              <w:ind w:firstLine="0" w:firstLineChars="0"/>
              <w:jc w:val="center"/>
              <w:rPr>
                <w:rFonts w:eastAsia="宋体"/>
                <w:color w:val="FF0000"/>
                <w:spacing w:val="-2"/>
                <w:sz w:val="21"/>
                <w:szCs w:val="21"/>
              </w:rPr>
            </w:pPr>
            <w:r>
              <w:rPr>
                <w:rFonts w:hint="eastAsia" w:eastAsia="宋体"/>
                <w:color w:val="FF0000"/>
                <w:sz w:val="21"/>
                <w:szCs w:val="21"/>
                <w:lang w:eastAsia="zh-CN"/>
              </w:rPr>
              <w:t>28.75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7"/>
                <w:sz w:val="21"/>
                <w:szCs w:val="21"/>
              </w:rPr>
              <w:t>其他土地</w:t>
            </w:r>
          </w:p>
        </w:tc>
        <w:tc>
          <w:tcPr>
            <w:tcW w:w="740" w:type="pct"/>
            <w:vAlign w:val="center"/>
          </w:tcPr>
          <w:p>
            <w:pPr>
              <w:spacing w:line="240" w:lineRule="auto"/>
              <w:ind w:firstLine="0" w:firstLineChars="0"/>
              <w:jc w:val="center"/>
              <w:rPr>
                <w:rFonts w:cs="宋体"/>
                <w:color w:val="FF0000"/>
                <w:sz w:val="21"/>
                <w:szCs w:val="21"/>
              </w:rPr>
            </w:pPr>
            <w:r>
              <w:rPr>
                <w:rFonts w:cs="宋体"/>
                <w:color w:val="FF0000"/>
                <w:spacing w:val="6"/>
                <w:sz w:val="21"/>
                <w:szCs w:val="21"/>
              </w:rPr>
              <w:t>盐碱地</w:t>
            </w:r>
          </w:p>
        </w:tc>
        <w:tc>
          <w:tcPr>
            <w:tcW w:w="874"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3</w:t>
            </w:r>
          </w:p>
        </w:tc>
        <w:tc>
          <w:tcPr>
            <w:tcW w:w="860" w:type="pct"/>
            <w:vAlign w:val="center"/>
          </w:tcPr>
          <w:p>
            <w:pPr>
              <w:pStyle w:val="249"/>
              <w:spacing w:line="240" w:lineRule="auto"/>
              <w:ind w:firstLine="0" w:firstLineChars="0"/>
              <w:jc w:val="center"/>
              <w:rPr>
                <w:rFonts w:eastAsia="宋体"/>
                <w:color w:val="FF0000"/>
                <w:sz w:val="21"/>
                <w:szCs w:val="21"/>
              </w:rPr>
            </w:pPr>
            <w:r>
              <w:rPr>
                <w:rFonts w:eastAsia="宋体"/>
                <w:color w:val="FF0000"/>
                <w:spacing w:val="1"/>
                <w:sz w:val="21"/>
                <w:szCs w:val="21"/>
              </w:rPr>
              <w:t>82.01</w:t>
            </w:r>
          </w:p>
        </w:tc>
        <w:tc>
          <w:tcPr>
            <w:tcW w:w="1228" w:type="pct"/>
            <w:vAlign w:val="center"/>
          </w:tcPr>
          <w:p>
            <w:pPr>
              <w:pStyle w:val="249"/>
              <w:spacing w:line="240" w:lineRule="auto"/>
              <w:ind w:firstLine="0" w:firstLineChars="0"/>
              <w:jc w:val="center"/>
              <w:rPr>
                <w:rFonts w:eastAsia="宋体"/>
                <w:color w:val="FF0000"/>
                <w:sz w:val="21"/>
                <w:szCs w:val="21"/>
                <w:lang w:eastAsia="zh-CN"/>
              </w:rPr>
            </w:pPr>
            <w:r>
              <w:rPr>
                <w:rFonts w:hint="eastAsia" w:eastAsia="宋体"/>
                <w:color w:val="FF0000"/>
                <w:sz w:val="21"/>
                <w:szCs w:val="21"/>
                <w:lang w:eastAsia="zh-CN"/>
              </w:rPr>
              <w:t>70.15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trPr>
        <w:tc>
          <w:tcPr>
            <w:tcW w:w="1296" w:type="pct"/>
            <w:vAlign w:val="center"/>
          </w:tcPr>
          <w:p>
            <w:pPr>
              <w:spacing w:line="240" w:lineRule="auto"/>
              <w:ind w:firstLine="0" w:firstLineChars="0"/>
              <w:jc w:val="center"/>
              <w:rPr>
                <w:rFonts w:cs="宋体"/>
                <w:color w:val="FF0000"/>
                <w:sz w:val="21"/>
                <w:szCs w:val="21"/>
              </w:rPr>
            </w:pPr>
            <w:r>
              <w:rPr>
                <w:rFonts w:cs="宋体"/>
                <w:color w:val="FF0000"/>
                <w:spacing w:val="2"/>
                <w:sz w:val="21"/>
                <w:szCs w:val="21"/>
              </w:rPr>
              <w:t>总计</w:t>
            </w:r>
          </w:p>
        </w:tc>
        <w:tc>
          <w:tcPr>
            <w:tcW w:w="740" w:type="pct"/>
            <w:vAlign w:val="center"/>
          </w:tcPr>
          <w:p>
            <w:pPr>
              <w:spacing w:line="240" w:lineRule="auto"/>
              <w:ind w:firstLine="0" w:firstLineChars="0"/>
              <w:jc w:val="center"/>
              <w:rPr>
                <w:color w:val="FF0000"/>
                <w:sz w:val="21"/>
                <w:szCs w:val="21"/>
              </w:rPr>
            </w:pPr>
          </w:p>
        </w:tc>
        <w:tc>
          <w:tcPr>
            <w:tcW w:w="874" w:type="pct"/>
            <w:vAlign w:val="center"/>
          </w:tcPr>
          <w:p>
            <w:pPr>
              <w:pStyle w:val="249"/>
              <w:spacing w:line="240" w:lineRule="auto"/>
              <w:ind w:firstLine="0" w:firstLineChars="0"/>
              <w:jc w:val="center"/>
              <w:rPr>
                <w:rFonts w:eastAsia="宋体"/>
                <w:color w:val="FF0000"/>
                <w:sz w:val="21"/>
                <w:szCs w:val="21"/>
                <w:lang w:eastAsia="zh-CN"/>
              </w:rPr>
            </w:pPr>
            <w:r>
              <w:rPr>
                <w:rFonts w:hint="eastAsia" w:eastAsia="宋体"/>
                <w:color w:val="FF0000"/>
                <w:spacing w:val="1"/>
                <w:sz w:val="21"/>
                <w:szCs w:val="21"/>
                <w:lang w:eastAsia="zh-CN"/>
              </w:rPr>
              <w:t>5</w:t>
            </w:r>
          </w:p>
        </w:tc>
        <w:tc>
          <w:tcPr>
            <w:tcW w:w="860" w:type="pct"/>
            <w:vAlign w:val="center"/>
          </w:tcPr>
          <w:p>
            <w:pPr>
              <w:pStyle w:val="249"/>
              <w:spacing w:line="240" w:lineRule="auto"/>
              <w:ind w:firstLine="0" w:firstLineChars="0"/>
              <w:jc w:val="center"/>
              <w:rPr>
                <w:rFonts w:eastAsia="宋体"/>
                <w:color w:val="FF0000"/>
                <w:sz w:val="21"/>
                <w:szCs w:val="21"/>
              </w:rPr>
            </w:pPr>
            <w:r>
              <w:rPr>
                <w:rFonts w:hint="eastAsia" w:eastAsia="宋体"/>
                <w:color w:val="FF0000"/>
                <w:sz w:val="21"/>
                <w:szCs w:val="21"/>
              </w:rPr>
              <w:t>116.91</w:t>
            </w:r>
          </w:p>
        </w:tc>
        <w:tc>
          <w:tcPr>
            <w:tcW w:w="1228" w:type="pct"/>
            <w:vAlign w:val="center"/>
          </w:tcPr>
          <w:p>
            <w:pPr>
              <w:pStyle w:val="249"/>
              <w:spacing w:line="240" w:lineRule="auto"/>
              <w:ind w:firstLine="0" w:firstLineChars="0"/>
              <w:jc w:val="center"/>
              <w:rPr>
                <w:rFonts w:eastAsia="宋体"/>
                <w:color w:val="FF0000"/>
                <w:sz w:val="21"/>
                <w:szCs w:val="21"/>
              </w:rPr>
            </w:pPr>
            <w:r>
              <w:rPr>
                <w:rFonts w:eastAsia="宋体"/>
                <w:color w:val="FF0000"/>
                <w:sz w:val="21"/>
                <w:szCs w:val="21"/>
              </w:rPr>
              <w:t>100.00</w:t>
            </w:r>
          </w:p>
        </w:tc>
      </w:tr>
    </w:tbl>
    <w:p>
      <w:pPr>
        <w:ind w:firstLine="0" w:firstLineChars="0"/>
        <w:jc w:val="center"/>
        <w:rPr>
          <w:color w:val="FF0000"/>
        </w:rPr>
      </w:pPr>
      <w:r>
        <w:rPr>
          <w:rFonts w:hint="eastAsia"/>
          <w:color w:val="FF0000"/>
        </w:rPr>
        <w:drawing>
          <wp:inline distT="0" distB="0" distL="114300" distR="114300">
            <wp:extent cx="5267325" cy="4076700"/>
            <wp:effectExtent l="0" t="0" r="9525" b="0"/>
            <wp:docPr id="51" name="图片 51" descr="kappframework-hsGha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kappframework-hsGhaT(1)(1)"/>
                    <pic:cNvPicPr>
                      <a:picLocks noChangeAspect="1"/>
                    </pic:cNvPicPr>
                  </pic:nvPicPr>
                  <pic:blipFill>
                    <a:blip r:embed="rId53"/>
                    <a:stretch>
                      <a:fillRect/>
                    </a:stretch>
                  </pic:blipFill>
                  <pic:spPr>
                    <a:xfrm>
                      <a:off x="0" y="0"/>
                      <a:ext cx="5267325" cy="4076700"/>
                    </a:xfrm>
                    <a:prstGeom prst="rect">
                      <a:avLst/>
                    </a:prstGeom>
                  </pic:spPr>
                </pic:pic>
              </a:graphicData>
            </a:graphic>
          </wp:inline>
        </w:drawing>
      </w:r>
    </w:p>
    <w:p>
      <w:pPr>
        <w:pStyle w:val="6"/>
        <w:rPr>
          <w:color w:val="FF0000"/>
        </w:rPr>
      </w:pPr>
      <w:r>
        <w:rPr>
          <w:rFonts w:hint="eastAsia"/>
          <w:color w:val="FF0000"/>
        </w:rPr>
        <w:t>图 4.2.5-1   评价区土地利用现状</w:t>
      </w:r>
    </w:p>
    <w:p>
      <w:pPr>
        <w:pStyle w:val="5"/>
      </w:pPr>
      <w:r>
        <w:rPr>
          <w:rFonts w:hint="eastAsia"/>
        </w:rPr>
        <w:t>生态现状</w:t>
      </w:r>
    </w:p>
    <w:p>
      <w:pPr>
        <w:widowControl/>
        <w:ind w:firstLine="480"/>
        <w:jc w:val="left"/>
        <w:rPr>
          <w:rFonts w:ascii="宋体" w:hAnsi="宋体" w:cs="宋体"/>
          <w:color w:val="000000"/>
          <w:kern w:val="0"/>
          <w:lang w:bidi="ar"/>
        </w:rPr>
      </w:pPr>
      <w:r>
        <w:rPr>
          <w:rFonts w:hint="eastAsia" w:ascii="宋体" w:hAnsi="宋体" w:cs="宋体"/>
          <w:color w:val="000000"/>
          <w:kern w:val="0"/>
          <w:lang w:bidi="ar"/>
        </w:rPr>
        <w:t>根据《内蒙古自治区生态功能区划》，项目评价区域生态功能区划为河套平 原灌溉生态功能区，主要生态环境问题是壤风蚀沙化和水土流失，土壤肥力下降， 主要生态系统服务功能为粮食生产，主要措施与发展方向为建立基本农田保护区为中心，治理农田土壤盐渍化和土壤板结为根本。</w:t>
      </w:r>
    </w:p>
    <w:p>
      <w:pPr>
        <w:widowControl/>
        <w:ind w:firstLine="480"/>
        <w:jc w:val="left"/>
      </w:pPr>
      <w:r>
        <w:rPr>
          <w:rFonts w:hint="eastAsia" w:ascii="宋体" w:hAnsi="宋体" w:cs="宋体"/>
          <w:color w:val="000000"/>
          <w:kern w:val="0"/>
          <w:lang w:bidi="ar"/>
        </w:rPr>
        <w:t>本次通过植被类型、植被覆盖度、土壤侵蚀等生态环境要素进行评价，根据解译成果，结合现场调查和收集资料，分析评价区内生态环境要素的空间分布特征。</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drawing>
          <wp:anchor distT="0" distB="0" distL="114300" distR="114300" simplePos="0" relativeHeight="251683840" behindDoc="0" locked="0" layoutInCell="1" allowOverlap="1">
            <wp:simplePos x="0" y="0"/>
            <wp:positionH relativeFrom="column">
              <wp:posOffset>2396490</wp:posOffset>
            </wp:positionH>
            <wp:positionV relativeFrom="paragraph">
              <wp:posOffset>2821305</wp:posOffset>
            </wp:positionV>
            <wp:extent cx="488315" cy="431800"/>
            <wp:effectExtent l="0" t="0" r="6350" b="6350"/>
            <wp:wrapNone/>
            <wp:docPr id="65" name="图片 65" descr="4183a4b8802d5830eaa3a4b2b394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4183a4b8802d5830eaa3a4b2b394e92"/>
                    <pic:cNvPicPr>
                      <a:picLocks noChangeAspect="1"/>
                    </pic:cNvPicPr>
                  </pic:nvPicPr>
                  <pic:blipFill>
                    <a:blip r:embed="rId54"/>
                    <a:stretch>
                      <a:fillRect/>
                    </a:stretch>
                  </pic:blipFill>
                  <pic:spPr>
                    <a:xfrm>
                      <a:off x="0" y="0"/>
                      <a:ext cx="488315" cy="431800"/>
                    </a:xfrm>
                    <a:prstGeom prst="rect">
                      <a:avLst/>
                    </a:prstGeom>
                  </pic:spPr>
                </pic:pic>
              </a:graphicData>
            </a:graphic>
          </wp:anchor>
        </w:drawing>
      </w:r>
      <w:r>
        <w:drawing>
          <wp:inline distT="0" distB="0" distL="114300" distR="114300">
            <wp:extent cx="5278120" cy="4079240"/>
            <wp:effectExtent l="0" t="0" r="17780" b="1651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55"/>
                    <a:stretch>
                      <a:fillRect/>
                    </a:stretch>
                  </pic:blipFill>
                  <pic:spPr>
                    <a:xfrm>
                      <a:off x="0" y="0"/>
                      <a:ext cx="5278120" cy="4079240"/>
                    </a:xfrm>
                    <a:prstGeom prst="rect">
                      <a:avLst/>
                    </a:prstGeom>
                    <a:noFill/>
                    <a:ln>
                      <a:noFill/>
                    </a:ln>
                  </pic:spPr>
                </pic:pic>
              </a:graphicData>
            </a:graphic>
          </wp:inline>
        </w:drawing>
      </w:r>
    </w:p>
    <w:p>
      <w:pPr>
        <w:pStyle w:val="6"/>
      </w:pPr>
      <w:r>
        <w:rPr>
          <w:rFonts w:hint="eastAsia"/>
        </w:rPr>
        <w:t>图4.2.5-2   遥感卫星影像图</w:t>
      </w:r>
    </w:p>
    <w:p>
      <w:pPr>
        <w:ind w:firstLine="480"/>
      </w:pPr>
      <w:r>
        <w:rPr>
          <w:rFonts w:hint="eastAsia"/>
        </w:rPr>
        <w:t>（1）植被类型</w:t>
      </w:r>
    </w:p>
    <w:p>
      <w:pPr>
        <w:ind w:firstLine="480"/>
      </w:pPr>
      <w:r>
        <w:t>评价区内的植被类型可划分为农田植被、乔木林、灌木林、低湿地、湿地植被和其他非植被等。根据生态解译结果，评价区域内所占比例最高的为农田植被，面积为327.92 hm</w:t>
      </w:r>
      <w:r>
        <w:rPr>
          <w:vertAlign w:val="superscript"/>
        </w:rPr>
        <w:t>2</w:t>
      </w:r>
      <w:r>
        <w:t>，占比为41.63 %</w:t>
      </w:r>
      <w:r>
        <w:rPr>
          <w:rFonts w:hint="eastAsia"/>
        </w:rPr>
        <w:t>，</w:t>
      </w:r>
      <w:r>
        <w:t>其次为盐碱地，面积为313.59hm</w:t>
      </w:r>
      <w:r>
        <w:rPr>
          <w:vertAlign w:val="superscript"/>
        </w:rPr>
        <w:t>2</w:t>
      </w:r>
      <w:r>
        <w:rPr>
          <w:rFonts w:hint="eastAsia"/>
        </w:rPr>
        <w:t>，</w:t>
      </w:r>
      <w:r>
        <w:t>占比为31.31%。项目区占地面积约</w:t>
      </w:r>
      <w:r>
        <w:rPr>
          <w:rFonts w:hint="eastAsia"/>
        </w:rPr>
        <w:t>116.91hm</w:t>
      </w:r>
      <w:r>
        <w:rPr>
          <w:vertAlign w:val="superscript"/>
        </w:rPr>
        <w:t>2</w:t>
      </w:r>
      <w:r>
        <w:rPr>
          <w:rFonts w:hint="eastAsia"/>
        </w:rPr>
        <w:t>，</w:t>
      </w:r>
      <w:r>
        <w:t>其中项目区植被类型主要为盐碱地，面积为 82.01hm</w:t>
      </w:r>
      <w:r>
        <w:rPr>
          <w:vertAlign w:val="superscript"/>
        </w:rPr>
        <w:t>2</w:t>
      </w:r>
      <w:r>
        <w:t>，占比为</w:t>
      </w:r>
      <w:r>
        <w:rPr>
          <w:rFonts w:hint="eastAsia"/>
        </w:rPr>
        <w:t>70.15</w:t>
      </w:r>
      <w:r>
        <w:t>%</w:t>
      </w:r>
      <w:r>
        <w:rPr>
          <w:rFonts w:hint="eastAsia"/>
        </w:rPr>
        <w:t>，</w:t>
      </w:r>
      <w:r>
        <w:t>评价区植被类型现状见表</w:t>
      </w:r>
      <w:r>
        <w:rPr>
          <w:rFonts w:ascii="宋体" w:hAnsi="宋体" w:cs="宋体"/>
          <w:spacing w:val="-54"/>
        </w:rPr>
        <w:t xml:space="preserve"> </w:t>
      </w:r>
      <w:r>
        <w:rPr>
          <w:rFonts w:eastAsia="Times New Roman"/>
          <w:spacing w:val="-2"/>
        </w:rPr>
        <w:t>4.</w:t>
      </w:r>
      <w:r>
        <w:rPr>
          <w:rFonts w:hint="eastAsia"/>
          <w:spacing w:val="-2"/>
        </w:rPr>
        <w:t>2.5</w:t>
      </w:r>
      <w:r>
        <w:rPr>
          <w:rFonts w:eastAsia="Times New Roman"/>
          <w:spacing w:val="-2"/>
        </w:rPr>
        <w:t>-</w:t>
      </w:r>
      <w:r>
        <w:rPr>
          <w:rFonts w:hint="eastAsia"/>
          <w:spacing w:val="-2"/>
        </w:rPr>
        <w:t>3</w:t>
      </w:r>
      <w:r>
        <w:t>及图</w:t>
      </w:r>
      <w:r>
        <w:rPr>
          <w:rFonts w:hint="eastAsia"/>
        </w:rPr>
        <w:t>4.2.5-3</w:t>
      </w:r>
      <w:r>
        <w:t>，项目区植被类型现状见表</w:t>
      </w:r>
      <w:r>
        <w:rPr>
          <w:rFonts w:hint="eastAsia"/>
        </w:rPr>
        <w:t>4.2.5-4</w:t>
      </w:r>
      <w:r>
        <w:t>。</w:t>
      </w:r>
    </w:p>
    <w:p>
      <w:pPr>
        <w:pStyle w:val="6"/>
      </w:pPr>
      <w:r>
        <w:rPr>
          <w:rFonts w:hint="eastAsia"/>
        </w:rPr>
        <w:t xml:space="preserve">表4.2.5-3   评价区植被类型现状一览表 </w:t>
      </w:r>
    </w:p>
    <w:tbl>
      <w:tblPr>
        <w:tblStyle w:val="25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9"/>
        <w:gridCol w:w="1872"/>
        <w:gridCol w:w="1694"/>
        <w:gridCol w:w="1670"/>
        <w:gridCol w:w="2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Header/>
          <w:jc w:val="center"/>
        </w:trPr>
        <w:tc>
          <w:tcPr>
            <w:tcW w:w="670" w:type="pct"/>
            <w:vAlign w:val="center"/>
          </w:tcPr>
          <w:p>
            <w:pPr>
              <w:spacing w:line="240" w:lineRule="auto"/>
              <w:ind w:firstLine="0" w:firstLineChars="0"/>
              <w:jc w:val="center"/>
              <w:rPr>
                <w:rFonts w:cs="宋体"/>
                <w:sz w:val="21"/>
                <w:szCs w:val="21"/>
              </w:rPr>
            </w:pPr>
            <w:r>
              <w:rPr>
                <w:rFonts w:cs="宋体"/>
                <w:spacing w:val="4"/>
                <w:sz w:val="21"/>
                <w:szCs w:val="21"/>
              </w:rPr>
              <w:t>一级</w:t>
            </w:r>
          </w:p>
        </w:tc>
        <w:tc>
          <w:tcPr>
            <w:tcW w:w="1064" w:type="pct"/>
            <w:vAlign w:val="center"/>
          </w:tcPr>
          <w:p>
            <w:pPr>
              <w:spacing w:line="240" w:lineRule="auto"/>
              <w:ind w:firstLine="0" w:firstLineChars="0"/>
              <w:jc w:val="center"/>
              <w:rPr>
                <w:rFonts w:cs="宋体"/>
                <w:sz w:val="21"/>
                <w:szCs w:val="21"/>
              </w:rPr>
            </w:pPr>
            <w:r>
              <w:rPr>
                <w:rFonts w:cs="宋体"/>
                <w:spacing w:val="3"/>
                <w:sz w:val="21"/>
                <w:szCs w:val="21"/>
              </w:rPr>
              <w:t>二级</w:t>
            </w:r>
          </w:p>
        </w:tc>
        <w:tc>
          <w:tcPr>
            <w:tcW w:w="963" w:type="pct"/>
            <w:vAlign w:val="center"/>
          </w:tcPr>
          <w:p>
            <w:pPr>
              <w:spacing w:line="240" w:lineRule="auto"/>
              <w:ind w:firstLine="0" w:firstLineChars="0"/>
              <w:jc w:val="center"/>
              <w:rPr>
                <w:rFonts w:cs="宋体"/>
                <w:sz w:val="21"/>
                <w:szCs w:val="21"/>
              </w:rPr>
            </w:pPr>
            <w:r>
              <w:rPr>
                <w:rFonts w:cs="宋体"/>
                <w:spacing w:val="6"/>
                <w:sz w:val="21"/>
                <w:szCs w:val="21"/>
              </w:rPr>
              <w:t>斑块数（个）</w:t>
            </w:r>
          </w:p>
        </w:tc>
        <w:tc>
          <w:tcPr>
            <w:tcW w:w="949" w:type="pct"/>
            <w:vAlign w:val="center"/>
          </w:tcPr>
          <w:p>
            <w:pPr>
              <w:pStyle w:val="249"/>
              <w:spacing w:line="240" w:lineRule="auto"/>
              <w:ind w:firstLine="0" w:firstLineChars="0"/>
              <w:jc w:val="center"/>
              <w:rPr>
                <w:rFonts w:eastAsia="宋体" w:cs="宋体"/>
                <w:sz w:val="21"/>
                <w:szCs w:val="21"/>
              </w:rPr>
            </w:pPr>
            <w:r>
              <w:rPr>
                <w:rFonts w:eastAsia="宋体" w:cs="宋体"/>
                <w:spacing w:val="7"/>
                <w:sz w:val="21"/>
                <w:szCs w:val="21"/>
              </w:rPr>
              <w:t>面积（</w:t>
            </w:r>
            <w:r>
              <w:rPr>
                <w:rFonts w:eastAsia="宋体"/>
                <w:sz w:val="21"/>
                <w:szCs w:val="21"/>
              </w:rPr>
              <w:t>hm</w:t>
            </w:r>
            <w:r>
              <w:rPr>
                <w:rFonts w:hint="eastAsia" w:eastAsia="宋体"/>
                <w:spacing w:val="7"/>
                <w:position w:val="6"/>
                <w:sz w:val="21"/>
                <w:szCs w:val="21"/>
                <w:vertAlign w:val="superscript"/>
                <w:lang w:eastAsia="zh-CN"/>
              </w:rPr>
              <w:t>2</w:t>
            </w:r>
            <w:r>
              <w:rPr>
                <w:rFonts w:eastAsia="宋体" w:cs="宋体"/>
                <w:spacing w:val="7"/>
                <w:sz w:val="21"/>
                <w:szCs w:val="21"/>
              </w:rPr>
              <w:t>）</w:t>
            </w:r>
          </w:p>
        </w:tc>
        <w:tc>
          <w:tcPr>
            <w:tcW w:w="1351" w:type="pct"/>
            <w:vAlign w:val="center"/>
          </w:tcPr>
          <w:p>
            <w:pPr>
              <w:pStyle w:val="249"/>
              <w:spacing w:line="240" w:lineRule="auto"/>
              <w:ind w:firstLine="0" w:firstLineChars="0"/>
              <w:jc w:val="center"/>
              <w:rPr>
                <w:rFonts w:eastAsia="宋体" w:cs="宋体"/>
                <w:sz w:val="21"/>
                <w:szCs w:val="21"/>
              </w:rPr>
            </w:pPr>
            <w:r>
              <w:rPr>
                <w:rFonts w:eastAsia="宋体" w:cs="宋体"/>
                <w:spacing w:val="3"/>
                <w:sz w:val="21"/>
                <w:szCs w:val="21"/>
              </w:rPr>
              <w:t>占总面积比例（</w:t>
            </w:r>
            <w:r>
              <w:rPr>
                <w:rFonts w:eastAsia="宋体"/>
                <w:spacing w:val="3"/>
                <w:sz w:val="21"/>
                <w:szCs w:val="21"/>
              </w:rPr>
              <w:t>%</w:t>
            </w:r>
            <w:r>
              <w:rPr>
                <w:rFonts w:eastAsia="宋体" w:cs="宋体"/>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670" w:type="pct"/>
            <w:vAlign w:val="center"/>
          </w:tcPr>
          <w:p>
            <w:pPr>
              <w:spacing w:line="240" w:lineRule="auto"/>
              <w:ind w:firstLine="0" w:firstLineChars="0"/>
              <w:jc w:val="center"/>
              <w:rPr>
                <w:rFonts w:cs="宋体"/>
                <w:sz w:val="21"/>
                <w:szCs w:val="21"/>
              </w:rPr>
            </w:pPr>
            <w:r>
              <w:rPr>
                <w:rFonts w:cs="宋体"/>
                <w:spacing w:val="7"/>
                <w:sz w:val="21"/>
                <w:szCs w:val="21"/>
              </w:rPr>
              <w:t>农田植被</w:t>
            </w:r>
          </w:p>
        </w:tc>
        <w:tc>
          <w:tcPr>
            <w:tcW w:w="1064" w:type="pct"/>
            <w:vAlign w:val="center"/>
          </w:tcPr>
          <w:p>
            <w:pPr>
              <w:spacing w:line="240" w:lineRule="auto"/>
              <w:ind w:firstLine="0" w:firstLineChars="0"/>
              <w:jc w:val="center"/>
              <w:rPr>
                <w:rFonts w:cs="宋体"/>
                <w:sz w:val="21"/>
                <w:szCs w:val="21"/>
              </w:rPr>
            </w:pPr>
            <w:r>
              <w:rPr>
                <w:rFonts w:cs="宋体"/>
                <w:spacing w:val="7"/>
                <w:sz w:val="21"/>
                <w:szCs w:val="21"/>
              </w:rPr>
              <w:t>农田植被</w:t>
            </w:r>
          </w:p>
        </w:tc>
        <w:tc>
          <w:tcPr>
            <w:tcW w:w="963"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23</w:t>
            </w:r>
          </w:p>
        </w:tc>
        <w:tc>
          <w:tcPr>
            <w:tcW w:w="949" w:type="pct"/>
            <w:vAlign w:val="center"/>
          </w:tcPr>
          <w:p>
            <w:pPr>
              <w:pStyle w:val="249"/>
              <w:spacing w:line="240" w:lineRule="auto"/>
              <w:ind w:firstLine="0" w:firstLineChars="0"/>
              <w:jc w:val="center"/>
              <w:rPr>
                <w:rFonts w:eastAsia="宋体"/>
                <w:sz w:val="21"/>
                <w:szCs w:val="21"/>
              </w:rPr>
            </w:pPr>
            <w:r>
              <w:rPr>
                <w:rFonts w:eastAsia="宋体"/>
                <w:spacing w:val="3"/>
                <w:sz w:val="21"/>
                <w:szCs w:val="21"/>
              </w:rPr>
              <w:t>327.92</w:t>
            </w:r>
          </w:p>
        </w:tc>
        <w:tc>
          <w:tcPr>
            <w:tcW w:w="1351" w:type="pct"/>
            <w:vAlign w:val="center"/>
          </w:tcPr>
          <w:p>
            <w:pPr>
              <w:pStyle w:val="249"/>
              <w:spacing w:line="240" w:lineRule="auto"/>
              <w:ind w:firstLine="0" w:firstLineChars="0"/>
              <w:jc w:val="center"/>
              <w:rPr>
                <w:rFonts w:eastAsia="宋体"/>
                <w:sz w:val="21"/>
                <w:szCs w:val="21"/>
              </w:rPr>
            </w:pPr>
            <w:r>
              <w:rPr>
                <w:rFonts w:eastAsia="宋体"/>
                <w:spacing w:val="4"/>
                <w:sz w:val="21"/>
                <w:szCs w:val="21"/>
              </w:rPr>
              <w:t>41.63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670" w:type="pct"/>
            <w:vAlign w:val="center"/>
          </w:tcPr>
          <w:p>
            <w:pPr>
              <w:spacing w:line="240" w:lineRule="auto"/>
              <w:ind w:firstLine="0" w:firstLineChars="0"/>
              <w:jc w:val="center"/>
              <w:rPr>
                <w:rFonts w:cs="宋体"/>
                <w:sz w:val="21"/>
                <w:szCs w:val="21"/>
              </w:rPr>
            </w:pPr>
            <w:r>
              <w:rPr>
                <w:rFonts w:cs="宋体"/>
                <w:spacing w:val="6"/>
                <w:sz w:val="21"/>
                <w:szCs w:val="21"/>
              </w:rPr>
              <w:t>乔木林</w:t>
            </w:r>
          </w:p>
        </w:tc>
        <w:tc>
          <w:tcPr>
            <w:tcW w:w="1064" w:type="pct"/>
            <w:vAlign w:val="center"/>
          </w:tcPr>
          <w:p>
            <w:pPr>
              <w:spacing w:line="240" w:lineRule="auto"/>
              <w:ind w:firstLine="0" w:firstLineChars="0"/>
              <w:jc w:val="center"/>
              <w:rPr>
                <w:rFonts w:cs="宋体"/>
                <w:sz w:val="21"/>
                <w:szCs w:val="21"/>
              </w:rPr>
            </w:pPr>
            <w:r>
              <w:rPr>
                <w:rFonts w:cs="宋体"/>
                <w:spacing w:val="7"/>
                <w:sz w:val="21"/>
                <w:szCs w:val="21"/>
              </w:rPr>
              <w:t>杨、榆树林</w:t>
            </w:r>
          </w:p>
        </w:tc>
        <w:tc>
          <w:tcPr>
            <w:tcW w:w="963" w:type="pct"/>
            <w:vAlign w:val="center"/>
          </w:tcPr>
          <w:p>
            <w:pPr>
              <w:pStyle w:val="249"/>
              <w:spacing w:line="240" w:lineRule="auto"/>
              <w:ind w:firstLine="0" w:firstLineChars="0"/>
              <w:jc w:val="center"/>
              <w:rPr>
                <w:rFonts w:eastAsia="宋体"/>
                <w:sz w:val="21"/>
                <w:szCs w:val="21"/>
              </w:rPr>
            </w:pPr>
            <w:r>
              <w:rPr>
                <w:rFonts w:eastAsia="宋体"/>
                <w:sz w:val="21"/>
                <w:szCs w:val="21"/>
              </w:rPr>
              <w:t>2</w:t>
            </w:r>
          </w:p>
        </w:tc>
        <w:tc>
          <w:tcPr>
            <w:tcW w:w="949"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1.33</w:t>
            </w:r>
          </w:p>
        </w:tc>
        <w:tc>
          <w:tcPr>
            <w:tcW w:w="1351"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670" w:type="pct"/>
            <w:vAlign w:val="center"/>
          </w:tcPr>
          <w:p>
            <w:pPr>
              <w:spacing w:line="240" w:lineRule="auto"/>
              <w:ind w:firstLine="0" w:firstLineChars="0"/>
              <w:jc w:val="center"/>
              <w:rPr>
                <w:rFonts w:cs="宋体"/>
                <w:sz w:val="21"/>
                <w:szCs w:val="21"/>
              </w:rPr>
            </w:pPr>
            <w:r>
              <w:rPr>
                <w:rFonts w:cs="宋体"/>
                <w:spacing w:val="6"/>
                <w:sz w:val="21"/>
                <w:szCs w:val="21"/>
              </w:rPr>
              <w:t>灌木林</w:t>
            </w:r>
          </w:p>
        </w:tc>
        <w:tc>
          <w:tcPr>
            <w:tcW w:w="1064" w:type="pct"/>
            <w:vAlign w:val="center"/>
          </w:tcPr>
          <w:p>
            <w:pPr>
              <w:spacing w:line="240" w:lineRule="auto"/>
              <w:ind w:firstLine="0" w:firstLineChars="0"/>
              <w:jc w:val="center"/>
              <w:rPr>
                <w:rFonts w:cs="宋体"/>
                <w:sz w:val="21"/>
                <w:szCs w:val="21"/>
              </w:rPr>
            </w:pPr>
            <w:r>
              <w:rPr>
                <w:rFonts w:cs="宋体"/>
                <w:spacing w:val="7"/>
                <w:sz w:val="21"/>
                <w:szCs w:val="21"/>
              </w:rPr>
              <w:t>柠条灌丛</w:t>
            </w:r>
          </w:p>
        </w:tc>
        <w:tc>
          <w:tcPr>
            <w:tcW w:w="963" w:type="pct"/>
            <w:vAlign w:val="center"/>
          </w:tcPr>
          <w:p>
            <w:pPr>
              <w:pStyle w:val="249"/>
              <w:spacing w:line="240" w:lineRule="auto"/>
              <w:ind w:firstLine="0" w:firstLineChars="0"/>
              <w:jc w:val="center"/>
              <w:rPr>
                <w:rFonts w:eastAsia="宋体"/>
                <w:sz w:val="21"/>
                <w:szCs w:val="21"/>
              </w:rPr>
            </w:pPr>
            <w:r>
              <w:rPr>
                <w:rFonts w:eastAsia="宋体"/>
                <w:sz w:val="21"/>
                <w:szCs w:val="21"/>
              </w:rPr>
              <w:t>3</w:t>
            </w:r>
          </w:p>
        </w:tc>
        <w:tc>
          <w:tcPr>
            <w:tcW w:w="949"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1.37</w:t>
            </w:r>
          </w:p>
        </w:tc>
        <w:tc>
          <w:tcPr>
            <w:tcW w:w="1351"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670" w:type="pct"/>
            <w:vAlign w:val="center"/>
          </w:tcPr>
          <w:p>
            <w:pPr>
              <w:spacing w:line="240" w:lineRule="auto"/>
              <w:ind w:firstLine="0" w:firstLineChars="0"/>
              <w:jc w:val="center"/>
              <w:rPr>
                <w:rFonts w:cs="宋体"/>
                <w:sz w:val="21"/>
                <w:szCs w:val="21"/>
              </w:rPr>
            </w:pPr>
            <w:r>
              <w:rPr>
                <w:rFonts w:cs="宋体"/>
                <w:spacing w:val="7"/>
                <w:sz w:val="21"/>
                <w:szCs w:val="21"/>
              </w:rPr>
              <w:t>低湿地</w:t>
            </w:r>
          </w:p>
        </w:tc>
        <w:tc>
          <w:tcPr>
            <w:tcW w:w="1064" w:type="pct"/>
            <w:vAlign w:val="center"/>
          </w:tcPr>
          <w:p>
            <w:pPr>
              <w:pStyle w:val="249"/>
              <w:spacing w:line="240" w:lineRule="auto"/>
              <w:ind w:firstLine="0" w:firstLineChars="0"/>
              <w:jc w:val="center"/>
              <w:rPr>
                <w:rFonts w:eastAsia="宋体" w:cs="宋体"/>
                <w:sz w:val="21"/>
                <w:szCs w:val="21"/>
              </w:rPr>
            </w:pPr>
            <w:r>
              <w:rPr>
                <w:rFonts w:eastAsia="宋体" w:cs="宋体"/>
                <w:spacing w:val="8"/>
                <w:sz w:val="21"/>
                <w:szCs w:val="21"/>
              </w:rPr>
              <w:t>碱茅</w:t>
            </w:r>
            <w:r>
              <w:rPr>
                <w:rFonts w:eastAsia="宋体"/>
                <w:spacing w:val="8"/>
                <w:sz w:val="21"/>
                <w:szCs w:val="21"/>
              </w:rPr>
              <w:t>+</w:t>
            </w:r>
            <w:r>
              <w:rPr>
                <w:rFonts w:eastAsia="宋体" w:cs="宋体"/>
                <w:spacing w:val="8"/>
                <w:sz w:val="21"/>
                <w:szCs w:val="21"/>
              </w:rPr>
              <w:t>苔草群落</w:t>
            </w:r>
          </w:p>
        </w:tc>
        <w:tc>
          <w:tcPr>
            <w:tcW w:w="963" w:type="pct"/>
            <w:vAlign w:val="center"/>
          </w:tcPr>
          <w:p>
            <w:pPr>
              <w:pStyle w:val="249"/>
              <w:spacing w:line="240" w:lineRule="auto"/>
              <w:ind w:firstLine="0" w:firstLineChars="0"/>
              <w:jc w:val="center"/>
              <w:rPr>
                <w:rFonts w:eastAsia="宋体"/>
                <w:sz w:val="21"/>
                <w:szCs w:val="21"/>
              </w:rPr>
            </w:pPr>
            <w:r>
              <w:rPr>
                <w:rFonts w:eastAsia="宋体"/>
                <w:spacing w:val="-8"/>
                <w:sz w:val="21"/>
                <w:szCs w:val="21"/>
              </w:rPr>
              <w:t>17</w:t>
            </w:r>
          </w:p>
        </w:tc>
        <w:tc>
          <w:tcPr>
            <w:tcW w:w="949"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72.</w:t>
            </w:r>
            <w:r>
              <w:rPr>
                <w:rFonts w:eastAsia="宋体"/>
                <w:spacing w:val="-25"/>
                <w:sz w:val="21"/>
                <w:szCs w:val="21"/>
              </w:rPr>
              <w:t xml:space="preserve"> </w:t>
            </w:r>
            <w:r>
              <w:rPr>
                <w:rFonts w:eastAsia="宋体"/>
                <w:spacing w:val="-2"/>
                <w:sz w:val="21"/>
                <w:szCs w:val="21"/>
              </w:rPr>
              <w:t>12</w:t>
            </w:r>
          </w:p>
        </w:tc>
        <w:tc>
          <w:tcPr>
            <w:tcW w:w="1351" w:type="pct"/>
            <w:vAlign w:val="center"/>
          </w:tcPr>
          <w:p>
            <w:pPr>
              <w:pStyle w:val="249"/>
              <w:spacing w:line="240" w:lineRule="auto"/>
              <w:ind w:firstLine="0" w:firstLineChars="0"/>
              <w:jc w:val="center"/>
              <w:rPr>
                <w:rFonts w:eastAsia="宋体"/>
                <w:sz w:val="21"/>
                <w:szCs w:val="21"/>
              </w:rPr>
            </w:pPr>
            <w:r>
              <w:rPr>
                <w:rFonts w:eastAsia="宋体"/>
                <w:spacing w:val="1"/>
                <w:sz w:val="21"/>
                <w:szCs w:val="21"/>
              </w:rPr>
              <w:t>9.16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670" w:type="pct"/>
            <w:vAlign w:val="center"/>
          </w:tcPr>
          <w:p>
            <w:pPr>
              <w:spacing w:line="240" w:lineRule="auto"/>
              <w:ind w:firstLine="0" w:firstLineChars="0"/>
              <w:jc w:val="center"/>
              <w:rPr>
                <w:rFonts w:cs="宋体"/>
                <w:sz w:val="21"/>
                <w:szCs w:val="21"/>
              </w:rPr>
            </w:pPr>
            <w:r>
              <w:rPr>
                <w:rFonts w:cs="宋体"/>
                <w:spacing w:val="7"/>
                <w:sz w:val="21"/>
                <w:szCs w:val="21"/>
              </w:rPr>
              <w:t>湿地植被</w:t>
            </w:r>
          </w:p>
        </w:tc>
        <w:tc>
          <w:tcPr>
            <w:tcW w:w="1064" w:type="pct"/>
            <w:vAlign w:val="center"/>
          </w:tcPr>
          <w:p>
            <w:pPr>
              <w:spacing w:line="240" w:lineRule="auto"/>
              <w:ind w:firstLine="0" w:firstLineChars="0"/>
              <w:jc w:val="center"/>
              <w:rPr>
                <w:rFonts w:cs="宋体"/>
                <w:sz w:val="21"/>
                <w:szCs w:val="21"/>
              </w:rPr>
            </w:pPr>
            <w:r>
              <w:rPr>
                <w:rFonts w:cs="宋体"/>
                <w:spacing w:val="6"/>
                <w:sz w:val="21"/>
                <w:szCs w:val="21"/>
              </w:rPr>
              <w:t>芦苇群落</w:t>
            </w:r>
          </w:p>
        </w:tc>
        <w:tc>
          <w:tcPr>
            <w:tcW w:w="963" w:type="pct"/>
            <w:vAlign w:val="center"/>
          </w:tcPr>
          <w:p>
            <w:pPr>
              <w:pStyle w:val="249"/>
              <w:spacing w:line="240" w:lineRule="auto"/>
              <w:ind w:firstLine="0" w:firstLineChars="0"/>
              <w:jc w:val="center"/>
              <w:rPr>
                <w:rFonts w:eastAsia="宋体"/>
                <w:sz w:val="21"/>
                <w:szCs w:val="21"/>
              </w:rPr>
            </w:pPr>
            <w:r>
              <w:rPr>
                <w:rFonts w:eastAsia="宋体"/>
                <w:sz w:val="21"/>
                <w:szCs w:val="21"/>
              </w:rPr>
              <w:t>1</w:t>
            </w:r>
          </w:p>
        </w:tc>
        <w:tc>
          <w:tcPr>
            <w:tcW w:w="949" w:type="pct"/>
            <w:vAlign w:val="center"/>
          </w:tcPr>
          <w:p>
            <w:pPr>
              <w:pStyle w:val="249"/>
              <w:spacing w:line="240" w:lineRule="auto"/>
              <w:ind w:firstLine="0" w:firstLineChars="0"/>
              <w:jc w:val="center"/>
              <w:rPr>
                <w:rFonts w:eastAsia="宋体"/>
                <w:sz w:val="21"/>
                <w:szCs w:val="21"/>
              </w:rPr>
            </w:pPr>
            <w:r>
              <w:rPr>
                <w:rFonts w:eastAsia="宋体"/>
                <w:spacing w:val="-1"/>
                <w:sz w:val="21"/>
                <w:szCs w:val="21"/>
              </w:rPr>
              <w:t>19.95</w:t>
            </w:r>
          </w:p>
        </w:tc>
        <w:tc>
          <w:tcPr>
            <w:tcW w:w="1351" w:type="pct"/>
            <w:vAlign w:val="center"/>
          </w:tcPr>
          <w:p>
            <w:pPr>
              <w:pStyle w:val="249"/>
              <w:spacing w:line="240" w:lineRule="auto"/>
              <w:ind w:firstLine="0" w:firstLineChars="0"/>
              <w:jc w:val="center"/>
              <w:rPr>
                <w:rFonts w:eastAsia="宋体"/>
                <w:sz w:val="21"/>
                <w:szCs w:val="21"/>
              </w:rPr>
            </w:pPr>
            <w:r>
              <w:rPr>
                <w:rFonts w:eastAsia="宋体"/>
                <w:spacing w:val="2"/>
                <w:sz w:val="21"/>
                <w:szCs w:val="21"/>
              </w:rPr>
              <w:t>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restart"/>
            <w:vAlign w:val="center"/>
          </w:tcPr>
          <w:p>
            <w:pPr>
              <w:spacing w:line="240" w:lineRule="auto"/>
              <w:ind w:firstLine="0" w:firstLineChars="0"/>
              <w:jc w:val="center"/>
              <w:rPr>
                <w:rFonts w:cs="宋体"/>
                <w:spacing w:val="7"/>
                <w:sz w:val="21"/>
                <w:szCs w:val="21"/>
              </w:rPr>
            </w:pPr>
            <w:r>
              <w:rPr>
                <w:rFonts w:cs="宋体"/>
                <w:spacing w:val="7"/>
                <w:sz w:val="21"/>
                <w:szCs w:val="21"/>
              </w:rPr>
              <w:t>其他</w:t>
            </w: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居民点</w:t>
            </w:r>
          </w:p>
        </w:tc>
        <w:tc>
          <w:tcPr>
            <w:tcW w:w="963" w:type="pct"/>
            <w:vAlign w:val="center"/>
          </w:tcPr>
          <w:p>
            <w:pPr>
              <w:spacing w:line="240" w:lineRule="auto"/>
              <w:ind w:firstLine="0" w:firstLineChars="0"/>
              <w:jc w:val="center"/>
              <w:rPr>
                <w:rFonts w:cs="宋体"/>
                <w:spacing w:val="7"/>
                <w:sz w:val="21"/>
                <w:szCs w:val="21"/>
              </w:rPr>
            </w:pPr>
            <w:r>
              <w:rPr>
                <w:rFonts w:cs="宋体"/>
                <w:spacing w:val="7"/>
                <w:sz w:val="21"/>
                <w:szCs w:val="21"/>
              </w:rPr>
              <w:t>23</w:t>
            </w:r>
          </w:p>
        </w:tc>
        <w:tc>
          <w:tcPr>
            <w:tcW w:w="949" w:type="pct"/>
            <w:vAlign w:val="center"/>
          </w:tcPr>
          <w:p>
            <w:pPr>
              <w:spacing w:line="240" w:lineRule="auto"/>
              <w:ind w:firstLine="0" w:firstLineChars="0"/>
              <w:jc w:val="center"/>
              <w:rPr>
                <w:rFonts w:cs="宋体"/>
                <w:spacing w:val="7"/>
                <w:sz w:val="21"/>
                <w:szCs w:val="21"/>
              </w:rPr>
            </w:pPr>
            <w:r>
              <w:rPr>
                <w:rFonts w:cs="宋体"/>
                <w:spacing w:val="7"/>
                <w:sz w:val="21"/>
                <w:szCs w:val="21"/>
              </w:rPr>
              <w:t>11.33</w:t>
            </w:r>
          </w:p>
        </w:tc>
        <w:tc>
          <w:tcPr>
            <w:tcW w:w="1351" w:type="pct"/>
            <w:vAlign w:val="center"/>
          </w:tcPr>
          <w:p>
            <w:pPr>
              <w:spacing w:line="240" w:lineRule="auto"/>
              <w:ind w:firstLine="0" w:firstLineChars="0"/>
              <w:jc w:val="center"/>
              <w:rPr>
                <w:rFonts w:cs="宋体"/>
                <w:spacing w:val="7"/>
                <w:sz w:val="21"/>
                <w:szCs w:val="21"/>
              </w:rPr>
            </w:pPr>
            <w:r>
              <w:rPr>
                <w:rFonts w:cs="宋体"/>
                <w:spacing w:val="7"/>
                <w:sz w:val="21"/>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continue"/>
            <w:vAlign w:val="center"/>
          </w:tcPr>
          <w:p>
            <w:pPr>
              <w:spacing w:line="240" w:lineRule="auto"/>
              <w:ind w:firstLine="0" w:firstLineChars="0"/>
              <w:jc w:val="center"/>
              <w:rPr>
                <w:rFonts w:cs="宋体"/>
                <w:spacing w:val="7"/>
                <w:sz w:val="21"/>
                <w:szCs w:val="21"/>
              </w:rPr>
            </w:pP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设施农用地</w:t>
            </w:r>
          </w:p>
        </w:tc>
        <w:tc>
          <w:tcPr>
            <w:tcW w:w="963"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1</w:t>
            </w:r>
          </w:p>
        </w:tc>
        <w:tc>
          <w:tcPr>
            <w:tcW w:w="949"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29.89</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continue"/>
            <w:vAlign w:val="center"/>
          </w:tcPr>
          <w:p>
            <w:pPr>
              <w:spacing w:line="240" w:lineRule="auto"/>
              <w:ind w:firstLine="0" w:firstLineChars="0"/>
              <w:jc w:val="center"/>
              <w:rPr>
                <w:rFonts w:cs="宋体"/>
                <w:spacing w:val="7"/>
                <w:sz w:val="21"/>
                <w:szCs w:val="21"/>
              </w:rPr>
            </w:pP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道路</w:t>
            </w:r>
          </w:p>
        </w:tc>
        <w:tc>
          <w:tcPr>
            <w:tcW w:w="963"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w:t>
            </w:r>
          </w:p>
        </w:tc>
        <w:tc>
          <w:tcPr>
            <w:tcW w:w="949"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3.98</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continue"/>
            <w:vAlign w:val="center"/>
          </w:tcPr>
          <w:p>
            <w:pPr>
              <w:spacing w:line="240" w:lineRule="auto"/>
              <w:ind w:firstLine="0" w:firstLineChars="0"/>
              <w:jc w:val="center"/>
              <w:rPr>
                <w:rFonts w:cs="宋体"/>
                <w:spacing w:val="7"/>
                <w:sz w:val="21"/>
                <w:szCs w:val="21"/>
              </w:rPr>
            </w:pP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水域</w:t>
            </w:r>
          </w:p>
        </w:tc>
        <w:tc>
          <w:tcPr>
            <w:tcW w:w="963"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5</w:t>
            </w:r>
          </w:p>
        </w:tc>
        <w:tc>
          <w:tcPr>
            <w:tcW w:w="949"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38.20</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continue"/>
            <w:vAlign w:val="center"/>
          </w:tcPr>
          <w:p>
            <w:pPr>
              <w:spacing w:line="240" w:lineRule="auto"/>
              <w:ind w:firstLine="0" w:firstLineChars="0"/>
              <w:jc w:val="center"/>
              <w:rPr>
                <w:rFonts w:cs="宋体"/>
                <w:spacing w:val="7"/>
                <w:sz w:val="21"/>
                <w:szCs w:val="21"/>
              </w:rPr>
            </w:pP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盐碱地</w:t>
            </w:r>
          </w:p>
        </w:tc>
        <w:tc>
          <w:tcPr>
            <w:tcW w:w="963"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12</w:t>
            </w:r>
          </w:p>
        </w:tc>
        <w:tc>
          <w:tcPr>
            <w:tcW w:w="949"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276.28</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continue"/>
            <w:vAlign w:val="center"/>
          </w:tcPr>
          <w:p>
            <w:pPr>
              <w:spacing w:line="240" w:lineRule="auto"/>
              <w:ind w:firstLine="0" w:firstLineChars="0"/>
              <w:jc w:val="center"/>
              <w:rPr>
                <w:rFonts w:cs="宋体"/>
                <w:spacing w:val="7"/>
                <w:sz w:val="21"/>
                <w:szCs w:val="21"/>
              </w:rPr>
            </w:pP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沙地</w:t>
            </w:r>
          </w:p>
        </w:tc>
        <w:tc>
          <w:tcPr>
            <w:tcW w:w="963"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w:t>
            </w:r>
          </w:p>
        </w:tc>
        <w:tc>
          <w:tcPr>
            <w:tcW w:w="949"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3.01</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Merge w:val="continue"/>
            <w:vAlign w:val="center"/>
          </w:tcPr>
          <w:p>
            <w:pPr>
              <w:spacing w:line="240" w:lineRule="auto"/>
              <w:ind w:firstLine="0" w:firstLineChars="0"/>
              <w:jc w:val="center"/>
              <w:rPr>
                <w:rFonts w:cs="宋体"/>
                <w:spacing w:val="7"/>
                <w:sz w:val="21"/>
                <w:szCs w:val="21"/>
              </w:rPr>
            </w:pPr>
          </w:p>
        </w:tc>
        <w:tc>
          <w:tcPr>
            <w:tcW w:w="1064" w:type="pct"/>
            <w:vAlign w:val="center"/>
          </w:tcPr>
          <w:p>
            <w:pPr>
              <w:spacing w:line="240" w:lineRule="auto"/>
              <w:ind w:firstLine="0" w:firstLineChars="0"/>
              <w:jc w:val="center"/>
              <w:rPr>
                <w:rFonts w:cs="宋体"/>
                <w:spacing w:val="7"/>
                <w:sz w:val="21"/>
                <w:szCs w:val="21"/>
              </w:rPr>
            </w:pPr>
            <w:r>
              <w:rPr>
                <w:rFonts w:cs="宋体"/>
                <w:spacing w:val="7"/>
                <w:sz w:val="21"/>
                <w:szCs w:val="21"/>
              </w:rPr>
              <w:t>裸地</w:t>
            </w:r>
          </w:p>
        </w:tc>
        <w:tc>
          <w:tcPr>
            <w:tcW w:w="963"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3</w:t>
            </w:r>
          </w:p>
        </w:tc>
        <w:tc>
          <w:tcPr>
            <w:tcW w:w="949"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2.37</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670" w:type="pct"/>
            <w:vAlign w:val="center"/>
          </w:tcPr>
          <w:p>
            <w:pPr>
              <w:spacing w:line="240" w:lineRule="auto"/>
              <w:ind w:firstLine="0" w:firstLineChars="0"/>
              <w:jc w:val="center"/>
              <w:rPr>
                <w:rFonts w:cs="宋体"/>
                <w:spacing w:val="7"/>
                <w:sz w:val="21"/>
                <w:szCs w:val="21"/>
              </w:rPr>
            </w:pPr>
            <w:r>
              <w:rPr>
                <w:rFonts w:hint="eastAsia" w:cs="宋体"/>
                <w:spacing w:val="7"/>
                <w:sz w:val="21"/>
                <w:szCs w:val="21"/>
              </w:rPr>
              <w:t>总计</w:t>
            </w:r>
          </w:p>
        </w:tc>
        <w:tc>
          <w:tcPr>
            <w:tcW w:w="1064" w:type="pct"/>
            <w:vAlign w:val="center"/>
          </w:tcPr>
          <w:p>
            <w:pPr>
              <w:spacing w:line="240" w:lineRule="auto"/>
              <w:ind w:firstLine="0" w:firstLineChars="0"/>
              <w:jc w:val="center"/>
              <w:rPr>
                <w:rFonts w:cs="宋体"/>
                <w:spacing w:val="7"/>
                <w:sz w:val="21"/>
                <w:szCs w:val="21"/>
              </w:rPr>
            </w:pPr>
          </w:p>
        </w:tc>
        <w:tc>
          <w:tcPr>
            <w:tcW w:w="963" w:type="pct"/>
            <w:vAlign w:val="center"/>
          </w:tcPr>
          <w:p>
            <w:pPr>
              <w:spacing w:line="240" w:lineRule="auto"/>
              <w:ind w:firstLine="0" w:firstLineChars="0"/>
              <w:jc w:val="center"/>
              <w:rPr>
                <w:rFonts w:cs="宋体"/>
                <w:spacing w:val="7"/>
                <w:sz w:val="21"/>
                <w:szCs w:val="21"/>
              </w:rPr>
            </w:pPr>
            <w:r>
              <w:rPr>
                <w:rFonts w:cs="宋体"/>
                <w:spacing w:val="7"/>
                <w:sz w:val="21"/>
                <w:szCs w:val="21"/>
              </w:rPr>
              <w:t>96</w:t>
            </w:r>
          </w:p>
        </w:tc>
        <w:tc>
          <w:tcPr>
            <w:tcW w:w="949" w:type="pct"/>
            <w:vAlign w:val="center"/>
          </w:tcPr>
          <w:p>
            <w:pPr>
              <w:spacing w:line="240" w:lineRule="auto"/>
              <w:ind w:firstLine="0" w:firstLineChars="0"/>
              <w:jc w:val="center"/>
              <w:rPr>
                <w:rFonts w:cs="宋体"/>
                <w:spacing w:val="7"/>
                <w:sz w:val="21"/>
                <w:szCs w:val="21"/>
              </w:rPr>
            </w:pPr>
            <w:r>
              <w:rPr>
                <w:rFonts w:cs="宋体"/>
                <w:spacing w:val="7"/>
                <w:sz w:val="21"/>
                <w:szCs w:val="21"/>
              </w:rPr>
              <w:t>787.74</w:t>
            </w:r>
          </w:p>
        </w:tc>
        <w:tc>
          <w:tcPr>
            <w:tcW w:w="1351" w:type="pct"/>
            <w:vAlign w:val="center"/>
          </w:tcPr>
          <w:p>
            <w:pPr>
              <w:spacing w:line="240" w:lineRule="auto"/>
              <w:ind w:firstLine="0" w:firstLineChars="0"/>
              <w:jc w:val="center"/>
              <w:rPr>
                <w:rFonts w:cs="宋体"/>
                <w:spacing w:val="7"/>
                <w:sz w:val="21"/>
                <w:szCs w:val="21"/>
                <w:lang w:eastAsia="en-US"/>
              </w:rPr>
            </w:pPr>
            <w:r>
              <w:rPr>
                <w:rFonts w:cs="宋体"/>
                <w:spacing w:val="7"/>
                <w:sz w:val="21"/>
                <w:szCs w:val="21"/>
              </w:rPr>
              <w:t>100.00</w:t>
            </w:r>
          </w:p>
        </w:tc>
      </w:tr>
    </w:tbl>
    <w:p>
      <w:pPr>
        <w:spacing w:line="240" w:lineRule="auto"/>
        <w:ind w:firstLine="0" w:firstLineChars="0"/>
        <w:jc w:val="center"/>
      </w:pPr>
      <w:r>
        <w:rPr>
          <w:rFonts w:hint="eastAsia"/>
        </w:rPr>
        <w:t>表4.2.5-4   项目区植被类型现状一览表</w:t>
      </w:r>
    </w:p>
    <w:p>
      <w:pPr>
        <w:spacing w:line="68" w:lineRule="exact"/>
        <w:ind w:firstLine="480"/>
      </w:pPr>
    </w:p>
    <w:tbl>
      <w:tblPr>
        <w:tblStyle w:val="2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63"/>
        <w:gridCol w:w="2218"/>
        <w:gridCol w:w="1538"/>
        <w:gridCol w:w="1513"/>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775" w:type="pct"/>
            <w:vAlign w:val="center"/>
          </w:tcPr>
          <w:p>
            <w:pPr>
              <w:spacing w:line="240" w:lineRule="auto"/>
              <w:ind w:firstLine="0" w:firstLineChars="0"/>
              <w:jc w:val="center"/>
              <w:rPr>
                <w:rFonts w:ascii="宋体" w:hAnsi="宋体" w:cs="宋体"/>
                <w:sz w:val="21"/>
                <w:szCs w:val="21"/>
              </w:rPr>
            </w:pPr>
            <w:r>
              <w:rPr>
                <w:rFonts w:ascii="宋体" w:hAnsi="宋体" w:cs="宋体"/>
                <w:spacing w:val="4"/>
                <w:sz w:val="21"/>
                <w:szCs w:val="21"/>
              </w:rPr>
              <w:t>一级</w:t>
            </w:r>
          </w:p>
        </w:tc>
        <w:tc>
          <w:tcPr>
            <w:tcW w:w="1261" w:type="pct"/>
            <w:vAlign w:val="center"/>
          </w:tcPr>
          <w:p>
            <w:pPr>
              <w:spacing w:line="240" w:lineRule="auto"/>
              <w:ind w:firstLine="0" w:firstLineChars="0"/>
              <w:jc w:val="center"/>
              <w:rPr>
                <w:rFonts w:ascii="宋体" w:hAnsi="宋体" w:cs="宋体"/>
                <w:sz w:val="21"/>
                <w:szCs w:val="21"/>
              </w:rPr>
            </w:pPr>
            <w:r>
              <w:rPr>
                <w:rFonts w:ascii="宋体" w:hAnsi="宋体" w:cs="宋体"/>
                <w:spacing w:val="3"/>
                <w:sz w:val="21"/>
                <w:szCs w:val="21"/>
              </w:rPr>
              <w:t>二级</w:t>
            </w:r>
          </w:p>
        </w:tc>
        <w:tc>
          <w:tcPr>
            <w:tcW w:w="874" w:type="pct"/>
            <w:vAlign w:val="center"/>
          </w:tcPr>
          <w:p>
            <w:pPr>
              <w:spacing w:line="240" w:lineRule="auto"/>
              <w:ind w:firstLine="0" w:firstLineChars="0"/>
              <w:jc w:val="center"/>
              <w:rPr>
                <w:rFonts w:ascii="宋体" w:hAnsi="宋体" w:cs="宋体"/>
                <w:sz w:val="21"/>
                <w:szCs w:val="21"/>
              </w:rPr>
            </w:pPr>
            <w:r>
              <w:rPr>
                <w:rFonts w:ascii="宋体" w:hAnsi="宋体" w:cs="宋体"/>
                <w:spacing w:val="6"/>
                <w:sz w:val="21"/>
                <w:szCs w:val="21"/>
              </w:rPr>
              <w:t>斑块数（个）</w:t>
            </w:r>
          </w:p>
        </w:tc>
        <w:tc>
          <w:tcPr>
            <w:tcW w:w="860" w:type="pct"/>
            <w:vAlign w:val="center"/>
          </w:tcPr>
          <w:p>
            <w:pPr>
              <w:pStyle w:val="249"/>
              <w:spacing w:line="240" w:lineRule="auto"/>
              <w:ind w:firstLine="0" w:firstLineChars="0"/>
              <w:jc w:val="center"/>
              <w:rPr>
                <w:rFonts w:ascii="宋体" w:hAnsi="宋体" w:eastAsia="宋体" w:cs="宋体"/>
                <w:sz w:val="21"/>
                <w:szCs w:val="21"/>
              </w:rPr>
            </w:pPr>
            <w:r>
              <w:rPr>
                <w:rFonts w:ascii="宋体" w:hAnsi="宋体" w:eastAsia="宋体" w:cs="宋体"/>
                <w:spacing w:val="7"/>
                <w:sz w:val="21"/>
                <w:szCs w:val="21"/>
              </w:rPr>
              <w:t>面积（</w:t>
            </w:r>
            <w:r>
              <w:rPr>
                <w:sz w:val="21"/>
                <w:szCs w:val="21"/>
              </w:rPr>
              <w:t>hm</w:t>
            </w:r>
            <w:r>
              <w:rPr>
                <w:spacing w:val="7"/>
                <w:position w:val="6"/>
                <w:sz w:val="21"/>
                <w:szCs w:val="21"/>
                <w:vertAlign w:val="superscript"/>
              </w:rPr>
              <w:t>2</w:t>
            </w:r>
            <w:r>
              <w:rPr>
                <w:rFonts w:ascii="宋体" w:hAnsi="宋体" w:eastAsia="宋体" w:cs="宋体"/>
                <w:spacing w:val="7"/>
                <w:sz w:val="21"/>
                <w:szCs w:val="21"/>
              </w:rPr>
              <w:t>）</w:t>
            </w:r>
          </w:p>
        </w:tc>
        <w:tc>
          <w:tcPr>
            <w:tcW w:w="1228" w:type="pct"/>
            <w:vAlign w:val="center"/>
          </w:tcPr>
          <w:p>
            <w:pPr>
              <w:pStyle w:val="249"/>
              <w:spacing w:line="240" w:lineRule="auto"/>
              <w:ind w:firstLine="0" w:firstLineChars="0"/>
              <w:jc w:val="center"/>
              <w:rPr>
                <w:rFonts w:ascii="宋体" w:hAnsi="宋体" w:eastAsia="宋体" w:cs="宋体"/>
                <w:sz w:val="21"/>
                <w:szCs w:val="21"/>
              </w:rPr>
            </w:pPr>
            <w:r>
              <w:rPr>
                <w:rFonts w:ascii="宋体" w:hAnsi="宋体" w:eastAsia="宋体" w:cs="宋体"/>
                <w:spacing w:val="3"/>
                <w:sz w:val="21"/>
                <w:szCs w:val="21"/>
              </w:rPr>
              <w:t>占总面积比例（</w:t>
            </w:r>
            <w:r>
              <w:rPr>
                <w:spacing w:val="3"/>
                <w:sz w:val="21"/>
                <w:szCs w:val="21"/>
              </w:rPr>
              <w:t>%</w:t>
            </w:r>
            <w:r>
              <w:rPr>
                <w:rFonts w:ascii="宋体" w:hAnsi="宋体" w:eastAsia="宋体" w:cs="宋体"/>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775" w:type="pct"/>
            <w:vMerge w:val="restart"/>
            <w:vAlign w:val="center"/>
          </w:tcPr>
          <w:p>
            <w:pPr>
              <w:spacing w:line="240" w:lineRule="auto"/>
              <w:ind w:firstLine="0" w:firstLineChars="0"/>
              <w:jc w:val="center"/>
              <w:rPr>
                <w:rFonts w:ascii="宋体" w:hAnsi="宋体" w:cs="宋体"/>
                <w:sz w:val="21"/>
                <w:szCs w:val="21"/>
              </w:rPr>
            </w:pPr>
            <w:r>
              <w:rPr>
                <w:rFonts w:ascii="宋体" w:hAnsi="宋体" w:cs="宋体"/>
                <w:spacing w:val="4"/>
                <w:sz w:val="21"/>
                <w:szCs w:val="21"/>
              </w:rPr>
              <w:t>其他</w:t>
            </w:r>
          </w:p>
        </w:tc>
        <w:tc>
          <w:tcPr>
            <w:tcW w:w="1261" w:type="pct"/>
            <w:vAlign w:val="center"/>
          </w:tcPr>
          <w:p>
            <w:pPr>
              <w:spacing w:line="240" w:lineRule="auto"/>
              <w:ind w:firstLine="0" w:firstLineChars="0"/>
              <w:jc w:val="center"/>
              <w:rPr>
                <w:rFonts w:ascii="宋体" w:hAnsi="宋体" w:cs="宋体"/>
                <w:sz w:val="21"/>
                <w:szCs w:val="21"/>
              </w:rPr>
            </w:pPr>
            <w:r>
              <w:rPr>
                <w:rFonts w:ascii="宋体" w:hAnsi="宋体" w:cs="宋体"/>
                <w:spacing w:val="3"/>
                <w:sz w:val="21"/>
                <w:szCs w:val="21"/>
              </w:rPr>
              <w:t>水域</w:t>
            </w:r>
          </w:p>
        </w:tc>
        <w:tc>
          <w:tcPr>
            <w:tcW w:w="874" w:type="pct"/>
            <w:vAlign w:val="center"/>
          </w:tcPr>
          <w:p>
            <w:pPr>
              <w:pStyle w:val="249"/>
              <w:spacing w:line="240" w:lineRule="auto"/>
              <w:ind w:firstLine="0" w:firstLineChars="0"/>
              <w:jc w:val="center"/>
              <w:rPr>
                <w:sz w:val="21"/>
                <w:szCs w:val="21"/>
              </w:rPr>
            </w:pPr>
            <w:r>
              <w:rPr>
                <w:sz w:val="21"/>
                <w:szCs w:val="21"/>
              </w:rPr>
              <w:t>1</w:t>
            </w:r>
          </w:p>
        </w:tc>
        <w:tc>
          <w:tcPr>
            <w:tcW w:w="860" w:type="pct"/>
            <w:vAlign w:val="center"/>
          </w:tcPr>
          <w:p>
            <w:pPr>
              <w:pStyle w:val="249"/>
              <w:spacing w:line="240" w:lineRule="auto"/>
              <w:ind w:firstLine="0" w:firstLineChars="0"/>
              <w:jc w:val="center"/>
              <w:rPr>
                <w:sz w:val="21"/>
                <w:szCs w:val="21"/>
              </w:rPr>
            </w:pPr>
            <w:r>
              <w:rPr>
                <w:spacing w:val="-2"/>
                <w:sz w:val="21"/>
                <w:szCs w:val="21"/>
              </w:rPr>
              <w:t>1.29</w:t>
            </w:r>
          </w:p>
        </w:tc>
        <w:tc>
          <w:tcPr>
            <w:tcW w:w="1228"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775" w:type="pct"/>
            <w:vMerge w:val="continue"/>
            <w:vAlign w:val="center"/>
          </w:tcPr>
          <w:p>
            <w:pPr>
              <w:spacing w:line="240" w:lineRule="auto"/>
              <w:ind w:firstLine="0" w:firstLineChars="0"/>
              <w:jc w:val="center"/>
              <w:rPr>
                <w:rFonts w:ascii="Arial"/>
                <w:sz w:val="21"/>
                <w:szCs w:val="21"/>
              </w:rPr>
            </w:pPr>
          </w:p>
        </w:tc>
        <w:tc>
          <w:tcPr>
            <w:tcW w:w="1261" w:type="pct"/>
            <w:vAlign w:val="center"/>
          </w:tcPr>
          <w:p>
            <w:pPr>
              <w:spacing w:line="240" w:lineRule="auto"/>
              <w:ind w:firstLine="0" w:firstLineChars="0"/>
              <w:jc w:val="center"/>
              <w:rPr>
                <w:rFonts w:ascii="宋体" w:hAnsi="宋体" w:cs="宋体"/>
                <w:sz w:val="21"/>
                <w:szCs w:val="21"/>
              </w:rPr>
            </w:pPr>
            <w:r>
              <w:rPr>
                <w:rFonts w:ascii="宋体" w:hAnsi="宋体" w:cs="宋体"/>
                <w:spacing w:val="6"/>
                <w:sz w:val="21"/>
                <w:szCs w:val="21"/>
              </w:rPr>
              <w:t>盐碱地</w:t>
            </w:r>
          </w:p>
        </w:tc>
        <w:tc>
          <w:tcPr>
            <w:tcW w:w="874" w:type="pct"/>
            <w:vAlign w:val="center"/>
          </w:tcPr>
          <w:p>
            <w:pPr>
              <w:pStyle w:val="249"/>
              <w:spacing w:line="240" w:lineRule="auto"/>
              <w:ind w:firstLine="0" w:firstLineChars="0"/>
              <w:jc w:val="center"/>
              <w:rPr>
                <w:sz w:val="21"/>
                <w:szCs w:val="21"/>
              </w:rPr>
            </w:pPr>
            <w:r>
              <w:rPr>
                <w:sz w:val="21"/>
                <w:szCs w:val="21"/>
              </w:rPr>
              <w:t>3</w:t>
            </w:r>
          </w:p>
        </w:tc>
        <w:tc>
          <w:tcPr>
            <w:tcW w:w="860" w:type="pct"/>
            <w:vAlign w:val="center"/>
          </w:tcPr>
          <w:p>
            <w:pPr>
              <w:pStyle w:val="249"/>
              <w:spacing w:line="240" w:lineRule="auto"/>
              <w:ind w:firstLine="0" w:firstLineChars="0"/>
              <w:jc w:val="center"/>
              <w:rPr>
                <w:sz w:val="21"/>
                <w:szCs w:val="21"/>
              </w:rPr>
            </w:pPr>
            <w:r>
              <w:rPr>
                <w:spacing w:val="1"/>
                <w:sz w:val="21"/>
                <w:szCs w:val="21"/>
              </w:rPr>
              <w:t>82.01</w:t>
            </w:r>
          </w:p>
        </w:tc>
        <w:tc>
          <w:tcPr>
            <w:tcW w:w="1228"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70.15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775" w:type="pct"/>
            <w:vAlign w:val="center"/>
          </w:tcPr>
          <w:p>
            <w:pPr>
              <w:spacing w:line="240" w:lineRule="auto"/>
              <w:ind w:firstLine="0" w:firstLineChars="0"/>
              <w:jc w:val="center"/>
              <w:rPr>
                <w:rFonts w:ascii="Arial"/>
                <w:sz w:val="21"/>
                <w:szCs w:val="21"/>
              </w:rPr>
            </w:pPr>
            <w:r>
              <w:rPr>
                <w:rFonts w:cs="宋体"/>
                <w:spacing w:val="7"/>
                <w:sz w:val="21"/>
                <w:szCs w:val="21"/>
              </w:rPr>
              <w:t>低湿地</w:t>
            </w:r>
          </w:p>
        </w:tc>
        <w:tc>
          <w:tcPr>
            <w:tcW w:w="1261" w:type="pct"/>
            <w:vAlign w:val="center"/>
          </w:tcPr>
          <w:p>
            <w:pPr>
              <w:pStyle w:val="249"/>
              <w:spacing w:line="240" w:lineRule="auto"/>
              <w:ind w:firstLine="0" w:firstLineChars="0"/>
              <w:jc w:val="center"/>
              <w:rPr>
                <w:rFonts w:ascii="宋体" w:hAnsi="宋体" w:eastAsia="宋体" w:cs="宋体"/>
                <w:spacing w:val="6"/>
                <w:sz w:val="21"/>
                <w:szCs w:val="21"/>
              </w:rPr>
            </w:pPr>
            <w:r>
              <w:rPr>
                <w:rFonts w:eastAsia="宋体" w:cs="宋体"/>
                <w:spacing w:val="8"/>
                <w:sz w:val="21"/>
                <w:szCs w:val="21"/>
              </w:rPr>
              <w:t>碱茅</w:t>
            </w:r>
            <w:r>
              <w:rPr>
                <w:rFonts w:eastAsia="宋体"/>
                <w:spacing w:val="8"/>
                <w:sz w:val="21"/>
                <w:szCs w:val="21"/>
              </w:rPr>
              <w:t>+</w:t>
            </w:r>
            <w:r>
              <w:rPr>
                <w:rFonts w:eastAsia="宋体" w:cs="宋体"/>
                <w:spacing w:val="8"/>
                <w:sz w:val="21"/>
                <w:szCs w:val="21"/>
              </w:rPr>
              <w:t>苔草群落</w:t>
            </w:r>
          </w:p>
        </w:tc>
        <w:tc>
          <w:tcPr>
            <w:tcW w:w="874" w:type="pct"/>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1</w:t>
            </w:r>
          </w:p>
        </w:tc>
        <w:tc>
          <w:tcPr>
            <w:tcW w:w="860" w:type="pct"/>
            <w:vAlign w:val="center"/>
          </w:tcPr>
          <w:p>
            <w:pPr>
              <w:pStyle w:val="249"/>
              <w:spacing w:line="240" w:lineRule="auto"/>
              <w:ind w:firstLine="0" w:firstLineChars="0"/>
              <w:jc w:val="center"/>
              <w:rPr>
                <w:rFonts w:eastAsia="宋体"/>
                <w:spacing w:val="1"/>
                <w:sz w:val="21"/>
                <w:szCs w:val="21"/>
                <w:lang w:eastAsia="zh-CN"/>
              </w:rPr>
            </w:pPr>
            <w:r>
              <w:rPr>
                <w:rFonts w:hint="eastAsia" w:eastAsia="宋体"/>
                <w:spacing w:val="1"/>
                <w:sz w:val="21"/>
                <w:szCs w:val="21"/>
                <w:lang w:eastAsia="zh-CN"/>
              </w:rPr>
              <w:t>33.61</w:t>
            </w:r>
          </w:p>
        </w:tc>
        <w:tc>
          <w:tcPr>
            <w:tcW w:w="1228" w:type="pct"/>
            <w:vAlign w:val="center"/>
          </w:tcPr>
          <w:p>
            <w:pPr>
              <w:pStyle w:val="249"/>
              <w:spacing w:line="240" w:lineRule="auto"/>
              <w:ind w:firstLine="0" w:firstLineChars="0"/>
              <w:jc w:val="center"/>
              <w:rPr>
                <w:rFonts w:eastAsia="宋体"/>
                <w:spacing w:val="2"/>
                <w:sz w:val="21"/>
                <w:szCs w:val="21"/>
                <w:lang w:eastAsia="zh-CN"/>
              </w:rPr>
            </w:pPr>
            <w:r>
              <w:rPr>
                <w:rFonts w:hint="eastAsia" w:eastAsia="宋体"/>
                <w:spacing w:val="2"/>
                <w:sz w:val="21"/>
                <w:szCs w:val="21"/>
                <w:lang w:eastAsia="zh-CN"/>
              </w:rPr>
              <w:t>28.77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trPr>
        <w:tc>
          <w:tcPr>
            <w:tcW w:w="775" w:type="pct"/>
            <w:vAlign w:val="center"/>
          </w:tcPr>
          <w:p>
            <w:pPr>
              <w:spacing w:line="240" w:lineRule="auto"/>
              <w:ind w:firstLine="0" w:firstLineChars="0"/>
              <w:jc w:val="center"/>
              <w:rPr>
                <w:rFonts w:ascii="宋体" w:hAnsi="宋体" w:cs="宋体"/>
                <w:sz w:val="21"/>
                <w:szCs w:val="21"/>
              </w:rPr>
            </w:pPr>
            <w:r>
              <w:rPr>
                <w:rFonts w:ascii="宋体" w:hAnsi="宋体" w:cs="宋体"/>
                <w:spacing w:val="2"/>
                <w:sz w:val="21"/>
                <w:szCs w:val="21"/>
              </w:rPr>
              <w:t>总计</w:t>
            </w:r>
          </w:p>
        </w:tc>
        <w:tc>
          <w:tcPr>
            <w:tcW w:w="1261" w:type="pct"/>
            <w:vAlign w:val="center"/>
          </w:tcPr>
          <w:p>
            <w:pPr>
              <w:spacing w:line="240" w:lineRule="auto"/>
              <w:ind w:firstLine="0" w:firstLineChars="0"/>
              <w:jc w:val="center"/>
              <w:rPr>
                <w:rFonts w:ascii="Arial"/>
                <w:sz w:val="21"/>
                <w:szCs w:val="21"/>
              </w:rPr>
            </w:pPr>
          </w:p>
        </w:tc>
        <w:tc>
          <w:tcPr>
            <w:tcW w:w="874" w:type="pct"/>
            <w:vAlign w:val="center"/>
          </w:tcPr>
          <w:p>
            <w:pPr>
              <w:pStyle w:val="249"/>
              <w:spacing w:line="240" w:lineRule="auto"/>
              <w:ind w:firstLine="0" w:firstLineChars="0"/>
              <w:jc w:val="center"/>
              <w:rPr>
                <w:sz w:val="21"/>
                <w:szCs w:val="21"/>
              </w:rPr>
            </w:pPr>
            <w:r>
              <w:rPr>
                <w:spacing w:val="1"/>
                <w:sz w:val="21"/>
                <w:szCs w:val="21"/>
              </w:rPr>
              <w:t>4</w:t>
            </w:r>
          </w:p>
        </w:tc>
        <w:tc>
          <w:tcPr>
            <w:tcW w:w="860" w:type="pct"/>
            <w:vAlign w:val="center"/>
          </w:tcPr>
          <w:p>
            <w:pPr>
              <w:pStyle w:val="249"/>
              <w:spacing w:line="240" w:lineRule="auto"/>
              <w:ind w:firstLine="0" w:firstLineChars="0"/>
              <w:jc w:val="center"/>
              <w:rPr>
                <w:sz w:val="21"/>
                <w:szCs w:val="21"/>
              </w:rPr>
            </w:pPr>
            <w:r>
              <w:rPr>
                <w:rFonts w:hint="eastAsia"/>
                <w:sz w:val="21"/>
                <w:szCs w:val="21"/>
              </w:rPr>
              <w:t>116.91</w:t>
            </w:r>
          </w:p>
        </w:tc>
        <w:tc>
          <w:tcPr>
            <w:tcW w:w="1228" w:type="pct"/>
            <w:vAlign w:val="center"/>
          </w:tcPr>
          <w:p>
            <w:pPr>
              <w:pStyle w:val="249"/>
              <w:spacing w:line="240" w:lineRule="auto"/>
              <w:ind w:firstLine="0" w:firstLineChars="0"/>
              <w:jc w:val="center"/>
              <w:rPr>
                <w:sz w:val="21"/>
                <w:szCs w:val="21"/>
              </w:rPr>
            </w:pPr>
            <w:r>
              <w:rPr>
                <w:sz w:val="21"/>
                <w:szCs w:val="21"/>
              </w:rPr>
              <w:t>100.00</w:t>
            </w:r>
          </w:p>
        </w:tc>
      </w:tr>
    </w:tbl>
    <w:p>
      <w:pPr>
        <w:spacing w:before="120" w:beforeLines="50"/>
        <w:ind w:firstLine="0" w:firstLineChars="0"/>
        <w:jc w:val="center"/>
      </w:pPr>
      <w:r>
        <w:rPr>
          <w:rFonts w:hint="eastAsia"/>
          <w:color w:val="000000" w:themeColor="text1"/>
          <w14:textFill>
            <w14:solidFill>
              <w14:schemeClr w14:val="tx1"/>
            </w14:solidFill>
          </w14:textFill>
        </w:rPr>
        <w:drawing>
          <wp:anchor distT="0" distB="0" distL="114300" distR="114300" simplePos="0" relativeHeight="251684864" behindDoc="0" locked="0" layoutInCell="1" allowOverlap="1">
            <wp:simplePos x="0" y="0"/>
            <wp:positionH relativeFrom="column">
              <wp:posOffset>2558415</wp:posOffset>
            </wp:positionH>
            <wp:positionV relativeFrom="paragraph">
              <wp:posOffset>2874645</wp:posOffset>
            </wp:positionV>
            <wp:extent cx="462280" cy="408940"/>
            <wp:effectExtent l="0" t="0" r="14605" b="10160"/>
            <wp:wrapNone/>
            <wp:docPr id="61" name="图片 61" descr="98379d09a67f9777e6b9f5f6b7419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98379d09a67f9777e6b9f5f6b74193f"/>
                    <pic:cNvPicPr>
                      <a:picLocks noChangeAspect="1"/>
                    </pic:cNvPicPr>
                  </pic:nvPicPr>
                  <pic:blipFill>
                    <a:blip r:embed="rId56"/>
                    <a:stretch>
                      <a:fillRect/>
                    </a:stretch>
                  </pic:blipFill>
                  <pic:spPr>
                    <a:xfrm>
                      <a:off x="0" y="0"/>
                      <a:ext cx="462280" cy="408940"/>
                    </a:xfrm>
                    <a:prstGeom prst="rect">
                      <a:avLst/>
                    </a:prstGeom>
                  </pic:spPr>
                </pic:pic>
              </a:graphicData>
            </a:graphic>
          </wp:anchor>
        </w:drawing>
      </w:r>
      <w:r>
        <w:rPr>
          <w:position w:val="-128"/>
        </w:rPr>
        <w:drawing>
          <wp:inline distT="0" distB="0" distL="0" distR="0">
            <wp:extent cx="5269865" cy="4073525"/>
            <wp:effectExtent l="0" t="0" r="6985" b="3175"/>
            <wp:docPr id="52" name="IM 30"/>
            <wp:cNvGraphicFramePr/>
            <a:graphic xmlns:a="http://schemas.openxmlformats.org/drawingml/2006/main">
              <a:graphicData uri="http://schemas.openxmlformats.org/drawingml/2006/picture">
                <pic:pic xmlns:pic="http://schemas.openxmlformats.org/drawingml/2006/picture">
                  <pic:nvPicPr>
                    <pic:cNvPr id="52" name="IM 30"/>
                    <pic:cNvPicPr/>
                  </pic:nvPicPr>
                  <pic:blipFill>
                    <a:blip r:embed="rId57"/>
                    <a:stretch>
                      <a:fillRect/>
                    </a:stretch>
                  </pic:blipFill>
                  <pic:spPr>
                    <a:xfrm>
                      <a:off x="0" y="0"/>
                      <a:ext cx="5269991" cy="4073652"/>
                    </a:xfrm>
                    <a:prstGeom prst="rect">
                      <a:avLst/>
                    </a:prstGeom>
                  </pic:spPr>
                </pic:pic>
              </a:graphicData>
            </a:graphic>
          </wp:inline>
        </w:drawing>
      </w:r>
    </w:p>
    <w:p>
      <w:pPr>
        <w:pStyle w:val="6"/>
      </w:pPr>
      <w:r>
        <w:rPr>
          <w:rFonts w:hint="eastAsia"/>
        </w:rPr>
        <w:t>图4.2.5-3  项目区植被类型图</w:t>
      </w:r>
    </w:p>
    <w:p>
      <w:pPr>
        <w:ind w:firstLine="480"/>
      </w:pPr>
      <w:r>
        <w:t>根据《内蒙古植被》，五原县区域植物区系属欧亚草原植物区蒙古高原草原植物省乌兰察布高原州，植被类型属荒漠草原类型。在生态系统组成上，由于地形、土壤、水分条件和小区气候差异，植被类型有所不同。主要生态系统类型有</w:t>
      </w:r>
      <w:r>
        <w:rPr>
          <w:rFonts w:hint="eastAsia"/>
        </w:rPr>
        <w:t>:</w:t>
      </w:r>
      <w:r>
        <w:t>四种小型针茅所组成的地带性荒漠草原群系，戈壁针茅草原是最主要的类型。主</w:t>
      </w:r>
      <w:r>
        <mc:AlternateContent>
          <mc:Choice Requires="wps">
            <w:drawing>
              <wp:anchor distT="0" distB="0" distL="114300" distR="114300" simplePos="0" relativeHeight="251685888" behindDoc="0" locked="0" layoutInCell="0" allowOverlap="1">
                <wp:simplePos x="0" y="0"/>
                <wp:positionH relativeFrom="page">
                  <wp:posOffset>3647440</wp:posOffset>
                </wp:positionH>
                <wp:positionV relativeFrom="page">
                  <wp:posOffset>9840595</wp:posOffset>
                </wp:positionV>
                <wp:extent cx="267970" cy="8064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267970" cy="80645"/>
                        </a:xfrm>
                        <a:prstGeom prst="rect">
                          <a:avLst/>
                        </a:prstGeom>
                        <a:noFill/>
                        <a:ln>
                          <a:noFill/>
                        </a:ln>
                      </wps:spPr>
                      <wps:txbx>
                        <w:txbxContent>
                          <w:p>
                            <w:pPr>
                              <w:spacing w:before="20" w:line="86" w:lineRule="exact"/>
                              <w:ind w:left="20" w:firstLine="344"/>
                              <w:rPr>
                                <w:rFonts w:eastAsia="Times New Roman"/>
                                <w:sz w:val="18"/>
                                <w:szCs w:val="18"/>
                              </w:rPr>
                            </w:pPr>
                            <w:r>
                              <w:rPr>
                                <w:rFonts w:eastAsia="Times New Roman"/>
                                <w:spacing w:val="-4"/>
                                <w:position w:val="-1"/>
                                <w:sz w:val="18"/>
                                <w:szCs w:val="18"/>
                              </w:rPr>
                              <w:t>-</w:t>
                            </w:r>
                            <w:r>
                              <w:rPr>
                                <w:rFonts w:eastAsia="Times New Roman"/>
                                <w:spacing w:val="1"/>
                                <w:position w:val="-1"/>
                                <w:sz w:val="18"/>
                                <w:szCs w:val="18"/>
                              </w:rPr>
                              <w:t xml:space="preserve">      </w:t>
                            </w:r>
                            <w:r>
                              <w:rPr>
                                <w:rFonts w:eastAsia="Times New Roman"/>
                                <w:spacing w:val="-4"/>
                                <w:position w:val="-1"/>
                                <w:sz w:val="18"/>
                                <w:szCs w:val="18"/>
                              </w:rPr>
                              <w:t>-</w:t>
                            </w:r>
                          </w:p>
                        </w:txbxContent>
                      </wps:txbx>
                      <wps:bodyPr lIns="0" tIns="0" rIns="0" bIns="0" upright="1"/>
                    </wps:wsp>
                  </a:graphicData>
                </a:graphic>
              </wp:anchor>
            </w:drawing>
          </mc:Choice>
          <mc:Fallback>
            <w:pict>
              <v:shape id="_x0000_s1026" o:spid="_x0000_s1026" o:spt="202" type="#_x0000_t202" style="position:absolute;left:0pt;margin-left:287.2pt;margin-top:774.85pt;height:6.35pt;width:21.1pt;mso-position-horizontal-relative:page;mso-position-vertical-relative:page;z-index:251685888;mso-width-relative:page;mso-height-relative:page;" filled="f" stroked="f" coordsize="21600,21600" o:allowincell="f" o:gfxdata="UEsDBAoAAAAAAIdO4kAAAAAAAAAAAAAAAAAEAAAAZHJzL1BLAwQUAAAACACHTuJA81gqadsAAAAN&#10;AQAADwAAAGRycy9kb3ducmV2LnhtbE2Py07DMBBF90j8gzWV2FE7VerSNE6FEKyQEGlYsHSSaWI1&#10;HofYffD3uKuynLlHd87k24sd2AknbxwpSOYCGFLjWkOdgq/q7fEJmA+aWj04QgW/6GFb3N/lOmvd&#10;mUo87ULHYgn5TCvoQxgzzn3To9V+7kakmO3dZHWI49TxdtLnWG4HvhBCcqsNxQu9HvGlx+awO1oF&#10;z99Uvpqfj/qz3JemqtaC3uVBqYdZIjbAAl7CDYarflSHIjrV7kitZ4OC5SpNIxqDZbpeAYuITKQE&#10;Vl9XcpECL3L+/4viD1BLAwQUAAAACACHTuJAg5PeJ7sBAAByAwAADgAAAGRycy9lMm9Eb2MueG1s&#10;rVNBbtswELwX6B8I3msqRuOkguUAhZGiQNEWSPoAmiItAiSXIGlL/kD7g5566b3v8ju6pCynTS45&#10;5EKtdlezM7PU8mawhuxliBpcQy9mFSXSCWi12zb02/3tm2tKYuKu5QacbOhBRnqzev1q2ftazqED&#10;08pAEMTFuvcN7VLyNWNRdNLyOAMvHRYVBMsTvoYtawPvEd0aNq+qBeshtD6AkDFidj0W6QkxPAcQ&#10;lNJCrkHsrHRpRA3S8ISSYqd9pKvCVikp0helokzENBSVpnLiEIw3+WSrJa+3gftOixMF/hwKjzRZ&#10;rh0OPUOteeJkF/QTKKtFgAgqzQRYNgopjqCKi+qRN3cd97JoQaujP5seXw5WfN5/DUS3Db1cUOK4&#10;xY0ff/44/vpz/P2dYA4N6n2sse/OY2ca3sOA12bKR0xm3YMKNj9REcE62ns42yuHRAQm54urd1dY&#10;EVi6rhZvLzMIe/jWh5g+SLAkBw0NuLziKd9/imlsnVryKAe32piyQOP+SyBmzrBMfCSYozRshpOa&#10;DbQHFGM+OrQyX4spCFOwmYKdD3rbIZ0iuUDiKgrv07XJu/73vQx++FVW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zWCpp2wAAAA0BAAAPAAAAAAAAAAEAIAAAACIAAABkcnMvZG93bnJldi54bWxQ&#10;SwECFAAUAAAACACHTuJAg5PeJ7sBAAByAwAADgAAAAAAAAABACAAAAAqAQAAZHJzL2Uyb0RvYy54&#10;bWxQSwUGAAAAAAYABgBZAQAAVwUAAAAA&#10;">
                <v:fill on="f" focussize="0,0"/>
                <v:stroke on="f"/>
                <v:imagedata o:title=""/>
                <o:lock v:ext="edit" aspectratio="f"/>
                <v:textbox inset="0mm,0mm,0mm,0mm">
                  <w:txbxContent>
                    <w:p>
                      <w:pPr>
                        <w:spacing w:before="20" w:line="86" w:lineRule="exact"/>
                        <w:ind w:left="20" w:firstLine="344"/>
                        <w:rPr>
                          <w:rFonts w:eastAsia="Times New Roman"/>
                          <w:sz w:val="18"/>
                          <w:szCs w:val="18"/>
                        </w:rPr>
                      </w:pPr>
                      <w:r>
                        <w:rPr>
                          <w:rFonts w:eastAsia="Times New Roman"/>
                          <w:spacing w:val="-4"/>
                          <w:position w:val="-1"/>
                          <w:sz w:val="18"/>
                          <w:szCs w:val="18"/>
                        </w:rPr>
                        <w:t>-</w:t>
                      </w:r>
                      <w:r>
                        <w:rPr>
                          <w:rFonts w:eastAsia="Times New Roman"/>
                          <w:spacing w:val="1"/>
                          <w:position w:val="-1"/>
                          <w:sz w:val="18"/>
                          <w:szCs w:val="18"/>
                        </w:rPr>
                        <w:t xml:space="preserve">      </w:t>
                      </w:r>
                      <w:r>
                        <w:rPr>
                          <w:rFonts w:eastAsia="Times New Roman"/>
                          <w:spacing w:val="-4"/>
                          <w:position w:val="-1"/>
                          <w:sz w:val="18"/>
                          <w:szCs w:val="18"/>
                        </w:rPr>
                        <w:t>-</w:t>
                      </w:r>
                    </w:p>
                  </w:txbxContent>
                </v:textbox>
              </v:shape>
            </w:pict>
          </mc:Fallback>
        </mc:AlternateContent>
      </w:r>
      <w:r>
        <w:t>要建群种有戈壁针茅、碱蓬、盐爪爪。伴生种有糙隐子草、亚菊、狼毒、芨芨草、 百里香和冷蒿等旱生植物，一般高10cm以上，草场退化严重。盐生植被类型：主要分布在排水不良的低洼地，有碱蓬、碱茅、盐爪爪等。</w:t>
      </w:r>
    </w:p>
    <w:p>
      <w:pPr>
        <w:ind w:firstLine="480"/>
      </w:pPr>
      <w:r>
        <w:t>（2）植被覆盖度</w:t>
      </w:r>
    </w:p>
    <w:p>
      <w:pPr>
        <w:ind w:firstLine="480"/>
      </w:pPr>
      <w:r>
        <w:t>评价区植被覆盖度分为五个梯度，分别为0</w:t>
      </w:r>
      <w:r>
        <w:rPr>
          <w:rFonts w:hint="eastAsia"/>
        </w:rPr>
        <w:t>~</w:t>
      </w:r>
      <w:r>
        <w:t>20%、20</w:t>
      </w:r>
      <w:r>
        <w:rPr>
          <w:rFonts w:hint="eastAsia"/>
        </w:rPr>
        <w:t>~</w:t>
      </w:r>
      <w:r>
        <w:t>30%、30</w:t>
      </w:r>
      <w:r>
        <w:rPr>
          <w:rFonts w:hint="eastAsia"/>
        </w:rPr>
        <w:t>~</w:t>
      </w:r>
      <w:r>
        <w:t>40%、40</w:t>
      </w:r>
      <w:r>
        <w:rPr>
          <w:rFonts w:hint="eastAsia"/>
        </w:rPr>
        <w:t>~</w:t>
      </w:r>
      <w:r>
        <w:t>50% &gt;50%。根据生态解译结果，评价区域内植被覆盖度所占比例最高的为&gt;50%</w:t>
      </w:r>
      <w:r>
        <w:rPr>
          <w:rFonts w:hint="eastAsia"/>
        </w:rPr>
        <w:t>，</w:t>
      </w:r>
      <w:r>
        <w:t>面积为319.35hm2</w:t>
      </w:r>
      <w:r>
        <w:rPr>
          <w:rFonts w:hint="eastAsia"/>
        </w:rPr>
        <w:t>，</w:t>
      </w:r>
      <w:r>
        <w:t>占比为40.54 %</w:t>
      </w:r>
      <w:r>
        <w:rPr>
          <w:rFonts w:hint="eastAsia"/>
        </w:rPr>
        <w:t>。</w:t>
      </w:r>
      <w:r>
        <w:t>项目区占地面积约</w:t>
      </w:r>
      <w:r>
        <w:rPr>
          <w:rFonts w:hint="eastAsia"/>
        </w:rPr>
        <w:t>116.91</w:t>
      </w:r>
      <w:r>
        <w:t>hm</w:t>
      </w:r>
      <w:r>
        <w:rPr>
          <w:rFonts w:hint="eastAsia"/>
        </w:rPr>
        <w:t>2，</w:t>
      </w:r>
      <w:r>
        <w:t>项目区植被覆盖度主要为20~30%</w:t>
      </w:r>
      <w:r>
        <w:rPr>
          <w:rFonts w:hint="eastAsia"/>
        </w:rPr>
        <w:t>，</w:t>
      </w:r>
      <w:r>
        <w:t>占总项目区的76.47% ，面积为 63.61hm2。评价区植被覆盖度见表</w:t>
      </w:r>
      <w:r>
        <w:rPr>
          <w:rFonts w:hint="eastAsia"/>
        </w:rPr>
        <w:t>表4.2.5-5</w:t>
      </w:r>
      <w:r>
        <w:t>及图</w:t>
      </w:r>
      <w:r>
        <w:rPr>
          <w:rFonts w:hint="eastAsia"/>
        </w:rPr>
        <w:t xml:space="preserve">4.2.5-4 </w:t>
      </w:r>
      <w:r>
        <w:t>，评价区植被覆盖度见表</w:t>
      </w:r>
      <w:r>
        <w:rPr>
          <w:rFonts w:hint="eastAsia"/>
        </w:rPr>
        <w:t>4.2.5-6</w:t>
      </w:r>
      <w:r>
        <w:t>。</w:t>
      </w:r>
    </w:p>
    <w:p>
      <w:pPr>
        <w:pStyle w:val="6"/>
      </w:pPr>
      <w:r>
        <w:t>表</w:t>
      </w:r>
      <w:r>
        <w:rPr>
          <w:rFonts w:hint="eastAsia"/>
        </w:rPr>
        <w:t xml:space="preserve">4.2.5-5   </w:t>
      </w:r>
      <w:r>
        <w:t>评价区植被覆盖度一览表</w:t>
      </w:r>
    </w:p>
    <w:p>
      <w:pPr>
        <w:spacing w:line="69" w:lineRule="exact"/>
        <w:ind w:firstLine="480"/>
      </w:pPr>
    </w:p>
    <w:tbl>
      <w:tblPr>
        <w:tblStyle w:val="25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33"/>
        <w:gridCol w:w="2598"/>
        <w:gridCol w:w="3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2233" w:type="dxa"/>
            <w:vAlign w:val="center"/>
          </w:tcPr>
          <w:p>
            <w:pPr>
              <w:spacing w:line="240" w:lineRule="auto"/>
              <w:ind w:firstLine="0" w:firstLineChars="0"/>
              <w:jc w:val="center"/>
              <w:rPr>
                <w:rFonts w:cs="宋体"/>
                <w:sz w:val="21"/>
                <w:szCs w:val="21"/>
              </w:rPr>
            </w:pPr>
            <w:r>
              <w:rPr>
                <w:rFonts w:cs="宋体"/>
                <w:spacing w:val="7"/>
                <w:sz w:val="21"/>
                <w:szCs w:val="21"/>
              </w:rPr>
              <w:t>植被覆盖度</w:t>
            </w:r>
          </w:p>
        </w:tc>
        <w:tc>
          <w:tcPr>
            <w:tcW w:w="2598" w:type="dxa"/>
            <w:vAlign w:val="center"/>
          </w:tcPr>
          <w:p>
            <w:pPr>
              <w:pStyle w:val="249"/>
              <w:spacing w:line="240" w:lineRule="auto"/>
              <w:ind w:firstLine="0" w:firstLineChars="0"/>
              <w:jc w:val="center"/>
              <w:rPr>
                <w:rFonts w:eastAsia="宋体" w:cs="宋体"/>
                <w:sz w:val="21"/>
                <w:szCs w:val="21"/>
              </w:rPr>
            </w:pPr>
            <w:r>
              <w:rPr>
                <w:rFonts w:eastAsia="宋体" w:cs="宋体"/>
                <w:spacing w:val="7"/>
                <w:sz w:val="21"/>
                <w:szCs w:val="21"/>
              </w:rPr>
              <w:t>面积（</w:t>
            </w:r>
            <w:r>
              <w:rPr>
                <w:rFonts w:eastAsia="宋体"/>
                <w:sz w:val="21"/>
                <w:szCs w:val="21"/>
              </w:rPr>
              <w:t>hm</w:t>
            </w:r>
            <w:r>
              <w:rPr>
                <w:rFonts w:hint="eastAsia" w:eastAsia="宋体"/>
                <w:spacing w:val="7"/>
                <w:position w:val="6"/>
                <w:sz w:val="21"/>
                <w:szCs w:val="21"/>
                <w:vertAlign w:val="superscript"/>
                <w:lang w:eastAsia="zh-CN"/>
              </w:rPr>
              <w:t>2</w:t>
            </w:r>
            <w:r>
              <w:rPr>
                <w:rFonts w:eastAsia="宋体" w:cs="宋体"/>
                <w:spacing w:val="7"/>
                <w:sz w:val="21"/>
                <w:szCs w:val="21"/>
              </w:rPr>
              <w:t>）</w:t>
            </w:r>
          </w:p>
        </w:tc>
        <w:tc>
          <w:tcPr>
            <w:tcW w:w="3691" w:type="dxa"/>
            <w:vAlign w:val="center"/>
          </w:tcPr>
          <w:p>
            <w:pPr>
              <w:pStyle w:val="249"/>
              <w:spacing w:line="240" w:lineRule="auto"/>
              <w:ind w:firstLine="0" w:firstLineChars="0"/>
              <w:jc w:val="center"/>
              <w:rPr>
                <w:rFonts w:eastAsia="宋体" w:cs="宋体"/>
                <w:sz w:val="21"/>
                <w:szCs w:val="21"/>
              </w:rPr>
            </w:pPr>
            <w:r>
              <w:rPr>
                <w:rFonts w:eastAsia="宋体" w:cs="宋体"/>
                <w:spacing w:val="3"/>
                <w:sz w:val="21"/>
                <w:szCs w:val="21"/>
              </w:rPr>
              <w:t>占总面积比例（</w:t>
            </w:r>
            <w:r>
              <w:rPr>
                <w:rFonts w:eastAsia="宋体"/>
                <w:spacing w:val="3"/>
                <w:sz w:val="21"/>
                <w:szCs w:val="21"/>
              </w:rPr>
              <w:t>%</w:t>
            </w:r>
            <w:r>
              <w:rPr>
                <w:rFonts w:eastAsia="宋体" w:cs="宋体"/>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0-20%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22.99</w:t>
            </w:r>
          </w:p>
        </w:tc>
        <w:tc>
          <w:tcPr>
            <w:tcW w:w="3691" w:type="dxa"/>
            <w:vAlign w:val="center"/>
          </w:tcPr>
          <w:p>
            <w:pPr>
              <w:pStyle w:val="249"/>
              <w:spacing w:line="240" w:lineRule="auto"/>
              <w:ind w:firstLine="0" w:firstLineChars="0"/>
              <w:jc w:val="center"/>
              <w:rPr>
                <w:rFonts w:eastAsia="宋体"/>
                <w:sz w:val="21"/>
                <w:szCs w:val="21"/>
              </w:rPr>
            </w:pPr>
            <w:r>
              <w:rPr>
                <w:rFonts w:eastAsia="宋体"/>
                <w:spacing w:val="2"/>
                <w:sz w:val="21"/>
                <w:szCs w:val="21"/>
              </w:rPr>
              <w:t>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20-30%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203.76</w:t>
            </w:r>
          </w:p>
        </w:tc>
        <w:tc>
          <w:tcPr>
            <w:tcW w:w="3691"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25.87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30-40%</w:t>
            </w:r>
          </w:p>
        </w:tc>
        <w:tc>
          <w:tcPr>
            <w:tcW w:w="2598" w:type="dxa"/>
            <w:vAlign w:val="center"/>
          </w:tcPr>
          <w:p>
            <w:pPr>
              <w:pStyle w:val="249"/>
              <w:spacing w:line="240" w:lineRule="auto"/>
              <w:ind w:firstLine="0" w:firstLineChars="0"/>
              <w:jc w:val="center"/>
              <w:rPr>
                <w:rFonts w:eastAsia="宋体"/>
                <w:sz w:val="21"/>
                <w:szCs w:val="21"/>
              </w:rPr>
            </w:pPr>
            <w:r>
              <w:rPr>
                <w:rFonts w:eastAsia="宋体"/>
                <w:sz w:val="21"/>
                <w:szCs w:val="21"/>
              </w:rPr>
              <w:t>145.97</w:t>
            </w:r>
          </w:p>
        </w:tc>
        <w:tc>
          <w:tcPr>
            <w:tcW w:w="3691" w:type="dxa"/>
            <w:vAlign w:val="center"/>
          </w:tcPr>
          <w:p>
            <w:pPr>
              <w:pStyle w:val="249"/>
              <w:spacing w:line="240" w:lineRule="auto"/>
              <w:ind w:firstLine="0" w:firstLineChars="0"/>
              <w:jc w:val="center"/>
              <w:rPr>
                <w:rFonts w:eastAsia="宋体"/>
                <w:sz w:val="21"/>
                <w:szCs w:val="21"/>
              </w:rPr>
            </w:pPr>
            <w:r>
              <w:rPr>
                <w:rFonts w:eastAsia="宋体"/>
                <w:spacing w:val="-1"/>
                <w:sz w:val="21"/>
                <w:szCs w:val="21"/>
              </w:rPr>
              <w:t>18.53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40-50%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95.66</w:t>
            </w:r>
          </w:p>
        </w:tc>
        <w:tc>
          <w:tcPr>
            <w:tcW w:w="3691" w:type="dxa"/>
            <w:vAlign w:val="center"/>
          </w:tcPr>
          <w:p>
            <w:pPr>
              <w:pStyle w:val="249"/>
              <w:spacing w:line="240" w:lineRule="auto"/>
              <w:ind w:firstLine="0" w:firstLineChars="0"/>
              <w:jc w:val="center"/>
              <w:rPr>
                <w:rFonts w:eastAsia="宋体"/>
                <w:sz w:val="21"/>
                <w:szCs w:val="21"/>
              </w:rPr>
            </w:pPr>
            <w:r>
              <w:rPr>
                <w:rFonts w:eastAsia="宋体"/>
                <w:spacing w:val="-6"/>
                <w:sz w:val="21"/>
                <w:szCs w:val="21"/>
              </w:rPr>
              <w:t>12.</w:t>
            </w:r>
            <w:r>
              <w:rPr>
                <w:rFonts w:eastAsia="宋体"/>
                <w:spacing w:val="-22"/>
                <w:sz w:val="21"/>
                <w:szCs w:val="21"/>
              </w:rPr>
              <w:t xml:space="preserve"> </w:t>
            </w:r>
            <w:r>
              <w:rPr>
                <w:rFonts w:eastAsia="宋体"/>
                <w:spacing w:val="-6"/>
                <w:sz w:val="21"/>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&gt;50%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319.35</w:t>
            </w:r>
          </w:p>
        </w:tc>
        <w:tc>
          <w:tcPr>
            <w:tcW w:w="3691"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40.54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233" w:type="dxa"/>
            <w:vAlign w:val="center"/>
          </w:tcPr>
          <w:p>
            <w:pPr>
              <w:spacing w:line="240" w:lineRule="auto"/>
              <w:ind w:firstLine="0" w:firstLineChars="0"/>
              <w:jc w:val="center"/>
              <w:rPr>
                <w:rFonts w:cs="宋体"/>
                <w:sz w:val="21"/>
                <w:szCs w:val="21"/>
              </w:rPr>
            </w:pPr>
            <w:r>
              <w:rPr>
                <w:rFonts w:cs="宋体"/>
                <w:spacing w:val="2"/>
                <w:sz w:val="21"/>
                <w:szCs w:val="21"/>
              </w:rPr>
              <w:t>总计</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787.74</w:t>
            </w:r>
          </w:p>
        </w:tc>
        <w:tc>
          <w:tcPr>
            <w:tcW w:w="3691" w:type="dxa"/>
            <w:vAlign w:val="center"/>
          </w:tcPr>
          <w:p>
            <w:pPr>
              <w:pStyle w:val="249"/>
              <w:spacing w:line="240" w:lineRule="auto"/>
              <w:ind w:firstLine="0" w:firstLineChars="0"/>
              <w:jc w:val="center"/>
              <w:rPr>
                <w:rFonts w:eastAsia="宋体"/>
                <w:sz w:val="21"/>
                <w:szCs w:val="21"/>
              </w:rPr>
            </w:pPr>
            <w:r>
              <w:rPr>
                <w:rFonts w:eastAsia="宋体"/>
                <w:sz w:val="21"/>
                <w:szCs w:val="21"/>
              </w:rPr>
              <w:t>100.00</w:t>
            </w:r>
          </w:p>
        </w:tc>
      </w:tr>
    </w:tbl>
    <w:p>
      <w:pPr>
        <w:pStyle w:val="6"/>
      </w:pPr>
      <w:r>
        <w:t xml:space="preserve">表 </w:t>
      </w:r>
      <w:r>
        <w:rPr>
          <w:rFonts w:hint="eastAsia"/>
        </w:rPr>
        <w:t xml:space="preserve">4.2.5-6   </w:t>
      </w:r>
      <w:r>
        <w:t>项目区植被覆盖度一览表</w:t>
      </w:r>
    </w:p>
    <w:p>
      <w:pPr>
        <w:spacing w:line="69" w:lineRule="exact"/>
        <w:ind w:firstLine="480"/>
      </w:pPr>
    </w:p>
    <w:tbl>
      <w:tblPr>
        <w:tblStyle w:val="25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33"/>
        <w:gridCol w:w="2598"/>
        <w:gridCol w:w="3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2233" w:type="dxa"/>
            <w:vAlign w:val="center"/>
          </w:tcPr>
          <w:p>
            <w:pPr>
              <w:spacing w:line="240" w:lineRule="auto"/>
              <w:ind w:firstLine="0" w:firstLineChars="0"/>
              <w:jc w:val="center"/>
              <w:rPr>
                <w:rFonts w:cs="宋体"/>
                <w:sz w:val="21"/>
                <w:szCs w:val="21"/>
              </w:rPr>
            </w:pPr>
            <w:r>
              <w:rPr>
                <w:rFonts w:cs="宋体"/>
                <w:spacing w:val="7"/>
                <w:sz w:val="21"/>
                <w:szCs w:val="21"/>
              </w:rPr>
              <w:t>植被覆盖度</w:t>
            </w:r>
          </w:p>
        </w:tc>
        <w:tc>
          <w:tcPr>
            <w:tcW w:w="2598" w:type="dxa"/>
            <w:vAlign w:val="center"/>
          </w:tcPr>
          <w:p>
            <w:pPr>
              <w:pStyle w:val="249"/>
              <w:spacing w:line="240" w:lineRule="auto"/>
              <w:ind w:firstLine="0" w:firstLineChars="0"/>
              <w:jc w:val="center"/>
              <w:rPr>
                <w:rFonts w:eastAsia="宋体" w:cs="宋体"/>
                <w:sz w:val="21"/>
                <w:szCs w:val="21"/>
              </w:rPr>
            </w:pPr>
            <w:r>
              <w:rPr>
                <w:rFonts w:eastAsia="宋体" w:cs="宋体"/>
                <w:spacing w:val="7"/>
                <w:sz w:val="21"/>
                <w:szCs w:val="21"/>
              </w:rPr>
              <w:t>面积</w:t>
            </w:r>
            <w:r>
              <w:rPr>
                <w:rFonts w:hint="eastAsia" w:eastAsia="宋体" w:cs="宋体"/>
                <w:spacing w:val="7"/>
                <w:sz w:val="21"/>
                <w:szCs w:val="21"/>
                <w:lang w:eastAsia="zh-CN"/>
              </w:rPr>
              <w:t>（hm</w:t>
            </w:r>
            <w:r>
              <w:rPr>
                <w:rFonts w:hint="eastAsia" w:eastAsia="宋体" w:cs="宋体"/>
                <w:spacing w:val="7"/>
                <w:sz w:val="21"/>
                <w:szCs w:val="21"/>
                <w:vertAlign w:val="superscript"/>
                <w:lang w:eastAsia="zh-CN"/>
              </w:rPr>
              <w:t>2</w:t>
            </w:r>
            <w:r>
              <w:rPr>
                <w:rFonts w:hint="eastAsia" w:eastAsia="宋体" w:cs="宋体"/>
                <w:spacing w:val="7"/>
                <w:sz w:val="21"/>
                <w:szCs w:val="21"/>
                <w:lang w:eastAsia="zh-CN"/>
              </w:rPr>
              <w:t>）</w:t>
            </w:r>
          </w:p>
        </w:tc>
        <w:tc>
          <w:tcPr>
            <w:tcW w:w="3691" w:type="dxa"/>
            <w:vAlign w:val="center"/>
          </w:tcPr>
          <w:p>
            <w:pPr>
              <w:pStyle w:val="249"/>
              <w:spacing w:line="240" w:lineRule="auto"/>
              <w:ind w:firstLine="0" w:firstLineChars="0"/>
              <w:jc w:val="center"/>
              <w:rPr>
                <w:rFonts w:eastAsia="宋体" w:cs="宋体"/>
                <w:sz w:val="21"/>
                <w:szCs w:val="21"/>
              </w:rPr>
            </w:pPr>
            <w:r>
              <w:rPr>
                <w:rFonts w:eastAsia="宋体" w:cs="宋体"/>
                <w:spacing w:val="3"/>
                <w:sz w:val="21"/>
                <w:szCs w:val="21"/>
              </w:rPr>
              <w:t>占总面积比例（</w:t>
            </w:r>
            <w:r>
              <w:rPr>
                <w:rFonts w:eastAsia="宋体"/>
                <w:spacing w:val="3"/>
                <w:sz w:val="21"/>
                <w:szCs w:val="21"/>
              </w:rPr>
              <w:t>%</w:t>
            </w:r>
            <w:r>
              <w:rPr>
                <w:rFonts w:eastAsia="宋体" w:cs="宋体"/>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0-20%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2"/>
                <w:sz w:val="21"/>
                <w:szCs w:val="21"/>
              </w:rPr>
              <w:t>5.28</w:t>
            </w:r>
          </w:p>
        </w:tc>
        <w:tc>
          <w:tcPr>
            <w:tcW w:w="3691" w:type="dxa"/>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4.51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20-30%</w:t>
            </w:r>
          </w:p>
        </w:tc>
        <w:tc>
          <w:tcPr>
            <w:tcW w:w="2598" w:type="dxa"/>
            <w:vAlign w:val="center"/>
          </w:tcPr>
          <w:p>
            <w:pPr>
              <w:pStyle w:val="249"/>
              <w:spacing w:line="240" w:lineRule="auto"/>
              <w:ind w:firstLine="0" w:firstLineChars="0"/>
              <w:jc w:val="center"/>
              <w:rPr>
                <w:rFonts w:eastAsia="宋体"/>
                <w:sz w:val="21"/>
                <w:szCs w:val="21"/>
                <w:lang w:eastAsia="zh-CN"/>
              </w:rPr>
            </w:pPr>
            <w:r>
              <w:rPr>
                <w:rFonts w:hint="eastAsia" w:eastAsia="宋体"/>
                <w:spacing w:val="3"/>
                <w:sz w:val="21"/>
                <w:szCs w:val="21"/>
                <w:lang w:eastAsia="zh-CN"/>
              </w:rPr>
              <w:t>97.22</w:t>
            </w:r>
          </w:p>
        </w:tc>
        <w:tc>
          <w:tcPr>
            <w:tcW w:w="3691" w:type="dxa"/>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83.16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30-40%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2"/>
                <w:sz w:val="21"/>
                <w:szCs w:val="21"/>
              </w:rPr>
              <w:t>7.43</w:t>
            </w:r>
          </w:p>
        </w:tc>
        <w:tc>
          <w:tcPr>
            <w:tcW w:w="3691" w:type="dxa"/>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40-50%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2.33</w:t>
            </w:r>
          </w:p>
        </w:tc>
        <w:tc>
          <w:tcPr>
            <w:tcW w:w="3691" w:type="dxa"/>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2233" w:type="dxa"/>
            <w:vAlign w:val="center"/>
          </w:tcPr>
          <w:p>
            <w:pPr>
              <w:pStyle w:val="249"/>
              <w:spacing w:line="240" w:lineRule="auto"/>
              <w:ind w:firstLine="0" w:firstLineChars="0"/>
              <w:jc w:val="center"/>
              <w:rPr>
                <w:rFonts w:eastAsia="宋体"/>
                <w:sz w:val="21"/>
                <w:szCs w:val="21"/>
              </w:rPr>
            </w:pPr>
            <w:r>
              <w:rPr>
                <w:rFonts w:eastAsia="宋体"/>
                <w:spacing w:val="4"/>
                <w:sz w:val="21"/>
                <w:szCs w:val="21"/>
              </w:rPr>
              <w:t>&gt;50%</w:t>
            </w:r>
          </w:p>
        </w:tc>
        <w:tc>
          <w:tcPr>
            <w:tcW w:w="2598" w:type="dxa"/>
            <w:vAlign w:val="center"/>
          </w:tcPr>
          <w:p>
            <w:pPr>
              <w:pStyle w:val="249"/>
              <w:spacing w:line="240" w:lineRule="auto"/>
              <w:ind w:firstLine="0" w:firstLineChars="0"/>
              <w:jc w:val="center"/>
              <w:rPr>
                <w:rFonts w:eastAsia="宋体"/>
                <w:sz w:val="21"/>
                <w:szCs w:val="21"/>
              </w:rPr>
            </w:pPr>
            <w:r>
              <w:rPr>
                <w:rFonts w:eastAsia="宋体"/>
                <w:spacing w:val="3"/>
                <w:sz w:val="21"/>
                <w:szCs w:val="21"/>
              </w:rPr>
              <w:t>4.65</w:t>
            </w:r>
          </w:p>
        </w:tc>
        <w:tc>
          <w:tcPr>
            <w:tcW w:w="3691" w:type="dxa"/>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233" w:type="dxa"/>
            <w:vAlign w:val="center"/>
          </w:tcPr>
          <w:p>
            <w:pPr>
              <w:spacing w:line="240" w:lineRule="auto"/>
              <w:ind w:firstLine="0" w:firstLineChars="0"/>
              <w:jc w:val="center"/>
              <w:rPr>
                <w:rFonts w:cs="宋体"/>
                <w:sz w:val="21"/>
                <w:szCs w:val="21"/>
              </w:rPr>
            </w:pPr>
            <w:r>
              <w:rPr>
                <w:rFonts w:cs="宋体"/>
                <w:spacing w:val="2"/>
                <w:sz w:val="21"/>
                <w:szCs w:val="21"/>
              </w:rPr>
              <w:t>总计</w:t>
            </w:r>
          </w:p>
        </w:tc>
        <w:tc>
          <w:tcPr>
            <w:tcW w:w="2598" w:type="dxa"/>
            <w:vAlign w:val="center"/>
          </w:tcPr>
          <w:p>
            <w:pPr>
              <w:pStyle w:val="249"/>
              <w:spacing w:line="240" w:lineRule="auto"/>
              <w:ind w:firstLine="0" w:firstLineChars="0"/>
              <w:jc w:val="center"/>
              <w:rPr>
                <w:rFonts w:eastAsia="宋体"/>
                <w:sz w:val="21"/>
                <w:szCs w:val="21"/>
              </w:rPr>
            </w:pPr>
            <w:r>
              <w:rPr>
                <w:rFonts w:hint="eastAsia" w:eastAsia="宋体"/>
                <w:sz w:val="21"/>
                <w:szCs w:val="21"/>
              </w:rPr>
              <w:t>116.91</w:t>
            </w:r>
          </w:p>
        </w:tc>
        <w:tc>
          <w:tcPr>
            <w:tcW w:w="3691" w:type="dxa"/>
            <w:vAlign w:val="center"/>
          </w:tcPr>
          <w:p>
            <w:pPr>
              <w:pStyle w:val="249"/>
              <w:spacing w:line="240" w:lineRule="auto"/>
              <w:ind w:firstLine="0" w:firstLineChars="0"/>
              <w:jc w:val="center"/>
              <w:rPr>
                <w:rFonts w:eastAsia="宋体"/>
                <w:sz w:val="21"/>
                <w:szCs w:val="21"/>
              </w:rPr>
            </w:pPr>
            <w:r>
              <w:rPr>
                <w:rFonts w:eastAsia="宋体"/>
                <w:sz w:val="21"/>
                <w:szCs w:val="21"/>
              </w:rPr>
              <w:t>100.00</w:t>
            </w:r>
          </w:p>
        </w:tc>
      </w:tr>
    </w:tbl>
    <w:p>
      <w:pPr>
        <w:pStyle w:val="16"/>
      </w:pPr>
    </w:p>
    <w:p>
      <w:pPr>
        <w:spacing w:line="240" w:lineRule="auto"/>
        <w:ind w:firstLine="0" w:firstLineChars="0"/>
        <w:jc w:val="center"/>
      </w:pPr>
      <w:r>
        <w:rPr>
          <w:rFonts w:hint="eastAsia"/>
        </w:rPr>
        <w:drawing>
          <wp:anchor distT="0" distB="0" distL="114300" distR="114300" simplePos="0" relativeHeight="251686912" behindDoc="0" locked="0" layoutInCell="1" allowOverlap="1">
            <wp:simplePos x="0" y="0"/>
            <wp:positionH relativeFrom="column">
              <wp:posOffset>2396490</wp:posOffset>
            </wp:positionH>
            <wp:positionV relativeFrom="paragraph">
              <wp:posOffset>2785745</wp:posOffset>
            </wp:positionV>
            <wp:extent cx="488315" cy="431800"/>
            <wp:effectExtent l="0" t="0" r="6350" b="6350"/>
            <wp:wrapNone/>
            <wp:docPr id="74" name="图片 74" descr="4183a4b8802d5830eaa3a4b2b394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4183a4b8802d5830eaa3a4b2b394e92"/>
                    <pic:cNvPicPr>
                      <a:picLocks noChangeAspect="1"/>
                    </pic:cNvPicPr>
                  </pic:nvPicPr>
                  <pic:blipFill>
                    <a:blip r:embed="rId54"/>
                    <a:stretch>
                      <a:fillRect/>
                    </a:stretch>
                  </pic:blipFill>
                  <pic:spPr>
                    <a:xfrm>
                      <a:off x="0" y="0"/>
                      <a:ext cx="488315" cy="431800"/>
                    </a:xfrm>
                    <a:prstGeom prst="rect">
                      <a:avLst/>
                    </a:prstGeom>
                  </pic:spPr>
                </pic:pic>
              </a:graphicData>
            </a:graphic>
          </wp:anchor>
        </w:drawing>
      </w:r>
      <w:r>
        <w:rPr>
          <w:position w:val="-128"/>
        </w:rPr>
        <w:drawing>
          <wp:inline distT="0" distB="0" distL="0" distR="0">
            <wp:extent cx="5269865" cy="4073525"/>
            <wp:effectExtent l="0" t="0" r="6985" b="3175"/>
            <wp:docPr id="53" name="IM 32"/>
            <wp:cNvGraphicFramePr/>
            <a:graphic xmlns:a="http://schemas.openxmlformats.org/drawingml/2006/main">
              <a:graphicData uri="http://schemas.openxmlformats.org/drawingml/2006/picture">
                <pic:pic xmlns:pic="http://schemas.openxmlformats.org/drawingml/2006/picture">
                  <pic:nvPicPr>
                    <pic:cNvPr id="53" name="IM 32"/>
                    <pic:cNvPicPr/>
                  </pic:nvPicPr>
                  <pic:blipFill>
                    <a:blip r:embed="rId58"/>
                    <a:stretch>
                      <a:fillRect/>
                    </a:stretch>
                  </pic:blipFill>
                  <pic:spPr>
                    <a:xfrm>
                      <a:off x="0" y="0"/>
                      <a:ext cx="5269991" cy="4073652"/>
                    </a:xfrm>
                    <a:prstGeom prst="rect">
                      <a:avLst/>
                    </a:prstGeom>
                  </pic:spPr>
                </pic:pic>
              </a:graphicData>
            </a:graphic>
          </wp:inline>
        </w:drawing>
      </w:r>
    </w:p>
    <w:p>
      <w:pPr>
        <w:pStyle w:val="6"/>
      </w:pPr>
      <w:r>
        <w:rPr>
          <w:rFonts w:hint="eastAsia"/>
        </w:rPr>
        <w:t>图4.2.5-4  项目区植被覆盖度图</w:t>
      </w:r>
    </w:p>
    <w:p>
      <w:pPr>
        <w:ind w:firstLine="480"/>
      </w:pPr>
      <w:r>
        <w:t>（3）土壤侵蚀</w:t>
      </w:r>
    </w:p>
    <w:p>
      <w:pPr>
        <w:ind w:firstLine="480"/>
      </w:pPr>
      <w:r>
        <w:t>评价区域内的土壤侵蚀强度可划分为风力侵蚀、水力侵蚀及其他。根据生态 解译结果，评价区域内所占比例最高的为中度水侵，面积为661.46 hm</w:t>
      </w:r>
      <w:r>
        <w:rPr>
          <w:vertAlign w:val="superscript"/>
        </w:rPr>
        <w:t>2</w:t>
      </w:r>
      <w:r>
        <w:t>，占比为83.97 %</w:t>
      </w:r>
      <w:r>
        <w:rPr>
          <w:rFonts w:hint="eastAsia"/>
        </w:rPr>
        <w:t>。</w:t>
      </w:r>
      <w:r>
        <w:t>项目区占地面积约</w:t>
      </w:r>
      <w:r>
        <w:rPr>
          <w:rFonts w:hint="eastAsia"/>
        </w:rPr>
        <w:t>116.91</w:t>
      </w:r>
      <w:r>
        <w:t>hm</w:t>
      </w:r>
      <w:r>
        <w:rPr>
          <w:vertAlign w:val="superscript"/>
        </w:rPr>
        <w:t>2</w:t>
      </w:r>
      <w:r>
        <w:t>，项目区主要以中度水侵为主，面积为 82.01hm</w:t>
      </w:r>
      <w:r>
        <w:rPr>
          <w:vertAlign w:val="superscript"/>
        </w:rPr>
        <w:t>2</w:t>
      </w:r>
      <w:r>
        <w:t>，占比为</w:t>
      </w:r>
      <w:r>
        <w:rPr>
          <w:rFonts w:hint="eastAsia"/>
        </w:rPr>
        <w:t>70.15</w:t>
      </w:r>
      <w:r>
        <w:t>%</w:t>
      </w:r>
      <w:r>
        <w:rPr>
          <w:rFonts w:hint="eastAsia"/>
        </w:rPr>
        <w:t>，</w:t>
      </w:r>
      <w:r>
        <w:t>评价区土壤侵蚀现状见表</w:t>
      </w:r>
      <w:r>
        <w:rPr>
          <w:rFonts w:hint="eastAsia"/>
        </w:rPr>
        <w:t>4.2.5-7</w:t>
      </w:r>
      <w:r>
        <w:t>及图</w:t>
      </w:r>
      <w:r>
        <w:rPr>
          <w:rFonts w:hint="eastAsia"/>
        </w:rPr>
        <w:t>4.2.5-5，项目区</w:t>
      </w:r>
      <w:r>
        <w:t>土壤侵蚀现状见表</w:t>
      </w:r>
      <w:r>
        <w:rPr>
          <w:rFonts w:hint="eastAsia"/>
        </w:rPr>
        <w:t>4.2.5-8</w:t>
      </w:r>
      <w:r>
        <w:t>。</w:t>
      </w:r>
    </w:p>
    <w:p>
      <w:pPr>
        <w:pStyle w:val="6"/>
      </w:pPr>
      <w:r>
        <w:t>表</w:t>
      </w:r>
      <w:r>
        <w:rPr>
          <w:rFonts w:hint="eastAsia"/>
        </w:rPr>
        <w:t xml:space="preserve">4.2.5-7  </w:t>
      </w:r>
      <w:r>
        <w:t>评价区植被覆盖度一览表</w:t>
      </w:r>
    </w:p>
    <w:p>
      <w:pPr>
        <w:spacing w:line="69" w:lineRule="exact"/>
        <w:ind w:firstLine="480"/>
      </w:pPr>
    </w:p>
    <w:tbl>
      <w:tblPr>
        <w:tblStyle w:val="25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3"/>
        <w:gridCol w:w="1229"/>
        <w:gridCol w:w="1788"/>
        <w:gridCol w:w="1759"/>
        <w:gridCol w:w="2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1243" w:type="dxa"/>
            <w:vAlign w:val="center"/>
          </w:tcPr>
          <w:p>
            <w:pPr>
              <w:spacing w:line="240" w:lineRule="auto"/>
              <w:ind w:firstLine="0" w:firstLineChars="0"/>
              <w:jc w:val="center"/>
              <w:rPr>
                <w:rFonts w:cs="宋体"/>
                <w:sz w:val="21"/>
                <w:szCs w:val="20"/>
              </w:rPr>
            </w:pPr>
            <w:r>
              <w:rPr>
                <w:rFonts w:cs="宋体"/>
                <w:spacing w:val="4"/>
                <w:sz w:val="21"/>
                <w:szCs w:val="20"/>
              </w:rPr>
              <w:t>一级</w:t>
            </w:r>
          </w:p>
        </w:tc>
        <w:tc>
          <w:tcPr>
            <w:tcW w:w="1229" w:type="dxa"/>
            <w:vAlign w:val="center"/>
          </w:tcPr>
          <w:p>
            <w:pPr>
              <w:spacing w:line="240" w:lineRule="auto"/>
              <w:ind w:firstLine="0" w:firstLineChars="0"/>
              <w:jc w:val="center"/>
              <w:rPr>
                <w:rFonts w:cs="宋体"/>
                <w:sz w:val="21"/>
                <w:szCs w:val="20"/>
              </w:rPr>
            </w:pPr>
            <w:r>
              <w:rPr>
                <w:rFonts w:cs="宋体"/>
                <w:spacing w:val="3"/>
                <w:sz w:val="21"/>
                <w:szCs w:val="20"/>
              </w:rPr>
              <w:t>二级</w:t>
            </w:r>
          </w:p>
        </w:tc>
        <w:tc>
          <w:tcPr>
            <w:tcW w:w="1788" w:type="dxa"/>
            <w:vAlign w:val="center"/>
          </w:tcPr>
          <w:p>
            <w:pPr>
              <w:spacing w:line="240" w:lineRule="auto"/>
              <w:ind w:firstLine="0" w:firstLineChars="0"/>
              <w:jc w:val="center"/>
              <w:rPr>
                <w:rFonts w:cs="宋体"/>
                <w:sz w:val="21"/>
                <w:szCs w:val="20"/>
              </w:rPr>
            </w:pPr>
            <w:r>
              <w:rPr>
                <w:rFonts w:cs="宋体"/>
                <w:spacing w:val="6"/>
                <w:sz w:val="21"/>
                <w:szCs w:val="20"/>
              </w:rPr>
              <w:t>斑块数（个）</w:t>
            </w:r>
          </w:p>
        </w:tc>
        <w:tc>
          <w:tcPr>
            <w:tcW w:w="1759" w:type="dxa"/>
            <w:vAlign w:val="center"/>
          </w:tcPr>
          <w:p>
            <w:pPr>
              <w:pStyle w:val="249"/>
              <w:spacing w:line="240" w:lineRule="auto"/>
              <w:ind w:firstLine="0" w:firstLineChars="0"/>
              <w:jc w:val="center"/>
              <w:rPr>
                <w:rFonts w:eastAsia="宋体" w:cs="宋体"/>
                <w:sz w:val="21"/>
                <w:szCs w:val="20"/>
              </w:rPr>
            </w:pPr>
            <w:r>
              <w:rPr>
                <w:rFonts w:eastAsia="宋体" w:cs="宋体"/>
                <w:spacing w:val="7"/>
                <w:sz w:val="21"/>
                <w:szCs w:val="20"/>
              </w:rPr>
              <w:t>面积</w:t>
            </w:r>
            <w:r>
              <w:rPr>
                <w:rFonts w:hint="eastAsia" w:eastAsia="宋体" w:cs="宋体"/>
                <w:spacing w:val="7"/>
                <w:sz w:val="21"/>
                <w:szCs w:val="20"/>
                <w:lang w:eastAsia="zh-CN"/>
              </w:rPr>
              <w:t>（hm</w:t>
            </w:r>
            <w:r>
              <w:rPr>
                <w:rFonts w:hint="eastAsia" w:eastAsia="宋体" w:cs="宋体"/>
                <w:spacing w:val="7"/>
                <w:sz w:val="21"/>
                <w:szCs w:val="20"/>
                <w:vertAlign w:val="superscript"/>
                <w:lang w:eastAsia="zh-CN"/>
              </w:rPr>
              <w:t>2</w:t>
            </w:r>
            <w:r>
              <w:rPr>
                <w:rFonts w:hint="eastAsia" w:eastAsia="宋体" w:cs="宋体"/>
                <w:spacing w:val="7"/>
                <w:sz w:val="21"/>
                <w:szCs w:val="20"/>
                <w:lang w:eastAsia="zh-CN"/>
              </w:rPr>
              <w:t>）</w:t>
            </w:r>
          </w:p>
        </w:tc>
        <w:tc>
          <w:tcPr>
            <w:tcW w:w="2503" w:type="dxa"/>
            <w:vAlign w:val="center"/>
          </w:tcPr>
          <w:p>
            <w:pPr>
              <w:pStyle w:val="249"/>
              <w:spacing w:line="240" w:lineRule="auto"/>
              <w:ind w:firstLine="0" w:firstLineChars="0"/>
              <w:jc w:val="center"/>
              <w:rPr>
                <w:rFonts w:eastAsia="宋体" w:cs="宋体"/>
                <w:sz w:val="21"/>
                <w:szCs w:val="20"/>
              </w:rPr>
            </w:pPr>
            <w:r>
              <w:rPr>
                <w:rFonts w:eastAsia="宋体" w:cs="宋体"/>
                <w:spacing w:val="3"/>
                <w:sz w:val="21"/>
                <w:szCs w:val="20"/>
              </w:rPr>
              <w:t>占总面积比例（</w:t>
            </w:r>
            <w:r>
              <w:rPr>
                <w:rFonts w:eastAsia="宋体"/>
                <w:spacing w:val="3"/>
                <w:sz w:val="21"/>
                <w:szCs w:val="20"/>
              </w:rPr>
              <w:t>%</w:t>
            </w:r>
            <w:r>
              <w:rPr>
                <w:rFonts w:eastAsia="宋体" w:cs="宋体"/>
                <w:spacing w:val="3"/>
                <w:sz w:val="21"/>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243" w:type="dxa"/>
            <w:vMerge w:val="restart"/>
            <w:vAlign w:val="center"/>
          </w:tcPr>
          <w:p>
            <w:pPr>
              <w:spacing w:line="240" w:lineRule="auto"/>
              <w:ind w:firstLine="0" w:firstLineChars="0"/>
              <w:jc w:val="center"/>
              <w:rPr>
                <w:rFonts w:cs="宋体"/>
                <w:sz w:val="21"/>
                <w:szCs w:val="20"/>
              </w:rPr>
            </w:pPr>
            <w:r>
              <w:rPr>
                <w:rFonts w:cs="宋体"/>
                <w:spacing w:val="7"/>
                <w:sz w:val="21"/>
                <w:szCs w:val="20"/>
              </w:rPr>
              <w:t>风力侵蚀</w:t>
            </w:r>
          </w:p>
        </w:tc>
        <w:tc>
          <w:tcPr>
            <w:tcW w:w="1229" w:type="dxa"/>
            <w:vAlign w:val="center"/>
          </w:tcPr>
          <w:p>
            <w:pPr>
              <w:spacing w:line="240" w:lineRule="auto"/>
              <w:ind w:firstLine="0" w:firstLineChars="0"/>
              <w:jc w:val="center"/>
              <w:rPr>
                <w:rFonts w:cs="宋体"/>
                <w:sz w:val="21"/>
                <w:szCs w:val="20"/>
              </w:rPr>
            </w:pPr>
            <w:r>
              <w:rPr>
                <w:rFonts w:cs="宋体"/>
                <w:spacing w:val="7"/>
                <w:sz w:val="21"/>
                <w:szCs w:val="20"/>
              </w:rPr>
              <w:t>微度风侵</w:t>
            </w:r>
          </w:p>
        </w:tc>
        <w:tc>
          <w:tcPr>
            <w:tcW w:w="1788" w:type="dxa"/>
            <w:vAlign w:val="center"/>
          </w:tcPr>
          <w:p>
            <w:pPr>
              <w:pStyle w:val="249"/>
              <w:spacing w:line="240" w:lineRule="auto"/>
              <w:ind w:firstLine="0" w:firstLineChars="0"/>
              <w:jc w:val="center"/>
              <w:rPr>
                <w:rFonts w:eastAsia="宋体"/>
                <w:sz w:val="21"/>
                <w:szCs w:val="20"/>
              </w:rPr>
            </w:pPr>
            <w:r>
              <w:rPr>
                <w:rFonts w:eastAsia="宋体"/>
                <w:sz w:val="21"/>
                <w:szCs w:val="20"/>
              </w:rPr>
              <w:t>2</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1.33</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243" w:type="dxa"/>
            <w:vMerge w:val="continue"/>
            <w:vAlign w:val="center"/>
          </w:tcPr>
          <w:p>
            <w:pPr>
              <w:spacing w:line="240" w:lineRule="auto"/>
              <w:ind w:firstLine="0" w:firstLineChars="0"/>
              <w:jc w:val="center"/>
              <w:rPr>
                <w:sz w:val="21"/>
              </w:rPr>
            </w:pPr>
          </w:p>
        </w:tc>
        <w:tc>
          <w:tcPr>
            <w:tcW w:w="1229" w:type="dxa"/>
            <w:vAlign w:val="center"/>
          </w:tcPr>
          <w:p>
            <w:pPr>
              <w:spacing w:line="240" w:lineRule="auto"/>
              <w:ind w:firstLine="0" w:firstLineChars="0"/>
              <w:jc w:val="center"/>
              <w:rPr>
                <w:rFonts w:cs="宋体"/>
                <w:sz w:val="21"/>
                <w:szCs w:val="20"/>
              </w:rPr>
            </w:pPr>
            <w:r>
              <w:rPr>
                <w:rFonts w:cs="宋体"/>
                <w:spacing w:val="7"/>
                <w:sz w:val="21"/>
                <w:szCs w:val="20"/>
              </w:rPr>
              <w:t>轻度风侵</w:t>
            </w:r>
          </w:p>
        </w:tc>
        <w:tc>
          <w:tcPr>
            <w:tcW w:w="1788" w:type="dxa"/>
            <w:vAlign w:val="center"/>
          </w:tcPr>
          <w:p>
            <w:pPr>
              <w:pStyle w:val="249"/>
              <w:spacing w:line="240" w:lineRule="auto"/>
              <w:ind w:firstLine="0" w:firstLineChars="0"/>
              <w:jc w:val="center"/>
              <w:rPr>
                <w:rFonts w:eastAsia="宋体"/>
                <w:sz w:val="21"/>
                <w:szCs w:val="20"/>
              </w:rPr>
            </w:pPr>
            <w:r>
              <w:rPr>
                <w:rFonts w:eastAsia="宋体"/>
                <w:sz w:val="21"/>
                <w:szCs w:val="20"/>
              </w:rPr>
              <w:t>3</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1.37</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243" w:type="dxa"/>
            <w:vMerge w:val="continue"/>
            <w:vAlign w:val="center"/>
          </w:tcPr>
          <w:p>
            <w:pPr>
              <w:spacing w:line="240" w:lineRule="auto"/>
              <w:ind w:firstLine="0" w:firstLineChars="0"/>
              <w:jc w:val="center"/>
              <w:rPr>
                <w:sz w:val="21"/>
              </w:rPr>
            </w:pPr>
          </w:p>
        </w:tc>
        <w:tc>
          <w:tcPr>
            <w:tcW w:w="1229" w:type="dxa"/>
            <w:vAlign w:val="center"/>
          </w:tcPr>
          <w:p>
            <w:pPr>
              <w:spacing w:line="240" w:lineRule="auto"/>
              <w:ind w:firstLine="0" w:firstLineChars="0"/>
              <w:jc w:val="center"/>
              <w:rPr>
                <w:rFonts w:cs="宋体"/>
                <w:sz w:val="21"/>
                <w:szCs w:val="20"/>
              </w:rPr>
            </w:pPr>
            <w:r>
              <w:rPr>
                <w:rFonts w:cs="宋体"/>
                <w:spacing w:val="2"/>
                <w:sz w:val="21"/>
                <w:szCs w:val="20"/>
              </w:rPr>
              <w:t>中度风侵</w:t>
            </w:r>
          </w:p>
        </w:tc>
        <w:tc>
          <w:tcPr>
            <w:tcW w:w="1788" w:type="dxa"/>
            <w:vAlign w:val="center"/>
          </w:tcPr>
          <w:p>
            <w:pPr>
              <w:pStyle w:val="249"/>
              <w:spacing w:line="240" w:lineRule="auto"/>
              <w:ind w:firstLine="0" w:firstLineChars="0"/>
              <w:jc w:val="center"/>
              <w:rPr>
                <w:rFonts w:eastAsia="宋体"/>
                <w:sz w:val="21"/>
                <w:szCs w:val="20"/>
              </w:rPr>
            </w:pPr>
            <w:r>
              <w:rPr>
                <w:rFonts w:eastAsia="宋体"/>
                <w:spacing w:val="-8"/>
                <w:sz w:val="21"/>
                <w:szCs w:val="20"/>
              </w:rPr>
              <w:t>17</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72.</w:t>
            </w:r>
            <w:r>
              <w:rPr>
                <w:rFonts w:eastAsia="宋体"/>
                <w:spacing w:val="-25"/>
                <w:sz w:val="21"/>
                <w:szCs w:val="20"/>
              </w:rPr>
              <w:t xml:space="preserve"> </w:t>
            </w:r>
            <w:r>
              <w:rPr>
                <w:rFonts w:eastAsia="宋体"/>
                <w:spacing w:val="-2"/>
                <w:sz w:val="21"/>
                <w:szCs w:val="20"/>
              </w:rPr>
              <w:t>12</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9.16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243" w:type="dxa"/>
            <w:vMerge w:val="continue"/>
            <w:vAlign w:val="center"/>
          </w:tcPr>
          <w:p>
            <w:pPr>
              <w:spacing w:line="240" w:lineRule="auto"/>
              <w:ind w:firstLine="0" w:firstLineChars="0"/>
              <w:jc w:val="center"/>
              <w:rPr>
                <w:sz w:val="21"/>
              </w:rPr>
            </w:pPr>
          </w:p>
        </w:tc>
        <w:tc>
          <w:tcPr>
            <w:tcW w:w="1229" w:type="dxa"/>
            <w:vAlign w:val="center"/>
          </w:tcPr>
          <w:p>
            <w:pPr>
              <w:spacing w:line="240" w:lineRule="auto"/>
              <w:ind w:firstLine="0" w:firstLineChars="0"/>
              <w:jc w:val="center"/>
              <w:rPr>
                <w:rFonts w:cs="宋体"/>
                <w:sz w:val="21"/>
                <w:szCs w:val="20"/>
              </w:rPr>
            </w:pPr>
            <w:r>
              <w:rPr>
                <w:rFonts w:cs="宋体"/>
                <w:spacing w:val="7"/>
                <w:sz w:val="21"/>
                <w:szCs w:val="20"/>
              </w:rPr>
              <w:t>剧烈风侵</w:t>
            </w:r>
          </w:p>
        </w:tc>
        <w:tc>
          <w:tcPr>
            <w:tcW w:w="1788" w:type="dxa"/>
            <w:vAlign w:val="center"/>
          </w:tcPr>
          <w:p>
            <w:pPr>
              <w:pStyle w:val="249"/>
              <w:spacing w:line="240" w:lineRule="auto"/>
              <w:ind w:firstLine="0" w:firstLineChars="0"/>
              <w:jc w:val="center"/>
              <w:rPr>
                <w:rFonts w:eastAsia="宋体"/>
                <w:sz w:val="21"/>
                <w:szCs w:val="20"/>
              </w:rPr>
            </w:pPr>
            <w:r>
              <w:rPr>
                <w:rFonts w:eastAsia="宋体"/>
                <w:sz w:val="21"/>
                <w:szCs w:val="20"/>
              </w:rPr>
              <w:t>6</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5.38</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243" w:type="dxa"/>
            <w:vMerge w:val="restart"/>
            <w:vAlign w:val="center"/>
          </w:tcPr>
          <w:p>
            <w:pPr>
              <w:spacing w:line="240" w:lineRule="auto"/>
              <w:ind w:firstLine="0" w:firstLineChars="0"/>
              <w:jc w:val="center"/>
              <w:rPr>
                <w:rFonts w:cs="宋体"/>
                <w:sz w:val="21"/>
                <w:szCs w:val="20"/>
              </w:rPr>
            </w:pPr>
            <w:r>
              <w:rPr>
                <w:rFonts w:cs="宋体"/>
                <w:spacing w:val="6"/>
                <w:sz w:val="21"/>
                <w:szCs w:val="20"/>
              </w:rPr>
              <w:t>水力侵蚀</w:t>
            </w:r>
          </w:p>
        </w:tc>
        <w:tc>
          <w:tcPr>
            <w:tcW w:w="1229" w:type="dxa"/>
            <w:vAlign w:val="center"/>
          </w:tcPr>
          <w:p>
            <w:pPr>
              <w:spacing w:line="240" w:lineRule="auto"/>
              <w:ind w:firstLine="0" w:firstLineChars="0"/>
              <w:jc w:val="center"/>
              <w:rPr>
                <w:rFonts w:cs="宋体"/>
                <w:sz w:val="21"/>
                <w:szCs w:val="20"/>
              </w:rPr>
            </w:pPr>
            <w:r>
              <w:rPr>
                <w:rFonts w:cs="宋体"/>
                <w:spacing w:val="2"/>
                <w:sz w:val="21"/>
                <w:szCs w:val="20"/>
              </w:rPr>
              <w:t>中度水侵</w:t>
            </w:r>
          </w:p>
        </w:tc>
        <w:tc>
          <w:tcPr>
            <w:tcW w:w="1788"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23</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3"/>
                <w:sz w:val="21"/>
                <w:szCs w:val="20"/>
              </w:rPr>
              <w:t>624.15</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79.23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243" w:type="dxa"/>
            <w:vMerge w:val="continue"/>
            <w:vAlign w:val="center"/>
          </w:tcPr>
          <w:p>
            <w:pPr>
              <w:spacing w:line="240" w:lineRule="auto"/>
              <w:ind w:firstLine="0" w:firstLineChars="0"/>
              <w:jc w:val="center"/>
              <w:rPr>
                <w:sz w:val="21"/>
              </w:rPr>
            </w:pPr>
          </w:p>
        </w:tc>
        <w:tc>
          <w:tcPr>
            <w:tcW w:w="1229" w:type="dxa"/>
            <w:vAlign w:val="center"/>
          </w:tcPr>
          <w:p>
            <w:pPr>
              <w:spacing w:line="240" w:lineRule="auto"/>
              <w:ind w:firstLine="0" w:firstLineChars="0"/>
              <w:jc w:val="center"/>
              <w:rPr>
                <w:rFonts w:cs="宋体"/>
                <w:sz w:val="21"/>
                <w:szCs w:val="20"/>
              </w:rPr>
            </w:pPr>
            <w:r>
              <w:rPr>
                <w:rFonts w:cs="宋体"/>
                <w:spacing w:val="7"/>
                <w:sz w:val="21"/>
                <w:szCs w:val="20"/>
              </w:rPr>
              <w:t>剧烈水侵</w:t>
            </w:r>
          </w:p>
        </w:tc>
        <w:tc>
          <w:tcPr>
            <w:tcW w:w="1788" w:type="dxa"/>
            <w:vAlign w:val="center"/>
          </w:tcPr>
          <w:p>
            <w:pPr>
              <w:pStyle w:val="249"/>
              <w:spacing w:line="240" w:lineRule="auto"/>
              <w:ind w:firstLine="0" w:firstLineChars="0"/>
              <w:jc w:val="center"/>
              <w:rPr>
                <w:rFonts w:eastAsia="宋体"/>
                <w:sz w:val="21"/>
                <w:szCs w:val="20"/>
              </w:rPr>
            </w:pPr>
            <w:r>
              <w:rPr>
                <w:rFonts w:eastAsia="宋体"/>
                <w:sz w:val="21"/>
                <w:szCs w:val="20"/>
              </w:rPr>
              <w:t>5</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3"/>
                <w:sz w:val="21"/>
                <w:szCs w:val="20"/>
              </w:rPr>
              <w:t>38.20</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3"/>
                <w:sz w:val="21"/>
                <w:szCs w:val="20"/>
              </w:rPr>
              <w:t>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1243" w:type="dxa"/>
            <w:vAlign w:val="center"/>
          </w:tcPr>
          <w:p>
            <w:pPr>
              <w:spacing w:line="240" w:lineRule="auto"/>
              <w:ind w:firstLine="0" w:firstLineChars="0"/>
              <w:jc w:val="center"/>
              <w:rPr>
                <w:rFonts w:cs="宋体"/>
                <w:sz w:val="21"/>
                <w:szCs w:val="20"/>
              </w:rPr>
            </w:pPr>
            <w:r>
              <w:rPr>
                <w:rFonts w:cs="宋体"/>
                <w:spacing w:val="4"/>
                <w:sz w:val="21"/>
                <w:szCs w:val="20"/>
              </w:rPr>
              <w:t>其他</w:t>
            </w:r>
          </w:p>
        </w:tc>
        <w:tc>
          <w:tcPr>
            <w:tcW w:w="1229" w:type="dxa"/>
            <w:vAlign w:val="center"/>
          </w:tcPr>
          <w:p>
            <w:pPr>
              <w:spacing w:line="240" w:lineRule="auto"/>
              <w:ind w:firstLine="0" w:firstLineChars="0"/>
              <w:jc w:val="center"/>
              <w:rPr>
                <w:rFonts w:cs="宋体"/>
                <w:sz w:val="21"/>
                <w:szCs w:val="20"/>
              </w:rPr>
            </w:pPr>
            <w:r>
              <w:rPr>
                <w:rFonts w:cs="宋体"/>
                <w:spacing w:val="4"/>
                <w:sz w:val="21"/>
                <w:szCs w:val="20"/>
              </w:rPr>
              <w:t>其他</w:t>
            </w:r>
          </w:p>
        </w:tc>
        <w:tc>
          <w:tcPr>
            <w:tcW w:w="1788" w:type="dxa"/>
            <w:vAlign w:val="center"/>
          </w:tcPr>
          <w:p>
            <w:pPr>
              <w:pStyle w:val="249"/>
              <w:spacing w:line="240" w:lineRule="auto"/>
              <w:ind w:firstLine="0" w:firstLineChars="0"/>
              <w:jc w:val="center"/>
              <w:rPr>
                <w:rFonts w:eastAsia="宋体"/>
                <w:sz w:val="21"/>
                <w:szCs w:val="20"/>
              </w:rPr>
            </w:pPr>
            <w:r>
              <w:rPr>
                <w:rFonts w:eastAsia="宋体"/>
                <w:sz w:val="21"/>
                <w:szCs w:val="20"/>
              </w:rPr>
              <w:t>7</w:t>
            </w:r>
          </w:p>
        </w:tc>
        <w:tc>
          <w:tcPr>
            <w:tcW w:w="1759" w:type="dxa"/>
            <w:vAlign w:val="center"/>
          </w:tcPr>
          <w:p>
            <w:pPr>
              <w:pStyle w:val="249"/>
              <w:spacing w:line="240" w:lineRule="auto"/>
              <w:ind w:firstLine="0" w:firstLineChars="0"/>
              <w:jc w:val="center"/>
              <w:rPr>
                <w:rFonts w:eastAsia="宋体"/>
                <w:sz w:val="21"/>
                <w:szCs w:val="20"/>
              </w:rPr>
            </w:pPr>
            <w:r>
              <w:rPr>
                <w:rFonts w:eastAsia="宋体"/>
                <w:spacing w:val="4"/>
                <w:sz w:val="21"/>
                <w:szCs w:val="20"/>
              </w:rPr>
              <w:t>45.20</w:t>
            </w:r>
          </w:p>
        </w:tc>
        <w:tc>
          <w:tcPr>
            <w:tcW w:w="2503" w:type="dxa"/>
            <w:vAlign w:val="center"/>
          </w:tcPr>
          <w:p>
            <w:pPr>
              <w:pStyle w:val="249"/>
              <w:spacing w:line="240" w:lineRule="auto"/>
              <w:ind w:firstLine="0" w:firstLineChars="0"/>
              <w:jc w:val="center"/>
              <w:rPr>
                <w:rFonts w:eastAsia="宋体"/>
                <w:sz w:val="21"/>
                <w:szCs w:val="20"/>
              </w:rPr>
            </w:pPr>
            <w:r>
              <w:rPr>
                <w:rFonts w:eastAsia="宋体"/>
                <w:spacing w:val="2"/>
                <w:sz w:val="21"/>
                <w:szCs w:val="20"/>
              </w:rPr>
              <w:t>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1243" w:type="dxa"/>
          </w:tcPr>
          <w:p>
            <w:pPr>
              <w:spacing w:before="119" w:line="229" w:lineRule="auto"/>
              <w:ind w:firstLine="0" w:firstLineChars="0"/>
              <w:jc w:val="center"/>
              <w:rPr>
                <w:rFonts w:ascii="宋体" w:hAnsi="宋体" w:cs="宋体"/>
                <w:sz w:val="20"/>
                <w:szCs w:val="20"/>
              </w:rPr>
            </w:pPr>
            <w:r>
              <w:rPr>
                <w:rFonts w:ascii="宋体" w:hAnsi="宋体" w:cs="宋体"/>
                <w:spacing w:val="2"/>
                <w:sz w:val="20"/>
                <w:szCs w:val="20"/>
              </w:rPr>
              <w:t>总计</w:t>
            </w:r>
          </w:p>
        </w:tc>
        <w:tc>
          <w:tcPr>
            <w:tcW w:w="1229" w:type="dxa"/>
          </w:tcPr>
          <w:p>
            <w:pPr>
              <w:ind w:firstLine="420"/>
              <w:jc w:val="center"/>
              <w:rPr>
                <w:rFonts w:ascii="Arial"/>
                <w:sz w:val="21"/>
              </w:rPr>
            </w:pPr>
          </w:p>
        </w:tc>
        <w:tc>
          <w:tcPr>
            <w:tcW w:w="1788" w:type="dxa"/>
          </w:tcPr>
          <w:p>
            <w:pPr>
              <w:pStyle w:val="249"/>
              <w:spacing w:before="155" w:line="195" w:lineRule="auto"/>
              <w:ind w:firstLine="0" w:firstLineChars="0"/>
              <w:jc w:val="center"/>
              <w:rPr>
                <w:sz w:val="20"/>
                <w:szCs w:val="20"/>
              </w:rPr>
            </w:pPr>
            <w:r>
              <w:rPr>
                <w:sz w:val="20"/>
                <w:szCs w:val="20"/>
              </w:rPr>
              <w:t>63</w:t>
            </w:r>
          </w:p>
        </w:tc>
        <w:tc>
          <w:tcPr>
            <w:tcW w:w="1759" w:type="dxa"/>
          </w:tcPr>
          <w:p>
            <w:pPr>
              <w:pStyle w:val="249"/>
              <w:spacing w:before="155" w:line="195" w:lineRule="auto"/>
              <w:ind w:firstLine="0" w:firstLineChars="0"/>
              <w:jc w:val="center"/>
              <w:rPr>
                <w:sz w:val="20"/>
                <w:szCs w:val="20"/>
              </w:rPr>
            </w:pPr>
            <w:r>
              <w:rPr>
                <w:spacing w:val="3"/>
                <w:sz w:val="20"/>
                <w:szCs w:val="20"/>
              </w:rPr>
              <w:t>787.74</w:t>
            </w:r>
          </w:p>
        </w:tc>
        <w:tc>
          <w:tcPr>
            <w:tcW w:w="2503" w:type="dxa"/>
          </w:tcPr>
          <w:p>
            <w:pPr>
              <w:pStyle w:val="249"/>
              <w:spacing w:before="155" w:line="195" w:lineRule="auto"/>
              <w:ind w:firstLine="0" w:firstLineChars="0"/>
              <w:jc w:val="center"/>
              <w:rPr>
                <w:sz w:val="20"/>
                <w:szCs w:val="20"/>
              </w:rPr>
            </w:pPr>
            <w:r>
              <w:rPr>
                <w:sz w:val="20"/>
                <w:szCs w:val="20"/>
              </w:rPr>
              <w:t>100.00</w:t>
            </w:r>
          </w:p>
        </w:tc>
      </w:tr>
    </w:tbl>
    <w:p>
      <w:pPr>
        <w:spacing w:line="52" w:lineRule="exact"/>
        <w:ind w:firstLine="480"/>
      </w:pPr>
    </w:p>
    <w:p>
      <w:pPr>
        <w:spacing w:line="240" w:lineRule="auto"/>
        <w:ind w:firstLine="0" w:firstLineChars="0"/>
        <w:jc w:val="center"/>
      </w:pPr>
    </w:p>
    <w:p>
      <w:pPr>
        <w:spacing w:line="240" w:lineRule="auto"/>
        <w:ind w:firstLine="0" w:firstLineChars="0"/>
        <w:jc w:val="center"/>
      </w:pPr>
      <w:r>
        <w:t xml:space="preserve">表 </w:t>
      </w:r>
      <w:r>
        <w:rPr>
          <w:rFonts w:hint="eastAsia"/>
        </w:rPr>
        <w:t xml:space="preserve">4.2.5-8   </w:t>
      </w:r>
      <w:r>
        <w:t>项目区植被覆盖度一览表</w:t>
      </w:r>
    </w:p>
    <w:p>
      <w:pPr>
        <w:spacing w:line="68" w:lineRule="exact"/>
        <w:ind w:firstLine="480"/>
      </w:pPr>
    </w:p>
    <w:tbl>
      <w:tblPr>
        <w:tblStyle w:val="25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3"/>
        <w:gridCol w:w="1229"/>
        <w:gridCol w:w="1788"/>
        <w:gridCol w:w="1759"/>
        <w:gridCol w:w="2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243" w:type="dxa"/>
            <w:vAlign w:val="center"/>
          </w:tcPr>
          <w:p>
            <w:pPr>
              <w:spacing w:line="240" w:lineRule="auto"/>
              <w:ind w:firstLine="0" w:firstLineChars="0"/>
              <w:jc w:val="center"/>
              <w:rPr>
                <w:rFonts w:cs="宋体"/>
                <w:sz w:val="21"/>
                <w:szCs w:val="21"/>
              </w:rPr>
            </w:pPr>
            <w:r>
              <w:rPr>
                <w:rFonts w:cs="宋体"/>
                <w:spacing w:val="4"/>
                <w:sz w:val="21"/>
                <w:szCs w:val="21"/>
              </w:rPr>
              <w:t>一级</w:t>
            </w:r>
          </w:p>
        </w:tc>
        <w:tc>
          <w:tcPr>
            <w:tcW w:w="1229" w:type="dxa"/>
            <w:vAlign w:val="center"/>
          </w:tcPr>
          <w:p>
            <w:pPr>
              <w:spacing w:line="240" w:lineRule="auto"/>
              <w:ind w:firstLine="0" w:firstLineChars="0"/>
              <w:jc w:val="center"/>
              <w:rPr>
                <w:rFonts w:cs="宋体"/>
                <w:sz w:val="21"/>
                <w:szCs w:val="21"/>
              </w:rPr>
            </w:pPr>
            <w:r>
              <w:rPr>
                <w:rFonts w:cs="宋体"/>
                <w:spacing w:val="3"/>
                <w:sz w:val="21"/>
                <w:szCs w:val="21"/>
              </w:rPr>
              <w:t>二级</w:t>
            </w:r>
          </w:p>
        </w:tc>
        <w:tc>
          <w:tcPr>
            <w:tcW w:w="1788" w:type="dxa"/>
            <w:vAlign w:val="center"/>
          </w:tcPr>
          <w:p>
            <w:pPr>
              <w:spacing w:line="240" w:lineRule="auto"/>
              <w:ind w:firstLine="0" w:firstLineChars="0"/>
              <w:jc w:val="center"/>
              <w:rPr>
                <w:rFonts w:cs="宋体"/>
                <w:sz w:val="21"/>
                <w:szCs w:val="21"/>
              </w:rPr>
            </w:pPr>
            <w:r>
              <w:rPr>
                <w:rFonts w:cs="宋体"/>
                <w:spacing w:val="6"/>
                <w:sz w:val="21"/>
                <w:szCs w:val="21"/>
              </w:rPr>
              <w:t>斑块数（个）</w:t>
            </w:r>
          </w:p>
        </w:tc>
        <w:tc>
          <w:tcPr>
            <w:tcW w:w="1759" w:type="dxa"/>
            <w:vAlign w:val="center"/>
          </w:tcPr>
          <w:p>
            <w:pPr>
              <w:pStyle w:val="249"/>
              <w:spacing w:line="240" w:lineRule="auto"/>
              <w:ind w:firstLine="0" w:firstLineChars="0"/>
              <w:jc w:val="center"/>
              <w:rPr>
                <w:rFonts w:eastAsia="宋体" w:cs="宋体"/>
                <w:sz w:val="21"/>
                <w:szCs w:val="21"/>
              </w:rPr>
            </w:pPr>
            <w:r>
              <w:rPr>
                <w:rFonts w:eastAsia="宋体" w:cs="宋体"/>
                <w:spacing w:val="7"/>
                <w:sz w:val="21"/>
                <w:szCs w:val="21"/>
              </w:rPr>
              <w:t>面积</w:t>
            </w:r>
            <w:r>
              <w:rPr>
                <w:rFonts w:hint="eastAsia" w:eastAsia="宋体" w:cs="宋体"/>
                <w:spacing w:val="7"/>
                <w:sz w:val="21"/>
                <w:szCs w:val="21"/>
                <w:lang w:eastAsia="zh-CN"/>
              </w:rPr>
              <w:t>（hm</w:t>
            </w:r>
            <w:r>
              <w:rPr>
                <w:rFonts w:hint="eastAsia" w:eastAsia="宋体" w:cs="宋体"/>
                <w:spacing w:val="7"/>
                <w:sz w:val="21"/>
                <w:szCs w:val="21"/>
                <w:vertAlign w:val="superscript"/>
                <w:lang w:eastAsia="zh-CN"/>
              </w:rPr>
              <w:t>2</w:t>
            </w:r>
            <w:r>
              <w:rPr>
                <w:rFonts w:hint="eastAsia" w:eastAsia="宋体" w:cs="宋体"/>
                <w:spacing w:val="7"/>
                <w:sz w:val="21"/>
                <w:szCs w:val="21"/>
                <w:lang w:eastAsia="zh-CN"/>
              </w:rPr>
              <w:t>）</w:t>
            </w:r>
          </w:p>
        </w:tc>
        <w:tc>
          <w:tcPr>
            <w:tcW w:w="2503" w:type="dxa"/>
            <w:vAlign w:val="center"/>
          </w:tcPr>
          <w:p>
            <w:pPr>
              <w:pStyle w:val="249"/>
              <w:spacing w:line="240" w:lineRule="auto"/>
              <w:ind w:firstLine="0" w:firstLineChars="0"/>
              <w:jc w:val="center"/>
              <w:rPr>
                <w:rFonts w:eastAsia="宋体" w:cs="宋体"/>
                <w:sz w:val="21"/>
                <w:szCs w:val="21"/>
              </w:rPr>
            </w:pPr>
            <w:r>
              <w:rPr>
                <w:rFonts w:eastAsia="宋体" w:cs="宋体"/>
                <w:spacing w:val="3"/>
                <w:sz w:val="21"/>
                <w:szCs w:val="21"/>
              </w:rPr>
              <w:t>占总面积比例（</w:t>
            </w:r>
            <w:r>
              <w:rPr>
                <w:rFonts w:eastAsia="宋体"/>
                <w:spacing w:val="3"/>
                <w:sz w:val="21"/>
                <w:szCs w:val="21"/>
              </w:rPr>
              <w:t>%</w:t>
            </w:r>
            <w:r>
              <w:rPr>
                <w:rFonts w:eastAsia="宋体" w:cs="宋体"/>
                <w:spacing w:val="3"/>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243" w:type="dxa"/>
            <w:vMerge w:val="restart"/>
            <w:vAlign w:val="center"/>
          </w:tcPr>
          <w:p>
            <w:pPr>
              <w:spacing w:line="240" w:lineRule="auto"/>
              <w:ind w:firstLine="0" w:firstLineChars="0"/>
              <w:jc w:val="center"/>
              <w:rPr>
                <w:rFonts w:cs="宋体"/>
                <w:sz w:val="21"/>
                <w:szCs w:val="21"/>
              </w:rPr>
            </w:pPr>
            <w:r>
              <w:rPr>
                <w:rFonts w:cs="宋体"/>
                <w:spacing w:val="6"/>
                <w:sz w:val="21"/>
                <w:szCs w:val="21"/>
              </w:rPr>
              <w:t>水力侵蚀</w:t>
            </w:r>
          </w:p>
        </w:tc>
        <w:tc>
          <w:tcPr>
            <w:tcW w:w="1229" w:type="dxa"/>
            <w:vAlign w:val="center"/>
          </w:tcPr>
          <w:p>
            <w:pPr>
              <w:spacing w:line="240" w:lineRule="auto"/>
              <w:ind w:firstLine="0" w:firstLineChars="0"/>
              <w:jc w:val="center"/>
              <w:rPr>
                <w:rFonts w:cs="宋体"/>
                <w:sz w:val="21"/>
                <w:szCs w:val="21"/>
              </w:rPr>
            </w:pPr>
            <w:r>
              <w:rPr>
                <w:rFonts w:cs="宋体"/>
                <w:spacing w:val="2"/>
                <w:sz w:val="21"/>
                <w:szCs w:val="21"/>
              </w:rPr>
              <w:t>中度水侵</w:t>
            </w:r>
          </w:p>
        </w:tc>
        <w:tc>
          <w:tcPr>
            <w:tcW w:w="1788" w:type="dxa"/>
            <w:vAlign w:val="center"/>
          </w:tcPr>
          <w:p>
            <w:pPr>
              <w:pStyle w:val="249"/>
              <w:spacing w:line="240" w:lineRule="auto"/>
              <w:ind w:firstLine="0" w:firstLineChars="0"/>
              <w:jc w:val="center"/>
              <w:rPr>
                <w:rFonts w:eastAsia="宋体"/>
                <w:sz w:val="21"/>
                <w:szCs w:val="21"/>
              </w:rPr>
            </w:pPr>
            <w:r>
              <w:rPr>
                <w:rFonts w:eastAsia="宋体"/>
                <w:sz w:val="21"/>
                <w:szCs w:val="21"/>
              </w:rPr>
              <w:t>3</w:t>
            </w:r>
          </w:p>
        </w:tc>
        <w:tc>
          <w:tcPr>
            <w:tcW w:w="1759" w:type="dxa"/>
            <w:vAlign w:val="center"/>
          </w:tcPr>
          <w:p>
            <w:pPr>
              <w:pStyle w:val="249"/>
              <w:spacing w:line="240" w:lineRule="auto"/>
              <w:ind w:firstLine="0" w:firstLineChars="0"/>
              <w:jc w:val="center"/>
              <w:rPr>
                <w:rFonts w:eastAsia="宋体"/>
                <w:sz w:val="21"/>
                <w:szCs w:val="21"/>
                <w:lang w:eastAsia="zh-CN"/>
              </w:rPr>
            </w:pPr>
            <w:r>
              <w:rPr>
                <w:rFonts w:eastAsia="宋体"/>
                <w:sz w:val="21"/>
                <w:szCs w:val="21"/>
                <w:lang w:eastAsia="zh-CN"/>
              </w:rPr>
              <w:t>82.01</w:t>
            </w:r>
          </w:p>
        </w:tc>
        <w:tc>
          <w:tcPr>
            <w:tcW w:w="2503" w:type="dxa"/>
            <w:vAlign w:val="center"/>
          </w:tcPr>
          <w:p>
            <w:pPr>
              <w:pStyle w:val="249"/>
              <w:spacing w:line="240" w:lineRule="auto"/>
              <w:ind w:firstLine="0" w:firstLineChars="0"/>
              <w:jc w:val="center"/>
              <w:rPr>
                <w:rFonts w:eastAsia="宋体"/>
                <w:sz w:val="21"/>
                <w:szCs w:val="21"/>
                <w:lang w:eastAsia="zh-CN"/>
              </w:rPr>
            </w:pPr>
            <w:r>
              <w:rPr>
                <w:rFonts w:hint="eastAsia" w:eastAsia="宋体"/>
                <w:spacing w:val="2"/>
                <w:sz w:val="21"/>
                <w:szCs w:val="21"/>
                <w:lang w:eastAsia="zh-CN"/>
              </w:rPr>
              <w:t>70.15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243" w:type="dxa"/>
            <w:vMerge w:val="continue"/>
            <w:vAlign w:val="center"/>
          </w:tcPr>
          <w:p>
            <w:pPr>
              <w:spacing w:line="240" w:lineRule="auto"/>
              <w:ind w:firstLine="0" w:firstLineChars="0"/>
              <w:jc w:val="center"/>
              <w:rPr>
                <w:sz w:val="21"/>
                <w:szCs w:val="21"/>
              </w:rPr>
            </w:pPr>
          </w:p>
        </w:tc>
        <w:tc>
          <w:tcPr>
            <w:tcW w:w="1229" w:type="dxa"/>
            <w:vAlign w:val="center"/>
          </w:tcPr>
          <w:p>
            <w:pPr>
              <w:spacing w:line="240" w:lineRule="auto"/>
              <w:ind w:firstLine="0" w:firstLineChars="0"/>
              <w:jc w:val="center"/>
              <w:rPr>
                <w:rFonts w:cs="宋体"/>
                <w:sz w:val="21"/>
                <w:szCs w:val="21"/>
              </w:rPr>
            </w:pPr>
            <w:r>
              <w:rPr>
                <w:rFonts w:cs="宋体"/>
                <w:spacing w:val="7"/>
                <w:sz w:val="21"/>
                <w:szCs w:val="21"/>
              </w:rPr>
              <w:t>剧烈水侵</w:t>
            </w:r>
          </w:p>
        </w:tc>
        <w:tc>
          <w:tcPr>
            <w:tcW w:w="1788" w:type="dxa"/>
            <w:vAlign w:val="center"/>
          </w:tcPr>
          <w:p>
            <w:pPr>
              <w:pStyle w:val="249"/>
              <w:spacing w:line="240" w:lineRule="auto"/>
              <w:ind w:firstLine="0" w:firstLineChars="0"/>
              <w:jc w:val="center"/>
              <w:rPr>
                <w:rFonts w:eastAsia="宋体"/>
                <w:sz w:val="21"/>
                <w:szCs w:val="21"/>
              </w:rPr>
            </w:pPr>
            <w:r>
              <w:rPr>
                <w:rFonts w:eastAsia="宋体"/>
                <w:sz w:val="21"/>
                <w:szCs w:val="21"/>
              </w:rPr>
              <w:t>1</w:t>
            </w:r>
          </w:p>
        </w:tc>
        <w:tc>
          <w:tcPr>
            <w:tcW w:w="1759" w:type="dxa"/>
            <w:vAlign w:val="center"/>
          </w:tcPr>
          <w:p>
            <w:pPr>
              <w:pStyle w:val="249"/>
              <w:spacing w:line="240" w:lineRule="auto"/>
              <w:ind w:firstLine="0" w:firstLineChars="0"/>
              <w:jc w:val="center"/>
              <w:rPr>
                <w:rFonts w:eastAsia="宋体"/>
                <w:sz w:val="21"/>
                <w:szCs w:val="21"/>
                <w:lang w:eastAsia="zh-CN"/>
              </w:rPr>
            </w:pPr>
            <w:r>
              <w:rPr>
                <w:rFonts w:eastAsia="宋体"/>
                <w:spacing w:val="-2"/>
                <w:sz w:val="21"/>
                <w:szCs w:val="21"/>
              </w:rPr>
              <w:t>1.</w:t>
            </w:r>
            <w:r>
              <w:rPr>
                <w:rFonts w:hint="eastAsia" w:eastAsia="宋体"/>
                <w:spacing w:val="-2"/>
                <w:sz w:val="21"/>
                <w:szCs w:val="21"/>
                <w:lang w:eastAsia="zh-CN"/>
              </w:rPr>
              <w:t>10</w:t>
            </w:r>
          </w:p>
        </w:tc>
        <w:tc>
          <w:tcPr>
            <w:tcW w:w="2503" w:type="dxa"/>
            <w:vAlign w:val="center"/>
          </w:tcPr>
          <w:p>
            <w:pPr>
              <w:pStyle w:val="249"/>
              <w:spacing w:line="240" w:lineRule="auto"/>
              <w:ind w:firstLine="0" w:firstLineChars="0"/>
              <w:jc w:val="center"/>
              <w:rPr>
                <w:rFonts w:eastAsia="宋体"/>
                <w:sz w:val="21"/>
                <w:szCs w:val="21"/>
                <w:lang w:eastAsia="zh-CN"/>
              </w:rPr>
            </w:pPr>
            <w:r>
              <w:rPr>
                <w:rFonts w:hint="eastAsia" w:eastAsia="宋体"/>
                <w:spacing w:val="-2"/>
                <w:sz w:val="21"/>
                <w:szCs w:val="21"/>
                <w:lang w:eastAsia="zh-CN"/>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243" w:type="dxa"/>
            <w:vAlign w:val="center"/>
          </w:tcPr>
          <w:p>
            <w:pPr>
              <w:spacing w:line="240" w:lineRule="auto"/>
              <w:ind w:firstLine="0" w:firstLineChars="0"/>
              <w:jc w:val="center"/>
              <w:rPr>
                <w:sz w:val="21"/>
                <w:szCs w:val="21"/>
              </w:rPr>
            </w:pPr>
            <w:r>
              <w:rPr>
                <w:rFonts w:hint="eastAsia"/>
                <w:sz w:val="21"/>
                <w:szCs w:val="21"/>
              </w:rPr>
              <w:t>风力侵蚀</w:t>
            </w:r>
          </w:p>
        </w:tc>
        <w:tc>
          <w:tcPr>
            <w:tcW w:w="1229" w:type="dxa"/>
            <w:vAlign w:val="center"/>
          </w:tcPr>
          <w:p>
            <w:pPr>
              <w:spacing w:line="240" w:lineRule="auto"/>
              <w:ind w:firstLine="0" w:firstLineChars="0"/>
              <w:jc w:val="center"/>
              <w:rPr>
                <w:rFonts w:cs="宋体"/>
                <w:spacing w:val="7"/>
                <w:sz w:val="21"/>
                <w:szCs w:val="21"/>
              </w:rPr>
            </w:pPr>
            <w:r>
              <w:rPr>
                <w:rFonts w:hint="eastAsia" w:cs="宋体"/>
                <w:spacing w:val="7"/>
                <w:sz w:val="21"/>
                <w:szCs w:val="21"/>
              </w:rPr>
              <w:t>中度风侵</w:t>
            </w:r>
          </w:p>
        </w:tc>
        <w:tc>
          <w:tcPr>
            <w:tcW w:w="1788" w:type="dxa"/>
            <w:vAlign w:val="center"/>
          </w:tcPr>
          <w:p>
            <w:pPr>
              <w:pStyle w:val="249"/>
              <w:spacing w:line="240" w:lineRule="auto"/>
              <w:ind w:firstLine="0" w:firstLineChars="0"/>
              <w:jc w:val="center"/>
              <w:rPr>
                <w:rFonts w:eastAsia="宋体"/>
                <w:sz w:val="21"/>
                <w:szCs w:val="21"/>
                <w:lang w:eastAsia="zh-CN"/>
              </w:rPr>
            </w:pPr>
            <w:r>
              <w:rPr>
                <w:rFonts w:hint="eastAsia" w:eastAsia="宋体"/>
                <w:sz w:val="21"/>
                <w:szCs w:val="21"/>
                <w:lang w:eastAsia="zh-CN"/>
              </w:rPr>
              <w:t>1</w:t>
            </w:r>
          </w:p>
        </w:tc>
        <w:tc>
          <w:tcPr>
            <w:tcW w:w="1759" w:type="dxa"/>
            <w:vAlign w:val="center"/>
          </w:tcPr>
          <w:p>
            <w:pPr>
              <w:pStyle w:val="249"/>
              <w:spacing w:line="240" w:lineRule="auto"/>
              <w:ind w:firstLine="0" w:firstLineChars="0"/>
              <w:jc w:val="center"/>
              <w:rPr>
                <w:rFonts w:eastAsia="宋体"/>
                <w:spacing w:val="-2"/>
                <w:sz w:val="21"/>
                <w:szCs w:val="21"/>
                <w:lang w:eastAsia="zh-CN"/>
              </w:rPr>
            </w:pPr>
            <w:r>
              <w:rPr>
                <w:rFonts w:hint="eastAsia" w:eastAsia="宋体"/>
                <w:spacing w:val="-2"/>
                <w:sz w:val="21"/>
                <w:szCs w:val="21"/>
                <w:lang w:eastAsia="zh-CN"/>
              </w:rPr>
              <w:t>33.8</w:t>
            </w:r>
          </w:p>
        </w:tc>
        <w:tc>
          <w:tcPr>
            <w:tcW w:w="2503" w:type="dxa"/>
            <w:vAlign w:val="center"/>
          </w:tcPr>
          <w:p>
            <w:pPr>
              <w:pStyle w:val="249"/>
              <w:spacing w:line="240" w:lineRule="auto"/>
              <w:ind w:firstLine="0" w:firstLineChars="0"/>
              <w:jc w:val="center"/>
              <w:rPr>
                <w:rFonts w:eastAsia="宋体"/>
                <w:spacing w:val="-2"/>
                <w:sz w:val="21"/>
                <w:szCs w:val="21"/>
                <w:lang w:eastAsia="zh-CN"/>
              </w:rPr>
            </w:pPr>
            <w:r>
              <w:rPr>
                <w:rFonts w:hint="eastAsia" w:eastAsia="宋体"/>
                <w:spacing w:val="-2"/>
                <w:sz w:val="21"/>
                <w:szCs w:val="21"/>
                <w:lang w:eastAsia="zh-CN"/>
              </w:rPr>
              <w:t>28.91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jc w:val="center"/>
        </w:trPr>
        <w:tc>
          <w:tcPr>
            <w:tcW w:w="1243" w:type="dxa"/>
            <w:vAlign w:val="center"/>
          </w:tcPr>
          <w:p>
            <w:pPr>
              <w:spacing w:line="240" w:lineRule="auto"/>
              <w:ind w:firstLine="0" w:firstLineChars="0"/>
              <w:jc w:val="center"/>
              <w:rPr>
                <w:rFonts w:cs="宋体"/>
                <w:sz w:val="21"/>
                <w:szCs w:val="21"/>
              </w:rPr>
            </w:pPr>
            <w:r>
              <w:rPr>
                <w:rFonts w:cs="宋体"/>
                <w:spacing w:val="2"/>
                <w:sz w:val="21"/>
                <w:szCs w:val="21"/>
              </w:rPr>
              <w:t>总计</w:t>
            </w:r>
          </w:p>
        </w:tc>
        <w:tc>
          <w:tcPr>
            <w:tcW w:w="1229" w:type="dxa"/>
            <w:vAlign w:val="center"/>
          </w:tcPr>
          <w:p>
            <w:pPr>
              <w:spacing w:line="240" w:lineRule="auto"/>
              <w:ind w:firstLine="0" w:firstLineChars="0"/>
              <w:jc w:val="center"/>
              <w:rPr>
                <w:sz w:val="21"/>
                <w:szCs w:val="21"/>
              </w:rPr>
            </w:pPr>
          </w:p>
        </w:tc>
        <w:tc>
          <w:tcPr>
            <w:tcW w:w="1788" w:type="dxa"/>
            <w:vAlign w:val="center"/>
          </w:tcPr>
          <w:p>
            <w:pPr>
              <w:spacing w:line="240" w:lineRule="auto"/>
              <w:ind w:firstLine="0" w:firstLineChars="0"/>
              <w:jc w:val="center"/>
              <w:rPr>
                <w:sz w:val="21"/>
                <w:szCs w:val="21"/>
              </w:rPr>
            </w:pPr>
          </w:p>
        </w:tc>
        <w:tc>
          <w:tcPr>
            <w:tcW w:w="1759" w:type="dxa"/>
            <w:vAlign w:val="center"/>
          </w:tcPr>
          <w:p>
            <w:pPr>
              <w:pStyle w:val="249"/>
              <w:spacing w:line="240" w:lineRule="auto"/>
              <w:ind w:firstLine="0" w:firstLineChars="0"/>
              <w:jc w:val="center"/>
              <w:rPr>
                <w:rFonts w:eastAsia="宋体"/>
                <w:sz w:val="21"/>
                <w:szCs w:val="21"/>
              </w:rPr>
            </w:pPr>
            <w:r>
              <w:rPr>
                <w:rFonts w:hint="eastAsia" w:eastAsia="宋体"/>
                <w:sz w:val="21"/>
                <w:szCs w:val="21"/>
              </w:rPr>
              <w:t>116.91</w:t>
            </w:r>
          </w:p>
        </w:tc>
        <w:tc>
          <w:tcPr>
            <w:tcW w:w="2503" w:type="dxa"/>
            <w:vAlign w:val="center"/>
          </w:tcPr>
          <w:p>
            <w:pPr>
              <w:pStyle w:val="249"/>
              <w:spacing w:line="240" w:lineRule="auto"/>
              <w:ind w:firstLine="0" w:firstLineChars="0"/>
              <w:jc w:val="center"/>
              <w:rPr>
                <w:rFonts w:eastAsia="宋体"/>
                <w:sz w:val="21"/>
                <w:szCs w:val="21"/>
              </w:rPr>
            </w:pPr>
            <w:r>
              <w:rPr>
                <w:rFonts w:eastAsia="宋体"/>
                <w:sz w:val="21"/>
                <w:szCs w:val="21"/>
              </w:rPr>
              <w:t>100.00</w:t>
            </w:r>
          </w:p>
        </w:tc>
      </w:tr>
    </w:tbl>
    <w:p>
      <w:pPr>
        <w:spacing w:before="120" w:beforeLines="50"/>
        <w:ind w:firstLine="0" w:firstLineChars="0"/>
        <w:jc w:val="center"/>
      </w:pPr>
      <w:r>
        <w:rPr>
          <w:rFonts w:hint="eastAsia"/>
          <w:color w:val="000000" w:themeColor="text1"/>
          <w14:textFill>
            <w14:solidFill>
              <w14:schemeClr w14:val="tx1"/>
            </w14:solidFill>
          </w14:textFill>
        </w:rPr>
        <w:drawing>
          <wp:anchor distT="0" distB="0" distL="114300" distR="114300" simplePos="0" relativeHeight="251687936" behindDoc="0" locked="0" layoutInCell="1" allowOverlap="1">
            <wp:simplePos x="0" y="0"/>
            <wp:positionH relativeFrom="column">
              <wp:posOffset>2558415</wp:posOffset>
            </wp:positionH>
            <wp:positionV relativeFrom="paragraph">
              <wp:posOffset>2874010</wp:posOffset>
            </wp:positionV>
            <wp:extent cx="462280" cy="408940"/>
            <wp:effectExtent l="0" t="0" r="14605" b="10160"/>
            <wp:wrapNone/>
            <wp:docPr id="75" name="图片 75" descr="98379d09a67f9777e6b9f5f6b7419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98379d09a67f9777e6b9f5f6b74193f"/>
                    <pic:cNvPicPr>
                      <a:picLocks noChangeAspect="1"/>
                    </pic:cNvPicPr>
                  </pic:nvPicPr>
                  <pic:blipFill>
                    <a:blip r:embed="rId56"/>
                    <a:stretch>
                      <a:fillRect/>
                    </a:stretch>
                  </pic:blipFill>
                  <pic:spPr>
                    <a:xfrm>
                      <a:off x="0" y="0"/>
                      <a:ext cx="462280" cy="408940"/>
                    </a:xfrm>
                    <a:prstGeom prst="rect">
                      <a:avLst/>
                    </a:prstGeom>
                  </pic:spPr>
                </pic:pic>
              </a:graphicData>
            </a:graphic>
          </wp:anchor>
        </w:drawing>
      </w:r>
      <w:r>
        <w:rPr>
          <w:position w:val="-128"/>
        </w:rPr>
        <w:drawing>
          <wp:inline distT="0" distB="0" distL="0" distR="0">
            <wp:extent cx="5269865" cy="4073525"/>
            <wp:effectExtent l="0" t="0" r="6985" b="3175"/>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59"/>
                    <a:stretch>
                      <a:fillRect/>
                    </a:stretch>
                  </pic:blipFill>
                  <pic:spPr>
                    <a:xfrm>
                      <a:off x="0" y="0"/>
                      <a:ext cx="5269991" cy="4073652"/>
                    </a:xfrm>
                    <a:prstGeom prst="rect">
                      <a:avLst/>
                    </a:prstGeom>
                  </pic:spPr>
                </pic:pic>
              </a:graphicData>
            </a:graphic>
          </wp:inline>
        </w:drawing>
      </w:r>
    </w:p>
    <w:p>
      <w:pPr>
        <w:pStyle w:val="6"/>
      </w:pPr>
      <w:r>
        <w:rPr>
          <w:rFonts w:hint="eastAsia"/>
        </w:rPr>
        <w:t>图4.2.5-5   评价区土壤侵蚀现状图</w:t>
      </w:r>
    </w:p>
    <w:p>
      <w:pPr>
        <w:pStyle w:val="2"/>
        <w:spacing w:before="120" w:after="120"/>
      </w:pPr>
      <w:bookmarkStart w:id="156" w:name="_Toc13928"/>
      <w:r>
        <w:rPr>
          <w:rFonts w:hint="eastAsia"/>
        </w:rPr>
        <w:t>环境影响预测与评价</w:t>
      </w:r>
      <w:bookmarkEnd w:id="156"/>
    </w:p>
    <w:p>
      <w:pPr>
        <w:pStyle w:val="3"/>
        <w:spacing w:before="120" w:after="120"/>
      </w:pPr>
      <w:bookmarkStart w:id="157" w:name="_Toc11715"/>
      <w:r>
        <w:rPr>
          <w:rFonts w:hint="eastAsia"/>
        </w:rPr>
        <w:t>施工期环境影响预测与评价</w:t>
      </w:r>
      <w:bookmarkEnd w:id="157"/>
    </w:p>
    <w:p>
      <w:pPr>
        <w:ind w:firstLine="480"/>
        <w:rPr>
          <w:rFonts w:hint="eastAsia"/>
        </w:rPr>
      </w:pPr>
      <w:r>
        <w:rPr>
          <w:rFonts w:hint="eastAsia"/>
        </w:rPr>
        <w:t>由于建筑施工的每个施工阶段所进行的项目内容和采用的机械设备不同，对周围环境要素在不同程度上将产生一定影响。</w:t>
      </w:r>
    </w:p>
    <w:p>
      <w:pPr>
        <w:bidi w:val="0"/>
        <w:rPr>
          <w:rFonts w:hint="eastAsia"/>
        </w:rPr>
      </w:pPr>
      <w:r>
        <w:rPr>
          <w:rFonts w:hint="eastAsia"/>
        </w:rPr>
        <w:t>施工期分为基础施工、内部装修及设施安装阶段以及扫尾工程阶段等。</w:t>
      </w:r>
    </w:p>
    <w:p>
      <w:pPr>
        <w:ind w:firstLine="480"/>
      </w:pPr>
      <w:r>
        <w:rPr>
          <w:rFonts w:hint="eastAsia"/>
          <w:lang w:val="en-US" w:eastAsia="zh-CN"/>
        </w:rPr>
        <w:t>根据施工期污染影响因素分析：</w:t>
      </w:r>
      <w:r>
        <w:rPr>
          <w:rFonts w:hint="eastAsia"/>
        </w:rPr>
        <w:t>建筑施工对周围环境的影响主要表现在生态破坏、水土流失、扬尘、噪声、固体废物及废水等方面，</w:t>
      </w:r>
      <w:r>
        <w:t>其中以扬尘和噪声对环境的影响较为显著。</w:t>
      </w:r>
      <w:r>
        <w:rPr>
          <w:rFonts w:hint="eastAsia"/>
        </w:rPr>
        <w:t>施工期的环境影响属短期的、可恢复和局部的。</w:t>
      </w:r>
    </w:p>
    <w:p>
      <w:pPr>
        <w:ind w:firstLine="480"/>
      </w:pPr>
      <w:r>
        <w:rPr>
          <w:rFonts w:hint="eastAsia"/>
        </w:rPr>
        <w:t>施工期间应加强管理，严格执行国家的有关规定，减少对周围环境的影响。下面将结合本工程的特征和当地的环境状况，就项目施工过程中对环境的影响进行分析，并在此基础上提出减少影响的措施和建议。</w:t>
      </w:r>
    </w:p>
    <w:p>
      <w:pPr>
        <w:pStyle w:val="4"/>
      </w:pPr>
      <w:r>
        <w:rPr>
          <w:rFonts w:hint="eastAsia"/>
        </w:rPr>
        <w:t>施工期大气环境影响分析</w:t>
      </w:r>
    </w:p>
    <w:p>
      <w:pPr>
        <w:pStyle w:val="5"/>
      </w:pPr>
      <w:r>
        <w:rPr>
          <w:rFonts w:hint="eastAsia"/>
        </w:rPr>
        <w:t>施工扬尘的影响</w:t>
      </w:r>
    </w:p>
    <w:p>
      <w:pPr>
        <w:ind w:firstLine="480"/>
        <w:rPr>
          <w:color w:val="000000" w:themeColor="text1"/>
          <w14:textFill>
            <w14:solidFill>
              <w14:schemeClr w14:val="tx1"/>
            </w14:solidFill>
          </w14:textFill>
        </w:rPr>
      </w:pPr>
      <w:r>
        <w:rPr>
          <w:szCs w:val="22"/>
        </w:rPr>
        <w:t>施工废气主要来自于施工扬尘和施工机械。本项目施工扬尘主要来自施工使用的水泥、白灰</w:t>
      </w:r>
      <w:r>
        <w:rPr>
          <w:rFonts w:hint="eastAsia"/>
          <w:szCs w:val="22"/>
        </w:rPr>
        <w:t>、粉煤灰</w:t>
      </w:r>
      <w:r>
        <w:rPr>
          <w:szCs w:val="22"/>
        </w:rPr>
        <w:t>及其他建筑材料装卸、堆放过程中产生的扬尘及扫尾工程中平整现场过程中产生的扬尘。</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（1）施工场区扬尘</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施工场区</w:t>
      </w:r>
      <w:r>
        <w:rPr>
          <w:color w:val="000000" w:themeColor="text1"/>
          <w14:textFill>
            <w14:solidFill>
              <w14:schemeClr w14:val="tx1"/>
            </w14:solidFill>
          </w14:textFill>
        </w:rPr>
        <w:t>扬尘的主要来源是</w:t>
      </w:r>
      <w:r>
        <w:rPr>
          <w:rFonts w:hint="eastAsia"/>
          <w:color w:val="000000" w:themeColor="text1"/>
          <w14:textFill>
            <w14:solidFill>
              <w14:schemeClr w14:val="tx1"/>
            </w14:solidFill>
          </w14:textFill>
        </w:rPr>
        <w:t>工程建设产生的扬尘，本项目施工不涉及场地开挖、平整，主要集中在建材的运输、露天堆放、装卸和搅拌等土建施工阶段</w:t>
      </w:r>
      <w:r>
        <w:rPr>
          <w:color w:val="000000" w:themeColor="text1"/>
          <w14:textFill>
            <w14:solidFill>
              <w14:schemeClr w14:val="tx1"/>
            </w14:solidFill>
          </w14:textFill>
        </w:rPr>
        <w:t>。扬尘的排放与施工场地的面积和施工活动频率成比例，还与风速与粒径和含水率有关，因此减小露天堆场和保证一定的含水率及减少裸露地面是减少风力起尘的有效手段。粉尘在空气中的扩散稀散与风速等气象条件有关，也与粉尘的沉降速度有关。不同粒径的沉降速度见</w:t>
      </w:r>
      <w:r>
        <w:rPr>
          <w:rFonts w:hint="eastAsia"/>
          <w:color w:val="000000" w:themeColor="text1"/>
          <w14:textFill>
            <w14:solidFill>
              <w14:schemeClr w14:val="tx1"/>
            </w14:solidFill>
          </w14:textFill>
        </w:rPr>
        <w:t>下</w:t>
      </w:r>
      <w:r>
        <w:rPr>
          <w:color w:val="000000" w:themeColor="text1"/>
          <w14:textFill>
            <w14:solidFill>
              <w14:schemeClr w14:val="tx1"/>
            </w14:solidFill>
          </w14:textFill>
        </w:rPr>
        <w:t>表。</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1.1</w:t>
      </w:r>
      <w:r>
        <w:rPr>
          <w:rFonts w:hint="eastAsia" w:asciiTheme="minorEastAsia" w:hAnsiTheme="minorEastAsia" w:eastAsiaTheme="minor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 xml:space="preserve">    不同粒径尘粒的沉降速度一览表</w:t>
      </w:r>
    </w:p>
    <w:tbl>
      <w:tblPr>
        <w:tblStyle w:val="38"/>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8" w:type="dxa"/>
          <w:left w:w="0" w:type="dxa"/>
          <w:bottom w:w="28" w:type="dxa"/>
          <w:right w:w="0" w:type="dxa"/>
        </w:tblCellMar>
      </w:tblPr>
      <w:tblGrid>
        <w:gridCol w:w="2776"/>
        <w:gridCol w:w="861"/>
        <w:gridCol w:w="861"/>
        <w:gridCol w:w="861"/>
        <w:gridCol w:w="861"/>
        <w:gridCol w:w="861"/>
        <w:gridCol w:w="862"/>
        <w:gridCol w:w="8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cantSplit/>
          <w:jc w:val="center"/>
        </w:trPr>
        <w:tc>
          <w:tcPr>
            <w:tcW w:w="1576"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粉尘粒径（μm）</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60</w:t>
            </w:r>
          </w:p>
        </w:tc>
        <w:tc>
          <w:tcPr>
            <w:tcW w:w="483"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cantSplit/>
          <w:jc w:val="center"/>
        </w:trPr>
        <w:tc>
          <w:tcPr>
            <w:tcW w:w="1576"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沉降速度（m/s）</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0.003</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0.012</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0.027</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0.048</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0.075</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0108</w:t>
            </w:r>
          </w:p>
        </w:tc>
        <w:tc>
          <w:tcPr>
            <w:tcW w:w="483"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cantSplit/>
          <w:jc w:val="center"/>
        </w:trPr>
        <w:tc>
          <w:tcPr>
            <w:tcW w:w="1576"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粉尘粒径（μm）</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90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250</w:t>
            </w:r>
          </w:p>
        </w:tc>
        <w:tc>
          <w:tcPr>
            <w:tcW w:w="483"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cantSplit/>
          <w:jc w:val="center"/>
        </w:trPr>
        <w:tc>
          <w:tcPr>
            <w:tcW w:w="1576"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沉降速度（m/s）</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0.158</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0.170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0.182</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0.239</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0.804</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1.005</w:t>
            </w:r>
          </w:p>
        </w:tc>
        <w:tc>
          <w:tcPr>
            <w:tcW w:w="483"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1.829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cantSplit/>
          <w:jc w:val="center"/>
        </w:trPr>
        <w:tc>
          <w:tcPr>
            <w:tcW w:w="1576"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粉尘粒径（μm）</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650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750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850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950</w:t>
            </w:r>
          </w:p>
        </w:tc>
        <w:tc>
          <w:tcPr>
            <w:tcW w:w="483"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cantSplit/>
          <w:jc w:val="center"/>
        </w:trPr>
        <w:tc>
          <w:tcPr>
            <w:tcW w:w="1576"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沉降速度（m/s）</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2.211</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2.614</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3.016</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3.418</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3.820</w:t>
            </w:r>
          </w:p>
        </w:tc>
        <w:tc>
          <w:tcPr>
            <w:tcW w:w="489"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4.222</w:t>
            </w:r>
          </w:p>
        </w:tc>
        <w:tc>
          <w:tcPr>
            <w:tcW w:w="483"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4.624</w:t>
            </w:r>
          </w:p>
        </w:tc>
      </w:tr>
    </w:tbl>
    <w:p>
      <w:pPr>
        <w:ind w:firstLine="480"/>
      </w:pPr>
      <w:r>
        <w:t>从上表中可知，粉尘的沉降速度随着粒径的增大而迅速增大，当粒径大于250μm时，主要影响范围在扬尘产生点下风向近距离范围内，而对外环境影响较大的是一些粒径微小的粉尘。</w:t>
      </w:r>
    </w:p>
    <w:p>
      <w:pPr>
        <w:ind w:firstLine="480"/>
      </w:pPr>
      <w:r>
        <w:t>根据有关资料，施工扬尘的影响范围一般在下风向50m范围内为重污染带、50m～100m为中污染带、100m～150m为轻污染带、150m以外基本不受影响。施工扬尘对周边人群聚集点的影响很小。</w:t>
      </w:r>
    </w:p>
    <w:p>
      <w:pPr>
        <w:ind w:firstLine="480"/>
      </w:pPr>
      <w:r>
        <w:t>通常施工扬尘中粒径大于10μm的颗粒物（降尘）会降落在植物叶片上，使植物叶片表面积尘成层而抑制植物的光合作用、呼吸作用和蒸腾作用，不利于植物的生长。根据类比，施工扬尘对周围植物的影响范围为扬尘点下风向100m范围内，但在施工场地采取勤洒水等防尘抑尘措施后，施工扬尘对周围植物的影响范围可以被控制在20～50m范围内，且施工对植物造成的这种影响是局部和暂时的，施工结束，这些影响也随即消失。</w:t>
      </w:r>
    </w:p>
    <w:p>
      <w:pPr>
        <w:ind w:firstLine="480"/>
      </w:pPr>
      <w:r>
        <w:t>如果施工阶段对汽车行驶路面勤洒水（4～5次/天），可以使空气中扬尘产生量减少70%左右，收到很好的降尘效果，施工扬尘造成的TSP污染距离可缩小到20~50m范围内。施工阶段洒水的试验资料见</w:t>
      </w:r>
      <w:r>
        <w:rPr>
          <w:rFonts w:hint="eastAsia"/>
        </w:rPr>
        <w:t>下</w:t>
      </w:r>
      <w:r>
        <w:t>表。</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1.1</w:t>
      </w:r>
      <w:r>
        <w:rPr>
          <w:rFonts w:hint="eastAsia" w:asciiTheme="minorEastAsia" w:hAnsiTheme="minorEastAsia" w:eastAsiaTheme="minorEastAsia"/>
          <w:color w:val="000000" w:themeColor="text1"/>
          <w14:textFill>
            <w14:solidFill>
              <w14:schemeClr w14:val="tx1"/>
            </w14:solidFill>
          </w14:textFill>
        </w:rPr>
        <w:t>-</w:t>
      </w:r>
      <w:r>
        <w:rPr>
          <w:color w:val="000000" w:themeColor="text1"/>
          <w14:textFill>
            <w14:solidFill>
              <w14:schemeClr w14:val="tx1"/>
            </w14:solidFill>
          </w14:textFill>
        </w:rPr>
        <w:t xml:space="preserve">2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施工阶段使用洒水降尘试验结果一览表</w:t>
      </w:r>
    </w:p>
    <w:tbl>
      <w:tblPr>
        <w:tblStyle w:val="3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8" w:type="dxa"/>
          <w:left w:w="0" w:type="dxa"/>
          <w:bottom w:w="28" w:type="dxa"/>
          <w:right w:w="0" w:type="dxa"/>
        </w:tblCellMar>
      </w:tblPr>
      <w:tblGrid>
        <w:gridCol w:w="2304"/>
        <w:gridCol w:w="1704"/>
        <w:gridCol w:w="1145"/>
        <w:gridCol w:w="911"/>
        <w:gridCol w:w="911"/>
        <w:gridCol w:w="911"/>
        <w:gridCol w:w="9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40" w:hRule="exact"/>
          <w:jc w:val="center"/>
        </w:trPr>
        <w:tc>
          <w:tcPr>
            <w:tcW w:w="2277" w:type="pct"/>
            <w:gridSpan w:val="2"/>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距路边距离（m）</w:t>
            </w:r>
          </w:p>
        </w:tc>
        <w:tc>
          <w:tcPr>
            <w:tcW w:w="651"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50</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40" w:hRule="exact"/>
          <w:jc w:val="center"/>
        </w:trPr>
        <w:tc>
          <w:tcPr>
            <w:tcW w:w="1309" w:type="pct"/>
            <w:vMerge w:val="restar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TSP浓度</w:t>
            </w:r>
          </w:p>
        </w:tc>
        <w:tc>
          <w:tcPr>
            <w:tcW w:w="96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不洒水</w:t>
            </w:r>
          </w:p>
        </w:tc>
        <w:tc>
          <w:tcPr>
            <w:tcW w:w="651"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11.03</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2.89</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1.15</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0.86</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40" w:hRule="exact"/>
          <w:jc w:val="center"/>
        </w:trPr>
        <w:tc>
          <w:tcPr>
            <w:tcW w:w="1309" w:type="pct"/>
            <w:vMerge w:val="continue"/>
            <w:tcBorders>
              <w:tl2br w:val="nil"/>
              <w:tr2bl w:val="nil"/>
            </w:tcBorders>
            <w:tcMar>
              <w:top w:w="0" w:type="dxa"/>
              <w:bottom w:w="0" w:type="dxa"/>
            </w:tcMar>
            <w:vAlign w:val="center"/>
          </w:tcPr>
          <w:p>
            <w:pPr>
              <w:pStyle w:val="232"/>
              <w:rPr>
                <w:color w:val="000000" w:themeColor="text1"/>
                <w14:textFill>
                  <w14:solidFill>
                    <w14:schemeClr w14:val="tx1"/>
                  </w14:solidFill>
                </w14:textFill>
              </w:rPr>
            </w:pPr>
          </w:p>
        </w:tc>
        <w:tc>
          <w:tcPr>
            <w:tcW w:w="96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洒水</w:t>
            </w:r>
          </w:p>
        </w:tc>
        <w:tc>
          <w:tcPr>
            <w:tcW w:w="651"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2.11</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1.40</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0.68</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0.60</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40" w:hRule="exact"/>
          <w:jc w:val="center"/>
        </w:trPr>
        <w:tc>
          <w:tcPr>
            <w:tcW w:w="2277" w:type="pct"/>
            <w:gridSpan w:val="2"/>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降尘效果（%）</w:t>
            </w:r>
          </w:p>
        </w:tc>
        <w:tc>
          <w:tcPr>
            <w:tcW w:w="651"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80.2</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51.6</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41.7</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30.2</w:t>
            </w:r>
          </w:p>
        </w:tc>
        <w:tc>
          <w:tcPr>
            <w:tcW w:w="518" w:type="pct"/>
            <w:tcBorders>
              <w:tl2br w:val="nil"/>
              <w:tr2bl w:val="nil"/>
            </w:tcBorders>
            <w:tcMar>
              <w:top w:w="0" w:type="dxa"/>
              <w:bottom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48.2</w:t>
            </w:r>
          </w:p>
        </w:tc>
      </w:tr>
    </w:tbl>
    <w:p>
      <w:pPr>
        <w:ind w:firstLine="480"/>
      </w:pPr>
      <w:r>
        <w:t>从</w:t>
      </w:r>
      <w:r>
        <w:rPr>
          <w:rFonts w:hint="eastAsia"/>
        </w:rPr>
        <w:t>上表</w:t>
      </w:r>
      <w:r>
        <w:t>可知，洒水抑尘可以使扬尘在20~50m的距离内达到《大气污染物综合排放标准》（GB16297-1996）中无组织排放监控浓度限值要求的1.0mg/m3（周界外浓度最高点）。</w:t>
      </w:r>
    </w:p>
    <w:p>
      <w:pPr>
        <w:ind w:firstLine="480"/>
      </w:pPr>
      <w:r>
        <w:rPr>
          <w:rFonts w:hint="eastAsia"/>
        </w:rPr>
        <w:t>（2）</w:t>
      </w:r>
      <w:r>
        <w:t>车辆行驶扬尘</w:t>
      </w:r>
    </w:p>
    <w:p>
      <w:pPr>
        <w:ind w:firstLine="480"/>
      </w:pPr>
      <w:r>
        <w:t>根据有关文献资料介绍，施工过程中，车辆行驶产生的扬尘占总扬尘的60%以上。</w:t>
      </w:r>
    </w:p>
    <w:p>
      <w:pPr>
        <w:ind w:firstLine="480"/>
        <w:rPr>
          <w:color w:val="000000" w:themeColor="text1"/>
          <w14:textFill>
            <w14:solidFill>
              <w14:schemeClr w14:val="tx1"/>
            </w14:solidFill>
          </w14:textFill>
        </w:rPr>
      </w:pPr>
      <w:r>
        <w:t>车辆行驶产生的扬尘，在完全干燥的情况下，可按以下经验公式计算：</w:t>
      </w:r>
    </w:p>
    <w:p>
      <w:pPr>
        <w:ind w:firstLine="0" w:firstLineChars="0"/>
        <w:jc w:val="center"/>
        <w:rPr>
          <w:color w:val="000000" w:themeColor="text1"/>
          <w14:textFill>
            <w14:solidFill>
              <w14:schemeClr w14:val="tx1"/>
            </w14:solidFill>
          </w14:textFill>
        </w:rPr>
      </w:pPr>
      <w:r>
        <w:rPr>
          <w:color w:val="000000" w:themeColor="text1"/>
          <w:position w:val="-28"/>
          <w14:textFill>
            <w14:solidFill>
              <w14:schemeClr w14:val="tx1"/>
            </w14:solidFill>
          </w14:textFill>
        </w:rPr>
        <w:object>
          <v:shape id="_x0000_i1026" o:spt="75" type="#_x0000_t75" style="height:36pt;width:155.4pt;" o:ole="t" filled="f" o:preferrelative="t" stroked="f" coordsize="21600,21600">
            <v:path/>
            <v:fill on="f" focussize="0,0"/>
            <v:stroke on="f" joinstyle="miter"/>
            <v:imagedata r:id="rId61" o:title=""/>
            <o:lock v:ext="edit" aspectratio="t"/>
            <w10:wrap type="none"/>
            <w10:anchorlock/>
          </v:shape>
          <o:OLEObject Type="Embed" ProgID="Equation.3" ShapeID="_x0000_i1026" DrawAspect="Content" ObjectID="_1468075726" r:id="rId60">
            <o:LockedField>false</o:LockedField>
          </o:OLEObject>
        </w:objec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式中：</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Q—汽车行驶的扬尘量，kg/km·辆；</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V—汽车速度，km/h；</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W—汽车载重量，T；</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P—道路表面粉尘量，kg/m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下表</w:t>
      </w:r>
      <w:r>
        <w:rPr>
          <w:color w:val="000000" w:themeColor="text1"/>
          <w14:textFill>
            <w14:solidFill>
              <w14:schemeClr w14:val="tx1"/>
            </w14:solidFill>
          </w14:textFill>
        </w:rPr>
        <w:t>为一辆10t卡车，通过一段长为1km的路面时，不同路面清洁程度，不同行驶速度情况下的扬尘量</w:t>
      </w:r>
      <w:r>
        <w:rPr>
          <w:rFonts w:hint="eastAsia"/>
          <w:color w:val="000000" w:themeColor="text1"/>
          <w14:textFill>
            <w14:solidFill>
              <w14:schemeClr w14:val="tx1"/>
            </w14:solidFill>
          </w14:textFill>
        </w:rPr>
        <w:t>。</w:t>
      </w:r>
    </w:p>
    <w:p>
      <w:pPr>
        <w:pStyle w:val="6"/>
      </w:pPr>
      <w:r>
        <w:t>表</w:t>
      </w:r>
      <w:r>
        <w:rPr>
          <w:rFonts w:hint="eastAsia"/>
        </w:rPr>
        <w:t xml:space="preserve">5.1.1-3   </w:t>
      </w:r>
      <w:r>
        <w:t>在不同车速和地面清洁程度的汽车扬尘量单位：kg/km·辆</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0" w:type="dxa"/>
          <w:bottom w:w="28" w:type="dxa"/>
          <w:right w:w="0" w:type="dxa"/>
        </w:tblCellMar>
      </w:tblPr>
      <w:tblGrid>
        <w:gridCol w:w="2131"/>
        <w:gridCol w:w="1112"/>
        <w:gridCol w:w="1111"/>
        <w:gridCol w:w="1111"/>
        <w:gridCol w:w="1111"/>
        <w:gridCol w:w="1111"/>
        <w:gridCol w:w="1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0" w:type="dxa"/>
            <w:bottom w:w="28" w:type="dxa"/>
            <w:right w:w="0" w:type="dxa"/>
          </w:tblCellMar>
        </w:tblPrEx>
        <w:trPr>
          <w:jc w:val="center"/>
        </w:trPr>
        <w:tc>
          <w:tcPr>
            <w:tcW w:w="1210"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P（</w:t>
            </w:r>
            <w:r>
              <w:rPr>
                <w:color w:val="000000" w:themeColor="text1"/>
                <w14:textFill>
                  <w14:solidFill>
                    <w14:schemeClr w14:val="tx1"/>
                  </w14:solidFill>
                </w14:textFill>
              </w:rPr>
              <w:t>kg/m</w:t>
            </w:r>
            <w:r>
              <w:rPr>
                <w:color w:val="000000" w:themeColor="text1"/>
                <w:vertAlign w:val="superscript"/>
                <w14:textFill>
                  <w14:solidFill>
                    <w14:schemeClr w14:val="tx1"/>
                  </w14:solidFill>
                </w14:textFill>
              </w:rPr>
              <w:t>2</w:t>
            </w:r>
            <w:r>
              <w:rPr>
                <w:color w:val="000000" w:themeColor="text1"/>
                <w:lang w:val="en-GB"/>
                <w14:textFill>
                  <w14:solidFill>
                    <w14:schemeClr w14:val="tx1"/>
                  </w14:solidFill>
                </w14:textFill>
              </w:rPr>
              <w:t>）</w:t>
            </w:r>
          </w:p>
          <w:p>
            <w:pPr>
              <w:pStyle w:val="232"/>
              <w:jc w:val="both"/>
              <w:rPr>
                <w:color w:val="000000" w:themeColor="text1"/>
                <w:lang w:val="en-GB"/>
                <w14:textFill>
                  <w14:solidFill>
                    <w14:schemeClr w14:val="tx1"/>
                  </w14:solidFill>
                </w14:textFill>
              </w:rPr>
            </w:pPr>
            <w:r>
              <w:rPr>
                <w:color w:val="000000" w:themeColor="text1"/>
                <w:lang w:val="en-GB"/>
                <w14:textFill>
                  <w14:solidFill>
                    <w14:schemeClr w14:val="tx1"/>
                  </w14:solidFill>
                </w14:textFill>
              </w:rPr>
              <w:t>车速（km/h）</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0.1</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0.2</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0.3</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0.4</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0.5</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0" w:type="dxa"/>
            <w:bottom w:w="28" w:type="dxa"/>
            <w:right w:w="0" w:type="dxa"/>
          </w:tblCellMar>
        </w:tblPrEx>
        <w:trPr>
          <w:jc w:val="center"/>
        </w:trPr>
        <w:tc>
          <w:tcPr>
            <w:tcW w:w="1210"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0.051</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0.086</w:t>
            </w:r>
          </w:p>
        </w:tc>
        <w:tc>
          <w:tcPr>
            <w:tcW w:w="632" w:type="pct"/>
            <w:tcBorders>
              <w:tl2br w:val="nil"/>
              <w:tr2bl w:val="nil"/>
            </w:tcBorders>
            <w:tcMar>
              <w:top w:w="0" w:type="dxa"/>
              <w:left w:w="0" w:type="dxa"/>
              <w:bottom w:w="0" w:type="dxa"/>
              <w:right w:w="0" w:type="dxa"/>
            </w:tcMar>
            <w:vAlign w:val="center"/>
          </w:tcPr>
          <w:p>
            <w:pPr>
              <w:pStyle w:val="232"/>
              <w:rPr>
                <w:color w:val="000000" w:themeColor="text1"/>
                <w:lang w:val="en-GB"/>
                <w14:textFill>
                  <w14:solidFill>
                    <w14:schemeClr w14:val="tx1"/>
                  </w14:solidFill>
                </w14:textFill>
              </w:rPr>
            </w:pPr>
            <w:r>
              <w:rPr>
                <w:color w:val="000000" w:themeColor="text1"/>
                <w:lang w:val="en-GB"/>
                <w14:textFill>
                  <w14:solidFill>
                    <w14:schemeClr w14:val="tx1"/>
                  </w14:solidFill>
                </w14:textFill>
              </w:rPr>
              <w:t>0.116</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0.144</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0.171</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0" w:type="dxa"/>
            <w:bottom w:w="28" w:type="dxa"/>
            <w:right w:w="0" w:type="dxa"/>
          </w:tblCellMar>
        </w:tblPrEx>
        <w:trPr>
          <w:jc w:val="center"/>
        </w:trPr>
        <w:tc>
          <w:tcPr>
            <w:tcW w:w="1210"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10</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0.102</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0.171</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0.232</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0.289</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0.341</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0" w:type="dxa"/>
            <w:bottom w:w="28" w:type="dxa"/>
            <w:right w:w="0" w:type="dxa"/>
          </w:tblCellMar>
        </w:tblPrEx>
        <w:trPr>
          <w:jc w:val="center"/>
        </w:trPr>
        <w:tc>
          <w:tcPr>
            <w:tcW w:w="1210"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15</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0.153</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0.257</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0.349</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0.433</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0.512</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0" w:type="dxa"/>
            <w:bottom w:w="28" w:type="dxa"/>
            <w:right w:w="0" w:type="dxa"/>
          </w:tblCellMar>
        </w:tblPrEx>
        <w:trPr>
          <w:jc w:val="center"/>
        </w:trPr>
        <w:tc>
          <w:tcPr>
            <w:tcW w:w="1210"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20</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0.255</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0.429</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0.582</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0.722</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0.853</w:t>
            </w:r>
          </w:p>
        </w:tc>
        <w:tc>
          <w:tcPr>
            <w:tcW w:w="632" w:type="pct"/>
            <w:tcBorders>
              <w:tl2br w:val="nil"/>
              <w:tr2bl w:val="nil"/>
            </w:tcBorders>
            <w:tcMar>
              <w:top w:w="0" w:type="dxa"/>
              <w:left w:w="0" w:type="dxa"/>
              <w:bottom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1.435</w:t>
            </w:r>
          </w:p>
        </w:tc>
      </w:tr>
    </w:tbl>
    <w:p>
      <w:pPr>
        <w:ind w:firstLine="480"/>
      </w:pPr>
      <w:r>
        <w:t>从</w:t>
      </w:r>
      <w:r>
        <w:rPr>
          <w:rFonts w:hint="eastAsia"/>
        </w:rPr>
        <w:t>上</w:t>
      </w:r>
      <w:r>
        <w:t>表可见，在同样的路面条件下，车速越快，扬尘量越大，在同样的车速情况下，路面粉尘越大，扬尘量越大。因此，限制施工车辆速度和保持路面清洁是减小扬尘的有效手段。</w:t>
      </w:r>
    </w:p>
    <w:p>
      <w:pPr>
        <w:ind w:firstLine="480"/>
      </w:pPr>
      <w:r>
        <w:rPr>
          <w:rFonts w:hint="eastAsia"/>
        </w:rPr>
        <w:t>项目在施工过程中对车辆加盖苫布及减速慢行之后，对运输道路两侧环境空气影响较小。</w:t>
      </w:r>
    </w:p>
    <w:p>
      <w:pPr>
        <w:pStyle w:val="5"/>
      </w:pPr>
      <w:r>
        <w:rPr>
          <w:rFonts w:hint="eastAsia"/>
        </w:rPr>
        <w:t>施工期焊接烟尘的影响</w:t>
      </w:r>
    </w:p>
    <w:p>
      <w:pPr>
        <w:ind w:firstLine="480"/>
      </w:pPr>
      <w:r>
        <w:rPr>
          <w:rFonts w:hint="eastAsia"/>
        </w:rPr>
        <w:t>本项目施工在进行设备固定、辅助设施建设过程会采取焊接工艺，焊接过程中会有少量焊接烟尘和烟气产生。焊接烟尘是由金属及非金属物质在过热条件下产生的蒸气经氧化和冷凝而形成的，其成分主要取决于焊接材料（焊丝、焊条、焊剂）成分及其蒸发的难易，焊接烟尘的产生量主要取决于焊料的材质和焊接方式。项目焊接工艺主要为二氧化碳焊，对焊接场所加强通风，产生的焊接烟尘对大气环境影响较小。</w:t>
      </w:r>
    </w:p>
    <w:p>
      <w:pPr>
        <w:pStyle w:val="5"/>
      </w:pPr>
      <w:r>
        <w:rPr>
          <w:rFonts w:hint="eastAsia"/>
        </w:rPr>
        <w:t>施工机械废气</w:t>
      </w:r>
    </w:p>
    <w:p>
      <w:pPr>
        <w:ind w:firstLine="480"/>
      </w:pPr>
      <w:r>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NO</w:t>
      </w:r>
      <w:r>
        <w:rPr>
          <w:rFonts w:hint="eastAsia"/>
        </w:rPr>
        <w:t>x</w:t>
      </w:r>
      <w:r>
        <w:t>、CO、CmHn等大气污染物，且随着车辆行驶形成流动污染源，对区域环境空气造成污染。施工过程中应加强施工机械和车辆的维护保养，由于施工机械和运输车辆等排放的废气产生量较小，项目拟建地较开阔，空气流动性好，废气扩散快，对当地的空气环境影响较</w:t>
      </w:r>
      <w:r>
        <w:rPr>
          <w:rFonts w:hint="eastAsia"/>
        </w:rPr>
        <w:t>小。</w:t>
      </w:r>
    </w:p>
    <w:p>
      <w:pPr>
        <w:ind w:firstLine="480"/>
      </w:pPr>
      <w:r>
        <w:rPr>
          <w:rFonts w:hint="eastAsia"/>
        </w:rPr>
        <w:t>根据同类工程的施工资料，燃油废气对大气影响很小，施工对环境空气质量的影响是临时的，只限于施工期内，施工结束后，影响随之消失。</w:t>
      </w:r>
    </w:p>
    <w:p>
      <w:pPr>
        <w:ind w:firstLine="480"/>
      </w:pPr>
      <w:r>
        <w:rPr>
          <w:rFonts w:hint="eastAsia"/>
        </w:rPr>
        <w:t>机械尾气</w:t>
      </w:r>
      <w:r>
        <w:t>防治措施</w:t>
      </w:r>
      <w:r>
        <w:rPr>
          <w:rFonts w:hint="eastAsia"/>
        </w:rPr>
        <w:t>：</w:t>
      </w:r>
    </w:p>
    <w:p>
      <w:pPr>
        <w:ind w:firstLine="480"/>
      </w:pPr>
      <w:r>
        <w:rPr>
          <w:rFonts w:hint="eastAsia"/>
        </w:rPr>
        <w:t>（1）禁止使用尾气污染物超标排放机动车；</w:t>
      </w:r>
    </w:p>
    <w:p>
      <w:pPr>
        <w:ind w:firstLine="480"/>
      </w:pPr>
      <w:r>
        <w:rPr>
          <w:rFonts w:hint="eastAsia"/>
        </w:rPr>
        <w:t>（2）加强机动车的检测与维修，使在用车经常保持在良好的状态，以减少尾气污染物的排放；</w:t>
      </w:r>
    </w:p>
    <w:p>
      <w:pPr>
        <w:ind w:firstLine="480"/>
      </w:pPr>
      <w:r>
        <w:rPr>
          <w:rFonts w:hint="eastAsia"/>
        </w:rPr>
        <w:t>（3）施工车辆采用清洁柴油或汽油。</w:t>
      </w:r>
    </w:p>
    <w:p>
      <w:pPr>
        <w:pStyle w:val="4"/>
      </w:pPr>
      <w:r>
        <w:rPr>
          <w:rFonts w:hint="eastAsia"/>
        </w:rPr>
        <w:t>施工期废水影响分析</w:t>
      </w:r>
    </w:p>
    <w:p>
      <w:pPr>
        <w:ind w:firstLine="480"/>
      </w:pPr>
      <w:r>
        <w:t>施工废水主要来自施工人员少量生活污水和施工排水，排放的污染物主要为CODcr 和SS等。</w:t>
      </w:r>
    </w:p>
    <w:p>
      <w:pPr>
        <w:pStyle w:val="5"/>
      </w:pPr>
      <w:r>
        <w:rPr>
          <w:rFonts w:hint="eastAsia"/>
        </w:rPr>
        <w:t>施工期生活污水影响分析</w:t>
      </w:r>
    </w:p>
    <w:p>
      <w:pPr>
        <w:ind w:firstLine="480"/>
      </w:pPr>
      <w:r>
        <w:rPr>
          <w:rFonts w:hint="eastAsia"/>
        </w:rPr>
        <w:t>项目在施工期的水环境影响包括施工人员的生活污水。经估算施工期施工人员最多可达50人。按排放污水0.01m</w:t>
      </w:r>
      <w:r>
        <w:rPr>
          <w:rFonts w:hint="eastAsia"/>
          <w:vertAlign w:val="superscript"/>
        </w:rPr>
        <w:t>3</w:t>
      </w:r>
      <w:r>
        <w:rPr>
          <w:rFonts w:hint="eastAsia"/>
        </w:rPr>
        <w:t>/d.人计算，施工人员每天共排放生活污水5.0m</w:t>
      </w:r>
      <w:r>
        <w:rPr>
          <w:rFonts w:hint="eastAsia"/>
          <w:vertAlign w:val="superscript"/>
        </w:rPr>
        <w:t>3</w:t>
      </w:r>
      <w:r>
        <w:rPr>
          <w:rFonts w:hint="eastAsia"/>
        </w:rPr>
        <w:t>。</w:t>
      </w:r>
    </w:p>
    <w:p>
      <w:pPr>
        <w:ind w:firstLine="480"/>
      </w:pPr>
      <w:r>
        <w:rPr>
          <w:rFonts w:hint="eastAsia"/>
        </w:rPr>
        <w:t>类比同类型生活污水排放浓度，生活污水中污染物浓度为：COD350mg/L，BOD</w:t>
      </w:r>
      <w:r>
        <w:rPr>
          <w:rFonts w:hint="eastAsia"/>
          <w:vertAlign w:val="subscript"/>
        </w:rPr>
        <w:t>5</w:t>
      </w:r>
      <w:r>
        <w:rPr>
          <w:rFonts w:hint="eastAsia"/>
        </w:rPr>
        <w:t>250mg/L，SS300mg/L，NH</w:t>
      </w:r>
      <w:r>
        <w:rPr>
          <w:rFonts w:hint="eastAsia"/>
          <w:vertAlign w:val="subscript"/>
        </w:rPr>
        <w:t>3</w:t>
      </w:r>
      <w:r>
        <w:rPr>
          <w:rFonts w:hint="eastAsia"/>
        </w:rPr>
        <w:t>-N30mg/L。本项目施工期排放生活污水中主要污染物的排放量见表5.1.3-1。</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表5.1.3-1   </w:t>
      </w:r>
      <w:r>
        <w:rPr>
          <w:color w:val="000000" w:themeColor="text1"/>
          <w14:textFill>
            <w14:solidFill>
              <w14:schemeClr w14:val="tx1"/>
            </w14:solidFill>
          </w14:textFill>
        </w:rPr>
        <w:t>施工期生活污水排放的污染物高峰负荷</w:t>
      </w:r>
    </w:p>
    <w:tbl>
      <w:tblPr>
        <w:tblStyle w:val="38"/>
        <w:tblW w:w="900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4"/>
        <w:gridCol w:w="3088"/>
        <w:gridCol w:w="1201"/>
        <w:gridCol w:w="1201"/>
        <w:gridCol w:w="819"/>
        <w:gridCol w:w="1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54" w:type="dxa"/>
            <w:vMerge w:val="restar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tc>
          <w:tcPr>
            <w:tcW w:w="3088" w:type="dxa"/>
            <w:vMerge w:val="restart"/>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污水量（m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/d）</w:t>
            </w:r>
          </w:p>
        </w:tc>
        <w:tc>
          <w:tcPr>
            <w:tcW w:w="4761" w:type="dxa"/>
            <w:gridSpan w:val="4"/>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污染物污染负荷（kg/d）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54" w:type="dxa"/>
            <w:vMerge w:val="continue"/>
            <w:tcBorders>
              <w:tl2br w:val="nil"/>
              <w:tr2bl w:val="nil"/>
            </w:tcBorders>
            <w:vAlign w:val="center"/>
          </w:tcPr>
          <w:p>
            <w:pPr>
              <w:pStyle w:val="232"/>
              <w:rPr>
                <w:color w:val="000000" w:themeColor="text1"/>
                <w14:textFill>
                  <w14:solidFill>
                    <w14:schemeClr w14:val="tx1"/>
                  </w14:solidFill>
                </w14:textFill>
              </w:rPr>
            </w:pPr>
          </w:p>
        </w:tc>
        <w:tc>
          <w:tcPr>
            <w:tcW w:w="3088" w:type="dxa"/>
            <w:vMerge w:val="continue"/>
            <w:tcBorders>
              <w:tl2br w:val="nil"/>
              <w:tr2bl w:val="nil"/>
            </w:tcBorders>
            <w:vAlign w:val="center"/>
          </w:tcPr>
          <w:p>
            <w:pPr>
              <w:pStyle w:val="232"/>
              <w:rPr>
                <w:color w:val="000000" w:themeColor="text1"/>
                <w14:textFill>
                  <w14:solidFill>
                    <w14:schemeClr w14:val="tx1"/>
                  </w14:solidFill>
                </w14:textFill>
              </w:rPr>
            </w:pPr>
          </w:p>
        </w:tc>
        <w:tc>
          <w:tcPr>
            <w:tcW w:w="1201"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COD</w:t>
            </w:r>
          </w:p>
        </w:tc>
        <w:tc>
          <w:tcPr>
            <w:tcW w:w="1201"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BOD</w:t>
            </w:r>
            <w:r>
              <w:rPr>
                <w:rFonts w:hint="eastAsia"/>
                <w:color w:val="000000" w:themeColor="text1"/>
                <w:vertAlign w:val="subscript"/>
                <w14:textFill>
                  <w14:solidFill>
                    <w14:schemeClr w14:val="tx1"/>
                  </w14:solidFill>
                </w14:textFill>
              </w:rPr>
              <w:t>5</w:t>
            </w:r>
          </w:p>
        </w:tc>
        <w:tc>
          <w:tcPr>
            <w:tcW w:w="819"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SS</w:t>
            </w:r>
          </w:p>
        </w:tc>
        <w:tc>
          <w:tcPr>
            <w:tcW w:w="1540" w:type="dxa"/>
            <w:tcBorders>
              <w:tl2br w:val="nil"/>
              <w:tr2bl w:val="nil"/>
            </w:tcBorders>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54"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场区</w:t>
            </w:r>
          </w:p>
        </w:tc>
        <w:tc>
          <w:tcPr>
            <w:tcW w:w="3088"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w:t>
            </w:r>
          </w:p>
        </w:tc>
        <w:tc>
          <w:tcPr>
            <w:tcW w:w="1201"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1.75</w:t>
            </w:r>
          </w:p>
        </w:tc>
        <w:tc>
          <w:tcPr>
            <w:tcW w:w="1201"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1.25</w:t>
            </w:r>
          </w:p>
        </w:tc>
        <w:tc>
          <w:tcPr>
            <w:tcW w:w="819"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1540" w:type="dxa"/>
            <w:tcBorders>
              <w:tl2br w:val="nil"/>
              <w:tr2bl w:val="nil"/>
            </w:tcBorders>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0.15</w:t>
            </w:r>
          </w:p>
        </w:tc>
      </w:tr>
    </w:tbl>
    <w:p>
      <w:pPr>
        <w:ind w:firstLine="480"/>
        <w:rPr>
          <w:rFonts w:ascii="宋体" w:hAnsi="宋体" w:cs="宋体"/>
          <w:color w:val="000000" w:themeColor="text1"/>
          <w:kern w:val="0"/>
          <w14:textFill>
            <w14:solidFill>
              <w14:schemeClr w14:val="tx1"/>
            </w14:solidFill>
          </w14:textFill>
        </w:rPr>
      </w:pPr>
      <w:r>
        <w:rPr>
          <w:color w:val="000000" w:themeColor="text1"/>
          <w14:textFill>
            <w14:solidFill>
              <w14:schemeClr w14:val="tx1"/>
            </w14:solidFill>
          </w14:textFill>
        </w:rPr>
        <w:t>施工人员的生活污水中各污染物负荷量较小，</w:t>
      </w:r>
      <w:r>
        <w:rPr>
          <w:rFonts w:hint="eastAsia"/>
          <w:color w:val="000000" w:themeColor="text1"/>
          <w14:textFill>
            <w14:solidFill>
              <w14:schemeClr w14:val="tx1"/>
            </w14:solidFill>
          </w14:textFill>
        </w:rPr>
        <w:t>依托当地旱厕进行收集排放，施工</w:t>
      </w:r>
      <w:r>
        <w:rPr>
          <w:rFonts w:ascii="宋体" w:hAnsi="宋体" w:cs="宋体"/>
          <w:color w:val="000000" w:themeColor="text1"/>
          <w:kern w:val="0"/>
          <w14:textFill>
            <w14:solidFill>
              <w14:schemeClr w14:val="tx1"/>
            </w14:solidFill>
          </w14:textFill>
        </w:rPr>
        <w:t>结束后其影响也就随之消除，对水环境影响很小。</w:t>
      </w:r>
    </w:p>
    <w:p>
      <w:pPr>
        <w:pStyle w:val="5"/>
      </w:pPr>
      <w:r>
        <w:rPr>
          <w:rFonts w:hint="eastAsia"/>
        </w:rPr>
        <w:t>施工废水影响分析</w:t>
      </w:r>
    </w:p>
    <w:p>
      <w:pPr>
        <w:ind w:firstLine="480"/>
      </w:pPr>
      <w:r>
        <w:rPr>
          <w:rFonts w:hint="eastAsia"/>
        </w:rPr>
        <w:t>施工期生产废水包括砂石料加工冲洗水、机械维修养护废水。</w:t>
      </w:r>
    </w:p>
    <w:p>
      <w:pPr>
        <w:ind w:firstLine="480"/>
      </w:pPr>
      <w:r>
        <w:rPr>
          <w:rFonts w:hint="eastAsia"/>
        </w:rPr>
        <w:t>砂石料加工废水污染物以SS为主，浓度预计约10000mg/L，经集中收集并沉淀处理后可重新回用作为砂石料加工冲洗水。项目施工场地不设置机械、车辆维修点，不产生机械维修养护废水，车辆和设备冲洗在专有场地进行冲洗，并建临时处理系统，产生的废水经隔油、沉淀处理后回用。</w:t>
      </w:r>
    </w:p>
    <w:p>
      <w:pPr>
        <w:ind w:firstLine="480"/>
      </w:pPr>
      <w:r>
        <w:rPr>
          <w:rFonts w:hint="eastAsia"/>
        </w:rPr>
        <w:t>因此，施工期生产废水均在施工场地循环利用，不外排，对水环境影响较小。</w:t>
      </w:r>
    </w:p>
    <w:p>
      <w:pPr>
        <w:pStyle w:val="4"/>
      </w:pPr>
      <w:r>
        <w:rPr>
          <w:rFonts w:hint="eastAsia"/>
        </w:rPr>
        <w:t>施工期噪声影响分析</w:t>
      </w:r>
    </w:p>
    <w:p>
      <w:pPr>
        <w:ind w:firstLine="480"/>
      </w:pPr>
      <w:r>
        <w:t>施工期噪声主要指建筑施工噪声和交通运输噪声两类。</w:t>
      </w:r>
    </w:p>
    <w:p>
      <w:pPr>
        <w:ind w:firstLine="480"/>
      </w:pPr>
      <w:r>
        <w:t>在施工过程中，各种施工机械设备的运转以及各类车辆的运行将不可避免地产生噪声污染，各种施工机械、运输车辆等均属噪声源。</w:t>
      </w:r>
      <w:r>
        <w:rPr>
          <w:rFonts w:hint="eastAsia"/>
        </w:rPr>
        <w:t>常使用的施工机械有挖掘机、装载机、混凝土搅拌机、振捣棒、吊车、电锯、运输车辆等设备，</w:t>
      </w:r>
      <w:r>
        <w:t>在正常情况下这些设备产生的声压级在80～95dB(A)的之间，且施工期间</w:t>
      </w:r>
      <w:r>
        <w:rPr>
          <w:rFonts w:hint="eastAsia"/>
        </w:rPr>
        <w:t>噪声</w:t>
      </w:r>
      <w:r>
        <w:t>源都处于露天状态，按声源距离衰减公式计算，以不利状态95dB(A)施工噪声计算，施工期间噪声影响范围见表</w:t>
      </w:r>
      <w:r>
        <w:rPr>
          <w:rFonts w:hint="eastAsia"/>
        </w:rPr>
        <w:t>5.1.3-1</w:t>
      </w:r>
      <w:r>
        <w:t>。</w:t>
      </w:r>
    </w:p>
    <w:p>
      <w:pPr>
        <w:pStyle w:val="6"/>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 xml:space="preserve">1    </w:t>
      </w:r>
      <w:r>
        <w:rPr>
          <w:color w:val="000000" w:themeColor="text1"/>
          <w14:textFill>
            <w14:solidFill>
              <w14:schemeClr w14:val="tx1"/>
            </w14:solidFill>
          </w14:textFill>
        </w:rPr>
        <w:t>施工噪声影响范围单位：dB(A)</w:t>
      </w:r>
    </w:p>
    <w:tbl>
      <w:tblPr>
        <w:tblStyle w:val="3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9"/>
        <w:gridCol w:w="807"/>
        <w:gridCol w:w="807"/>
        <w:gridCol w:w="807"/>
        <w:gridCol w:w="807"/>
        <w:gridCol w:w="807"/>
        <w:gridCol w:w="952"/>
        <w:gridCol w:w="952"/>
        <w:gridCol w:w="952"/>
        <w:gridCol w:w="9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3"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预测点</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30m</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50m</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60m</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70m</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80m</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100m</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120m</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140m</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180m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3"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预测值</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65.5</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61.0</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59.4</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58.1</w:t>
            </w:r>
          </w:p>
        </w:tc>
        <w:tc>
          <w:tcPr>
            <w:tcW w:w="44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56.9</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55</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53.4</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52.1</w:t>
            </w:r>
          </w:p>
        </w:tc>
        <w:tc>
          <w:tcPr>
            <w:tcW w:w="528" w:type="pct"/>
            <w:vAlign w:val="center"/>
          </w:tcPr>
          <w:p>
            <w:pPr>
              <w:pStyle w:val="232"/>
              <w:rPr>
                <w:color w:val="000000" w:themeColor="text1"/>
                <w:szCs w:val="24"/>
                <w14:textFill>
                  <w14:solidFill>
                    <w14:schemeClr w14:val="tx1"/>
                  </w14:solidFill>
                </w14:textFill>
              </w:rPr>
            </w:pPr>
            <w:r>
              <w:rPr>
                <w:color w:val="000000" w:themeColor="text1"/>
                <w14:textFill>
                  <w14:solidFill>
                    <w14:schemeClr w14:val="tx1"/>
                  </w14:solidFill>
                </w14:textFill>
              </w:rPr>
              <w:t>49.9</w:t>
            </w:r>
          </w:p>
        </w:tc>
      </w:tr>
    </w:tbl>
    <w:p>
      <w:pPr>
        <w:ind w:firstLine="480"/>
        <w:rPr>
          <w:color w:val="000000" w:themeColor="text1"/>
          <w14:textFill>
            <w14:solidFill>
              <w14:schemeClr w14:val="tx1"/>
            </w14:solidFill>
          </w14:textFill>
        </w:rPr>
      </w:pPr>
      <w:r>
        <w:rPr>
          <w:color w:val="000000" w:themeColor="text1"/>
          <w14:textFill>
            <w14:solidFill>
              <w14:schemeClr w14:val="tx1"/>
            </w14:solidFill>
          </w14:textFill>
        </w:rPr>
        <w:t>由表可见，在距源50m以外即低于昼间65dB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的标准限值，距源120m即可低于夜间55dB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的标准限值。本工程建设施工过程中噪声的影响主要在厂界内，对外环境造成影响比较小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属于可以接受水平。</w:t>
      </w:r>
    </w:p>
    <w:p>
      <w:pPr>
        <w:pStyle w:val="4"/>
      </w:pPr>
      <w:r>
        <w:rPr>
          <w:rFonts w:hint="eastAsia"/>
          <w:lang w:val="en-US" w:eastAsia="zh-CN"/>
        </w:rPr>
        <w:t>施工期土壤环境影响分析</w:t>
      </w:r>
    </w:p>
    <w:p>
      <w:pPr>
        <w:rPr>
          <w:rFonts w:hint="default"/>
          <w:lang w:val="en-US"/>
        </w:rPr>
      </w:pPr>
      <w:r>
        <w:rPr>
          <w:rFonts w:hint="eastAsia"/>
          <w:lang w:val="en-US" w:eastAsia="zh-CN"/>
        </w:rPr>
        <w:t>本项目施工期对土壤的影响主要为</w:t>
      </w:r>
      <w:r>
        <w:rPr>
          <w:rFonts w:hint="eastAsia"/>
          <w:color w:val="FF0000"/>
        </w:rPr>
        <w:t>利用粉煤灰掺合石灰、粉土作建筑地基填料</w:t>
      </w:r>
      <w:r>
        <w:rPr>
          <w:rFonts w:hint="eastAsia"/>
          <w:color w:val="FF0000"/>
          <w:lang w:val="en-US" w:eastAsia="zh-CN"/>
        </w:rPr>
        <w:t>时，建设期场地防渗膜破损，溶淋水泄漏以地表漫流及垂直入渗方式污染土壤环境。</w:t>
      </w:r>
    </w:p>
    <w:p>
      <w:pPr>
        <w:rPr>
          <w:rFonts w:hint="default" w:eastAsia="宋体"/>
          <w:color w:val="FF0000"/>
          <w:lang w:val="en-US" w:eastAsia="zh-CN"/>
        </w:rPr>
      </w:pPr>
      <w:r>
        <w:rPr>
          <w:rFonts w:hint="default" w:eastAsia="宋体"/>
          <w:color w:val="FF0000"/>
          <w:lang w:val="en-US" w:eastAsia="zh-CN"/>
        </w:rPr>
        <w:t>本项目主要填埋内蒙古联邦制药有限公司自备电厂运行过程中产生的粉煤灰以及石灰等，则假定本项目施工期间防渗膜破损，泄漏的溶淋水以地表漫流方式污染土壤环境，泄露后污染物 pH 在周边土壤中的增加量微乎其微，pH 仍然维持土壤现状水平。只要建设单位按要求进行防渗处理，</w:t>
      </w:r>
      <w:r>
        <w:rPr>
          <w:rFonts w:hint="eastAsia"/>
          <w:color w:val="FF0000"/>
          <w:lang w:val="en-US" w:eastAsia="zh-CN"/>
        </w:rPr>
        <w:t>其中</w:t>
      </w:r>
      <w:r>
        <w:rPr>
          <w:rFonts w:hint="default" w:eastAsia="宋体"/>
          <w:color w:val="FF0000"/>
          <w:lang w:val="en-US" w:eastAsia="zh-CN"/>
        </w:rPr>
        <w:t>HDPE 膜由多种高分子材料复合而成，具有耐酸碱、耐腐蚀、抗老化等特点，能够有效隔离和防止地下水、土壤、废水等物质的渗透和渗出，达到防渗和环保的目的。本次要求</w:t>
      </w:r>
      <w:r>
        <w:rPr>
          <w:rFonts w:hint="eastAsia"/>
          <w:color w:val="FF0000"/>
          <w:lang w:val="en-US" w:eastAsia="zh-CN"/>
        </w:rPr>
        <w:t>施工过程中避免对场地防渗膜的损害，</w:t>
      </w:r>
      <w:r>
        <w:rPr>
          <w:rFonts w:hint="default" w:eastAsia="宋体"/>
          <w:color w:val="FF0000"/>
          <w:lang w:val="en-US" w:eastAsia="zh-CN"/>
        </w:rPr>
        <w:t>防止发生溶淋水泄漏事故，并做好防范措施，则本项目不会对项目区土壤环境造成影响。</w:t>
      </w:r>
    </w:p>
    <w:p>
      <w:pPr>
        <w:pStyle w:val="4"/>
      </w:pPr>
      <w:r>
        <w:rPr>
          <w:rFonts w:hint="eastAsia"/>
        </w:rPr>
        <w:t>施工期固废影响分析</w:t>
      </w:r>
    </w:p>
    <w:p>
      <w:pPr>
        <w:ind w:firstLine="480"/>
        <w:rPr>
          <w:color w:val="000000" w:themeColor="text1"/>
          <w:spacing w:val="-2"/>
          <w14:textFill>
            <w14:solidFill>
              <w14:schemeClr w14:val="tx1"/>
            </w14:solidFill>
          </w14:textFill>
        </w:rPr>
      </w:pPr>
      <w:r>
        <w:rPr>
          <w:rFonts w:hAnsi="宋体"/>
          <w:color w:val="000000" w:themeColor="text1"/>
          <w14:textFill>
            <w14:solidFill>
              <w14:schemeClr w14:val="tx1"/>
            </w14:solidFill>
          </w14:textFill>
        </w:rPr>
        <w:t>施工期的固体废物包括建筑废料以及</w:t>
      </w:r>
      <w:r>
        <w:rPr>
          <w:rFonts w:hint="eastAsia" w:hAnsi="宋体"/>
          <w:color w:val="000000" w:themeColor="text1"/>
          <w14:textFill>
            <w14:solidFill>
              <w14:schemeClr w14:val="tx1"/>
            </w14:solidFill>
          </w14:textFill>
        </w:rPr>
        <w:t>施工人员生活垃圾</w:t>
      </w:r>
      <w:r>
        <w:rPr>
          <w:rFonts w:hint="eastAsia"/>
          <w:color w:val="000000" w:themeColor="text1"/>
          <w14:textFill>
            <w14:solidFill>
              <w14:schemeClr w14:val="tx1"/>
            </w14:solidFill>
          </w14:textFill>
        </w:rPr>
        <w:t>。建筑弃渣尽量回收利用，不可利用的少量建筑垃圾往政府指定的渣场处理；</w:t>
      </w:r>
      <w:r>
        <w:rPr>
          <w:color w:val="000000" w:themeColor="text1"/>
          <w:spacing w:val="-2"/>
          <w14:textFill>
            <w14:solidFill>
              <w14:schemeClr w14:val="tx1"/>
            </w14:solidFill>
          </w14:textFill>
        </w:rPr>
        <w:t>生活垃圾</w:t>
      </w:r>
      <w:r>
        <w:rPr>
          <w:rFonts w:hint="eastAsia"/>
          <w:color w:val="000000" w:themeColor="text1"/>
          <w:spacing w:val="-2"/>
          <w14:textFill>
            <w14:solidFill>
              <w14:schemeClr w14:val="tx1"/>
            </w14:solidFill>
          </w14:textFill>
        </w:rPr>
        <w:t>经分类收集后清运到指定地点委托丰裕办事处环卫部门集中处理。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针对施工期固废，本次评价要求采取如下污染防治措施：</w:t>
      </w:r>
    </w:p>
    <w:p>
      <w:pPr>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r>
        <w:rPr>
          <w:color w:val="000000" w:themeColor="text1"/>
          <w14:textFill>
            <w14:solidFill>
              <w14:schemeClr w14:val="tx1"/>
            </w14:solidFill>
          </w14:textFill>
        </w:rPr>
        <w:t>根据施工产生的工程垃圾和渣土的量，分类管理，可利用的渣土尽量在场内周转，就地利用，</w:t>
      </w:r>
      <w:r>
        <w:rPr>
          <w:rFonts w:hint="eastAsia"/>
          <w:color w:val="000000" w:themeColor="text1"/>
          <w14:textFill>
            <w14:solidFill>
              <w14:schemeClr w14:val="tx1"/>
            </w14:solidFill>
          </w14:textFill>
        </w:rPr>
        <w:t>不可利用的及时清运，</w:t>
      </w:r>
      <w:r>
        <w:rPr>
          <w:color w:val="000000" w:themeColor="text1"/>
          <w14:textFill>
            <w14:solidFill>
              <w14:schemeClr w14:val="tx1"/>
            </w14:solidFill>
          </w14:textFill>
        </w:rPr>
        <w:t>以防污染周围水体水质和影响周围环境卫生；</w:t>
      </w:r>
    </w:p>
    <w:p>
      <w:pPr>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w:t>
      </w:r>
      <w:r>
        <w:rPr>
          <w:color w:val="000000" w:themeColor="text1"/>
          <w14:textFill>
            <w14:solidFill>
              <w14:schemeClr w14:val="tx1"/>
            </w14:solidFill>
          </w14:textFill>
        </w:rPr>
        <w:t>车辆运输散体物料和废物时，必须密闭、包扎、覆盖，不得沿途漏撒；运载土方的车辆必须在规定时间内，按指定路段行驶；</w:t>
      </w:r>
    </w:p>
    <w:p>
      <w:pPr>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r>
        <w:rPr>
          <w:color w:val="000000" w:themeColor="text1"/>
          <w14:textFill>
            <w14:solidFill>
              <w14:schemeClr w14:val="tx1"/>
            </w14:solidFill>
          </w14:textFill>
        </w:rPr>
        <w:t>生活垃圾与建筑垃圾分开，将生活垃圾收集后</w:t>
      </w:r>
      <w:r>
        <w:rPr>
          <w:rFonts w:hint="eastAsia"/>
          <w:color w:val="000000" w:themeColor="text1"/>
          <w14:textFill>
            <w14:solidFill>
              <w14:schemeClr w14:val="tx1"/>
            </w14:solidFill>
          </w14:textFill>
        </w:rPr>
        <w:t>清运到指定地点集中处理</w:t>
      </w:r>
      <w:r>
        <w:rPr>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r>
        <w:rPr>
          <w:color w:val="000000" w:themeColor="text1"/>
          <w14:textFill>
            <w14:solidFill>
              <w14:schemeClr w14:val="tx1"/>
            </w14:solidFill>
          </w14:textFill>
        </w:rPr>
        <w:t>在工程竣工以后，施工单位应立即拆除各种临时施工设施，并负责将工地的剩余建筑垃圾、工程渣土处理干净。</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（5）生活垃圾</w:t>
      </w:r>
      <w:r>
        <w:rPr>
          <w:color w:val="000000" w:themeColor="text1"/>
          <w14:textFill>
            <w14:solidFill>
              <w14:schemeClr w14:val="tx1"/>
            </w14:solidFill>
          </w14:textFill>
        </w:rPr>
        <w:t>按照</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0人估算，生活垃圾按每人每天1kg计，施工期每天生活垃圾发生量约为0.</w:t>
      </w:r>
      <w:r>
        <w:rPr>
          <w:rFonts w:hint="eastAsia"/>
          <w:color w:val="000000" w:themeColor="text1"/>
          <w14:textFill>
            <w14:solidFill>
              <w14:schemeClr w14:val="tx1"/>
            </w14:solidFill>
          </w14:textFill>
        </w:rPr>
        <w:t>05</w:t>
      </w:r>
      <w:r>
        <w:rPr>
          <w:color w:val="000000" w:themeColor="text1"/>
          <w14:textFill>
            <w14:solidFill>
              <w14:schemeClr w14:val="tx1"/>
            </w14:solidFill>
          </w14:textFill>
        </w:rPr>
        <w:t>t，</w:t>
      </w:r>
      <w:r>
        <w:rPr>
          <w:rFonts w:hint="eastAsia"/>
          <w:color w:val="000000" w:themeColor="text1"/>
          <w14:textFill>
            <w14:solidFill>
              <w14:schemeClr w14:val="tx1"/>
            </w14:solidFill>
          </w14:textFill>
        </w:rPr>
        <w:t>施工期按300天计，</w:t>
      </w:r>
      <w:r>
        <w:rPr>
          <w:color w:val="000000" w:themeColor="text1"/>
          <w14:textFill>
            <w14:solidFill>
              <w14:schemeClr w14:val="tx1"/>
            </w14:solidFill>
          </w14:textFill>
        </w:rPr>
        <w:t>整个施工期生活垃圾发生量约为</w:t>
      </w:r>
      <w:r>
        <w:rPr>
          <w:rFonts w:hint="eastAsia"/>
          <w:color w:val="000000" w:themeColor="text1"/>
          <w14:textFill>
            <w14:solidFill>
              <w14:schemeClr w14:val="tx1"/>
            </w14:solidFill>
          </w14:textFill>
        </w:rPr>
        <w:t>15</w:t>
      </w:r>
      <w:r>
        <w:rPr>
          <w:color w:val="000000" w:themeColor="text1"/>
          <w14:textFill>
            <w14:solidFill>
              <w14:schemeClr w14:val="tx1"/>
            </w14:solidFill>
          </w14:textFill>
        </w:rPr>
        <w:t>t。</w:t>
      </w:r>
      <w:r>
        <w:rPr>
          <w:rFonts w:hint="eastAsia"/>
          <w:color w:val="000000" w:themeColor="text1"/>
          <w14:textFill>
            <w14:solidFill>
              <w14:schemeClr w14:val="tx1"/>
            </w14:solidFill>
          </w14:textFill>
        </w:rPr>
        <w:t>施工现场应设垃圾回收箱，将产生的生活垃圾和施工垃圾分别收集，并清运到指定地点集中处理。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采取以上措施后，施工期固废均能得到合理处置，对周围环境的影响较小。</w:t>
      </w:r>
    </w:p>
    <w:p>
      <w:pPr>
        <w:pStyle w:val="4"/>
      </w:pPr>
      <w:r>
        <w:rPr>
          <w:rFonts w:eastAsia="宋体"/>
          <w:color w:val="auto"/>
        </w:rPr>
        <w:t>施工期生态环境影响分析</w:t>
      </w:r>
    </w:p>
    <w:p>
      <w:pPr>
        <w:ind w:firstLine="480"/>
      </w:pPr>
      <w:r>
        <w:rPr>
          <w:rFonts w:hint="eastAsia"/>
        </w:rPr>
        <w:t>施工期生态影响主要是占地影响，植被破坏影响，现场水土流失影响，景观影响。</w:t>
      </w:r>
    </w:p>
    <w:p>
      <w:pPr>
        <w:pStyle w:val="5"/>
      </w:pPr>
      <w:r>
        <w:rPr>
          <w:rFonts w:hint="eastAsia"/>
        </w:rPr>
        <w:t>施工占地影响分析</w:t>
      </w:r>
    </w:p>
    <w:p>
      <w:pPr>
        <w:ind w:firstLine="480"/>
        <w:rPr>
          <w:color w:val="FF0000"/>
        </w:rPr>
      </w:pPr>
      <w:r>
        <w:rPr>
          <w:rFonts w:hint="eastAsia"/>
          <w:color w:val="FF0000"/>
        </w:rPr>
        <w:t>项目养殖用地面积116.91公顷，土地现状以其他土地（盐碱地）为主，土地性质为农业用地，项目建设不会改变土地利用现状造成不利影响。</w:t>
      </w:r>
    </w:p>
    <w:p>
      <w:pPr>
        <w:ind w:firstLine="480"/>
        <w:rPr>
          <w:color w:val="FF0000"/>
        </w:rPr>
      </w:pPr>
      <w:r>
        <w:rPr>
          <w:rFonts w:hint="eastAsia"/>
          <w:color w:val="FF0000"/>
        </w:rPr>
        <w:t>施工过程中各种机具车辆碾压和施工人员的践踏及土石的堆放，也会对该区域植被造成较为严重的破坏和影响。</w:t>
      </w:r>
    </w:p>
    <w:p>
      <w:pPr>
        <w:ind w:firstLine="480"/>
        <w:rPr>
          <w:color w:val="FF0000"/>
        </w:rPr>
      </w:pPr>
      <w:r>
        <w:rPr>
          <w:rFonts w:hint="eastAsia"/>
          <w:color w:val="FF0000"/>
        </w:rPr>
        <w:t>保护生态环境降低项目建设对场地产生产干扰影响，本次评价要求建设单位做到如下几点：</w:t>
      </w:r>
    </w:p>
    <w:p>
      <w:pPr>
        <w:ind w:firstLine="480"/>
        <w:rPr>
          <w:color w:val="FF0000"/>
        </w:rPr>
      </w:pPr>
      <w:r>
        <w:rPr>
          <w:rFonts w:hint="eastAsia"/>
          <w:color w:val="FF0000"/>
        </w:rPr>
        <w:t>（1）避免高填深挖，做到少取土，少弃土，少占地，搞好挖填土方平衡，最大限度的减少临时用地。</w:t>
      </w:r>
    </w:p>
    <w:p>
      <w:pPr>
        <w:ind w:firstLine="480"/>
        <w:rPr>
          <w:color w:val="FF0000"/>
        </w:rPr>
      </w:pPr>
      <w:r>
        <w:rPr>
          <w:rFonts w:hint="eastAsia"/>
          <w:color w:val="FF0000"/>
        </w:rPr>
        <w:t>（2）在项目建设充分利用地块内原有的地形地貌，在尽量少破坏原有生态的基础上营造优美的</w:t>
      </w:r>
      <w:r>
        <w:rPr>
          <w:rFonts w:hint="eastAsia"/>
          <w:color w:val="FF0000"/>
          <w:lang w:val="en-US" w:eastAsia="zh-CN"/>
        </w:rPr>
        <w:t>场区</w:t>
      </w:r>
      <w:r>
        <w:rPr>
          <w:rFonts w:hint="eastAsia"/>
          <w:color w:val="FF0000"/>
        </w:rPr>
        <w:t>环境。</w:t>
      </w:r>
    </w:p>
    <w:p>
      <w:pPr>
        <w:pStyle w:val="5"/>
        <w:rPr>
          <w:color w:val="FF0000"/>
        </w:rPr>
      </w:pPr>
      <w:r>
        <w:rPr>
          <w:rFonts w:hint="eastAsia"/>
          <w:color w:val="FF0000"/>
        </w:rPr>
        <w:t>施工对植被影响分析</w:t>
      </w:r>
    </w:p>
    <w:p>
      <w:pPr>
        <w:ind w:firstLine="480"/>
        <w:rPr>
          <w:color w:val="FF0000"/>
        </w:rPr>
      </w:pPr>
      <w:r>
        <w:rPr>
          <w:rFonts w:hint="eastAsia"/>
          <w:color w:val="FF0000"/>
        </w:rPr>
        <w:t>本工程所在地的植被结构以草本植被为主，无国家重点保护的野生植物物种及古树名木；施工期对植被的影响主要有占地范围内原有植物的剥离、清理及占压。在施工过程中，土壤开挖区范围内植物的地上部分与根系均被清除，道路施工带两侧的植被由于挖掘土石的堆放、人员的践踏、施工车辆和机具的碾压而受到不同程度的破坏，会造成地上部分破坏甚至死亡。</w:t>
      </w:r>
    </w:p>
    <w:p>
      <w:pPr>
        <w:ind w:firstLine="480"/>
        <w:rPr>
          <w:color w:val="FF0000"/>
        </w:rPr>
      </w:pPr>
      <w:r>
        <w:rPr>
          <w:rFonts w:hint="eastAsia"/>
          <w:color w:val="FF0000"/>
        </w:rPr>
        <w:t>工程填挖方均占压和清除一定数量的地表植物，使填挖区被生土覆盖或出露生土，植物恢复须经过较长时间。</w:t>
      </w:r>
    </w:p>
    <w:p>
      <w:pPr>
        <w:ind w:firstLine="480"/>
        <w:rPr>
          <w:color w:val="FF0000"/>
        </w:rPr>
      </w:pPr>
      <w:r>
        <w:rPr>
          <w:rFonts w:hint="eastAsia"/>
          <w:color w:val="FF0000"/>
        </w:rPr>
        <w:t>由于项目区沿线群落植物种类均为区域常见和广布种，因此工程施工对沿线生物多样性的影响相对较小。</w:t>
      </w:r>
    </w:p>
    <w:p>
      <w:pPr>
        <w:ind w:firstLine="480"/>
        <w:rPr>
          <w:color w:val="FF0000"/>
        </w:rPr>
      </w:pPr>
      <w:r>
        <w:rPr>
          <w:rFonts w:hint="eastAsia"/>
          <w:color w:val="FF0000"/>
        </w:rPr>
        <w:t>由于该区域内受影响的植被中无珍稀濒危种类，受影响的植被为评价区域内常见的植被，因此，本项目工程占地对植被的影响较小。</w:t>
      </w:r>
    </w:p>
    <w:p>
      <w:pPr>
        <w:pStyle w:val="5"/>
      </w:pPr>
      <w:r>
        <w:rPr>
          <w:rFonts w:hint="eastAsia"/>
        </w:rPr>
        <w:t>施工期水土流失影响分析</w:t>
      </w:r>
    </w:p>
    <w:p>
      <w:pPr>
        <w:bidi w:val="0"/>
        <w:rPr>
          <w:rFonts w:hint="eastAsia"/>
          <w:color w:val="FF0000"/>
        </w:rPr>
      </w:pPr>
      <w:r>
        <w:rPr>
          <w:rFonts w:hint="eastAsia"/>
          <w:color w:val="FF0000"/>
        </w:rPr>
        <w:t>项目</w:t>
      </w:r>
      <w:r>
        <w:rPr>
          <w:rFonts w:hint="eastAsia"/>
          <w:color w:val="FF0000"/>
          <w:lang w:val="en-US" w:eastAsia="zh-CN"/>
        </w:rPr>
        <w:t>仅在地基施工阶段涉及土石方开挖，会对占地范围内造成一定程度的水土流失，本项目施工过程的水土流失主要发生在以下几个方面</w:t>
      </w:r>
      <w:r>
        <w:rPr>
          <w:rFonts w:hint="eastAsia"/>
          <w:color w:val="FF0000"/>
        </w:rPr>
        <w:t>。</w:t>
      </w:r>
    </w:p>
    <w:p>
      <w:pPr>
        <w:bidi w:val="0"/>
        <w:rPr>
          <w:rFonts w:hint="eastAsia"/>
          <w:color w:val="FF0000"/>
        </w:rPr>
      </w:pPr>
      <w:r>
        <w:rPr>
          <w:rFonts w:hint="eastAsia"/>
          <w:color w:val="FF0000"/>
          <w:lang w:eastAsia="zh-CN"/>
        </w:rPr>
        <w:t>（</w:t>
      </w:r>
      <w:r>
        <w:rPr>
          <w:rFonts w:hint="eastAsia"/>
          <w:color w:val="FF0000"/>
          <w:lang w:val="en-US" w:eastAsia="zh-CN"/>
        </w:rPr>
        <w:t>1</w:t>
      </w:r>
      <w:r>
        <w:rPr>
          <w:rFonts w:hint="eastAsia"/>
          <w:color w:val="FF0000"/>
          <w:lang w:eastAsia="zh-CN"/>
        </w:rPr>
        <w:t>）</w:t>
      </w:r>
      <w:r>
        <w:rPr>
          <w:rFonts w:hint="eastAsia"/>
          <w:color w:val="FF0000"/>
        </w:rPr>
        <w:t>本工程施工阶段会占压土地、损坏植被。施工阶段如遇上暴雨、雨水集中、径流汇集，汇流快、来势猛，则建筑地基填筑地块易形成沟壑，在无水土保持措施的情况下，易产生水土流失；同时，施工阶段开挖和扰动地表，致使土壤抗蚀能力降低，也可能引起局部的水土流失。</w:t>
      </w:r>
    </w:p>
    <w:p>
      <w:pPr>
        <w:bidi w:val="0"/>
        <w:rPr>
          <w:rFonts w:hint="eastAsia"/>
          <w:color w:val="FF0000"/>
        </w:rPr>
      </w:pPr>
      <w:r>
        <w:rPr>
          <w:rFonts w:hint="eastAsia"/>
          <w:color w:val="FF0000"/>
          <w:lang w:val="en-US" w:eastAsia="zh-CN"/>
        </w:rPr>
        <w:t>（</w:t>
      </w:r>
      <w:r>
        <w:rPr>
          <w:rFonts w:hint="default"/>
          <w:color w:val="FF0000"/>
          <w:lang w:val="en-US" w:eastAsia="zh-CN"/>
        </w:rPr>
        <w:t>2</w:t>
      </w:r>
      <w:r>
        <w:rPr>
          <w:rFonts w:hint="eastAsia"/>
          <w:color w:val="FF0000"/>
          <w:lang w:val="en-US" w:eastAsia="zh-CN"/>
        </w:rPr>
        <w:t>）项目完成建筑地基填筑后，及时对地面进行硬化及绿化处理，水土流失便可恢复。</w:t>
      </w:r>
    </w:p>
    <w:p>
      <w:pPr>
        <w:pStyle w:val="5"/>
        <w:rPr>
          <w:color w:val="FF0000"/>
        </w:rPr>
      </w:pPr>
      <w:r>
        <w:rPr>
          <w:rFonts w:hint="eastAsia"/>
          <w:color w:val="FF0000"/>
        </w:rPr>
        <w:t>施工对动物影响分析</w:t>
      </w:r>
    </w:p>
    <w:p>
      <w:pPr>
        <w:bidi w:val="0"/>
        <w:rPr>
          <w:color w:val="FF0000"/>
        </w:rPr>
      </w:pPr>
      <w:r>
        <w:rPr>
          <w:rFonts w:hint="eastAsia"/>
          <w:color w:val="FF0000"/>
          <w:lang w:val="en-US" w:eastAsia="zh-CN"/>
        </w:rPr>
        <w:t>根据现场调查，项目区范围内无珍惜动植物资源，项目建设区分布的野生动物仅有少量的鼠类和鸟类，种类和数量较单一、较少；并且项目区周边有已运行的养殖场，项目区及周边没未发现对人类活动敏感的野生动物及大中型的野生动物出没。本项目施工结束后，不会使当前生活在周边地区的野生动物感到明显不安，所以在规范运营、加强管理的情况下，本项目的建设对野生动物的影响较小。</w:t>
      </w:r>
    </w:p>
    <w:p>
      <w:pPr>
        <w:pStyle w:val="5"/>
        <w:rPr>
          <w:color w:val="FF0000"/>
        </w:rPr>
      </w:pPr>
      <w:r>
        <w:rPr>
          <w:rFonts w:hint="eastAsia"/>
          <w:color w:val="FF0000"/>
        </w:rPr>
        <w:t>施工对景观影响分析</w:t>
      </w:r>
    </w:p>
    <w:p>
      <w:pPr>
        <w:ind w:firstLine="480"/>
        <w:rPr>
          <w:color w:val="FF0000"/>
        </w:rPr>
      </w:pPr>
      <w:r>
        <w:rPr>
          <w:rFonts w:hint="eastAsia"/>
          <w:color w:val="FF0000"/>
        </w:rPr>
        <w:t>施工过程中将有会存在裸露地表，造成原有自然地形破坏、杂乱，造成</w:t>
      </w:r>
      <w:r>
        <w:rPr>
          <w:rFonts w:hint="eastAsia"/>
          <w:color w:val="FF0000"/>
          <w:lang w:val="en-US" w:eastAsia="zh-CN"/>
        </w:rPr>
        <w:t>地表</w:t>
      </w:r>
      <w:r>
        <w:rPr>
          <w:rFonts w:hint="eastAsia"/>
          <w:color w:val="FF0000"/>
        </w:rPr>
        <w:t>裸露和凌乱的土堆；施工中尚未竣工部分和工地内运转的建筑机械、无序堆放的建筑材料和建筑垃圾，也将造成杂乱现象，有些还会持续到运营初期；项目在施工期内将增加周围地区的扬尘量，给人空气污浊的感觉，也会严重影响美感。环评要求建设单位尽量规范建筑施工材料的堆放，避开植被密集区，保护好现有环境。</w:t>
      </w:r>
    </w:p>
    <w:p>
      <w:pPr>
        <w:ind w:firstLine="480"/>
        <w:rPr>
          <w:rFonts w:hint="eastAsia"/>
          <w:color w:val="FF0000"/>
        </w:rPr>
      </w:pPr>
      <w:r>
        <w:rPr>
          <w:rFonts w:hint="eastAsia"/>
          <w:color w:val="FF0000"/>
        </w:rPr>
        <w:t>本项目所在地为低覆盖度的草本植物，因此在施工期导致的生物量损失较少，同时在本项目建成后场区内还要进行绿化，可使生物量有所补偿。而周边受施工影响的区域的植被在自然状态下，</w:t>
      </w:r>
      <w:r>
        <w:rPr>
          <w:color w:val="FF0000"/>
        </w:rPr>
        <w:t>2</w:t>
      </w:r>
      <w:r>
        <w:rPr>
          <w:rFonts w:hint="eastAsia"/>
          <w:color w:val="FF0000"/>
        </w:rPr>
        <w:t>～</w:t>
      </w:r>
      <w:r>
        <w:rPr>
          <w:color w:val="FF0000"/>
        </w:rPr>
        <w:t>3</w:t>
      </w:r>
      <w:r>
        <w:rPr>
          <w:rFonts w:hint="eastAsia"/>
          <w:color w:val="FF0000"/>
        </w:rPr>
        <w:t>年可以恢复，因此本项目在施工期对生态环境的影响是不大的。另外，从植物种类来看，施工破坏和影响的植物中没有国家重点保护珍稀植物，都是广布种和常见种，且分布也均匀，因此，工程施工不会引起某一植物种的消失。</w:t>
      </w:r>
    </w:p>
    <w:p>
      <w:pPr>
        <w:pStyle w:val="5"/>
        <w:bidi w:val="0"/>
        <w:rPr>
          <w:rFonts w:hint="eastAsia"/>
          <w:color w:val="FF0000"/>
        </w:rPr>
      </w:pPr>
      <w:r>
        <w:rPr>
          <w:rFonts w:hint="eastAsia"/>
          <w:color w:val="FF0000"/>
          <w:lang w:val="en-US" w:eastAsia="zh-CN"/>
        </w:rPr>
        <w:t>对生态系统影响分析</w:t>
      </w:r>
    </w:p>
    <w:p>
      <w:pPr>
        <w:rPr>
          <w:rFonts w:hint="eastAsia"/>
          <w:color w:val="FF0000"/>
        </w:rPr>
      </w:pPr>
      <w:r>
        <w:rPr>
          <w:rFonts w:hint="eastAsia"/>
          <w:color w:val="FF0000"/>
        </w:rPr>
        <w:t>本项目建设将对项目区生态系统的结构和功能产生一定影响，本项目的建设会对生态系统造成一定的破坏，本项目</w:t>
      </w:r>
      <w:r>
        <w:rPr>
          <w:rFonts w:hint="eastAsia"/>
          <w:color w:val="FF0000"/>
          <w:lang w:val="en-US" w:eastAsia="zh-CN"/>
        </w:rPr>
        <w:t>建设过程中</w:t>
      </w:r>
      <w:r>
        <w:rPr>
          <w:rFonts w:hint="eastAsia"/>
          <w:color w:val="FF0000"/>
        </w:rPr>
        <w:t>，</w:t>
      </w:r>
      <w:r>
        <w:rPr>
          <w:rFonts w:hint="eastAsia"/>
          <w:color w:val="FF0000"/>
          <w:lang w:val="en-US" w:eastAsia="zh-CN"/>
        </w:rPr>
        <w:t>涉及</w:t>
      </w:r>
      <w:r>
        <w:rPr>
          <w:rFonts w:hint="eastAsia"/>
          <w:color w:val="FF0000"/>
        </w:rPr>
        <w:t>对项目区</w:t>
      </w:r>
      <w:r>
        <w:rPr>
          <w:rFonts w:hint="eastAsia"/>
          <w:color w:val="FF0000"/>
          <w:lang w:val="en-US" w:eastAsia="zh-CN"/>
        </w:rPr>
        <w:t>的</w:t>
      </w:r>
      <w:r>
        <w:rPr>
          <w:rFonts w:hint="eastAsia"/>
          <w:color w:val="FF0000"/>
        </w:rPr>
        <w:t>场地硬化及绿化处理，因此本项目对局部生态系统的结构和功能产生</w:t>
      </w:r>
      <w:r>
        <w:rPr>
          <w:rFonts w:hint="eastAsia"/>
          <w:color w:val="FF0000"/>
          <w:lang w:val="en-US" w:eastAsia="zh-CN"/>
        </w:rPr>
        <w:t>一定</w:t>
      </w:r>
      <w:r>
        <w:rPr>
          <w:rFonts w:hint="eastAsia"/>
          <w:color w:val="FF0000"/>
        </w:rPr>
        <w:t>影响。</w:t>
      </w:r>
      <w:r>
        <w:rPr>
          <w:rFonts w:hint="eastAsia"/>
          <w:color w:val="FF0000"/>
          <w:lang w:val="en-US" w:eastAsia="zh-CN"/>
        </w:rPr>
        <w:t>但</w:t>
      </w:r>
      <w:r>
        <w:rPr>
          <w:rFonts w:hint="eastAsia"/>
          <w:color w:val="FF0000"/>
        </w:rPr>
        <w:t>本项目的建设不会减少生态系统的数量，不会改变项目区生态系统的完整性和稳定性；不会对降低项目区生物多样性，对评价区生态系统的完整性和稳定性、生物多样性影响较小。</w:t>
      </w:r>
    </w:p>
    <w:p>
      <w:pPr>
        <w:pStyle w:val="3"/>
        <w:spacing w:before="120" w:after="120"/>
      </w:pPr>
      <w:bookmarkStart w:id="158" w:name="_Toc6675"/>
      <w:r>
        <w:rPr>
          <w:rFonts w:hint="eastAsia"/>
        </w:rPr>
        <w:t>运营期环境影响预测与分析</w:t>
      </w:r>
      <w:bookmarkEnd w:id="158"/>
    </w:p>
    <w:p>
      <w:pPr>
        <w:pStyle w:val="4"/>
      </w:pPr>
      <w:r>
        <w:rPr>
          <w:rFonts w:hint="eastAsia"/>
        </w:rPr>
        <w:t>运营期大气环境影响预测与分析</w:t>
      </w:r>
    </w:p>
    <w:p>
      <w:pPr>
        <w:ind w:firstLine="480"/>
      </w:pPr>
      <w:r>
        <w:rPr>
          <w:rFonts w:hint="eastAsia"/>
        </w:rPr>
        <w:t>本项目大气环境影响评价等级为二级评价，根据《环境影响评价技术导则</w:t>
      </w:r>
      <w:r>
        <w:t xml:space="preserve">  </w:t>
      </w:r>
      <w:r>
        <w:rPr>
          <w:rFonts w:hint="eastAsia"/>
        </w:rPr>
        <w:t>大气环境》（</w:t>
      </w:r>
      <w:r>
        <w:t>HJ2.2-2018</w:t>
      </w:r>
      <w:r>
        <w:rPr>
          <w:rFonts w:hint="eastAsia"/>
        </w:rPr>
        <w:t>）对大气环境影响预测与评价的要求可知，二级评价项目不进行进一步预测与评价，只对污染物排放量进行核算。</w:t>
      </w:r>
    </w:p>
    <w:p>
      <w:pPr>
        <w:pStyle w:val="5"/>
      </w:pPr>
      <w:r>
        <w:rPr>
          <w:rFonts w:hint="eastAsia"/>
        </w:rPr>
        <w:t>区域气象特征</w:t>
      </w:r>
    </w:p>
    <w:p>
      <w:pPr>
        <w:ind w:firstLine="480"/>
      </w:pPr>
      <w:r>
        <w:rPr>
          <w:rFonts w:hint="eastAsia"/>
        </w:rPr>
        <w:t>本次评价气象资料采用巴彦淖尔市五原县气象站数据，五原县气象站地理坐标为北纬108.16°，东经41.06°，观测场海拔高度1023.7m。该地区属于中温带大陆性气候区。其气候特征主要表现为冬季漫长寒冷、春季干旱多风、夏季短促温凉、秋季气温剧降。具有日照充足，降水量少，干燥多风的特点。</w:t>
      </w:r>
    </w:p>
    <w:p>
      <w:pPr>
        <w:pStyle w:val="5"/>
      </w:pPr>
      <w:r>
        <w:rPr>
          <w:rFonts w:hint="eastAsia"/>
        </w:rPr>
        <w:t>地面气象要素</w:t>
      </w:r>
    </w:p>
    <w:p>
      <w:pPr>
        <w:ind w:firstLine="480"/>
      </w:pPr>
      <w:r>
        <w:rPr>
          <w:rFonts w:hint="eastAsia"/>
        </w:rPr>
        <w:t>五原县近20年（</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rPr>
          <w:rFonts w:hint="eastAsia"/>
        </w:rPr>
        <w:t>）平均气温为8.2℃，1月份气温最低，平均-10.4℃，极端最低气温为-29℃（2008年1月24日），7月份气温最高，平均24.4℃，极端最高气温38.1℃（</w:t>
      </w:r>
      <w:r>
        <w:rPr>
          <w:rFonts w:hint="eastAsia"/>
          <w:lang w:val="en-US" w:eastAsia="zh-CN"/>
        </w:rPr>
        <w:t>2013</w:t>
      </w:r>
      <w:r>
        <w:rPr>
          <w:rFonts w:hint="eastAsia"/>
        </w:rPr>
        <w:t>年7月26日）。日照总时数3047.4小时，无霜期短，为163天。年平均降水量177mm，降水多集中于7～9月，占全年总量的86.3%；蒸发量年均为2093.2mm，气候较为干燥。全年平均风速约为1.9m/s，其中4月份风速最大，平均风速2.6m/s；1月份风速最小，平均风速为1.4m/s。年最大风速为28.5m/s。各气象要素统计见下表。</w:t>
      </w:r>
    </w:p>
    <w:p>
      <w:pPr>
        <w:pStyle w:val="6"/>
        <w:rPr>
          <w:b/>
          <w:color w:val="000000" w:themeColor="text1"/>
          <w14:textFill>
            <w14:solidFill>
              <w14:schemeClr w14:val="tx1"/>
            </w14:solidFill>
          </w14:textFill>
        </w:rPr>
      </w:pPr>
      <w:r>
        <w:rPr>
          <w:rFonts w:hint="eastAsia"/>
        </w:rPr>
        <w:t>表5.2.1-1   五原县近二十年（</w:t>
      </w:r>
      <w:r>
        <w:rPr>
          <w:rFonts w:hint="eastAsia"/>
          <w:color w:val="FF0000"/>
        </w:rPr>
        <w:t>2000-2020年</w:t>
      </w:r>
      <w:r>
        <w:rPr>
          <w:rFonts w:hint="eastAsia"/>
        </w:rPr>
        <w:t>）气象要素特征表</w:t>
      </w:r>
    </w:p>
    <w:tbl>
      <w:tblPr>
        <w:tblStyle w:val="3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57"/>
        <w:gridCol w:w="1585"/>
        <w:gridCol w:w="2991"/>
        <w:gridCol w:w="17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数值</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w:t>
            </w: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数值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年平均气温</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8.2℃</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年平均降水量</w:t>
            </w: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177mm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年极端最高气温</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38.1℃</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年极端最高降水量</w:t>
            </w: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503.9mm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年极端最低气温</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-29℃</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年最大风速</w:t>
            </w: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28.5m/s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年平均气压</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899.9hPa</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年最大冻土深度</w:t>
            </w: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1274cm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年平均相对湿度</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50.3%</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年平均蒸发量</w:t>
            </w: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2093.2mm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76"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年平均风速</w:t>
            </w:r>
          </w:p>
        </w:tc>
        <w:tc>
          <w:tcPr>
            <w:tcW w:w="880"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1.9m/s</w:t>
            </w:r>
          </w:p>
        </w:tc>
        <w:tc>
          <w:tcPr>
            <w:tcW w:w="166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p>
        </w:tc>
        <w:tc>
          <w:tcPr>
            <w:tcW w:w="981" w:type="pct"/>
            <w:tcBorders>
              <w:tl2br w:val="nil"/>
              <w:tr2bl w:val="nil"/>
            </w:tcBorders>
            <w:vAlign w:val="center"/>
          </w:tcPr>
          <w:p>
            <w:pPr>
              <w:spacing w:line="360" w:lineRule="exact"/>
              <w:ind w:firstLine="0" w:firstLineChars="0"/>
              <w:jc w:val="center"/>
              <w:textAlignment w:val="center"/>
              <w:rPr>
                <w:color w:val="000000" w:themeColor="text1"/>
                <w:sz w:val="21"/>
                <w:szCs w:val="21"/>
                <w14:textFill>
                  <w14:solidFill>
                    <w14:schemeClr w14:val="tx1"/>
                  </w14:solidFill>
                </w14:textFill>
              </w:rPr>
            </w:pPr>
          </w:p>
        </w:tc>
      </w:tr>
    </w:tbl>
    <w:p>
      <w:pPr>
        <w:pStyle w:val="5"/>
      </w:pPr>
      <w:r>
        <w:rPr>
          <w:rFonts w:hint="eastAsia"/>
        </w:rPr>
        <w:t>地面气温的变化特征</w:t>
      </w:r>
    </w:p>
    <w:p>
      <w:pPr>
        <w:ind w:firstLine="480"/>
      </w:pPr>
      <w:r>
        <w:rPr>
          <w:rFonts w:hint="eastAsia"/>
          <w:color w:val="FF0000"/>
        </w:rPr>
        <w:t>2000-2020</w:t>
      </w:r>
      <w:r>
        <w:rPr>
          <w:color w:val="FF0000"/>
        </w:rPr>
        <w:t>年</w:t>
      </w:r>
      <w:r>
        <w:t>五原气象站平均气温、平均最高气温、平均最低气温月际变化分别在-10.9～24.2℃、-4～30.5℃、-16.2～18.2℃之间，最高值均出现在7月，最低值均出现在1月。</w:t>
      </w:r>
    </w:p>
    <w:p>
      <w:pPr>
        <w:pStyle w:val="6"/>
      </w:pPr>
      <w:r>
        <w:t>表</w:t>
      </w:r>
      <w:r>
        <w:rPr>
          <w:rFonts w:hint="eastAsia"/>
        </w:rPr>
        <w:t>5.2.1-2</w:t>
      </w:r>
      <w:r>
        <w:t xml:space="preserve">    </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t>五原站月气温统计表(单位：hPa)</w:t>
      </w:r>
    </w:p>
    <w:tbl>
      <w:tblPr>
        <w:tblStyle w:val="38"/>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7"/>
        <w:gridCol w:w="620"/>
        <w:gridCol w:w="620"/>
        <w:gridCol w:w="620"/>
        <w:gridCol w:w="621"/>
        <w:gridCol w:w="621"/>
        <w:gridCol w:w="621"/>
        <w:gridCol w:w="621"/>
        <w:gridCol w:w="621"/>
        <w:gridCol w:w="621"/>
        <w:gridCol w:w="621"/>
        <w:gridCol w:w="622"/>
        <w:gridCol w:w="622"/>
        <w:gridCol w:w="6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41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月份</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1</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2</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3</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4</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5</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6</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7</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10</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11</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12</w:t>
            </w:r>
          </w:p>
        </w:tc>
        <w:tc>
          <w:tcPr>
            <w:tcW w:w="347"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全年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1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平均</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906.5</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904</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901.1</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895.6</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892.3</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891.5</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895</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899.9</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904.2</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905.2</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907.1</w:t>
            </w:r>
          </w:p>
        </w:tc>
        <w:tc>
          <w:tcPr>
            <w:tcW w:w="347"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41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平均 最高</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909.2</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906.7</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904</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900.8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894. 1</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893. 1</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896.5</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901.8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906.5</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910</w:t>
            </w:r>
          </w:p>
        </w:tc>
        <w:tc>
          <w:tcPr>
            <w:tcW w:w="347"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41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平均 最低</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903.9</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901</w:t>
            </w:r>
          </w:p>
        </w:tc>
        <w:tc>
          <w:tcPr>
            <w:tcW w:w="352"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897.7</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894.3</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892.3</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889.7</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889.3</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892.8</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897.4</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901.5</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902.3</w:t>
            </w:r>
          </w:p>
        </w:tc>
        <w:tc>
          <w:tcPr>
            <w:tcW w:w="353"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904.3</w:t>
            </w:r>
          </w:p>
        </w:tc>
        <w:tc>
          <w:tcPr>
            <w:tcW w:w="347" w:type="pct"/>
            <w:tcBorders>
              <w:tl2br w:val="nil"/>
              <w:tr2bl w:val="nil"/>
            </w:tcBorders>
            <w:vAlign w:val="center"/>
          </w:tcPr>
          <w:p>
            <w:pPr>
              <w:widowControl/>
              <w:spacing w:line="240" w:lineRule="auto"/>
              <w:ind w:firstLine="0" w:firstLineChars="0"/>
              <w:jc w:val="center"/>
              <w:rPr>
                <w:kern w:val="0"/>
                <w:sz w:val="21"/>
                <w:szCs w:val="21"/>
                <w:lang w:bidi="ar"/>
              </w:rPr>
            </w:pPr>
            <w:r>
              <w:rPr>
                <w:kern w:val="0"/>
                <w:sz w:val="21"/>
                <w:szCs w:val="21"/>
                <w:lang w:bidi="ar"/>
              </w:rPr>
              <w:t>897.2</w:t>
            </w:r>
          </w:p>
        </w:tc>
      </w:tr>
    </w:tbl>
    <w:p>
      <w:pPr>
        <w:widowControl/>
        <w:ind w:firstLine="480"/>
        <w:jc w:val="center"/>
      </w:pPr>
    </w:p>
    <w:p>
      <w:pPr>
        <w:widowControl/>
        <w:ind w:firstLine="480"/>
        <w:jc w:val="center"/>
        <w:rPr>
          <w:szCs w:val="22"/>
        </w:rPr>
      </w:pPr>
      <w:r>
        <w:drawing>
          <wp:inline distT="0" distB="0" distL="114300" distR="114300">
            <wp:extent cx="4929505" cy="2334895"/>
            <wp:effectExtent l="9525" t="9525" r="13970" b="17780"/>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62"/>
                    <a:stretch>
                      <a:fillRect/>
                    </a:stretch>
                  </pic:blipFill>
                  <pic:spPr>
                    <a:xfrm>
                      <a:off x="0" y="0"/>
                      <a:ext cx="4929505" cy="2334895"/>
                    </a:xfrm>
                    <a:prstGeom prst="rect">
                      <a:avLst/>
                    </a:prstGeom>
                    <a:noFill/>
                    <a:ln>
                      <a:solidFill>
                        <a:schemeClr val="tx1"/>
                      </a:solidFill>
                    </a:ln>
                  </pic:spPr>
                </pic:pic>
              </a:graphicData>
            </a:graphic>
          </wp:inline>
        </w:drawing>
      </w:r>
    </w:p>
    <w:p>
      <w:pPr>
        <w:pStyle w:val="6"/>
      </w:pPr>
      <w:r>
        <w:t>图5.</w:t>
      </w:r>
      <w:r>
        <w:rPr>
          <w:rFonts w:hint="eastAsia"/>
        </w:rPr>
        <w:t>2.1</w:t>
      </w:r>
      <w:r>
        <w:t>-1</w:t>
      </w:r>
      <w:r>
        <w:rPr>
          <w:rFonts w:hint="eastAsia"/>
        </w:rPr>
        <w:t xml:space="preserve">   </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t>五原站平均气温月际变化</w:t>
      </w:r>
    </w:p>
    <w:p>
      <w:pPr>
        <w:pStyle w:val="5"/>
      </w:pPr>
      <w:r>
        <w:rPr>
          <w:rFonts w:hint="eastAsia"/>
        </w:rPr>
        <w:t>地面风向、风速的统计特征</w:t>
      </w:r>
    </w:p>
    <w:p>
      <w:pPr>
        <w:ind w:firstLine="480"/>
      </w:pPr>
      <w:r>
        <w:t>五原县气象站地处内蒙古中部，该地地面风的变化规律：春季由于冷暖气团交绥，气旋活动频繁，地表覆盖度较差，故多风沙天气；夏季由于降水相对集中，当锋面过境可伴有雷雨和大风天气，瞬时风速较大；秋季虽为冷暖气团的交替时期，但此时气团活动远不如春季活动频繁，因此风沙天气较少；冬季常处于稳定的大气层结，风速较小。</w:t>
      </w:r>
    </w:p>
    <w:p>
      <w:pPr>
        <w:ind w:firstLine="480"/>
      </w:pPr>
      <w:r>
        <w:rPr>
          <w:rFonts w:hint="eastAsia"/>
        </w:rPr>
        <w:t>（1）</w:t>
      </w:r>
      <w:r>
        <w:t>地面风向的基本特征</w:t>
      </w:r>
    </w:p>
    <w:p>
      <w:pPr>
        <w:ind w:firstLine="480"/>
      </w:pPr>
      <w:r>
        <w:rPr>
          <w:rFonts w:hint="eastAsia"/>
          <w:lang w:val="en-US" w:eastAsia="zh-CN"/>
        </w:rPr>
        <w:t>2000</w:t>
      </w:r>
      <w:r>
        <w:t>~2020年五原气象站累年最多风向为 ENE 风，风向频率为8.9%，次多风向为 NE，风向频率为8.7%。从季节和年主导风向看，全年静风频率较高，春季主导风向是WSW，频率为9.6%，夏季主导风向是NE，频率为9.4%，秋季主导风向是ENE 风向，频率为 9.1%，冬季主导风向是 ENE 风向，频率为11.2%，年主导风向为ENE。</w:t>
      </w:r>
    </w:p>
    <w:p>
      <w:pPr>
        <w:pStyle w:val="6"/>
      </w:pPr>
      <w:r>
        <w:t>表</w:t>
      </w:r>
      <w:r>
        <w:rPr>
          <w:rFonts w:hint="eastAsia"/>
        </w:rPr>
        <w:t xml:space="preserve">5.2.1-3   </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t>五原站四季及年各风向频率(%)</w:t>
      </w:r>
    </w:p>
    <w:tbl>
      <w:tblPr>
        <w:tblStyle w:val="38"/>
        <w:tblW w:w="499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34"/>
        <w:gridCol w:w="462"/>
        <w:gridCol w:w="505"/>
        <w:gridCol w:w="459"/>
        <w:gridCol w:w="500"/>
        <w:gridCol w:w="463"/>
        <w:gridCol w:w="486"/>
        <w:gridCol w:w="463"/>
        <w:gridCol w:w="479"/>
        <w:gridCol w:w="463"/>
        <w:gridCol w:w="505"/>
        <w:gridCol w:w="463"/>
        <w:gridCol w:w="546"/>
        <w:gridCol w:w="459"/>
        <w:gridCol w:w="583"/>
        <w:gridCol w:w="479"/>
        <w:gridCol w:w="532"/>
        <w:gridCol w:w="4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47" w:type="pct"/>
            <w:tcBorders>
              <w:tl2br w:val="nil"/>
              <w:tr2bl w:val="nil"/>
            </w:tcBorders>
            <w:vAlign w:val="center"/>
          </w:tcPr>
          <w:p>
            <w:pPr>
              <w:spacing w:line="240" w:lineRule="auto"/>
              <w:ind w:firstLine="0" w:firstLineChars="0"/>
              <w:jc w:val="center"/>
              <w:rPr>
                <w:spacing w:val="6"/>
                <w:sz w:val="21"/>
                <w:szCs w:val="21"/>
              </w:rPr>
            </w:pPr>
            <w:r>
              <w:rPr>
                <w:spacing w:val="6"/>
                <w:sz w:val="21"/>
                <w:szCs w:val="21"/>
              </w:rPr>
              <w:t>风向</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N</w:t>
            </w:r>
          </w:p>
        </w:tc>
        <w:tc>
          <w:tcPr>
            <w:tcW w:w="287" w:type="pct"/>
            <w:tcBorders>
              <w:tl2br w:val="nil"/>
              <w:tr2bl w:val="nil"/>
            </w:tcBorders>
            <w:vAlign w:val="center"/>
          </w:tcPr>
          <w:p>
            <w:pPr>
              <w:spacing w:line="240" w:lineRule="auto"/>
              <w:ind w:firstLine="0" w:firstLineChars="0"/>
              <w:jc w:val="center"/>
              <w:rPr>
                <w:sz w:val="21"/>
                <w:szCs w:val="21"/>
              </w:rPr>
            </w:pPr>
            <w:r>
              <w:rPr>
                <w:spacing w:val="6"/>
                <w:sz w:val="21"/>
                <w:szCs w:val="21"/>
              </w:rPr>
              <w:t>N</w:t>
            </w:r>
            <w:r>
              <w:rPr>
                <w:spacing w:val="5"/>
                <w:sz w:val="21"/>
                <w:szCs w:val="21"/>
              </w:rPr>
              <w:t>NE</w:t>
            </w:r>
          </w:p>
        </w:tc>
        <w:tc>
          <w:tcPr>
            <w:tcW w:w="261" w:type="pct"/>
            <w:tcBorders>
              <w:tl2br w:val="nil"/>
              <w:tr2bl w:val="nil"/>
            </w:tcBorders>
            <w:vAlign w:val="center"/>
          </w:tcPr>
          <w:p>
            <w:pPr>
              <w:spacing w:line="240" w:lineRule="auto"/>
              <w:ind w:firstLine="0" w:firstLineChars="0"/>
              <w:jc w:val="center"/>
              <w:rPr>
                <w:sz w:val="21"/>
                <w:szCs w:val="21"/>
              </w:rPr>
            </w:pPr>
            <w:r>
              <w:rPr>
                <w:spacing w:val="5"/>
                <w:sz w:val="21"/>
                <w:szCs w:val="21"/>
              </w:rPr>
              <w:t>NE</w:t>
            </w:r>
          </w:p>
        </w:tc>
        <w:tc>
          <w:tcPr>
            <w:tcW w:w="284" w:type="pct"/>
            <w:tcBorders>
              <w:tl2br w:val="nil"/>
              <w:tr2bl w:val="nil"/>
            </w:tcBorders>
            <w:vAlign w:val="center"/>
          </w:tcPr>
          <w:p>
            <w:pPr>
              <w:spacing w:line="240" w:lineRule="auto"/>
              <w:ind w:firstLine="0" w:firstLineChars="0"/>
              <w:jc w:val="center"/>
              <w:rPr>
                <w:sz w:val="21"/>
                <w:szCs w:val="21"/>
              </w:rPr>
            </w:pPr>
            <w:r>
              <w:rPr>
                <w:spacing w:val="6"/>
                <w:sz w:val="21"/>
                <w:szCs w:val="21"/>
              </w:rPr>
              <w:t>E</w:t>
            </w:r>
            <w:r>
              <w:rPr>
                <w:spacing w:val="4"/>
                <w:sz w:val="21"/>
                <w:szCs w:val="21"/>
              </w:rPr>
              <w:t>NE</w:t>
            </w:r>
          </w:p>
        </w:tc>
        <w:tc>
          <w:tcPr>
            <w:tcW w:w="263" w:type="pct"/>
            <w:tcBorders>
              <w:tl2br w:val="nil"/>
              <w:tr2bl w:val="nil"/>
            </w:tcBorders>
            <w:vAlign w:val="center"/>
          </w:tcPr>
          <w:p>
            <w:pPr>
              <w:spacing w:line="240" w:lineRule="auto"/>
              <w:ind w:firstLine="0" w:firstLineChars="0"/>
              <w:jc w:val="center"/>
              <w:rPr>
                <w:sz w:val="21"/>
                <w:szCs w:val="21"/>
              </w:rPr>
            </w:pPr>
            <w:r>
              <w:rPr>
                <w:spacing w:val="2"/>
                <w:sz w:val="21"/>
                <w:szCs w:val="21"/>
              </w:rPr>
              <w:t>E</w:t>
            </w:r>
          </w:p>
        </w:tc>
        <w:tc>
          <w:tcPr>
            <w:tcW w:w="276" w:type="pct"/>
            <w:tcBorders>
              <w:tl2br w:val="nil"/>
              <w:tr2bl w:val="nil"/>
            </w:tcBorders>
            <w:vAlign w:val="center"/>
          </w:tcPr>
          <w:p>
            <w:pPr>
              <w:spacing w:line="240" w:lineRule="auto"/>
              <w:ind w:firstLine="0" w:firstLineChars="0"/>
              <w:jc w:val="center"/>
              <w:rPr>
                <w:sz w:val="21"/>
                <w:szCs w:val="21"/>
              </w:rPr>
            </w:pPr>
            <w:r>
              <w:rPr>
                <w:spacing w:val="6"/>
                <w:sz w:val="21"/>
                <w:szCs w:val="21"/>
              </w:rPr>
              <w:t>E</w:t>
            </w:r>
            <w:r>
              <w:rPr>
                <w:spacing w:val="4"/>
                <w:sz w:val="21"/>
                <w:szCs w:val="21"/>
              </w:rPr>
              <w:t>SE</w:t>
            </w:r>
          </w:p>
        </w:tc>
        <w:tc>
          <w:tcPr>
            <w:tcW w:w="263" w:type="pct"/>
            <w:tcBorders>
              <w:tl2br w:val="nil"/>
              <w:tr2bl w:val="nil"/>
            </w:tcBorders>
            <w:vAlign w:val="center"/>
          </w:tcPr>
          <w:p>
            <w:pPr>
              <w:spacing w:line="240" w:lineRule="auto"/>
              <w:ind w:firstLine="0" w:firstLineChars="0"/>
              <w:jc w:val="center"/>
              <w:rPr>
                <w:sz w:val="21"/>
                <w:szCs w:val="21"/>
              </w:rPr>
            </w:pPr>
            <w:r>
              <w:rPr>
                <w:sz w:val="21"/>
                <w:szCs w:val="21"/>
              </w:rPr>
              <w:t>SE</w:t>
            </w:r>
          </w:p>
        </w:tc>
        <w:tc>
          <w:tcPr>
            <w:tcW w:w="272" w:type="pct"/>
            <w:tcBorders>
              <w:tl2br w:val="nil"/>
              <w:tr2bl w:val="nil"/>
            </w:tcBorders>
            <w:vAlign w:val="center"/>
          </w:tcPr>
          <w:p>
            <w:pPr>
              <w:spacing w:line="240" w:lineRule="auto"/>
              <w:ind w:firstLine="0" w:firstLineChars="0"/>
              <w:jc w:val="center"/>
              <w:rPr>
                <w:sz w:val="21"/>
                <w:szCs w:val="21"/>
              </w:rPr>
            </w:pPr>
            <w:r>
              <w:rPr>
                <w:spacing w:val="2"/>
                <w:sz w:val="21"/>
                <w:szCs w:val="21"/>
              </w:rPr>
              <w:t>SS</w:t>
            </w:r>
            <w:r>
              <w:rPr>
                <w:spacing w:val="1"/>
                <w:sz w:val="21"/>
                <w:szCs w:val="21"/>
              </w:rPr>
              <w:t>E</w:t>
            </w:r>
          </w:p>
        </w:tc>
        <w:tc>
          <w:tcPr>
            <w:tcW w:w="263" w:type="pct"/>
            <w:tcBorders>
              <w:tl2br w:val="nil"/>
              <w:tr2bl w:val="nil"/>
            </w:tcBorders>
            <w:vAlign w:val="center"/>
          </w:tcPr>
          <w:p>
            <w:pPr>
              <w:spacing w:line="240" w:lineRule="auto"/>
              <w:ind w:firstLine="0" w:firstLineChars="0"/>
              <w:jc w:val="center"/>
              <w:rPr>
                <w:sz w:val="21"/>
                <w:szCs w:val="21"/>
              </w:rPr>
            </w:pPr>
            <w:r>
              <w:rPr>
                <w:sz w:val="21"/>
                <w:szCs w:val="21"/>
              </w:rPr>
              <w:t>S</w:t>
            </w:r>
          </w:p>
        </w:tc>
        <w:tc>
          <w:tcPr>
            <w:tcW w:w="287" w:type="pct"/>
            <w:tcBorders>
              <w:tl2br w:val="nil"/>
              <w:tr2bl w:val="nil"/>
            </w:tcBorders>
            <w:vAlign w:val="center"/>
          </w:tcPr>
          <w:p>
            <w:pPr>
              <w:spacing w:line="240" w:lineRule="auto"/>
              <w:ind w:firstLine="0" w:firstLineChars="0"/>
              <w:jc w:val="center"/>
              <w:rPr>
                <w:sz w:val="21"/>
                <w:szCs w:val="21"/>
              </w:rPr>
            </w:pPr>
            <w:r>
              <w:rPr>
                <w:spacing w:val="4"/>
                <w:sz w:val="21"/>
                <w:szCs w:val="21"/>
              </w:rPr>
              <w:t>S</w:t>
            </w:r>
            <w:r>
              <w:rPr>
                <w:spacing w:val="2"/>
                <w:sz w:val="21"/>
                <w:szCs w:val="21"/>
              </w:rPr>
              <w:t>SW</w:t>
            </w:r>
          </w:p>
        </w:tc>
        <w:tc>
          <w:tcPr>
            <w:tcW w:w="263" w:type="pct"/>
            <w:tcBorders>
              <w:tl2br w:val="nil"/>
              <w:tr2bl w:val="nil"/>
            </w:tcBorders>
            <w:vAlign w:val="center"/>
          </w:tcPr>
          <w:p>
            <w:pPr>
              <w:spacing w:line="240" w:lineRule="auto"/>
              <w:ind w:firstLine="0" w:firstLineChars="0"/>
              <w:jc w:val="center"/>
              <w:rPr>
                <w:sz w:val="21"/>
                <w:szCs w:val="21"/>
              </w:rPr>
            </w:pPr>
            <w:r>
              <w:rPr>
                <w:spacing w:val="2"/>
                <w:sz w:val="21"/>
                <w:szCs w:val="21"/>
              </w:rPr>
              <w:t>S</w:t>
            </w:r>
            <w:r>
              <w:rPr>
                <w:spacing w:val="1"/>
                <w:sz w:val="21"/>
                <w:szCs w:val="21"/>
              </w:rPr>
              <w:t>W</w:t>
            </w:r>
          </w:p>
        </w:tc>
        <w:tc>
          <w:tcPr>
            <w:tcW w:w="310" w:type="pct"/>
            <w:tcBorders>
              <w:tl2br w:val="nil"/>
              <w:tr2bl w:val="nil"/>
            </w:tcBorders>
            <w:vAlign w:val="center"/>
          </w:tcPr>
          <w:p>
            <w:pPr>
              <w:spacing w:line="240" w:lineRule="auto"/>
              <w:ind w:firstLine="0" w:firstLineChars="0"/>
              <w:jc w:val="center"/>
              <w:rPr>
                <w:sz w:val="21"/>
                <w:szCs w:val="21"/>
              </w:rPr>
            </w:pPr>
            <w:r>
              <w:rPr>
                <w:spacing w:val="7"/>
                <w:sz w:val="21"/>
                <w:szCs w:val="21"/>
              </w:rPr>
              <w:t>WSW</w:t>
            </w:r>
          </w:p>
        </w:tc>
        <w:tc>
          <w:tcPr>
            <w:tcW w:w="261" w:type="pct"/>
            <w:tcBorders>
              <w:tl2br w:val="nil"/>
              <w:tr2bl w:val="nil"/>
            </w:tcBorders>
            <w:vAlign w:val="center"/>
          </w:tcPr>
          <w:p>
            <w:pPr>
              <w:spacing w:line="240" w:lineRule="auto"/>
              <w:ind w:firstLine="0" w:firstLineChars="0"/>
              <w:jc w:val="center"/>
              <w:rPr>
                <w:sz w:val="21"/>
                <w:szCs w:val="21"/>
              </w:rPr>
            </w:pPr>
            <w:r>
              <w:rPr>
                <w:spacing w:val="7"/>
                <w:sz w:val="21"/>
                <w:szCs w:val="21"/>
              </w:rPr>
              <w:t>W</w:t>
            </w:r>
          </w:p>
        </w:tc>
        <w:tc>
          <w:tcPr>
            <w:tcW w:w="331" w:type="pct"/>
            <w:tcBorders>
              <w:tl2br w:val="nil"/>
              <w:tr2bl w:val="nil"/>
            </w:tcBorders>
            <w:vAlign w:val="center"/>
          </w:tcPr>
          <w:p>
            <w:pPr>
              <w:spacing w:line="240" w:lineRule="auto"/>
              <w:ind w:firstLine="0" w:firstLineChars="0"/>
              <w:jc w:val="center"/>
              <w:rPr>
                <w:sz w:val="21"/>
                <w:szCs w:val="21"/>
              </w:rPr>
            </w:pPr>
            <w:r>
              <w:rPr>
                <w:spacing w:val="9"/>
                <w:sz w:val="21"/>
                <w:szCs w:val="21"/>
              </w:rPr>
              <w:t>W</w:t>
            </w:r>
            <w:r>
              <w:rPr>
                <w:spacing w:val="7"/>
                <w:sz w:val="21"/>
                <w:szCs w:val="21"/>
              </w:rPr>
              <w:t>NW</w:t>
            </w:r>
          </w:p>
        </w:tc>
        <w:tc>
          <w:tcPr>
            <w:tcW w:w="272" w:type="pct"/>
            <w:tcBorders>
              <w:tl2br w:val="nil"/>
              <w:tr2bl w:val="nil"/>
            </w:tcBorders>
            <w:vAlign w:val="center"/>
          </w:tcPr>
          <w:p>
            <w:pPr>
              <w:spacing w:line="240" w:lineRule="auto"/>
              <w:ind w:firstLine="0" w:firstLineChars="0"/>
              <w:jc w:val="center"/>
              <w:rPr>
                <w:sz w:val="21"/>
                <w:szCs w:val="21"/>
              </w:rPr>
            </w:pPr>
            <w:r>
              <w:rPr>
                <w:spacing w:val="7"/>
                <w:sz w:val="21"/>
                <w:szCs w:val="21"/>
              </w:rPr>
              <w:t>N</w:t>
            </w:r>
            <w:r>
              <w:rPr>
                <w:spacing w:val="6"/>
                <w:sz w:val="21"/>
                <w:szCs w:val="21"/>
              </w:rPr>
              <w:t>W</w:t>
            </w:r>
          </w:p>
        </w:tc>
        <w:tc>
          <w:tcPr>
            <w:tcW w:w="302" w:type="pct"/>
            <w:tcBorders>
              <w:tl2br w:val="nil"/>
              <w:tr2bl w:val="nil"/>
            </w:tcBorders>
            <w:vAlign w:val="center"/>
          </w:tcPr>
          <w:p>
            <w:pPr>
              <w:spacing w:line="240" w:lineRule="auto"/>
              <w:ind w:firstLine="0" w:firstLineChars="0"/>
              <w:jc w:val="center"/>
              <w:rPr>
                <w:sz w:val="21"/>
                <w:szCs w:val="21"/>
              </w:rPr>
            </w:pPr>
            <w:r>
              <w:rPr>
                <w:spacing w:val="7"/>
                <w:sz w:val="21"/>
                <w:szCs w:val="21"/>
              </w:rPr>
              <w:t>N</w:t>
            </w:r>
            <w:r>
              <w:rPr>
                <w:spacing w:val="6"/>
                <w:sz w:val="21"/>
                <w:szCs w:val="21"/>
              </w:rPr>
              <w:t>NW</w:t>
            </w:r>
          </w:p>
        </w:tc>
        <w:tc>
          <w:tcPr>
            <w:tcW w:w="283" w:type="pct"/>
            <w:tcBorders>
              <w:tl2br w:val="nil"/>
              <w:tr2bl w:val="nil"/>
            </w:tcBorders>
            <w:vAlign w:val="center"/>
          </w:tcPr>
          <w:p>
            <w:pPr>
              <w:spacing w:line="240" w:lineRule="auto"/>
              <w:ind w:firstLine="0" w:firstLineChars="0"/>
              <w:jc w:val="center"/>
              <w:rPr>
                <w:sz w:val="21"/>
                <w:szCs w:val="21"/>
              </w:rPr>
            </w:pPr>
            <w:r>
              <w:rPr>
                <w:sz w:val="21"/>
                <w:szCs w:val="21"/>
              </w:rPr>
              <w:t>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47" w:type="pct"/>
            <w:tcBorders>
              <w:tl2br w:val="nil"/>
              <w:tr2bl w:val="nil"/>
            </w:tcBorders>
            <w:vAlign w:val="center"/>
          </w:tcPr>
          <w:p>
            <w:pPr>
              <w:spacing w:line="240" w:lineRule="auto"/>
              <w:ind w:firstLine="0" w:firstLineChars="0"/>
              <w:jc w:val="center"/>
              <w:rPr>
                <w:spacing w:val="6"/>
                <w:sz w:val="21"/>
                <w:szCs w:val="21"/>
              </w:rPr>
            </w:pPr>
            <w:r>
              <w:rPr>
                <w:spacing w:val="6"/>
                <w:sz w:val="21"/>
                <w:szCs w:val="21"/>
              </w:rPr>
              <w:t>春</w:t>
            </w:r>
          </w:p>
        </w:tc>
        <w:tc>
          <w:tcPr>
            <w:tcW w:w="263" w:type="pct"/>
            <w:tcBorders>
              <w:tl2br w:val="nil"/>
              <w:tr2bl w:val="nil"/>
            </w:tcBorders>
            <w:vAlign w:val="center"/>
          </w:tcPr>
          <w:p>
            <w:pPr>
              <w:spacing w:line="240" w:lineRule="auto"/>
              <w:ind w:firstLine="0" w:firstLineChars="0"/>
              <w:jc w:val="center"/>
              <w:rPr>
                <w:sz w:val="21"/>
                <w:szCs w:val="21"/>
              </w:rPr>
            </w:pPr>
            <w:r>
              <w:rPr>
                <w:spacing w:val="5"/>
                <w:sz w:val="21"/>
                <w:szCs w:val="21"/>
              </w:rPr>
              <w:t>4.5</w:t>
            </w:r>
          </w:p>
        </w:tc>
        <w:tc>
          <w:tcPr>
            <w:tcW w:w="287" w:type="pct"/>
            <w:tcBorders>
              <w:tl2br w:val="nil"/>
              <w:tr2bl w:val="nil"/>
            </w:tcBorders>
            <w:vAlign w:val="center"/>
          </w:tcPr>
          <w:p>
            <w:pPr>
              <w:spacing w:line="240" w:lineRule="auto"/>
              <w:ind w:firstLine="0" w:firstLineChars="0"/>
              <w:jc w:val="center"/>
              <w:rPr>
                <w:sz w:val="21"/>
                <w:szCs w:val="21"/>
              </w:rPr>
            </w:pPr>
            <w:r>
              <w:rPr>
                <w:spacing w:val="1"/>
                <w:sz w:val="21"/>
                <w:szCs w:val="21"/>
              </w:rPr>
              <w:t>8</w:t>
            </w:r>
            <w:r>
              <w:rPr>
                <w:sz w:val="21"/>
                <w:szCs w:val="21"/>
              </w:rPr>
              <w:t>.2</w:t>
            </w:r>
          </w:p>
        </w:tc>
        <w:tc>
          <w:tcPr>
            <w:tcW w:w="261" w:type="pct"/>
            <w:tcBorders>
              <w:tl2br w:val="nil"/>
              <w:tr2bl w:val="nil"/>
            </w:tcBorders>
            <w:vAlign w:val="center"/>
          </w:tcPr>
          <w:p>
            <w:pPr>
              <w:spacing w:line="240" w:lineRule="auto"/>
              <w:ind w:firstLine="0" w:firstLineChars="0"/>
              <w:jc w:val="center"/>
              <w:rPr>
                <w:sz w:val="21"/>
                <w:szCs w:val="21"/>
              </w:rPr>
            </w:pPr>
            <w:r>
              <w:rPr>
                <w:spacing w:val="2"/>
                <w:sz w:val="21"/>
                <w:szCs w:val="21"/>
              </w:rPr>
              <w:t>8</w:t>
            </w:r>
            <w:r>
              <w:rPr>
                <w:spacing w:val="1"/>
                <w:sz w:val="21"/>
                <w:szCs w:val="21"/>
              </w:rPr>
              <w:t>.3</w:t>
            </w:r>
          </w:p>
        </w:tc>
        <w:tc>
          <w:tcPr>
            <w:tcW w:w="284" w:type="pct"/>
            <w:tcBorders>
              <w:tl2br w:val="nil"/>
              <w:tr2bl w:val="nil"/>
            </w:tcBorders>
            <w:vAlign w:val="center"/>
          </w:tcPr>
          <w:p>
            <w:pPr>
              <w:spacing w:line="240" w:lineRule="auto"/>
              <w:ind w:firstLine="0" w:firstLineChars="0"/>
              <w:jc w:val="center"/>
              <w:rPr>
                <w:sz w:val="21"/>
                <w:szCs w:val="21"/>
              </w:rPr>
            </w:pPr>
            <w:r>
              <w:rPr>
                <w:spacing w:val="2"/>
                <w:sz w:val="21"/>
                <w:szCs w:val="21"/>
              </w:rPr>
              <w:t>7.</w:t>
            </w:r>
            <w:r>
              <w:rPr>
                <w:spacing w:val="1"/>
                <w:sz w:val="21"/>
                <w:szCs w:val="21"/>
              </w:rPr>
              <w:t>2</w:t>
            </w:r>
          </w:p>
        </w:tc>
        <w:tc>
          <w:tcPr>
            <w:tcW w:w="263" w:type="pct"/>
            <w:tcBorders>
              <w:tl2br w:val="nil"/>
              <w:tr2bl w:val="nil"/>
            </w:tcBorders>
            <w:vAlign w:val="center"/>
          </w:tcPr>
          <w:p>
            <w:pPr>
              <w:spacing w:line="240" w:lineRule="auto"/>
              <w:ind w:firstLine="0" w:firstLineChars="0"/>
              <w:jc w:val="center"/>
              <w:rPr>
                <w:sz w:val="21"/>
                <w:szCs w:val="21"/>
              </w:rPr>
            </w:pPr>
            <w:r>
              <w:rPr>
                <w:spacing w:val="4"/>
                <w:sz w:val="21"/>
                <w:szCs w:val="21"/>
              </w:rPr>
              <w:t>4.7</w:t>
            </w:r>
          </w:p>
        </w:tc>
        <w:tc>
          <w:tcPr>
            <w:tcW w:w="276"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9</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9</w:t>
            </w:r>
          </w:p>
        </w:tc>
        <w:tc>
          <w:tcPr>
            <w:tcW w:w="272" w:type="pct"/>
            <w:tcBorders>
              <w:tl2br w:val="nil"/>
              <w:tr2bl w:val="nil"/>
            </w:tcBorders>
            <w:vAlign w:val="center"/>
          </w:tcPr>
          <w:p>
            <w:pPr>
              <w:spacing w:line="240" w:lineRule="auto"/>
              <w:ind w:firstLine="0" w:firstLineChars="0"/>
              <w:jc w:val="center"/>
              <w:rPr>
                <w:sz w:val="21"/>
                <w:szCs w:val="21"/>
              </w:rPr>
            </w:pPr>
            <w:r>
              <w:rPr>
                <w:spacing w:val="6"/>
                <w:sz w:val="21"/>
                <w:szCs w:val="21"/>
              </w:rPr>
              <w:t>4</w:t>
            </w:r>
            <w:r>
              <w:rPr>
                <w:spacing w:val="4"/>
                <w:sz w:val="21"/>
                <w:szCs w:val="21"/>
              </w:rPr>
              <w:t>.6</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9</w:t>
            </w:r>
          </w:p>
        </w:tc>
        <w:tc>
          <w:tcPr>
            <w:tcW w:w="287" w:type="pct"/>
            <w:tcBorders>
              <w:tl2br w:val="nil"/>
              <w:tr2bl w:val="nil"/>
            </w:tcBorders>
            <w:vAlign w:val="center"/>
          </w:tcPr>
          <w:p>
            <w:pPr>
              <w:spacing w:line="240" w:lineRule="auto"/>
              <w:ind w:firstLine="0" w:firstLineChars="0"/>
              <w:jc w:val="center"/>
              <w:rPr>
                <w:sz w:val="21"/>
                <w:szCs w:val="21"/>
              </w:rPr>
            </w:pPr>
            <w:r>
              <w:rPr>
                <w:spacing w:val="2"/>
                <w:sz w:val="21"/>
                <w:szCs w:val="21"/>
              </w:rPr>
              <w:t>6</w:t>
            </w:r>
            <w:r>
              <w:rPr>
                <w:spacing w:val="1"/>
                <w:sz w:val="21"/>
                <w:szCs w:val="21"/>
              </w:rPr>
              <w:t>.4</w:t>
            </w:r>
          </w:p>
        </w:tc>
        <w:tc>
          <w:tcPr>
            <w:tcW w:w="263" w:type="pct"/>
            <w:tcBorders>
              <w:tl2br w:val="nil"/>
              <w:tr2bl w:val="nil"/>
            </w:tcBorders>
            <w:vAlign w:val="center"/>
          </w:tcPr>
          <w:p>
            <w:pPr>
              <w:spacing w:line="240" w:lineRule="auto"/>
              <w:ind w:firstLine="0" w:firstLineChars="0"/>
              <w:jc w:val="center"/>
              <w:rPr>
                <w:sz w:val="21"/>
                <w:szCs w:val="21"/>
              </w:rPr>
            </w:pPr>
            <w:r>
              <w:rPr>
                <w:spacing w:val="4"/>
                <w:sz w:val="21"/>
                <w:szCs w:val="21"/>
              </w:rPr>
              <w:t>6.8</w:t>
            </w:r>
          </w:p>
        </w:tc>
        <w:tc>
          <w:tcPr>
            <w:tcW w:w="310" w:type="pct"/>
            <w:tcBorders>
              <w:tl2br w:val="nil"/>
              <w:tr2bl w:val="nil"/>
            </w:tcBorders>
            <w:vAlign w:val="center"/>
          </w:tcPr>
          <w:p>
            <w:pPr>
              <w:spacing w:line="240" w:lineRule="auto"/>
              <w:ind w:firstLine="0" w:firstLineChars="0"/>
              <w:jc w:val="center"/>
              <w:rPr>
                <w:sz w:val="21"/>
                <w:szCs w:val="21"/>
              </w:rPr>
            </w:pPr>
            <w:r>
              <w:rPr>
                <w:spacing w:val="3"/>
                <w:sz w:val="21"/>
                <w:szCs w:val="21"/>
              </w:rPr>
              <w:t>9.6</w:t>
            </w:r>
          </w:p>
        </w:tc>
        <w:tc>
          <w:tcPr>
            <w:tcW w:w="261" w:type="pct"/>
            <w:tcBorders>
              <w:tl2br w:val="nil"/>
              <w:tr2bl w:val="nil"/>
            </w:tcBorders>
            <w:vAlign w:val="center"/>
          </w:tcPr>
          <w:p>
            <w:pPr>
              <w:spacing w:line="240" w:lineRule="auto"/>
              <w:ind w:firstLine="0" w:firstLineChars="0"/>
              <w:jc w:val="center"/>
              <w:rPr>
                <w:sz w:val="21"/>
                <w:szCs w:val="21"/>
              </w:rPr>
            </w:pPr>
            <w:r>
              <w:rPr>
                <w:spacing w:val="4"/>
                <w:sz w:val="21"/>
                <w:szCs w:val="21"/>
              </w:rPr>
              <w:t>6</w:t>
            </w:r>
            <w:r>
              <w:rPr>
                <w:spacing w:val="2"/>
                <w:sz w:val="21"/>
                <w:szCs w:val="21"/>
              </w:rPr>
              <w:t>.3</w:t>
            </w:r>
          </w:p>
        </w:tc>
        <w:tc>
          <w:tcPr>
            <w:tcW w:w="331" w:type="pct"/>
            <w:tcBorders>
              <w:tl2br w:val="nil"/>
              <w:tr2bl w:val="nil"/>
            </w:tcBorders>
            <w:vAlign w:val="center"/>
          </w:tcPr>
          <w:p>
            <w:pPr>
              <w:spacing w:line="240" w:lineRule="auto"/>
              <w:ind w:firstLine="0" w:firstLineChars="0"/>
              <w:jc w:val="center"/>
              <w:rPr>
                <w:sz w:val="21"/>
                <w:szCs w:val="21"/>
              </w:rPr>
            </w:pPr>
            <w:r>
              <w:rPr>
                <w:spacing w:val="2"/>
                <w:sz w:val="21"/>
                <w:szCs w:val="21"/>
              </w:rPr>
              <w:t>5.0</w:t>
            </w:r>
          </w:p>
        </w:tc>
        <w:tc>
          <w:tcPr>
            <w:tcW w:w="272"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.7</w:t>
            </w:r>
          </w:p>
        </w:tc>
        <w:tc>
          <w:tcPr>
            <w:tcW w:w="302"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.7</w:t>
            </w:r>
          </w:p>
        </w:tc>
        <w:tc>
          <w:tcPr>
            <w:tcW w:w="283" w:type="pct"/>
            <w:tcBorders>
              <w:tl2br w:val="nil"/>
              <w:tr2bl w:val="nil"/>
            </w:tcBorders>
            <w:vAlign w:val="center"/>
          </w:tcPr>
          <w:p>
            <w:pPr>
              <w:spacing w:line="240" w:lineRule="auto"/>
              <w:ind w:firstLine="0" w:firstLineChars="0"/>
              <w:jc w:val="center"/>
              <w:rPr>
                <w:sz w:val="21"/>
                <w:szCs w:val="21"/>
              </w:rPr>
            </w:pPr>
            <w:r>
              <w:rPr>
                <w:spacing w:val="3"/>
                <w:sz w:val="21"/>
                <w:szCs w:val="21"/>
              </w:rPr>
              <w:t>9.</w:t>
            </w:r>
            <w:r>
              <w:rPr>
                <w:spacing w:val="2"/>
                <w:sz w:val="21"/>
                <w:szCs w:val="21"/>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47" w:type="pct"/>
            <w:tcBorders>
              <w:tl2br w:val="nil"/>
              <w:tr2bl w:val="nil"/>
            </w:tcBorders>
            <w:vAlign w:val="center"/>
          </w:tcPr>
          <w:p>
            <w:pPr>
              <w:spacing w:line="240" w:lineRule="auto"/>
              <w:ind w:firstLine="0" w:firstLineChars="0"/>
              <w:jc w:val="center"/>
              <w:rPr>
                <w:spacing w:val="6"/>
                <w:sz w:val="21"/>
                <w:szCs w:val="21"/>
              </w:rPr>
            </w:pPr>
            <w:r>
              <w:rPr>
                <w:spacing w:val="6"/>
                <w:sz w:val="21"/>
                <w:szCs w:val="21"/>
              </w:rPr>
              <w:t>夏</w:t>
            </w:r>
          </w:p>
        </w:tc>
        <w:tc>
          <w:tcPr>
            <w:tcW w:w="263" w:type="pct"/>
            <w:tcBorders>
              <w:tl2br w:val="nil"/>
              <w:tr2bl w:val="nil"/>
            </w:tcBorders>
            <w:vAlign w:val="center"/>
          </w:tcPr>
          <w:p>
            <w:pPr>
              <w:spacing w:line="240" w:lineRule="auto"/>
              <w:ind w:firstLine="0" w:firstLineChars="0"/>
              <w:jc w:val="center"/>
              <w:rPr>
                <w:sz w:val="21"/>
                <w:szCs w:val="21"/>
              </w:rPr>
            </w:pPr>
            <w:r>
              <w:rPr>
                <w:spacing w:val="4"/>
                <w:sz w:val="21"/>
                <w:szCs w:val="21"/>
              </w:rPr>
              <w:t>2.9</w:t>
            </w:r>
          </w:p>
        </w:tc>
        <w:tc>
          <w:tcPr>
            <w:tcW w:w="287" w:type="pct"/>
            <w:tcBorders>
              <w:tl2br w:val="nil"/>
              <w:tr2bl w:val="nil"/>
            </w:tcBorders>
            <w:vAlign w:val="center"/>
          </w:tcPr>
          <w:p>
            <w:pPr>
              <w:spacing w:line="240" w:lineRule="auto"/>
              <w:ind w:firstLine="0" w:firstLineChars="0"/>
              <w:jc w:val="center"/>
              <w:rPr>
                <w:sz w:val="21"/>
                <w:szCs w:val="21"/>
              </w:rPr>
            </w:pPr>
            <w:r>
              <w:rPr>
                <w:spacing w:val="3"/>
                <w:sz w:val="21"/>
                <w:szCs w:val="21"/>
              </w:rPr>
              <w:t>6.</w:t>
            </w:r>
            <w:r>
              <w:rPr>
                <w:spacing w:val="2"/>
                <w:sz w:val="21"/>
                <w:szCs w:val="21"/>
              </w:rPr>
              <w:t>6</w:t>
            </w:r>
          </w:p>
        </w:tc>
        <w:tc>
          <w:tcPr>
            <w:tcW w:w="261" w:type="pct"/>
            <w:tcBorders>
              <w:tl2br w:val="nil"/>
              <w:tr2bl w:val="nil"/>
            </w:tcBorders>
            <w:vAlign w:val="center"/>
          </w:tcPr>
          <w:p>
            <w:pPr>
              <w:spacing w:line="240" w:lineRule="auto"/>
              <w:ind w:firstLine="0" w:firstLineChars="0"/>
              <w:jc w:val="center"/>
              <w:rPr>
                <w:sz w:val="21"/>
                <w:szCs w:val="21"/>
              </w:rPr>
            </w:pPr>
            <w:r>
              <w:rPr>
                <w:spacing w:val="2"/>
                <w:sz w:val="21"/>
                <w:szCs w:val="21"/>
              </w:rPr>
              <w:t>9.</w:t>
            </w:r>
            <w:r>
              <w:rPr>
                <w:spacing w:val="1"/>
                <w:sz w:val="21"/>
                <w:szCs w:val="21"/>
              </w:rPr>
              <w:t>4</w:t>
            </w:r>
          </w:p>
        </w:tc>
        <w:tc>
          <w:tcPr>
            <w:tcW w:w="284" w:type="pct"/>
            <w:tcBorders>
              <w:tl2br w:val="nil"/>
              <w:tr2bl w:val="nil"/>
            </w:tcBorders>
            <w:vAlign w:val="center"/>
          </w:tcPr>
          <w:p>
            <w:pPr>
              <w:spacing w:line="240" w:lineRule="auto"/>
              <w:ind w:firstLine="0" w:firstLineChars="0"/>
              <w:jc w:val="center"/>
              <w:rPr>
                <w:sz w:val="21"/>
                <w:szCs w:val="21"/>
              </w:rPr>
            </w:pPr>
            <w:r>
              <w:rPr>
                <w:spacing w:val="1"/>
                <w:sz w:val="21"/>
                <w:szCs w:val="21"/>
              </w:rPr>
              <w:t>8</w:t>
            </w:r>
            <w:r>
              <w:rPr>
                <w:sz w:val="21"/>
                <w:szCs w:val="21"/>
              </w:rPr>
              <w:t>.2</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6</w:t>
            </w:r>
            <w:r>
              <w:rPr>
                <w:spacing w:val="2"/>
                <w:sz w:val="21"/>
                <w:szCs w:val="21"/>
              </w:rPr>
              <w:t>.0</w:t>
            </w:r>
          </w:p>
        </w:tc>
        <w:tc>
          <w:tcPr>
            <w:tcW w:w="276" w:type="pct"/>
            <w:tcBorders>
              <w:tl2br w:val="nil"/>
              <w:tr2bl w:val="nil"/>
            </w:tcBorders>
            <w:vAlign w:val="center"/>
          </w:tcPr>
          <w:p>
            <w:pPr>
              <w:spacing w:line="240" w:lineRule="auto"/>
              <w:ind w:firstLine="0" w:firstLineChars="0"/>
              <w:jc w:val="center"/>
              <w:rPr>
                <w:sz w:val="21"/>
                <w:szCs w:val="21"/>
              </w:rPr>
            </w:pPr>
            <w:r>
              <w:rPr>
                <w:spacing w:val="3"/>
                <w:sz w:val="21"/>
                <w:szCs w:val="21"/>
              </w:rPr>
              <w:t>7.6</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7.</w:t>
            </w:r>
            <w:r>
              <w:rPr>
                <w:spacing w:val="2"/>
                <w:sz w:val="21"/>
                <w:szCs w:val="21"/>
              </w:rPr>
              <w:t>0</w:t>
            </w:r>
          </w:p>
        </w:tc>
        <w:tc>
          <w:tcPr>
            <w:tcW w:w="272" w:type="pct"/>
            <w:tcBorders>
              <w:tl2br w:val="nil"/>
              <w:tr2bl w:val="nil"/>
            </w:tcBorders>
            <w:vAlign w:val="center"/>
          </w:tcPr>
          <w:p>
            <w:pPr>
              <w:spacing w:line="240" w:lineRule="auto"/>
              <w:ind w:firstLine="0" w:firstLineChars="0"/>
              <w:jc w:val="center"/>
              <w:rPr>
                <w:sz w:val="21"/>
                <w:szCs w:val="21"/>
              </w:rPr>
            </w:pPr>
            <w:r>
              <w:rPr>
                <w:spacing w:val="2"/>
                <w:sz w:val="21"/>
                <w:szCs w:val="21"/>
              </w:rPr>
              <w:t>7.</w:t>
            </w:r>
            <w:r>
              <w:rPr>
                <w:spacing w:val="1"/>
                <w:sz w:val="21"/>
                <w:szCs w:val="21"/>
              </w:rPr>
              <w:t>2</w:t>
            </w:r>
          </w:p>
        </w:tc>
        <w:tc>
          <w:tcPr>
            <w:tcW w:w="263" w:type="pct"/>
            <w:tcBorders>
              <w:tl2br w:val="nil"/>
              <w:tr2bl w:val="nil"/>
            </w:tcBorders>
            <w:vAlign w:val="center"/>
          </w:tcPr>
          <w:p>
            <w:pPr>
              <w:spacing w:line="240" w:lineRule="auto"/>
              <w:ind w:firstLine="0" w:firstLineChars="0"/>
              <w:jc w:val="center"/>
              <w:rPr>
                <w:sz w:val="21"/>
                <w:szCs w:val="21"/>
              </w:rPr>
            </w:pPr>
            <w:r>
              <w:rPr>
                <w:spacing w:val="2"/>
                <w:sz w:val="21"/>
                <w:szCs w:val="21"/>
              </w:rPr>
              <w:t>5.7</w:t>
            </w:r>
          </w:p>
        </w:tc>
        <w:tc>
          <w:tcPr>
            <w:tcW w:w="287" w:type="pct"/>
            <w:tcBorders>
              <w:tl2br w:val="nil"/>
              <w:tr2bl w:val="nil"/>
            </w:tcBorders>
            <w:vAlign w:val="center"/>
          </w:tcPr>
          <w:p>
            <w:pPr>
              <w:spacing w:line="240" w:lineRule="auto"/>
              <w:ind w:firstLine="0" w:firstLineChars="0"/>
              <w:jc w:val="center"/>
              <w:rPr>
                <w:sz w:val="21"/>
                <w:szCs w:val="21"/>
              </w:rPr>
            </w:pPr>
            <w:r>
              <w:rPr>
                <w:spacing w:val="5"/>
                <w:sz w:val="21"/>
                <w:szCs w:val="21"/>
              </w:rPr>
              <w:t>5</w:t>
            </w:r>
            <w:r>
              <w:rPr>
                <w:spacing w:val="3"/>
                <w:sz w:val="21"/>
                <w:szCs w:val="21"/>
              </w:rPr>
              <w:t>.8</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.9</w:t>
            </w:r>
          </w:p>
        </w:tc>
        <w:tc>
          <w:tcPr>
            <w:tcW w:w="310"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5</w:t>
            </w:r>
          </w:p>
        </w:tc>
        <w:tc>
          <w:tcPr>
            <w:tcW w:w="261" w:type="pct"/>
            <w:tcBorders>
              <w:tl2br w:val="nil"/>
              <w:tr2bl w:val="nil"/>
            </w:tcBorders>
            <w:vAlign w:val="center"/>
          </w:tcPr>
          <w:p>
            <w:pPr>
              <w:spacing w:line="240" w:lineRule="auto"/>
              <w:ind w:firstLine="0" w:firstLineChars="0"/>
              <w:jc w:val="center"/>
              <w:rPr>
                <w:sz w:val="21"/>
                <w:szCs w:val="21"/>
              </w:rPr>
            </w:pPr>
            <w:r>
              <w:rPr>
                <w:spacing w:val="10"/>
                <w:sz w:val="21"/>
                <w:szCs w:val="21"/>
              </w:rPr>
              <w:t>4</w:t>
            </w:r>
            <w:r>
              <w:rPr>
                <w:spacing w:val="9"/>
                <w:sz w:val="21"/>
                <w:szCs w:val="21"/>
              </w:rPr>
              <w:t>.1</w:t>
            </w:r>
          </w:p>
        </w:tc>
        <w:tc>
          <w:tcPr>
            <w:tcW w:w="331" w:type="pct"/>
            <w:tcBorders>
              <w:tl2br w:val="nil"/>
              <w:tr2bl w:val="nil"/>
            </w:tcBorders>
            <w:vAlign w:val="center"/>
          </w:tcPr>
          <w:p>
            <w:pPr>
              <w:spacing w:line="240" w:lineRule="auto"/>
              <w:ind w:firstLine="0" w:firstLineChars="0"/>
              <w:jc w:val="center"/>
              <w:rPr>
                <w:sz w:val="21"/>
                <w:szCs w:val="21"/>
              </w:rPr>
            </w:pPr>
            <w:r>
              <w:rPr>
                <w:spacing w:val="4"/>
                <w:sz w:val="21"/>
                <w:szCs w:val="21"/>
              </w:rPr>
              <w:t>2.9</w:t>
            </w:r>
          </w:p>
        </w:tc>
        <w:tc>
          <w:tcPr>
            <w:tcW w:w="272" w:type="pct"/>
            <w:tcBorders>
              <w:tl2br w:val="nil"/>
              <w:tr2bl w:val="nil"/>
            </w:tcBorders>
            <w:vAlign w:val="center"/>
          </w:tcPr>
          <w:p>
            <w:pPr>
              <w:spacing w:line="240" w:lineRule="auto"/>
              <w:ind w:firstLine="0" w:firstLineChars="0"/>
              <w:jc w:val="center"/>
              <w:rPr>
                <w:sz w:val="21"/>
                <w:szCs w:val="21"/>
              </w:rPr>
            </w:pPr>
            <w:r>
              <w:rPr>
                <w:spacing w:val="3"/>
                <w:sz w:val="21"/>
                <w:szCs w:val="21"/>
              </w:rPr>
              <w:t>2.2</w:t>
            </w:r>
          </w:p>
        </w:tc>
        <w:tc>
          <w:tcPr>
            <w:tcW w:w="302" w:type="pct"/>
            <w:tcBorders>
              <w:tl2br w:val="nil"/>
              <w:tr2bl w:val="nil"/>
            </w:tcBorders>
            <w:vAlign w:val="center"/>
          </w:tcPr>
          <w:p>
            <w:pPr>
              <w:spacing w:line="240" w:lineRule="auto"/>
              <w:ind w:firstLine="0" w:firstLineChars="0"/>
              <w:jc w:val="center"/>
              <w:rPr>
                <w:sz w:val="21"/>
                <w:szCs w:val="21"/>
              </w:rPr>
            </w:pPr>
            <w:r>
              <w:rPr>
                <w:spacing w:val="5"/>
                <w:sz w:val="21"/>
                <w:szCs w:val="21"/>
              </w:rPr>
              <w:t>2</w:t>
            </w:r>
            <w:r>
              <w:rPr>
                <w:spacing w:val="4"/>
                <w:sz w:val="21"/>
                <w:szCs w:val="21"/>
              </w:rPr>
              <w:t>.6</w:t>
            </w:r>
          </w:p>
        </w:tc>
        <w:tc>
          <w:tcPr>
            <w:tcW w:w="283" w:type="pct"/>
            <w:tcBorders>
              <w:tl2br w:val="nil"/>
              <w:tr2bl w:val="nil"/>
            </w:tcBorders>
            <w:vAlign w:val="center"/>
          </w:tcPr>
          <w:p>
            <w:pPr>
              <w:spacing w:line="240" w:lineRule="auto"/>
              <w:ind w:firstLine="0" w:firstLineChars="0"/>
              <w:jc w:val="center"/>
              <w:rPr>
                <w:sz w:val="21"/>
                <w:szCs w:val="21"/>
              </w:rPr>
            </w:pPr>
            <w:r>
              <w:rPr>
                <w:spacing w:val="-2"/>
                <w:sz w:val="21"/>
                <w:szCs w:val="21"/>
              </w:rPr>
              <w:t>1</w:t>
            </w:r>
            <w:r>
              <w:rPr>
                <w:spacing w:val="-1"/>
                <w:sz w:val="21"/>
                <w:szCs w:val="21"/>
              </w:rPr>
              <w:t>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47" w:type="pct"/>
            <w:tcBorders>
              <w:tl2br w:val="nil"/>
              <w:tr2bl w:val="nil"/>
            </w:tcBorders>
            <w:vAlign w:val="center"/>
          </w:tcPr>
          <w:p>
            <w:pPr>
              <w:spacing w:line="240" w:lineRule="auto"/>
              <w:ind w:firstLine="0" w:firstLineChars="0"/>
              <w:jc w:val="center"/>
              <w:rPr>
                <w:spacing w:val="6"/>
                <w:sz w:val="21"/>
                <w:szCs w:val="21"/>
              </w:rPr>
            </w:pPr>
            <w:r>
              <w:rPr>
                <w:spacing w:val="6"/>
                <w:sz w:val="21"/>
                <w:szCs w:val="21"/>
              </w:rPr>
              <w:t>秋</w:t>
            </w:r>
          </w:p>
        </w:tc>
        <w:tc>
          <w:tcPr>
            <w:tcW w:w="263" w:type="pct"/>
            <w:tcBorders>
              <w:tl2br w:val="nil"/>
              <w:tr2bl w:val="nil"/>
            </w:tcBorders>
            <w:vAlign w:val="center"/>
          </w:tcPr>
          <w:p>
            <w:pPr>
              <w:spacing w:line="240" w:lineRule="auto"/>
              <w:ind w:firstLine="0" w:firstLineChars="0"/>
              <w:jc w:val="center"/>
              <w:rPr>
                <w:sz w:val="21"/>
                <w:szCs w:val="21"/>
              </w:rPr>
            </w:pPr>
            <w:r>
              <w:rPr>
                <w:spacing w:val="6"/>
                <w:sz w:val="21"/>
                <w:szCs w:val="21"/>
              </w:rPr>
              <w:t>2</w:t>
            </w:r>
            <w:r>
              <w:rPr>
                <w:spacing w:val="5"/>
                <w:sz w:val="21"/>
                <w:szCs w:val="21"/>
              </w:rPr>
              <w:t>.8</w:t>
            </w:r>
          </w:p>
        </w:tc>
        <w:tc>
          <w:tcPr>
            <w:tcW w:w="287"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.9</w:t>
            </w:r>
          </w:p>
        </w:tc>
        <w:tc>
          <w:tcPr>
            <w:tcW w:w="261" w:type="pct"/>
            <w:tcBorders>
              <w:tl2br w:val="nil"/>
              <w:tr2bl w:val="nil"/>
            </w:tcBorders>
            <w:vAlign w:val="center"/>
          </w:tcPr>
          <w:p>
            <w:pPr>
              <w:spacing w:line="240" w:lineRule="auto"/>
              <w:ind w:firstLine="0" w:firstLineChars="0"/>
              <w:jc w:val="center"/>
              <w:rPr>
                <w:sz w:val="21"/>
                <w:szCs w:val="21"/>
              </w:rPr>
            </w:pPr>
            <w:r>
              <w:rPr>
                <w:spacing w:val="2"/>
                <w:sz w:val="21"/>
                <w:szCs w:val="21"/>
              </w:rPr>
              <w:t>8</w:t>
            </w:r>
            <w:r>
              <w:rPr>
                <w:spacing w:val="1"/>
                <w:sz w:val="21"/>
                <w:szCs w:val="21"/>
              </w:rPr>
              <w:t>.3</w:t>
            </w:r>
          </w:p>
        </w:tc>
        <w:tc>
          <w:tcPr>
            <w:tcW w:w="284" w:type="pct"/>
            <w:tcBorders>
              <w:tl2br w:val="nil"/>
              <w:tr2bl w:val="nil"/>
            </w:tcBorders>
            <w:vAlign w:val="center"/>
          </w:tcPr>
          <w:p>
            <w:pPr>
              <w:spacing w:line="240" w:lineRule="auto"/>
              <w:ind w:firstLine="0" w:firstLineChars="0"/>
              <w:jc w:val="center"/>
              <w:rPr>
                <w:sz w:val="21"/>
                <w:szCs w:val="21"/>
              </w:rPr>
            </w:pPr>
            <w:r>
              <w:rPr>
                <w:spacing w:val="8"/>
                <w:sz w:val="21"/>
                <w:szCs w:val="21"/>
              </w:rPr>
              <w:t>9.1</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.6</w:t>
            </w:r>
          </w:p>
        </w:tc>
        <w:tc>
          <w:tcPr>
            <w:tcW w:w="276" w:type="pct"/>
            <w:tcBorders>
              <w:tl2br w:val="nil"/>
              <w:tr2bl w:val="nil"/>
            </w:tcBorders>
            <w:vAlign w:val="center"/>
          </w:tcPr>
          <w:p>
            <w:pPr>
              <w:spacing w:line="240" w:lineRule="auto"/>
              <w:ind w:firstLine="0" w:firstLineChars="0"/>
              <w:jc w:val="center"/>
              <w:rPr>
                <w:sz w:val="21"/>
                <w:szCs w:val="21"/>
              </w:rPr>
            </w:pPr>
            <w:r>
              <w:rPr>
                <w:spacing w:val="6"/>
                <w:sz w:val="21"/>
                <w:szCs w:val="21"/>
              </w:rPr>
              <w:t>4.</w:t>
            </w:r>
            <w:r>
              <w:rPr>
                <w:spacing w:val="5"/>
                <w:sz w:val="21"/>
                <w:szCs w:val="21"/>
              </w:rPr>
              <w:t>8</w:t>
            </w:r>
          </w:p>
        </w:tc>
        <w:tc>
          <w:tcPr>
            <w:tcW w:w="263" w:type="pct"/>
            <w:tcBorders>
              <w:tl2br w:val="nil"/>
              <w:tr2bl w:val="nil"/>
            </w:tcBorders>
            <w:vAlign w:val="center"/>
          </w:tcPr>
          <w:p>
            <w:pPr>
              <w:spacing w:line="240" w:lineRule="auto"/>
              <w:ind w:firstLine="0" w:firstLineChars="0"/>
              <w:jc w:val="center"/>
              <w:rPr>
                <w:sz w:val="21"/>
                <w:szCs w:val="21"/>
              </w:rPr>
            </w:pPr>
            <w:r>
              <w:rPr>
                <w:spacing w:val="5"/>
                <w:sz w:val="21"/>
                <w:szCs w:val="21"/>
              </w:rPr>
              <w:t>4.5</w:t>
            </w:r>
          </w:p>
        </w:tc>
        <w:tc>
          <w:tcPr>
            <w:tcW w:w="272" w:type="pct"/>
            <w:tcBorders>
              <w:tl2br w:val="nil"/>
              <w:tr2bl w:val="nil"/>
            </w:tcBorders>
            <w:vAlign w:val="center"/>
          </w:tcPr>
          <w:p>
            <w:pPr>
              <w:spacing w:line="240" w:lineRule="auto"/>
              <w:ind w:firstLine="0" w:firstLineChars="0"/>
              <w:jc w:val="center"/>
              <w:rPr>
                <w:sz w:val="21"/>
                <w:szCs w:val="21"/>
              </w:rPr>
            </w:pPr>
            <w:r>
              <w:rPr>
                <w:spacing w:val="5"/>
                <w:sz w:val="21"/>
                <w:szCs w:val="21"/>
              </w:rPr>
              <w:t>4</w:t>
            </w:r>
            <w:r>
              <w:rPr>
                <w:spacing w:val="4"/>
                <w:sz w:val="21"/>
                <w:szCs w:val="21"/>
              </w:rPr>
              <w:t>.9</w:t>
            </w:r>
          </w:p>
        </w:tc>
        <w:tc>
          <w:tcPr>
            <w:tcW w:w="263" w:type="pct"/>
            <w:tcBorders>
              <w:tl2br w:val="nil"/>
              <w:tr2bl w:val="nil"/>
            </w:tcBorders>
            <w:vAlign w:val="center"/>
          </w:tcPr>
          <w:p>
            <w:pPr>
              <w:spacing w:line="240" w:lineRule="auto"/>
              <w:ind w:firstLine="0" w:firstLineChars="0"/>
              <w:jc w:val="center"/>
              <w:rPr>
                <w:sz w:val="21"/>
                <w:szCs w:val="21"/>
              </w:rPr>
            </w:pPr>
            <w:r>
              <w:rPr>
                <w:spacing w:val="5"/>
                <w:sz w:val="21"/>
                <w:szCs w:val="21"/>
              </w:rPr>
              <w:t>4</w:t>
            </w:r>
            <w:r>
              <w:rPr>
                <w:spacing w:val="4"/>
                <w:sz w:val="21"/>
                <w:szCs w:val="21"/>
              </w:rPr>
              <w:t>.3</w:t>
            </w:r>
          </w:p>
        </w:tc>
        <w:tc>
          <w:tcPr>
            <w:tcW w:w="287"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.6</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6</w:t>
            </w:r>
            <w:r>
              <w:rPr>
                <w:spacing w:val="2"/>
                <w:sz w:val="21"/>
                <w:szCs w:val="21"/>
              </w:rPr>
              <w:t>.0</w:t>
            </w:r>
          </w:p>
        </w:tc>
        <w:tc>
          <w:tcPr>
            <w:tcW w:w="310" w:type="pct"/>
            <w:tcBorders>
              <w:tl2br w:val="nil"/>
              <w:tr2bl w:val="nil"/>
            </w:tcBorders>
            <w:vAlign w:val="center"/>
          </w:tcPr>
          <w:p>
            <w:pPr>
              <w:spacing w:line="240" w:lineRule="auto"/>
              <w:ind w:firstLine="0" w:firstLineChars="0"/>
              <w:jc w:val="center"/>
              <w:rPr>
                <w:sz w:val="21"/>
                <w:szCs w:val="21"/>
              </w:rPr>
            </w:pPr>
            <w:r>
              <w:rPr>
                <w:spacing w:val="3"/>
                <w:sz w:val="21"/>
                <w:szCs w:val="21"/>
              </w:rPr>
              <w:t>6.5</w:t>
            </w:r>
          </w:p>
        </w:tc>
        <w:tc>
          <w:tcPr>
            <w:tcW w:w="261" w:type="pct"/>
            <w:tcBorders>
              <w:tl2br w:val="nil"/>
              <w:tr2bl w:val="nil"/>
            </w:tcBorders>
            <w:vAlign w:val="center"/>
          </w:tcPr>
          <w:p>
            <w:pPr>
              <w:spacing w:line="240" w:lineRule="auto"/>
              <w:ind w:firstLine="0" w:firstLineChars="0"/>
              <w:jc w:val="center"/>
              <w:rPr>
                <w:sz w:val="21"/>
                <w:szCs w:val="21"/>
              </w:rPr>
            </w:pPr>
            <w:r>
              <w:rPr>
                <w:spacing w:val="2"/>
                <w:sz w:val="21"/>
                <w:szCs w:val="21"/>
              </w:rPr>
              <w:t>5.0</w:t>
            </w:r>
          </w:p>
        </w:tc>
        <w:tc>
          <w:tcPr>
            <w:tcW w:w="331" w:type="pct"/>
            <w:tcBorders>
              <w:tl2br w:val="nil"/>
              <w:tr2bl w:val="nil"/>
            </w:tcBorders>
            <w:vAlign w:val="center"/>
          </w:tcPr>
          <w:p>
            <w:pPr>
              <w:spacing w:line="240" w:lineRule="auto"/>
              <w:ind w:firstLine="0" w:firstLineChars="0"/>
              <w:jc w:val="center"/>
              <w:rPr>
                <w:sz w:val="21"/>
                <w:szCs w:val="21"/>
              </w:rPr>
            </w:pPr>
            <w:r>
              <w:rPr>
                <w:spacing w:val="4"/>
                <w:sz w:val="21"/>
                <w:szCs w:val="21"/>
              </w:rPr>
              <w:t>3.8</w:t>
            </w:r>
          </w:p>
        </w:tc>
        <w:tc>
          <w:tcPr>
            <w:tcW w:w="272" w:type="pct"/>
            <w:tcBorders>
              <w:tl2br w:val="nil"/>
              <w:tr2bl w:val="nil"/>
            </w:tcBorders>
            <w:vAlign w:val="center"/>
          </w:tcPr>
          <w:p>
            <w:pPr>
              <w:spacing w:line="240" w:lineRule="auto"/>
              <w:ind w:firstLine="0" w:firstLineChars="0"/>
              <w:jc w:val="center"/>
              <w:rPr>
                <w:sz w:val="21"/>
                <w:szCs w:val="21"/>
              </w:rPr>
            </w:pPr>
            <w:r>
              <w:rPr>
                <w:spacing w:val="5"/>
                <w:sz w:val="21"/>
                <w:szCs w:val="21"/>
              </w:rPr>
              <w:t>2</w:t>
            </w:r>
            <w:r>
              <w:rPr>
                <w:spacing w:val="4"/>
                <w:sz w:val="21"/>
                <w:szCs w:val="21"/>
              </w:rPr>
              <w:t>.6</w:t>
            </w:r>
          </w:p>
        </w:tc>
        <w:tc>
          <w:tcPr>
            <w:tcW w:w="302" w:type="pct"/>
            <w:tcBorders>
              <w:tl2br w:val="nil"/>
              <w:tr2bl w:val="nil"/>
            </w:tcBorders>
            <w:vAlign w:val="center"/>
          </w:tcPr>
          <w:p>
            <w:pPr>
              <w:spacing w:line="240" w:lineRule="auto"/>
              <w:ind w:firstLine="0" w:firstLineChars="0"/>
              <w:jc w:val="center"/>
              <w:rPr>
                <w:sz w:val="21"/>
                <w:szCs w:val="21"/>
              </w:rPr>
            </w:pPr>
            <w:r>
              <w:rPr>
                <w:spacing w:val="6"/>
                <w:sz w:val="21"/>
                <w:szCs w:val="21"/>
              </w:rPr>
              <w:t>2</w:t>
            </w:r>
            <w:r>
              <w:rPr>
                <w:spacing w:val="4"/>
                <w:sz w:val="21"/>
                <w:szCs w:val="21"/>
              </w:rPr>
              <w:t>.5</w:t>
            </w:r>
          </w:p>
        </w:tc>
        <w:tc>
          <w:tcPr>
            <w:tcW w:w="283" w:type="pct"/>
            <w:tcBorders>
              <w:tl2br w:val="nil"/>
              <w:tr2bl w:val="nil"/>
            </w:tcBorders>
            <w:vAlign w:val="center"/>
          </w:tcPr>
          <w:p>
            <w:pPr>
              <w:spacing w:line="240" w:lineRule="auto"/>
              <w:ind w:firstLine="0" w:firstLineChars="0"/>
              <w:jc w:val="center"/>
              <w:rPr>
                <w:sz w:val="21"/>
                <w:szCs w:val="21"/>
              </w:rPr>
            </w:pPr>
            <w:r>
              <w:rPr>
                <w:spacing w:val="-2"/>
                <w:sz w:val="21"/>
                <w:szCs w:val="21"/>
              </w:rPr>
              <w:t>1</w:t>
            </w:r>
            <w:r>
              <w:rPr>
                <w:spacing w:val="-1"/>
                <w:sz w:val="21"/>
                <w:szCs w:val="21"/>
              </w:rPr>
              <w:t>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47" w:type="pct"/>
            <w:tcBorders>
              <w:tl2br w:val="nil"/>
              <w:tr2bl w:val="nil"/>
            </w:tcBorders>
            <w:vAlign w:val="center"/>
          </w:tcPr>
          <w:p>
            <w:pPr>
              <w:spacing w:line="240" w:lineRule="auto"/>
              <w:ind w:firstLine="0" w:firstLineChars="0"/>
              <w:jc w:val="center"/>
              <w:rPr>
                <w:spacing w:val="6"/>
                <w:sz w:val="21"/>
                <w:szCs w:val="21"/>
              </w:rPr>
            </w:pPr>
            <w:r>
              <w:rPr>
                <w:spacing w:val="6"/>
                <w:sz w:val="21"/>
                <w:szCs w:val="21"/>
              </w:rPr>
              <w:t>冬</w:t>
            </w:r>
          </w:p>
        </w:tc>
        <w:tc>
          <w:tcPr>
            <w:tcW w:w="263" w:type="pct"/>
            <w:tcBorders>
              <w:tl2br w:val="nil"/>
              <w:tr2bl w:val="nil"/>
            </w:tcBorders>
            <w:vAlign w:val="center"/>
          </w:tcPr>
          <w:p>
            <w:pPr>
              <w:spacing w:line="240" w:lineRule="auto"/>
              <w:ind w:firstLine="0" w:firstLineChars="0"/>
              <w:jc w:val="center"/>
              <w:rPr>
                <w:sz w:val="21"/>
                <w:szCs w:val="21"/>
              </w:rPr>
            </w:pPr>
            <w:r>
              <w:rPr>
                <w:spacing w:val="6"/>
                <w:sz w:val="21"/>
                <w:szCs w:val="21"/>
              </w:rPr>
              <w:t>2</w:t>
            </w:r>
            <w:r>
              <w:rPr>
                <w:spacing w:val="4"/>
                <w:sz w:val="21"/>
                <w:szCs w:val="21"/>
              </w:rPr>
              <w:t>.5</w:t>
            </w:r>
          </w:p>
        </w:tc>
        <w:tc>
          <w:tcPr>
            <w:tcW w:w="287" w:type="pct"/>
            <w:tcBorders>
              <w:tl2br w:val="nil"/>
              <w:tr2bl w:val="nil"/>
            </w:tcBorders>
            <w:vAlign w:val="center"/>
          </w:tcPr>
          <w:p>
            <w:pPr>
              <w:spacing w:line="240" w:lineRule="auto"/>
              <w:ind w:firstLine="0" w:firstLineChars="0"/>
              <w:jc w:val="center"/>
              <w:rPr>
                <w:sz w:val="21"/>
                <w:szCs w:val="21"/>
              </w:rPr>
            </w:pPr>
            <w:r>
              <w:rPr>
                <w:spacing w:val="6"/>
                <w:sz w:val="21"/>
                <w:szCs w:val="21"/>
              </w:rPr>
              <w:t>4.</w:t>
            </w:r>
            <w:r>
              <w:rPr>
                <w:spacing w:val="5"/>
                <w:sz w:val="21"/>
                <w:szCs w:val="21"/>
              </w:rPr>
              <w:t>8</w:t>
            </w:r>
          </w:p>
        </w:tc>
        <w:tc>
          <w:tcPr>
            <w:tcW w:w="261" w:type="pct"/>
            <w:tcBorders>
              <w:tl2br w:val="nil"/>
              <w:tr2bl w:val="nil"/>
            </w:tcBorders>
            <w:vAlign w:val="center"/>
          </w:tcPr>
          <w:p>
            <w:pPr>
              <w:spacing w:line="240" w:lineRule="auto"/>
              <w:ind w:firstLine="0" w:firstLineChars="0"/>
              <w:jc w:val="center"/>
              <w:rPr>
                <w:sz w:val="21"/>
                <w:szCs w:val="21"/>
              </w:rPr>
            </w:pPr>
            <w:r>
              <w:rPr>
                <w:spacing w:val="1"/>
                <w:sz w:val="21"/>
                <w:szCs w:val="21"/>
              </w:rPr>
              <w:t>8.7</w:t>
            </w:r>
          </w:p>
        </w:tc>
        <w:tc>
          <w:tcPr>
            <w:tcW w:w="284" w:type="pct"/>
            <w:tcBorders>
              <w:tl2br w:val="nil"/>
              <w:tr2bl w:val="nil"/>
            </w:tcBorders>
            <w:vAlign w:val="center"/>
          </w:tcPr>
          <w:p>
            <w:pPr>
              <w:spacing w:line="240" w:lineRule="auto"/>
              <w:ind w:firstLine="0" w:firstLineChars="0"/>
              <w:jc w:val="center"/>
              <w:rPr>
                <w:sz w:val="21"/>
                <w:szCs w:val="21"/>
              </w:rPr>
            </w:pPr>
            <w:r>
              <w:rPr>
                <w:spacing w:val="-4"/>
                <w:sz w:val="21"/>
                <w:szCs w:val="21"/>
              </w:rPr>
              <w:t>1</w:t>
            </w:r>
            <w:r>
              <w:rPr>
                <w:spacing w:val="-3"/>
                <w:sz w:val="21"/>
                <w:szCs w:val="21"/>
              </w:rPr>
              <w:t>1</w:t>
            </w:r>
            <w:r>
              <w:rPr>
                <w:spacing w:val="-2"/>
                <w:sz w:val="21"/>
                <w:szCs w:val="21"/>
              </w:rPr>
              <w:t>.2</w:t>
            </w:r>
          </w:p>
        </w:tc>
        <w:tc>
          <w:tcPr>
            <w:tcW w:w="263" w:type="pct"/>
            <w:tcBorders>
              <w:tl2br w:val="nil"/>
              <w:tr2bl w:val="nil"/>
            </w:tcBorders>
            <w:vAlign w:val="center"/>
          </w:tcPr>
          <w:p>
            <w:pPr>
              <w:spacing w:line="240" w:lineRule="auto"/>
              <w:ind w:firstLine="0" w:firstLineChars="0"/>
              <w:jc w:val="center"/>
              <w:rPr>
                <w:sz w:val="21"/>
                <w:szCs w:val="21"/>
              </w:rPr>
            </w:pPr>
            <w:r>
              <w:rPr>
                <w:spacing w:val="5"/>
                <w:sz w:val="21"/>
                <w:szCs w:val="21"/>
              </w:rPr>
              <w:t>7</w:t>
            </w:r>
            <w:r>
              <w:rPr>
                <w:spacing w:val="4"/>
                <w:sz w:val="21"/>
                <w:szCs w:val="21"/>
              </w:rPr>
              <w:t>.8</w:t>
            </w:r>
          </w:p>
        </w:tc>
        <w:tc>
          <w:tcPr>
            <w:tcW w:w="276" w:type="pct"/>
            <w:tcBorders>
              <w:tl2br w:val="nil"/>
              <w:tr2bl w:val="nil"/>
            </w:tcBorders>
            <w:vAlign w:val="center"/>
          </w:tcPr>
          <w:p>
            <w:pPr>
              <w:spacing w:line="240" w:lineRule="auto"/>
              <w:ind w:firstLine="0" w:firstLineChars="0"/>
              <w:jc w:val="center"/>
              <w:rPr>
                <w:sz w:val="21"/>
                <w:szCs w:val="21"/>
              </w:rPr>
            </w:pPr>
            <w:r>
              <w:rPr>
                <w:spacing w:val="5"/>
                <w:sz w:val="21"/>
                <w:szCs w:val="21"/>
              </w:rPr>
              <w:t>4</w:t>
            </w:r>
            <w:r>
              <w:rPr>
                <w:spacing w:val="4"/>
                <w:sz w:val="21"/>
                <w:szCs w:val="21"/>
              </w:rPr>
              <w:t>.3</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3</w:t>
            </w:r>
          </w:p>
        </w:tc>
        <w:tc>
          <w:tcPr>
            <w:tcW w:w="272"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.0</w:t>
            </w:r>
          </w:p>
        </w:tc>
        <w:tc>
          <w:tcPr>
            <w:tcW w:w="263" w:type="pct"/>
            <w:tcBorders>
              <w:tl2br w:val="nil"/>
              <w:tr2bl w:val="nil"/>
            </w:tcBorders>
            <w:vAlign w:val="center"/>
          </w:tcPr>
          <w:p>
            <w:pPr>
              <w:spacing w:line="240" w:lineRule="auto"/>
              <w:ind w:firstLine="0" w:firstLineChars="0"/>
              <w:jc w:val="center"/>
              <w:rPr>
                <w:sz w:val="21"/>
                <w:szCs w:val="21"/>
              </w:rPr>
            </w:pPr>
            <w:r>
              <w:rPr>
                <w:spacing w:val="4"/>
                <w:sz w:val="21"/>
                <w:szCs w:val="21"/>
              </w:rPr>
              <w:t>2.9</w:t>
            </w:r>
          </w:p>
        </w:tc>
        <w:tc>
          <w:tcPr>
            <w:tcW w:w="287" w:type="pct"/>
            <w:tcBorders>
              <w:tl2br w:val="nil"/>
              <w:tr2bl w:val="nil"/>
            </w:tcBorders>
            <w:vAlign w:val="center"/>
          </w:tcPr>
          <w:p>
            <w:pPr>
              <w:spacing w:line="240" w:lineRule="auto"/>
              <w:ind w:firstLine="0" w:firstLineChars="0"/>
              <w:jc w:val="center"/>
              <w:rPr>
                <w:sz w:val="21"/>
                <w:szCs w:val="21"/>
              </w:rPr>
            </w:pPr>
            <w:r>
              <w:rPr>
                <w:spacing w:val="5"/>
                <w:sz w:val="21"/>
                <w:szCs w:val="21"/>
              </w:rPr>
              <w:t>4</w:t>
            </w:r>
            <w:r>
              <w:rPr>
                <w:spacing w:val="4"/>
                <w:sz w:val="21"/>
                <w:szCs w:val="21"/>
              </w:rPr>
              <w:t>.3</w:t>
            </w:r>
          </w:p>
        </w:tc>
        <w:tc>
          <w:tcPr>
            <w:tcW w:w="263" w:type="pct"/>
            <w:tcBorders>
              <w:tl2br w:val="nil"/>
              <w:tr2bl w:val="nil"/>
            </w:tcBorders>
            <w:vAlign w:val="center"/>
          </w:tcPr>
          <w:p>
            <w:pPr>
              <w:spacing w:line="240" w:lineRule="auto"/>
              <w:ind w:firstLine="0" w:firstLineChars="0"/>
              <w:jc w:val="center"/>
              <w:rPr>
                <w:sz w:val="21"/>
                <w:szCs w:val="21"/>
              </w:rPr>
            </w:pPr>
            <w:r>
              <w:rPr>
                <w:spacing w:val="1"/>
                <w:sz w:val="21"/>
                <w:szCs w:val="21"/>
              </w:rPr>
              <w:t>5.2</w:t>
            </w:r>
          </w:p>
        </w:tc>
        <w:tc>
          <w:tcPr>
            <w:tcW w:w="310" w:type="pct"/>
            <w:tcBorders>
              <w:tl2br w:val="nil"/>
              <w:tr2bl w:val="nil"/>
            </w:tcBorders>
            <w:vAlign w:val="center"/>
          </w:tcPr>
          <w:p>
            <w:pPr>
              <w:spacing w:line="240" w:lineRule="auto"/>
              <w:ind w:firstLine="0" w:firstLineChars="0"/>
              <w:jc w:val="center"/>
              <w:rPr>
                <w:sz w:val="21"/>
                <w:szCs w:val="21"/>
              </w:rPr>
            </w:pPr>
            <w:r>
              <w:rPr>
                <w:spacing w:val="4"/>
                <w:sz w:val="21"/>
                <w:szCs w:val="21"/>
              </w:rPr>
              <w:t>6</w:t>
            </w:r>
            <w:r>
              <w:rPr>
                <w:spacing w:val="2"/>
                <w:sz w:val="21"/>
                <w:szCs w:val="21"/>
              </w:rPr>
              <w:t>.3</w:t>
            </w:r>
          </w:p>
        </w:tc>
        <w:tc>
          <w:tcPr>
            <w:tcW w:w="261"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.3</w:t>
            </w:r>
          </w:p>
        </w:tc>
        <w:tc>
          <w:tcPr>
            <w:tcW w:w="331" w:type="pct"/>
            <w:tcBorders>
              <w:tl2br w:val="nil"/>
              <w:tr2bl w:val="nil"/>
            </w:tcBorders>
            <w:vAlign w:val="center"/>
          </w:tcPr>
          <w:p>
            <w:pPr>
              <w:spacing w:line="240" w:lineRule="auto"/>
              <w:ind w:firstLine="0" w:firstLineChars="0"/>
              <w:jc w:val="center"/>
              <w:rPr>
                <w:sz w:val="21"/>
                <w:szCs w:val="21"/>
              </w:rPr>
            </w:pPr>
            <w:r>
              <w:rPr>
                <w:spacing w:val="10"/>
                <w:sz w:val="21"/>
                <w:szCs w:val="21"/>
              </w:rPr>
              <w:t>4</w:t>
            </w:r>
            <w:r>
              <w:rPr>
                <w:spacing w:val="9"/>
                <w:sz w:val="21"/>
                <w:szCs w:val="21"/>
              </w:rPr>
              <w:t>.1</w:t>
            </w:r>
          </w:p>
        </w:tc>
        <w:tc>
          <w:tcPr>
            <w:tcW w:w="272" w:type="pct"/>
            <w:tcBorders>
              <w:tl2br w:val="nil"/>
              <w:tr2bl w:val="nil"/>
            </w:tcBorders>
            <w:vAlign w:val="center"/>
          </w:tcPr>
          <w:p>
            <w:pPr>
              <w:spacing w:line="240" w:lineRule="auto"/>
              <w:ind w:firstLine="0" w:firstLineChars="0"/>
              <w:jc w:val="center"/>
              <w:rPr>
                <w:sz w:val="21"/>
                <w:szCs w:val="21"/>
              </w:rPr>
            </w:pPr>
            <w:r>
              <w:rPr>
                <w:spacing w:val="4"/>
                <w:sz w:val="21"/>
                <w:szCs w:val="21"/>
              </w:rPr>
              <w:t>2.</w:t>
            </w:r>
            <w:r>
              <w:rPr>
                <w:spacing w:val="3"/>
                <w:sz w:val="21"/>
                <w:szCs w:val="21"/>
              </w:rPr>
              <w:t>7</w:t>
            </w:r>
          </w:p>
        </w:tc>
        <w:tc>
          <w:tcPr>
            <w:tcW w:w="302" w:type="pct"/>
            <w:tcBorders>
              <w:tl2br w:val="nil"/>
              <w:tr2bl w:val="nil"/>
            </w:tcBorders>
            <w:vAlign w:val="center"/>
          </w:tcPr>
          <w:p>
            <w:pPr>
              <w:spacing w:line="240" w:lineRule="auto"/>
              <w:ind w:firstLine="0" w:firstLineChars="0"/>
              <w:jc w:val="center"/>
              <w:rPr>
                <w:sz w:val="21"/>
                <w:szCs w:val="21"/>
              </w:rPr>
            </w:pPr>
            <w:r>
              <w:rPr>
                <w:spacing w:val="3"/>
                <w:sz w:val="21"/>
                <w:szCs w:val="21"/>
              </w:rPr>
              <w:t>2.4</w:t>
            </w:r>
          </w:p>
        </w:tc>
        <w:tc>
          <w:tcPr>
            <w:tcW w:w="283" w:type="pct"/>
            <w:tcBorders>
              <w:tl2br w:val="nil"/>
              <w:tr2bl w:val="nil"/>
            </w:tcBorders>
            <w:vAlign w:val="center"/>
          </w:tcPr>
          <w:p>
            <w:pPr>
              <w:spacing w:line="240" w:lineRule="auto"/>
              <w:ind w:firstLine="0" w:firstLineChars="0"/>
              <w:jc w:val="center"/>
              <w:rPr>
                <w:sz w:val="21"/>
                <w:szCs w:val="21"/>
              </w:rPr>
            </w:pPr>
            <w:r>
              <w:rPr>
                <w:spacing w:val="6"/>
                <w:sz w:val="21"/>
                <w:szCs w:val="21"/>
              </w:rPr>
              <w:t>2</w:t>
            </w:r>
            <w:r>
              <w:rPr>
                <w:spacing w:val="4"/>
                <w:sz w:val="21"/>
                <w:szCs w:val="21"/>
              </w:rPr>
              <w:t>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47" w:type="pct"/>
            <w:tcBorders>
              <w:tl2br w:val="nil"/>
              <w:tr2bl w:val="nil"/>
            </w:tcBorders>
            <w:vAlign w:val="center"/>
          </w:tcPr>
          <w:p>
            <w:pPr>
              <w:spacing w:line="240" w:lineRule="auto"/>
              <w:ind w:firstLine="0" w:firstLineChars="0"/>
              <w:jc w:val="center"/>
              <w:rPr>
                <w:spacing w:val="6"/>
                <w:sz w:val="21"/>
                <w:szCs w:val="21"/>
              </w:rPr>
            </w:pPr>
            <w:r>
              <w:rPr>
                <w:spacing w:val="6"/>
                <w:sz w:val="21"/>
                <w:szCs w:val="21"/>
              </w:rPr>
              <w:t>年</w:t>
            </w:r>
          </w:p>
        </w:tc>
        <w:tc>
          <w:tcPr>
            <w:tcW w:w="263" w:type="pct"/>
            <w:tcBorders>
              <w:tl2br w:val="nil"/>
              <w:tr2bl w:val="nil"/>
            </w:tcBorders>
            <w:vAlign w:val="center"/>
          </w:tcPr>
          <w:p>
            <w:pPr>
              <w:spacing w:line="240" w:lineRule="auto"/>
              <w:ind w:firstLine="0" w:firstLineChars="0"/>
              <w:jc w:val="center"/>
              <w:rPr>
                <w:sz w:val="21"/>
                <w:szCs w:val="21"/>
              </w:rPr>
            </w:pPr>
            <w:r>
              <w:rPr>
                <w:spacing w:val="2"/>
                <w:sz w:val="21"/>
                <w:szCs w:val="21"/>
              </w:rPr>
              <w:t>3.</w:t>
            </w:r>
            <w:r>
              <w:rPr>
                <w:spacing w:val="1"/>
                <w:sz w:val="21"/>
                <w:szCs w:val="21"/>
              </w:rPr>
              <w:t>2</w:t>
            </w:r>
          </w:p>
        </w:tc>
        <w:tc>
          <w:tcPr>
            <w:tcW w:w="287" w:type="pct"/>
            <w:tcBorders>
              <w:tl2br w:val="nil"/>
              <w:tr2bl w:val="nil"/>
            </w:tcBorders>
            <w:vAlign w:val="center"/>
          </w:tcPr>
          <w:p>
            <w:pPr>
              <w:spacing w:line="240" w:lineRule="auto"/>
              <w:ind w:firstLine="0" w:firstLineChars="0"/>
              <w:jc w:val="center"/>
              <w:rPr>
                <w:sz w:val="21"/>
                <w:szCs w:val="21"/>
              </w:rPr>
            </w:pPr>
            <w:r>
              <w:rPr>
                <w:spacing w:val="2"/>
                <w:sz w:val="21"/>
                <w:szCs w:val="21"/>
              </w:rPr>
              <w:t>6</w:t>
            </w:r>
            <w:r>
              <w:rPr>
                <w:spacing w:val="1"/>
                <w:sz w:val="21"/>
                <w:szCs w:val="21"/>
              </w:rPr>
              <w:t>.4</w:t>
            </w:r>
          </w:p>
        </w:tc>
        <w:tc>
          <w:tcPr>
            <w:tcW w:w="261" w:type="pct"/>
            <w:tcBorders>
              <w:tl2br w:val="nil"/>
              <w:tr2bl w:val="nil"/>
            </w:tcBorders>
            <w:vAlign w:val="center"/>
          </w:tcPr>
          <w:p>
            <w:pPr>
              <w:spacing w:line="240" w:lineRule="auto"/>
              <w:ind w:firstLine="0" w:firstLineChars="0"/>
              <w:jc w:val="center"/>
              <w:rPr>
                <w:sz w:val="21"/>
                <w:szCs w:val="21"/>
              </w:rPr>
            </w:pPr>
            <w:r>
              <w:rPr>
                <w:spacing w:val="1"/>
                <w:sz w:val="21"/>
                <w:szCs w:val="21"/>
              </w:rPr>
              <w:t>8.7</w:t>
            </w:r>
          </w:p>
        </w:tc>
        <w:tc>
          <w:tcPr>
            <w:tcW w:w="284" w:type="pct"/>
            <w:tcBorders>
              <w:tl2br w:val="nil"/>
              <w:tr2bl w:val="nil"/>
            </w:tcBorders>
            <w:vAlign w:val="center"/>
          </w:tcPr>
          <w:p>
            <w:pPr>
              <w:spacing w:line="240" w:lineRule="auto"/>
              <w:ind w:firstLine="0" w:firstLineChars="0"/>
              <w:jc w:val="center"/>
              <w:rPr>
                <w:sz w:val="21"/>
                <w:szCs w:val="21"/>
              </w:rPr>
            </w:pPr>
            <w:r>
              <w:rPr>
                <w:spacing w:val="2"/>
                <w:sz w:val="21"/>
                <w:szCs w:val="21"/>
              </w:rPr>
              <w:t>8</w:t>
            </w:r>
            <w:r>
              <w:rPr>
                <w:spacing w:val="1"/>
                <w:sz w:val="21"/>
                <w:szCs w:val="21"/>
              </w:rPr>
              <w:t>.9</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6</w:t>
            </w:r>
            <w:r>
              <w:rPr>
                <w:spacing w:val="2"/>
                <w:sz w:val="21"/>
                <w:szCs w:val="21"/>
              </w:rPr>
              <w:t>.0</w:t>
            </w:r>
          </w:p>
        </w:tc>
        <w:tc>
          <w:tcPr>
            <w:tcW w:w="276" w:type="pct"/>
            <w:tcBorders>
              <w:tl2br w:val="nil"/>
              <w:tr2bl w:val="nil"/>
            </w:tcBorders>
            <w:vAlign w:val="center"/>
          </w:tcPr>
          <w:p>
            <w:pPr>
              <w:spacing w:line="240" w:lineRule="auto"/>
              <w:ind w:firstLine="0" w:firstLineChars="0"/>
              <w:jc w:val="center"/>
              <w:rPr>
                <w:sz w:val="21"/>
                <w:szCs w:val="21"/>
              </w:rPr>
            </w:pPr>
            <w:r>
              <w:rPr>
                <w:spacing w:val="8"/>
                <w:sz w:val="21"/>
                <w:szCs w:val="21"/>
              </w:rPr>
              <w:t>5</w:t>
            </w:r>
            <w:r>
              <w:rPr>
                <w:spacing w:val="7"/>
                <w:sz w:val="21"/>
                <w:szCs w:val="21"/>
              </w:rPr>
              <w:t>.1</w:t>
            </w:r>
          </w:p>
        </w:tc>
        <w:tc>
          <w:tcPr>
            <w:tcW w:w="263" w:type="pct"/>
            <w:tcBorders>
              <w:tl2br w:val="nil"/>
              <w:tr2bl w:val="nil"/>
            </w:tcBorders>
            <w:vAlign w:val="center"/>
          </w:tcPr>
          <w:p>
            <w:pPr>
              <w:spacing w:line="240" w:lineRule="auto"/>
              <w:ind w:firstLine="0" w:firstLineChars="0"/>
              <w:jc w:val="center"/>
              <w:rPr>
                <w:sz w:val="21"/>
                <w:szCs w:val="21"/>
              </w:rPr>
            </w:pPr>
            <w:r>
              <w:rPr>
                <w:spacing w:val="4"/>
                <w:sz w:val="21"/>
                <w:szCs w:val="21"/>
              </w:rPr>
              <w:t>4.7</w:t>
            </w:r>
          </w:p>
        </w:tc>
        <w:tc>
          <w:tcPr>
            <w:tcW w:w="272" w:type="pct"/>
            <w:tcBorders>
              <w:tl2br w:val="nil"/>
              <w:tr2bl w:val="nil"/>
            </w:tcBorders>
            <w:vAlign w:val="center"/>
          </w:tcPr>
          <w:p>
            <w:pPr>
              <w:spacing w:line="240" w:lineRule="auto"/>
              <w:ind w:firstLine="0" w:firstLineChars="0"/>
              <w:jc w:val="center"/>
              <w:rPr>
                <w:sz w:val="21"/>
                <w:szCs w:val="21"/>
              </w:rPr>
            </w:pPr>
            <w:r>
              <w:rPr>
                <w:spacing w:val="5"/>
                <w:sz w:val="21"/>
                <w:szCs w:val="21"/>
              </w:rPr>
              <w:t>4</w:t>
            </w:r>
            <w:r>
              <w:rPr>
                <w:spacing w:val="4"/>
                <w:sz w:val="21"/>
                <w:szCs w:val="21"/>
              </w:rPr>
              <w:t>.9</w:t>
            </w:r>
          </w:p>
        </w:tc>
        <w:tc>
          <w:tcPr>
            <w:tcW w:w="263" w:type="pct"/>
            <w:tcBorders>
              <w:tl2br w:val="nil"/>
              <w:tr2bl w:val="nil"/>
            </w:tcBorders>
            <w:vAlign w:val="center"/>
          </w:tcPr>
          <w:p>
            <w:pPr>
              <w:spacing w:line="240" w:lineRule="auto"/>
              <w:ind w:firstLine="0" w:firstLineChars="0"/>
              <w:jc w:val="center"/>
              <w:rPr>
                <w:sz w:val="21"/>
                <w:szCs w:val="21"/>
              </w:rPr>
            </w:pPr>
            <w:r>
              <w:rPr>
                <w:spacing w:val="4"/>
                <w:sz w:val="21"/>
                <w:szCs w:val="21"/>
              </w:rPr>
              <w:t>4</w:t>
            </w:r>
            <w:r>
              <w:rPr>
                <w:spacing w:val="3"/>
                <w:sz w:val="21"/>
                <w:szCs w:val="21"/>
              </w:rPr>
              <w:t>.2</w:t>
            </w:r>
          </w:p>
        </w:tc>
        <w:tc>
          <w:tcPr>
            <w:tcW w:w="287" w:type="pct"/>
            <w:tcBorders>
              <w:tl2br w:val="nil"/>
              <w:tr2bl w:val="nil"/>
            </w:tcBorders>
            <w:vAlign w:val="center"/>
          </w:tcPr>
          <w:p>
            <w:pPr>
              <w:spacing w:line="240" w:lineRule="auto"/>
              <w:ind w:firstLine="0" w:firstLineChars="0"/>
              <w:jc w:val="center"/>
              <w:rPr>
                <w:sz w:val="21"/>
                <w:szCs w:val="21"/>
              </w:rPr>
            </w:pPr>
            <w:r>
              <w:rPr>
                <w:spacing w:val="3"/>
                <w:sz w:val="21"/>
                <w:szCs w:val="21"/>
              </w:rPr>
              <w:t>5.</w:t>
            </w:r>
            <w:r>
              <w:rPr>
                <w:spacing w:val="2"/>
                <w:sz w:val="21"/>
                <w:szCs w:val="21"/>
              </w:rPr>
              <w:t>5</w:t>
            </w:r>
          </w:p>
        </w:tc>
        <w:tc>
          <w:tcPr>
            <w:tcW w:w="263" w:type="pct"/>
            <w:tcBorders>
              <w:tl2br w:val="nil"/>
              <w:tr2bl w:val="nil"/>
            </w:tcBorders>
            <w:vAlign w:val="center"/>
          </w:tcPr>
          <w:p>
            <w:pPr>
              <w:spacing w:line="240" w:lineRule="auto"/>
              <w:ind w:firstLine="0" w:firstLineChars="0"/>
              <w:jc w:val="center"/>
              <w:rPr>
                <w:sz w:val="21"/>
                <w:szCs w:val="21"/>
              </w:rPr>
            </w:pPr>
            <w:r>
              <w:rPr>
                <w:spacing w:val="3"/>
                <w:sz w:val="21"/>
                <w:szCs w:val="21"/>
              </w:rPr>
              <w:t>6</w:t>
            </w:r>
            <w:r>
              <w:rPr>
                <w:spacing w:val="2"/>
                <w:sz w:val="21"/>
                <w:szCs w:val="21"/>
              </w:rPr>
              <w:t>.0</w:t>
            </w:r>
          </w:p>
        </w:tc>
        <w:tc>
          <w:tcPr>
            <w:tcW w:w="310" w:type="pct"/>
            <w:tcBorders>
              <w:tl2br w:val="nil"/>
              <w:tr2bl w:val="nil"/>
            </w:tcBorders>
            <w:vAlign w:val="center"/>
          </w:tcPr>
          <w:p>
            <w:pPr>
              <w:spacing w:line="240" w:lineRule="auto"/>
              <w:ind w:firstLine="0" w:firstLineChars="0"/>
              <w:jc w:val="center"/>
              <w:rPr>
                <w:sz w:val="21"/>
                <w:szCs w:val="21"/>
              </w:rPr>
            </w:pPr>
            <w:r>
              <w:rPr>
                <w:spacing w:val="3"/>
                <w:sz w:val="21"/>
                <w:szCs w:val="21"/>
              </w:rPr>
              <w:t>7.</w:t>
            </w:r>
            <w:r>
              <w:rPr>
                <w:spacing w:val="2"/>
                <w:sz w:val="21"/>
                <w:szCs w:val="21"/>
              </w:rPr>
              <w:t>0</w:t>
            </w:r>
          </w:p>
        </w:tc>
        <w:tc>
          <w:tcPr>
            <w:tcW w:w="261" w:type="pct"/>
            <w:tcBorders>
              <w:tl2br w:val="nil"/>
              <w:tr2bl w:val="nil"/>
            </w:tcBorders>
            <w:vAlign w:val="center"/>
          </w:tcPr>
          <w:p>
            <w:pPr>
              <w:spacing w:line="240" w:lineRule="auto"/>
              <w:ind w:firstLine="0" w:firstLineChars="0"/>
              <w:jc w:val="center"/>
              <w:rPr>
                <w:sz w:val="21"/>
                <w:szCs w:val="21"/>
              </w:rPr>
            </w:pPr>
            <w:r>
              <w:rPr>
                <w:spacing w:val="1"/>
                <w:sz w:val="21"/>
                <w:szCs w:val="21"/>
              </w:rPr>
              <w:t>5.2</w:t>
            </w:r>
          </w:p>
        </w:tc>
        <w:tc>
          <w:tcPr>
            <w:tcW w:w="331" w:type="pct"/>
            <w:tcBorders>
              <w:tl2br w:val="nil"/>
              <w:tr2bl w:val="nil"/>
            </w:tcBorders>
            <w:vAlign w:val="center"/>
          </w:tcPr>
          <w:p>
            <w:pPr>
              <w:spacing w:line="240" w:lineRule="auto"/>
              <w:ind w:firstLine="0" w:firstLineChars="0"/>
              <w:jc w:val="center"/>
              <w:rPr>
                <w:sz w:val="21"/>
                <w:szCs w:val="21"/>
              </w:rPr>
            </w:pPr>
            <w:r>
              <w:rPr>
                <w:spacing w:val="3"/>
                <w:sz w:val="21"/>
                <w:szCs w:val="21"/>
              </w:rPr>
              <w:t>3.</w:t>
            </w:r>
            <w:r>
              <w:rPr>
                <w:spacing w:val="2"/>
                <w:sz w:val="21"/>
                <w:szCs w:val="21"/>
              </w:rPr>
              <w:t>9</w:t>
            </w:r>
          </w:p>
        </w:tc>
        <w:tc>
          <w:tcPr>
            <w:tcW w:w="272" w:type="pct"/>
            <w:tcBorders>
              <w:tl2br w:val="nil"/>
              <w:tr2bl w:val="nil"/>
            </w:tcBorders>
            <w:vAlign w:val="center"/>
          </w:tcPr>
          <w:p>
            <w:pPr>
              <w:spacing w:line="240" w:lineRule="auto"/>
              <w:ind w:firstLine="0" w:firstLineChars="0"/>
              <w:jc w:val="center"/>
              <w:rPr>
                <w:sz w:val="21"/>
                <w:szCs w:val="21"/>
              </w:rPr>
            </w:pPr>
            <w:r>
              <w:rPr>
                <w:spacing w:val="6"/>
                <w:sz w:val="21"/>
                <w:szCs w:val="21"/>
              </w:rPr>
              <w:t>2</w:t>
            </w:r>
            <w:r>
              <w:rPr>
                <w:spacing w:val="5"/>
                <w:sz w:val="21"/>
                <w:szCs w:val="21"/>
              </w:rPr>
              <w:t>.8</w:t>
            </w:r>
          </w:p>
        </w:tc>
        <w:tc>
          <w:tcPr>
            <w:tcW w:w="302" w:type="pct"/>
            <w:tcBorders>
              <w:tl2br w:val="nil"/>
              <w:tr2bl w:val="nil"/>
            </w:tcBorders>
            <w:vAlign w:val="center"/>
          </w:tcPr>
          <w:p>
            <w:pPr>
              <w:spacing w:line="240" w:lineRule="auto"/>
              <w:ind w:firstLine="0" w:firstLineChars="0"/>
              <w:jc w:val="center"/>
              <w:rPr>
                <w:sz w:val="21"/>
                <w:szCs w:val="21"/>
              </w:rPr>
            </w:pPr>
            <w:r>
              <w:rPr>
                <w:spacing w:val="6"/>
                <w:sz w:val="21"/>
                <w:szCs w:val="21"/>
              </w:rPr>
              <w:t>2</w:t>
            </w:r>
            <w:r>
              <w:rPr>
                <w:spacing w:val="5"/>
                <w:sz w:val="21"/>
                <w:szCs w:val="21"/>
              </w:rPr>
              <w:t>.8</w:t>
            </w:r>
          </w:p>
        </w:tc>
        <w:tc>
          <w:tcPr>
            <w:tcW w:w="283" w:type="pct"/>
            <w:tcBorders>
              <w:tl2br w:val="nil"/>
              <w:tr2bl w:val="nil"/>
            </w:tcBorders>
            <w:vAlign w:val="center"/>
          </w:tcPr>
          <w:p>
            <w:pPr>
              <w:spacing w:line="240" w:lineRule="auto"/>
              <w:ind w:firstLine="0" w:firstLineChars="0"/>
              <w:jc w:val="center"/>
              <w:rPr>
                <w:sz w:val="21"/>
                <w:szCs w:val="21"/>
              </w:rPr>
            </w:pPr>
            <w:r>
              <w:rPr>
                <w:spacing w:val="-1"/>
                <w:sz w:val="21"/>
                <w:szCs w:val="21"/>
              </w:rPr>
              <w:t>14</w:t>
            </w:r>
            <w:r>
              <w:rPr>
                <w:sz w:val="21"/>
                <w:szCs w:val="21"/>
              </w:rPr>
              <w:t>.7</w:t>
            </w:r>
          </w:p>
        </w:tc>
      </w:tr>
    </w:tbl>
    <w:p>
      <w:pPr>
        <w:pStyle w:val="13"/>
        <w:spacing w:before="120" w:line="240" w:lineRule="auto"/>
        <w:ind w:firstLine="0" w:firstLineChars="0"/>
        <w:jc w:val="center"/>
        <w:rPr>
          <w:rFonts w:ascii="Times New Roman" w:hAnsi="Times New Roman" w:eastAsia="宋体"/>
        </w:rPr>
      </w:pPr>
      <w:r>
        <w:rPr>
          <w:rFonts w:ascii="Times New Roman" w:hAnsi="Times New Roman" w:eastAsia="宋体"/>
        </w:rPr>
        <w:drawing>
          <wp:inline distT="0" distB="0" distL="114300" distR="114300">
            <wp:extent cx="5039995" cy="8133080"/>
            <wp:effectExtent l="9525" t="9525" r="17780" b="1079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63"/>
                    <a:stretch>
                      <a:fillRect/>
                    </a:stretch>
                  </pic:blipFill>
                  <pic:spPr>
                    <a:xfrm>
                      <a:off x="0" y="0"/>
                      <a:ext cx="5039995" cy="8133080"/>
                    </a:xfrm>
                    <a:prstGeom prst="rect">
                      <a:avLst/>
                    </a:prstGeom>
                    <a:noFill/>
                    <a:ln>
                      <a:solidFill>
                        <a:schemeClr val="tx1"/>
                      </a:solidFill>
                    </a:ln>
                  </pic:spPr>
                </pic:pic>
              </a:graphicData>
            </a:graphic>
          </wp:inline>
        </w:drawing>
      </w:r>
      <w:r>
        <w:rPr>
          <w:rFonts w:ascii="Times New Roman" w:hAnsi="Times New Roman" w:eastAsia="宋体"/>
        </w:rPr>
        <w:t xml:space="preserve"> </w:t>
      </w:r>
    </w:p>
    <w:p>
      <w:pPr>
        <w:pStyle w:val="6"/>
      </w:pPr>
      <w:r>
        <w:t>图5.</w:t>
      </w:r>
      <w:r>
        <w:rPr>
          <w:rFonts w:hint="eastAsia"/>
        </w:rPr>
        <w:t>2.1</w:t>
      </w:r>
      <w:r>
        <w:t>-</w:t>
      </w:r>
      <w:r>
        <w:rPr>
          <w:rFonts w:hint="eastAsia"/>
        </w:rPr>
        <w:t xml:space="preserve">2  </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t>五原四季及年各风向频率</w:t>
      </w:r>
      <w:r>
        <w:rPr>
          <w:rFonts w:hint="eastAsia"/>
        </w:rPr>
        <w:t>（</w:t>
      </w:r>
      <w:r>
        <w:t>%</w:t>
      </w:r>
      <w:r>
        <w:rPr>
          <w:rFonts w:hint="eastAsia"/>
        </w:rPr>
        <w:t>）</w:t>
      </w:r>
    </w:p>
    <w:p>
      <w:pPr>
        <w:ind w:firstLine="480"/>
      </w:pPr>
      <w:r>
        <w:rPr>
          <w:rFonts w:hint="eastAsia"/>
        </w:rPr>
        <w:t>（2）</w:t>
      </w:r>
      <w:r>
        <w:t>地面风速变化</w:t>
      </w:r>
    </w:p>
    <w:p>
      <w:pPr>
        <w:bidi w:val="0"/>
      </w:pPr>
      <w:r>
        <w:rPr>
          <w:rFonts w:hint="eastAsia"/>
          <w:lang w:val="en-US" w:eastAsia="zh-CN"/>
        </w:rPr>
        <w:t>2000</w:t>
      </w:r>
      <w:r>
        <w:rPr>
          <w:rFonts w:hint="eastAsia"/>
        </w:rPr>
        <w:t>-20</w:t>
      </w:r>
      <w:r>
        <w:rPr>
          <w:rFonts w:hint="eastAsia"/>
          <w:lang w:val="en-US" w:eastAsia="zh-CN"/>
        </w:rPr>
        <w:t>20</w:t>
      </w:r>
      <w:r>
        <w:rPr>
          <w:rFonts w:hint="eastAsia"/>
        </w:rPr>
        <w:t>年</w:t>
      </w:r>
      <w:r>
        <w:t>，五原气象站年平均风速为2.2m/s，在1.7～2.4m/s之间变化，风速年际变化呈上升趋势。其中2015 年、2016 年、2018 年平均风速最大，为2.4m/s。因五原气象站在2015年迁站，因此2015年以后的平均风速与前期数据趋势上有波动幅度。</w:t>
      </w:r>
    </w:p>
    <w:p>
      <w:pPr>
        <w:ind w:firstLine="480"/>
      </w:pPr>
      <w:bookmarkStart w:id="159" w:name="_Ref476829052"/>
      <w:bookmarkEnd w:id="159"/>
      <w:bookmarkStart w:id="160" w:name="_Ref476828799"/>
      <w:bookmarkEnd w:id="160"/>
      <w:r>
        <w:t>五原气象站逐月平均风速均在1.5m/s以上。平均风速4月最大，为2.7m/s；</w:t>
      </w:r>
      <w:r>
        <w:rPr>
          <w:rFonts w:hint="eastAsia"/>
        </w:rPr>
        <w:t>1</w:t>
      </w:r>
      <w:r>
        <w:t>月、12月最小，为1.5m/s。从季节上看，春季风速较大，夏季、秋季、冬季风速较小。</w:t>
      </w:r>
    </w:p>
    <w:p>
      <w:pPr>
        <w:widowControl/>
        <w:ind w:firstLine="0" w:firstLineChars="0"/>
        <w:jc w:val="center"/>
        <w:rPr>
          <w:szCs w:val="22"/>
        </w:rPr>
      </w:pPr>
      <w:r>
        <w:rPr>
          <w:szCs w:val="22"/>
        </w:rPr>
        <w:drawing>
          <wp:inline distT="0" distB="0" distL="114300" distR="114300">
            <wp:extent cx="5039995" cy="2075815"/>
            <wp:effectExtent l="9525" t="9525" r="17780" b="10160"/>
            <wp:docPr id="41" name="图片 7"/>
            <wp:cNvGraphicFramePr/>
            <a:graphic xmlns:a="http://schemas.openxmlformats.org/drawingml/2006/main">
              <a:graphicData uri="http://schemas.openxmlformats.org/drawingml/2006/picture">
                <pic:pic xmlns:pic="http://schemas.openxmlformats.org/drawingml/2006/picture">
                  <pic:nvPicPr>
                    <pic:cNvPr id="41" name="图片 7"/>
                    <pic:cNvPicPr/>
                  </pic:nvPicPr>
                  <pic:blipFill>
                    <a:blip r:embed="rId64"/>
                    <a:stretch>
                      <a:fillRect/>
                    </a:stretch>
                  </pic:blipFill>
                  <pic:spPr>
                    <a:xfrm>
                      <a:off x="0" y="0"/>
                      <a:ext cx="5039995" cy="2075815"/>
                    </a:xfrm>
                    <a:prstGeom prst="rect">
                      <a:avLst/>
                    </a:prstGeom>
                    <a:noFill/>
                    <a:ln>
                      <a:solidFill>
                        <a:schemeClr val="tx1"/>
                      </a:solidFill>
                    </a:ln>
                  </pic:spPr>
                </pic:pic>
              </a:graphicData>
            </a:graphic>
          </wp:inline>
        </w:drawing>
      </w:r>
    </w:p>
    <w:p>
      <w:pPr>
        <w:pStyle w:val="6"/>
      </w:pPr>
      <w:r>
        <w:t>图5.</w:t>
      </w:r>
      <w:r>
        <w:rPr>
          <w:rFonts w:hint="eastAsia"/>
        </w:rPr>
        <w:t>2.1</w:t>
      </w:r>
      <w:r>
        <w:t>-</w:t>
      </w:r>
      <w:r>
        <w:rPr>
          <w:rFonts w:hint="eastAsia"/>
          <w:lang w:val="en-US" w:eastAsia="zh-CN"/>
        </w:rPr>
        <w:t>3</w:t>
      </w:r>
      <w:r>
        <w:rPr>
          <w:rFonts w:hint="eastAsia"/>
        </w:rPr>
        <w:t xml:space="preserve">   </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t>五原站平均风速月际变化</w:t>
      </w:r>
    </w:p>
    <w:p>
      <w:pPr>
        <w:ind w:firstLine="480"/>
      </w:pPr>
      <w:r>
        <w:t>五原气象站近</w:t>
      </w:r>
      <w:r>
        <w:rPr>
          <w:rFonts w:hint="eastAsia"/>
        </w:rPr>
        <w:t>10</w:t>
      </w:r>
      <w:r>
        <w:t>年</w:t>
      </w:r>
      <w:r>
        <w:rPr>
          <w:rFonts w:hint="eastAsia"/>
        </w:rPr>
        <w:t>（</w:t>
      </w:r>
      <w:r>
        <w:t>2011~2020 年</w:t>
      </w:r>
      <w:r>
        <w:rPr>
          <w:rFonts w:hint="eastAsia"/>
        </w:rPr>
        <w:t>）</w:t>
      </w:r>
      <w:r>
        <w:t>)风速日变化特征为白天风速大、夜间风速小。风速日变化在1.5m/s</w:t>
      </w:r>
      <w:r>
        <w:rPr>
          <w:rFonts w:hint="eastAsia"/>
        </w:rPr>
        <w:t>（</w:t>
      </w:r>
      <w:r>
        <w:t>5、6时</w:t>
      </w:r>
      <w:r>
        <w:rPr>
          <w:rFonts w:hint="eastAsia"/>
        </w:rPr>
        <w:t>）</w:t>
      </w:r>
      <w:r>
        <w:t>~3.1m/s</w:t>
      </w:r>
      <w:r>
        <w:rPr>
          <w:rFonts w:hint="eastAsia"/>
        </w:rPr>
        <w:t>（</w:t>
      </w:r>
      <w:r>
        <w:t>5时</w:t>
      </w:r>
      <w:r>
        <w:rPr>
          <w:rFonts w:hint="eastAsia"/>
        </w:rPr>
        <w:t>）</w:t>
      </w:r>
      <w:r>
        <w:t>之间。其中19时~次日</w:t>
      </w:r>
      <w:r>
        <w:rPr>
          <w:rFonts w:hint="eastAsia"/>
        </w:rPr>
        <w:t>9</w:t>
      </w:r>
      <w:r>
        <w:t>时是全天风速相对较小的时段，10~18时是全天风速相对较大的时段。</w:t>
      </w:r>
    </w:p>
    <w:p>
      <w:pPr>
        <w:ind w:firstLine="0" w:firstLineChars="0"/>
        <w:jc w:val="center"/>
        <w:rPr>
          <w:szCs w:val="22"/>
        </w:rPr>
      </w:pPr>
      <w:r>
        <w:rPr>
          <w:szCs w:val="22"/>
        </w:rPr>
        <w:drawing>
          <wp:inline distT="0" distB="0" distL="114300" distR="114300">
            <wp:extent cx="5039995" cy="2009775"/>
            <wp:effectExtent l="9525" t="9525" r="17780" b="19050"/>
            <wp:docPr id="38" name="图片 8"/>
            <wp:cNvGraphicFramePr/>
            <a:graphic xmlns:a="http://schemas.openxmlformats.org/drawingml/2006/main">
              <a:graphicData uri="http://schemas.openxmlformats.org/drawingml/2006/picture">
                <pic:pic xmlns:pic="http://schemas.openxmlformats.org/drawingml/2006/picture">
                  <pic:nvPicPr>
                    <pic:cNvPr id="38" name="图片 8"/>
                    <pic:cNvPicPr/>
                  </pic:nvPicPr>
                  <pic:blipFill>
                    <a:blip r:embed="rId65"/>
                    <a:stretch>
                      <a:fillRect/>
                    </a:stretch>
                  </pic:blipFill>
                  <pic:spPr>
                    <a:xfrm>
                      <a:off x="0" y="0"/>
                      <a:ext cx="5039995" cy="2009775"/>
                    </a:xfrm>
                    <a:prstGeom prst="rect">
                      <a:avLst/>
                    </a:prstGeom>
                    <a:noFill/>
                    <a:ln>
                      <a:solidFill>
                        <a:schemeClr val="tx1"/>
                      </a:solidFill>
                    </a:ln>
                  </pic:spPr>
                </pic:pic>
              </a:graphicData>
            </a:graphic>
          </wp:inline>
        </w:drawing>
      </w:r>
    </w:p>
    <w:p>
      <w:pPr>
        <w:ind w:firstLine="0" w:firstLineChars="0"/>
        <w:jc w:val="center"/>
      </w:pPr>
      <w:r>
        <w:rPr>
          <w:rStyle w:val="92"/>
        </w:rPr>
        <w:t>图5.</w:t>
      </w:r>
      <w:r>
        <w:rPr>
          <w:rStyle w:val="92"/>
          <w:rFonts w:hint="eastAsia"/>
        </w:rPr>
        <w:t>2.1</w:t>
      </w:r>
      <w:r>
        <w:rPr>
          <w:rStyle w:val="92"/>
        </w:rPr>
        <w:t>-</w:t>
      </w:r>
      <w:r>
        <w:rPr>
          <w:rStyle w:val="92"/>
          <w:rFonts w:hint="eastAsia"/>
          <w:lang w:val="en-US" w:eastAsia="zh-CN"/>
        </w:rPr>
        <w:t>4</w:t>
      </w:r>
      <w:r>
        <w:rPr>
          <w:rStyle w:val="92"/>
          <w:rFonts w:hint="eastAsia"/>
        </w:rPr>
        <w:t xml:space="preserve">   </w:t>
      </w:r>
      <w:r>
        <w:rPr>
          <w:rFonts w:hint="eastAsia"/>
          <w:color w:val="FF0000"/>
          <w:lang w:val="en-US" w:eastAsia="zh-CN"/>
        </w:rPr>
        <w:t>2000</w:t>
      </w:r>
      <w:r>
        <w:rPr>
          <w:rFonts w:hint="eastAsia"/>
          <w:color w:val="FF0000"/>
        </w:rPr>
        <w:t>-20</w:t>
      </w:r>
      <w:r>
        <w:rPr>
          <w:rFonts w:hint="eastAsia"/>
          <w:color w:val="FF0000"/>
          <w:lang w:val="en-US" w:eastAsia="zh-CN"/>
        </w:rPr>
        <w:t>20</w:t>
      </w:r>
      <w:r>
        <w:rPr>
          <w:rFonts w:hint="eastAsia"/>
          <w:color w:val="FF0000"/>
        </w:rPr>
        <w:t>年</w:t>
      </w:r>
      <w:r>
        <w:rPr>
          <w:rStyle w:val="92"/>
        </w:rPr>
        <w:t>五原站平均风速日变化</w:t>
      </w:r>
    </w:p>
    <w:p>
      <w:pPr>
        <w:pStyle w:val="5"/>
      </w:pPr>
      <w:r>
        <w:rPr>
          <w:rFonts w:hint="eastAsia"/>
        </w:rPr>
        <w:t>污染物排放量核算</w:t>
      </w:r>
    </w:p>
    <w:p>
      <w:pPr>
        <w:ind w:firstLine="480"/>
      </w:pPr>
      <w:r>
        <w:rPr>
          <w:rFonts w:hint="eastAsia"/>
        </w:rPr>
        <w:t>本项目污染物排放量核算包括有组织排放量核算、无组织排放量核算、大气污染物年排放量核算、非正常排放量核算。</w:t>
      </w:r>
    </w:p>
    <w:p>
      <w:pPr>
        <w:numPr>
          <w:ilvl w:val="0"/>
          <w:numId w:val="12"/>
        </w:numPr>
        <w:ind w:firstLine="480"/>
      </w:pPr>
      <w:r>
        <w:rPr>
          <w:rFonts w:hint="eastAsia"/>
        </w:rPr>
        <w:t>有组织排放量核算</w:t>
      </w:r>
    </w:p>
    <w:p>
      <w:pPr>
        <w:pStyle w:val="6"/>
      </w:pPr>
      <w:r>
        <w:rPr>
          <w:rFonts w:hint="eastAsia"/>
        </w:rPr>
        <w:t>表5.2.1-4  大气污染物有组织排放量核算表</w:t>
      </w:r>
    </w:p>
    <w:tbl>
      <w:tblPr>
        <w:tblStyle w:val="19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9"/>
        <w:gridCol w:w="1626"/>
        <w:gridCol w:w="989"/>
        <w:gridCol w:w="2017"/>
        <w:gridCol w:w="1990"/>
        <w:gridCol w:w="16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atLeast"/>
        </w:trPr>
        <w:tc>
          <w:tcPr>
            <w:tcW w:w="389" w:type="pct"/>
            <w:vAlign w:val="center"/>
          </w:tcPr>
          <w:p>
            <w:pPr>
              <w:widowControl/>
              <w:spacing w:line="240" w:lineRule="auto"/>
              <w:ind w:firstLine="0" w:firstLineChars="0"/>
              <w:jc w:val="center"/>
              <w:rPr>
                <w:kern w:val="0"/>
                <w:sz w:val="22"/>
                <w:szCs w:val="22"/>
              </w:rPr>
            </w:pPr>
            <w:r>
              <w:rPr>
                <w:rFonts w:hint="eastAsia" w:ascii="宋体" w:hAnsi="宋体"/>
                <w:kern w:val="0"/>
                <w:sz w:val="22"/>
                <w:szCs w:val="22"/>
              </w:rPr>
              <w:t>序号</w:t>
            </w:r>
          </w:p>
        </w:tc>
        <w:tc>
          <w:tcPr>
            <w:tcW w:w="903" w:type="pct"/>
            <w:vAlign w:val="center"/>
          </w:tcPr>
          <w:p>
            <w:pPr>
              <w:widowControl/>
              <w:spacing w:line="240" w:lineRule="auto"/>
              <w:ind w:firstLine="0" w:firstLineChars="0"/>
              <w:jc w:val="center"/>
              <w:rPr>
                <w:kern w:val="0"/>
                <w:sz w:val="22"/>
                <w:szCs w:val="22"/>
              </w:rPr>
            </w:pPr>
            <w:r>
              <w:rPr>
                <w:rFonts w:hint="eastAsia" w:ascii="宋体" w:hAnsi="宋体"/>
                <w:kern w:val="0"/>
                <w:sz w:val="22"/>
                <w:szCs w:val="22"/>
              </w:rPr>
              <w:t>排放口编号</w:t>
            </w:r>
          </w:p>
        </w:tc>
        <w:tc>
          <w:tcPr>
            <w:tcW w:w="549" w:type="pct"/>
            <w:vAlign w:val="center"/>
          </w:tcPr>
          <w:p>
            <w:pPr>
              <w:widowControl/>
              <w:spacing w:line="240" w:lineRule="auto"/>
              <w:ind w:firstLine="0" w:firstLineChars="0"/>
              <w:jc w:val="center"/>
              <w:rPr>
                <w:kern w:val="0"/>
                <w:sz w:val="22"/>
                <w:szCs w:val="22"/>
              </w:rPr>
            </w:pPr>
            <w:r>
              <w:rPr>
                <w:rFonts w:hint="eastAsia" w:ascii="宋体" w:hAnsi="宋体"/>
                <w:kern w:val="0"/>
                <w:sz w:val="22"/>
                <w:szCs w:val="22"/>
              </w:rPr>
              <w:t>污染物</w:t>
            </w:r>
          </w:p>
        </w:tc>
        <w:tc>
          <w:tcPr>
            <w:tcW w:w="1120" w:type="pct"/>
            <w:vAlign w:val="center"/>
          </w:tcPr>
          <w:p>
            <w:pPr>
              <w:widowControl/>
              <w:spacing w:line="240" w:lineRule="auto"/>
              <w:ind w:firstLine="0" w:firstLineChars="0"/>
              <w:jc w:val="center"/>
              <w:rPr>
                <w:kern w:val="0"/>
                <w:sz w:val="22"/>
                <w:szCs w:val="22"/>
              </w:rPr>
            </w:pPr>
            <w:r>
              <w:rPr>
                <w:rFonts w:hint="eastAsia" w:ascii="宋体" w:hAnsi="宋体"/>
                <w:kern w:val="0"/>
                <w:sz w:val="22"/>
                <w:szCs w:val="22"/>
              </w:rPr>
              <w:t>核算排放浓度</w:t>
            </w:r>
            <w:r>
              <w:rPr>
                <w:kern w:val="0"/>
                <w:sz w:val="22"/>
                <w:szCs w:val="22"/>
              </w:rPr>
              <w:t>/</w:t>
            </w:r>
            <w:r>
              <w:rPr>
                <w:rFonts w:hint="eastAsia" w:ascii="宋体" w:hAnsi="宋体"/>
                <w:kern w:val="0"/>
                <w:sz w:val="22"/>
                <w:szCs w:val="22"/>
              </w:rPr>
              <w:t>（</w:t>
            </w:r>
            <w:r>
              <w:rPr>
                <w:rFonts w:hint="eastAsia"/>
                <w:kern w:val="0"/>
                <w:sz w:val="22"/>
                <w:szCs w:val="22"/>
              </w:rPr>
              <w:t>m</w:t>
            </w:r>
            <w:r>
              <w:rPr>
                <w:kern w:val="0"/>
                <w:sz w:val="22"/>
                <w:szCs w:val="22"/>
              </w:rPr>
              <w:t>g/m</w:t>
            </w:r>
            <w:r>
              <w:rPr>
                <w:kern w:val="0"/>
                <w:sz w:val="22"/>
                <w:szCs w:val="22"/>
                <w:vertAlign w:val="superscript"/>
              </w:rPr>
              <w:t>3</w:t>
            </w:r>
            <w:r>
              <w:rPr>
                <w:rFonts w:hint="eastAsia" w:ascii="宋体" w:hAnsi="宋体"/>
                <w:kern w:val="0"/>
                <w:sz w:val="22"/>
                <w:szCs w:val="22"/>
              </w:rPr>
              <w:t>）</w:t>
            </w:r>
          </w:p>
        </w:tc>
        <w:tc>
          <w:tcPr>
            <w:tcW w:w="1105" w:type="pct"/>
            <w:vAlign w:val="center"/>
          </w:tcPr>
          <w:p>
            <w:pPr>
              <w:widowControl/>
              <w:spacing w:line="240" w:lineRule="auto"/>
              <w:ind w:firstLine="0" w:firstLineChars="0"/>
              <w:jc w:val="center"/>
              <w:rPr>
                <w:kern w:val="0"/>
                <w:sz w:val="22"/>
                <w:szCs w:val="22"/>
              </w:rPr>
            </w:pPr>
            <w:r>
              <w:rPr>
                <w:rFonts w:hint="eastAsia" w:ascii="宋体" w:hAnsi="宋体"/>
                <w:kern w:val="0"/>
                <w:sz w:val="22"/>
                <w:szCs w:val="22"/>
              </w:rPr>
              <w:t>核算排放速率</w:t>
            </w:r>
            <w:r>
              <w:rPr>
                <w:kern w:val="0"/>
                <w:sz w:val="22"/>
                <w:szCs w:val="22"/>
              </w:rPr>
              <w:t>/</w:t>
            </w:r>
            <w:r>
              <w:rPr>
                <w:rFonts w:hint="eastAsia" w:ascii="宋体" w:hAnsi="宋体"/>
                <w:kern w:val="0"/>
                <w:sz w:val="22"/>
                <w:szCs w:val="22"/>
              </w:rPr>
              <w:t>（</w:t>
            </w:r>
            <w:r>
              <w:rPr>
                <w:kern w:val="0"/>
                <w:sz w:val="22"/>
                <w:szCs w:val="22"/>
              </w:rPr>
              <w:t>kg/h</w:t>
            </w:r>
            <w:r>
              <w:rPr>
                <w:rFonts w:hint="eastAsia" w:ascii="宋体" w:hAnsi="宋体"/>
                <w:kern w:val="0"/>
                <w:sz w:val="22"/>
                <w:szCs w:val="22"/>
              </w:rPr>
              <w:t>）</w:t>
            </w:r>
          </w:p>
        </w:tc>
        <w:tc>
          <w:tcPr>
            <w:tcW w:w="933" w:type="pct"/>
            <w:vAlign w:val="center"/>
          </w:tcPr>
          <w:p>
            <w:pPr>
              <w:widowControl/>
              <w:spacing w:line="240" w:lineRule="auto"/>
              <w:ind w:firstLine="0" w:firstLineChars="0"/>
              <w:jc w:val="center"/>
              <w:rPr>
                <w:kern w:val="0"/>
                <w:sz w:val="22"/>
                <w:szCs w:val="22"/>
              </w:rPr>
            </w:pPr>
            <w:r>
              <w:rPr>
                <w:rFonts w:hint="eastAsia" w:ascii="宋体" w:hAnsi="宋体"/>
                <w:kern w:val="0"/>
                <w:sz w:val="22"/>
                <w:szCs w:val="22"/>
              </w:rPr>
              <w:t>核算年排放量</w:t>
            </w:r>
            <w:r>
              <w:rPr>
                <w:kern w:val="0"/>
                <w:sz w:val="22"/>
                <w:szCs w:val="22"/>
              </w:rPr>
              <w:t>/</w:t>
            </w:r>
            <w:r>
              <w:rPr>
                <w:rFonts w:hint="eastAsia" w:ascii="宋体" w:hAnsi="宋体"/>
                <w:kern w:val="0"/>
                <w:sz w:val="22"/>
                <w:szCs w:val="22"/>
              </w:rPr>
              <w:t>（</w:t>
            </w:r>
            <w:r>
              <w:rPr>
                <w:kern w:val="0"/>
                <w:sz w:val="22"/>
                <w:szCs w:val="22"/>
              </w:rPr>
              <w:t>t/a</w:t>
            </w:r>
            <w:r>
              <w:rPr>
                <w:rFonts w:hint="eastAsia" w:ascii="宋体" w:hAnsi="宋体"/>
                <w:kern w:val="0"/>
                <w:sz w:val="22"/>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5000" w:type="pct"/>
            <w:gridSpan w:val="6"/>
            <w:vAlign w:val="center"/>
          </w:tcPr>
          <w:p>
            <w:pPr>
              <w:widowControl/>
              <w:spacing w:line="240" w:lineRule="auto"/>
              <w:ind w:firstLine="0" w:firstLineChars="0"/>
              <w:jc w:val="center"/>
              <w:rPr>
                <w:kern w:val="0"/>
                <w:sz w:val="22"/>
                <w:szCs w:val="22"/>
              </w:rPr>
            </w:pPr>
            <w:r>
              <w:rPr>
                <w:rFonts w:hint="eastAsia" w:ascii="宋体" w:hAnsi="宋体"/>
                <w:kern w:val="0"/>
                <w:sz w:val="22"/>
                <w:szCs w:val="22"/>
              </w:rPr>
              <w:t>主要排放口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389" w:type="pct"/>
            <w:vAlign w:val="center"/>
          </w:tcPr>
          <w:p>
            <w:pPr>
              <w:widowControl/>
              <w:spacing w:line="240" w:lineRule="auto"/>
              <w:ind w:firstLine="0" w:firstLineChars="0"/>
              <w:jc w:val="center"/>
              <w:rPr>
                <w:rFonts w:hint="eastAsia" w:eastAsia="宋体"/>
                <w:kern w:val="0"/>
                <w:sz w:val="22"/>
                <w:szCs w:val="22"/>
                <w:lang w:eastAsia="zh-CN"/>
              </w:rPr>
            </w:pPr>
            <w:r>
              <w:rPr>
                <w:rFonts w:hint="eastAsia"/>
                <w:kern w:val="0"/>
                <w:sz w:val="22"/>
                <w:szCs w:val="22"/>
                <w:lang w:val="en-US" w:eastAsia="zh-CN"/>
              </w:rPr>
              <w:t>1</w:t>
            </w:r>
          </w:p>
        </w:tc>
        <w:tc>
          <w:tcPr>
            <w:tcW w:w="903" w:type="pct"/>
            <w:vMerge w:val="restart"/>
            <w:vAlign w:val="center"/>
          </w:tcPr>
          <w:p>
            <w:pPr>
              <w:widowControl/>
              <w:spacing w:line="240" w:lineRule="auto"/>
              <w:ind w:firstLine="0" w:firstLineChars="0"/>
              <w:jc w:val="center"/>
              <w:rPr>
                <w:kern w:val="0"/>
                <w:sz w:val="22"/>
                <w:szCs w:val="22"/>
              </w:rPr>
            </w:pPr>
            <w:r>
              <w:rPr>
                <w:rFonts w:hint="eastAsia"/>
                <w:kern w:val="0"/>
                <w:sz w:val="22"/>
                <w:szCs w:val="22"/>
              </w:rPr>
              <w:t>排放口DA001</w:t>
            </w:r>
          </w:p>
        </w:tc>
        <w:tc>
          <w:tcPr>
            <w:tcW w:w="549" w:type="pct"/>
            <w:vAlign w:val="center"/>
          </w:tcPr>
          <w:p>
            <w:pPr>
              <w:widowControl/>
              <w:spacing w:line="240" w:lineRule="auto"/>
              <w:ind w:firstLine="0" w:firstLineChars="0"/>
              <w:jc w:val="center"/>
              <w:rPr>
                <w:rFonts w:cs="宋体"/>
                <w:kern w:val="0"/>
                <w:sz w:val="21"/>
                <w:szCs w:val="21"/>
              </w:rPr>
            </w:pPr>
            <w:r>
              <w:rPr>
                <w:rFonts w:hint="eastAsia" w:cs="宋体"/>
                <w:kern w:val="0"/>
                <w:sz w:val="21"/>
                <w:szCs w:val="21"/>
              </w:rPr>
              <w:t>NH</w:t>
            </w:r>
            <w:r>
              <w:rPr>
                <w:rFonts w:hint="eastAsia" w:cs="宋体"/>
                <w:kern w:val="0"/>
                <w:sz w:val="21"/>
                <w:szCs w:val="21"/>
                <w:vertAlign w:val="subscript"/>
              </w:rPr>
              <w:t>3</w:t>
            </w:r>
          </w:p>
        </w:tc>
        <w:tc>
          <w:tcPr>
            <w:tcW w:w="1120" w:type="pct"/>
            <w:vAlign w:val="center"/>
          </w:tcPr>
          <w:p>
            <w:pPr>
              <w:widowControl/>
              <w:spacing w:line="240" w:lineRule="auto"/>
              <w:ind w:firstLine="0" w:firstLineChars="0"/>
              <w:jc w:val="center"/>
              <w:rPr>
                <w:rFonts w:cs="宋体"/>
                <w:kern w:val="0"/>
                <w:sz w:val="21"/>
                <w:szCs w:val="21"/>
              </w:rPr>
            </w:pPr>
            <w:r>
              <w:rPr>
                <w:rFonts w:hint="eastAsia" w:cs="宋体"/>
                <w:kern w:val="0"/>
                <w:sz w:val="21"/>
                <w:szCs w:val="21"/>
              </w:rPr>
              <w:t>0.16</w:t>
            </w:r>
          </w:p>
        </w:tc>
        <w:tc>
          <w:tcPr>
            <w:tcW w:w="1990" w:type="dxa"/>
            <w:vAlign w:val="center"/>
          </w:tcPr>
          <w:p>
            <w:pPr>
              <w:widowControl/>
              <w:spacing w:line="240" w:lineRule="auto"/>
              <w:ind w:firstLine="0" w:firstLineChars="0"/>
              <w:jc w:val="center"/>
              <w:rPr>
                <w:rFonts w:cs="宋体"/>
                <w:color w:val="FF0000"/>
                <w:kern w:val="0"/>
                <w:sz w:val="21"/>
                <w:szCs w:val="21"/>
              </w:rPr>
            </w:pPr>
            <w:r>
              <w:rPr>
                <w:rFonts w:hint="eastAsia"/>
                <w:color w:val="FF0000"/>
                <w:sz w:val="21"/>
                <w:szCs w:val="21"/>
              </w:rPr>
              <w:t>0.08×10</w:t>
            </w:r>
            <w:r>
              <w:rPr>
                <w:rFonts w:hint="eastAsia"/>
                <w:color w:val="FF0000"/>
                <w:sz w:val="21"/>
                <w:szCs w:val="21"/>
                <w:vertAlign w:val="superscript"/>
              </w:rPr>
              <w:t>-3</w:t>
            </w:r>
            <w:r>
              <w:rPr>
                <w:rFonts w:hint="eastAsia"/>
                <w:color w:val="FF0000"/>
                <w:sz w:val="21"/>
                <w:szCs w:val="21"/>
              </w:rPr>
              <w:t>kg/h</w:t>
            </w:r>
          </w:p>
        </w:tc>
        <w:tc>
          <w:tcPr>
            <w:tcW w:w="1682" w:type="dxa"/>
            <w:vAlign w:val="center"/>
          </w:tcPr>
          <w:p>
            <w:pPr>
              <w:widowControl/>
              <w:spacing w:line="240" w:lineRule="auto"/>
              <w:ind w:firstLine="0" w:firstLineChars="0"/>
              <w:jc w:val="center"/>
              <w:rPr>
                <w:color w:val="FF0000"/>
                <w:kern w:val="0"/>
                <w:sz w:val="22"/>
                <w:szCs w:val="22"/>
              </w:rPr>
            </w:pPr>
            <w:r>
              <w:rPr>
                <w:rFonts w:hint="eastAsia"/>
                <w:color w:val="FF0000"/>
                <w:sz w:val="21"/>
                <w:szCs w:val="21"/>
              </w:rPr>
              <w:t>0.23×10</w:t>
            </w:r>
            <w:r>
              <w:rPr>
                <w:rFonts w:hint="eastAsia"/>
                <w:color w:val="FF0000"/>
                <w:sz w:val="21"/>
                <w:szCs w:val="21"/>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389" w:type="pct"/>
            <w:vAlign w:val="center"/>
          </w:tcPr>
          <w:p>
            <w:pPr>
              <w:widowControl/>
              <w:spacing w:line="240" w:lineRule="auto"/>
              <w:ind w:firstLine="0" w:firstLineChars="0"/>
              <w:jc w:val="center"/>
              <w:rPr>
                <w:rFonts w:hint="eastAsia" w:eastAsia="宋体"/>
                <w:kern w:val="0"/>
                <w:sz w:val="22"/>
                <w:szCs w:val="22"/>
                <w:lang w:eastAsia="zh-CN"/>
              </w:rPr>
            </w:pPr>
            <w:r>
              <w:rPr>
                <w:rFonts w:hint="eastAsia"/>
                <w:kern w:val="0"/>
                <w:sz w:val="22"/>
                <w:szCs w:val="22"/>
                <w:lang w:val="en-US" w:eastAsia="zh-CN"/>
              </w:rPr>
              <w:t>2</w:t>
            </w:r>
          </w:p>
        </w:tc>
        <w:tc>
          <w:tcPr>
            <w:tcW w:w="903" w:type="pct"/>
            <w:vMerge w:val="continue"/>
            <w:vAlign w:val="center"/>
          </w:tcPr>
          <w:p>
            <w:pPr>
              <w:widowControl/>
              <w:spacing w:line="240" w:lineRule="auto"/>
              <w:ind w:firstLine="0" w:firstLineChars="0"/>
              <w:jc w:val="center"/>
              <w:rPr>
                <w:kern w:val="0"/>
                <w:sz w:val="22"/>
                <w:szCs w:val="22"/>
              </w:rPr>
            </w:pPr>
          </w:p>
        </w:tc>
        <w:tc>
          <w:tcPr>
            <w:tcW w:w="549" w:type="pct"/>
            <w:vAlign w:val="center"/>
          </w:tcPr>
          <w:p>
            <w:pPr>
              <w:widowControl/>
              <w:spacing w:line="240" w:lineRule="auto"/>
              <w:ind w:firstLine="0" w:firstLineChars="0"/>
              <w:jc w:val="center"/>
              <w:rPr>
                <w:rFonts w:cs="宋体"/>
                <w:kern w:val="0"/>
                <w:sz w:val="21"/>
                <w:szCs w:val="21"/>
              </w:rPr>
            </w:pPr>
            <w:r>
              <w:rPr>
                <w:rFonts w:hint="eastAsia" w:cs="宋体"/>
                <w:kern w:val="0"/>
                <w:sz w:val="21"/>
                <w:szCs w:val="21"/>
              </w:rPr>
              <w:t>H</w:t>
            </w:r>
            <w:r>
              <w:rPr>
                <w:rFonts w:hint="eastAsia" w:cs="宋体"/>
                <w:kern w:val="0"/>
                <w:sz w:val="21"/>
                <w:szCs w:val="21"/>
                <w:vertAlign w:val="subscript"/>
              </w:rPr>
              <w:t>2</w:t>
            </w:r>
            <w:r>
              <w:rPr>
                <w:rFonts w:hint="eastAsia" w:cs="宋体"/>
                <w:kern w:val="0"/>
                <w:sz w:val="21"/>
                <w:szCs w:val="21"/>
              </w:rPr>
              <w:t>S</w:t>
            </w:r>
          </w:p>
        </w:tc>
        <w:tc>
          <w:tcPr>
            <w:tcW w:w="1120" w:type="pct"/>
            <w:vAlign w:val="center"/>
          </w:tcPr>
          <w:p>
            <w:pPr>
              <w:widowControl/>
              <w:spacing w:line="240" w:lineRule="auto"/>
              <w:ind w:firstLine="0" w:firstLineChars="0"/>
              <w:jc w:val="center"/>
              <w:rPr>
                <w:rFonts w:cs="宋体"/>
                <w:kern w:val="0"/>
                <w:sz w:val="21"/>
                <w:szCs w:val="21"/>
              </w:rPr>
            </w:pPr>
            <w:r>
              <w:rPr>
                <w:rFonts w:hint="eastAsia" w:cs="宋体"/>
                <w:kern w:val="0"/>
                <w:sz w:val="21"/>
                <w:szCs w:val="21"/>
              </w:rPr>
              <w:t>0.006</w:t>
            </w:r>
          </w:p>
        </w:tc>
        <w:tc>
          <w:tcPr>
            <w:tcW w:w="1990" w:type="dxa"/>
            <w:vAlign w:val="center"/>
          </w:tcPr>
          <w:p>
            <w:pPr>
              <w:widowControl/>
              <w:spacing w:line="240" w:lineRule="auto"/>
              <w:ind w:firstLine="0" w:firstLineChars="0"/>
              <w:jc w:val="center"/>
              <w:rPr>
                <w:rFonts w:cs="宋体"/>
                <w:color w:val="FF0000"/>
                <w:kern w:val="0"/>
                <w:sz w:val="21"/>
                <w:szCs w:val="21"/>
              </w:rPr>
            </w:pPr>
            <w:r>
              <w:rPr>
                <w:rFonts w:hint="eastAsia"/>
                <w:color w:val="FF0000"/>
                <w:sz w:val="21"/>
                <w:szCs w:val="21"/>
              </w:rPr>
              <w:t>0.03×10</w:t>
            </w:r>
            <w:r>
              <w:rPr>
                <w:rFonts w:hint="eastAsia"/>
                <w:color w:val="FF0000"/>
                <w:sz w:val="21"/>
                <w:szCs w:val="21"/>
                <w:vertAlign w:val="superscript"/>
              </w:rPr>
              <w:t>-3</w:t>
            </w:r>
            <w:r>
              <w:rPr>
                <w:rFonts w:hint="eastAsia"/>
                <w:color w:val="FF0000"/>
                <w:sz w:val="21"/>
                <w:szCs w:val="21"/>
              </w:rPr>
              <w:t>kg/h</w:t>
            </w:r>
          </w:p>
        </w:tc>
        <w:tc>
          <w:tcPr>
            <w:tcW w:w="1682" w:type="dxa"/>
            <w:vAlign w:val="center"/>
          </w:tcPr>
          <w:p>
            <w:pPr>
              <w:widowControl/>
              <w:spacing w:line="240" w:lineRule="auto"/>
              <w:ind w:firstLine="0" w:firstLineChars="0"/>
              <w:jc w:val="center"/>
              <w:rPr>
                <w:color w:val="FF0000"/>
                <w:kern w:val="0"/>
                <w:sz w:val="22"/>
                <w:szCs w:val="22"/>
              </w:rPr>
            </w:pPr>
            <w:r>
              <w:rPr>
                <w:rFonts w:hint="eastAsia"/>
                <w:color w:val="FF0000"/>
                <w:sz w:val="21"/>
                <w:szCs w:val="21"/>
              </w:rPr>
              <w:t>0.08×10</w:t>
            </w:r>
            <w:r>
              <w:rPr>
                <w:rFonts w:hint="eastAsia"/>
                <w:color w:val="FF0000"/>
                <w:sz w:val="21"/>
                <w:szCs w:val="21"/>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1292" w:type="pct"/>
            <w:gridSpan w:val="2"/>
            <w:vMerge w:val="restart"/>
            <w:vAlign w:val="center"/>
          </w:tcPr>
          <w:p>
            <w:pPr>
              <w:widowControl/>
              <w:spacing w:line="240" w:lineRule="auto"/>
              <w:ind w:firstLine="0" w:firstLineChars="0"/>
              <w:jc w:val="center"/>
              <w:rPr>
                <w:kern w:val="0"/>
                <w:sz w:val="22"/>
                <w:szCs w:val="22"/>
              </w:rPr>
            </w:pPr>
          </w:p>
        </w:tc>
        <w:tc>
          <w:tcPr>
            <w:tcW w:w="2774" w:type="pct"/>
            <w:gridSpan w:val="3"/>
            <w:vAlign w:val="center"/>
          </w:tcPr>
          <w:p>
            <w:pPr>
              <w:widowControl/>
              <w:spacing w:line="240" w:lineRule="auto"/>
              <w:ind w:firstLine="0" w:firstLineChars="0"/>
              <w:jc w:val="center"/>
              <w:rPr>
                <w:rFonts w:cs="宋体"/>
                <w:kern w:val="0"/>
                <w:sz w:val="21"/>
                <w:szCs w:val="21"/>
              </w:rPr>
            </w:pPr>
            <w:r>
              <w:rPr>
                <w:rFonts w:hint="eastAsia" w:cs="宋体"/>
                <w:kern w:val="0"/>
                <w:sz w:val="21"/>
                <w:szCs w:val="21"/>
              </w:rPr>
              <w:t>NH</w:t>
            </w:r>
            <w:r>
              <w:rPr>
                <w:rFonts w:hint="eastAsia" w:cs="宋体"/>
                <w:kern w:val="0"/>
                <w:sz w:val="21"/>
                <w:szCs w:val="21"/>
                <w:vertAlign w:val="subscript"/>
              </w:rPr>
              <w:t>3</w:t>
            </w:r>
          </w:p>
        </w:tc>
        <w:tc>
          <w:tcPr>
            <w:tcW w:w="1682" w:type="dxa"/>
            <w:vAlign w:val="center"/>
          </w:tcPr>
          <w:p>
            <w:pPr>
              <w:widowControl/>
              <w:spacing w:line="240" w:lineRule="auto"/>
              <w:ind w:firstLine="0" w:firstLineChars="0"/>
              <w:jc w:val="center"/>
              <w:rPr>
                <w:color w:val="FF0000"/>
                <w:kern w:val="0"/>
                <w:sz w:val="22"/>
                <w:szCs w:val="22"/>
              </w:rPr>
            </w:pPr>
            <w:r>
              <w:rPr>
                <w:rFonts w:hint="eastAsia"/>
                <w:color w:val="FF0000"/>
                <w:sz w:val="21"/>
                <w:szCs w:val="21"/>
              </w:rPr>
              <w:t>0.23×10</w:t>
            </w:r>
            <w:r>
              <w:rPr>
                <w:rFonts w:hint="eastAsia"/>
                <w:color w:val="FF0000"/>
                <w:sz w:val="21"/>
                <w:szCs w:val="21"/>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1292" w:type="pct"/>
            <w:gridSpan w:val="2"/>
            <w:vMerge w:val="continue"/>
          </w:tcPr>
          <w:p>
            <w:pPr>
              <w:widowControl/>
              <w:spacing w:line="240" w:lineRule="auto"/>
              <w:ind w:firstLine="0" w:firstLineChars="0"/>
              <w:jc w:val="center"/>
              <w:rPr>
                <w:kern w:val="0"/>
                <w:sz w:val="22"/>
                <w:szCs w:val="22"/>
              </w:rPr>
            </w:pPr>
          </w:p>
        </w:tc>
        <w:tc>
          <w:tcPr>
            <w:tcW w:w="2774" w:type="pct"/>
            <w:gridSpan w:val="3"/>
            <w:vAlign w:val="center"/>
          </w:tcPr>
          <w:p>
            <w:pPr>
              <w:widowControl/>
              <w:spacing w:line="240" w:lineRule="auto"/>
              <w:ind w:firstLine="0" w:firstLineChars="0"/>
              <w:jc w:val="center"/>
              <w:rPr>
                <w:rFonts w:cs="宋体"/>
                <w:kern w:val="0"/>
                <w:sz w:val="21"/>
                <w:szCs w:val="21"/>
              </w:rPr>
            </w:pPr>
            <w:r>
              <w:rPr>
                <w:rFonts w:hint="eastAsia" w:cs="宋体"/>
                <w:kern w:val="0"/>
                <w:sz w:val="21"/>
                <w:szCs w:val="21"/>
              </w:rPr>
              <w:t>H</w:t>
            </w:r>
            <w:r>
              <w:rPr>
                <w:rFonts w:hint="eastAsia" w:cs="宋体"/>
                <w:kern w:val="0"/>
                <w:sz w:val="21"/>
                <w:szCs w:val="21"/>
                <w:vertAlign w:val="subscript"/>
              </w:rPr>
              <w:t>2</w:t>
            </w:r>
            <w:r>
              <w:rPr>
                <w:rFonts w:hint="eastAsia" w:cs="宋体"/>
                <w:kern w:val="0"/>
                <w:sz w:val="21"/>
                <w:szCs w:val="21"/>
              </w:rPr>
              <w:t>S</w:t>
            </w:r>
          </w:p>
        </w:tc>
        <w:tc>
          <w:tcPr>
            <w:tcW w:w="1682" w:type="dxa"/>
            <w:vAlign w:val="center"/>
          </w:tcPr>
          <w:p>
            <w:pPr>
              <w:widowControl/>
              <w:spacing w:line="240" w:lineRule="auto"/>
              <w:ind w:firstLine="0" w:firstLineChars="0"/>
              <w:jc w:val="center"/>
              <w:rPr>
                <w:color w:val="FF0000"/>
                <w:kern w:val="0"/>
                <w:sz w:val="22"/>
                <w:szCs w:val="22"/>
              </w:rPr>
            </w:pPr>
            <w:r>
              <w:rPr>
                <w:rFonts w:hint="eastAsia"/>
                <w:color w:val="FF0000"/>
                <w:sz w:val="21"/>
                <w:szCs w:val="21"/>
              </w:rPr>
              <w:t>0.08×10</w:t>
            </w:r>
            <w:r>
              <w:rPr>
                <w:rFonts w:hint="eastAsia"/>
                <w:color w:val="FF0000"/>
                <w:sz w:val="21"/>
                <w:szCs w:val="21"/>
                <w:vertAlign w:val="superscript"/>
              </w:rPr>
              <w:t>-3</w:t>
            </w:r>
          </w:p>
        </w:tc>
      </w:tr>
    </w:tbl>
    <w:p>
      <w:pPr>
        <w:ind w:firstLine="480"/>
      </w:pPr>
    </w:p>
    <w:p>
      <w:pPr>
        <w:numPr>
          <w:ilvl w:val="0"/>
          <w:numId w:val="12"/>
        </w:numPr>
        <w:ind w:firstLine="480"/>
      </w:pPr>
      <w:r>
        <w:rPr>
          <w:rFonts w:hint="eastAsia"/>
        </w:rPr>
        <w:t>无组织排放量核算</w:t>
      </w:r>
    </w:p>
    <w:p>
      <w:pPr>
        <w:pStyle w:val="6"/>
      </w:pPr>
      <w:r>
        <w:rPr>
          <w:rFonts w:hint="eastAsia"/>
        </w:rPr>
        <w:t>表5.2.1-5  大气污染物无组织排放量核算表</w:t>
      </w:r>
    </w:p>
    <w:tbl>
      <w:tblPr>
        <w:tblStyle w:val="25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
        <w:gridCol w:w="851"/>
        <w:gridCol w:w="705"/>
        <w:gridCol w:w="855"/>
        <w:gridCol w:w="2520"/>
        <w:gridCol w:w="1200"/>
        <w:gridCol w:w="1335"/>
        <w:gridCol w:w="11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236"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序号</w:t>
            </w:r>
          </w:p>
        </w:tc>
        <w:tc>
          <w:tcPr>
            <w:tcW w:w="472"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排放口编号</w:t>
            </w:r>
          </w:p>
        </w:tc>
        <w:tc>
          <w:tcPr>
            <w:tcW w:w="391"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产污环节</w:t>
            </w:r>
          </w:p>
        </w:tc>
        <w:tc>
          <w:tcPr>
            <w:tcW w:w="474"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污染物</w:t>
            </w:r>
          </w:p>
        </w:tc>
        <w:tc>
          <w:tcPr>
            <w:tcW w:w="1399"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主要污染防治措施</w:t>
            </w:r>
          </w:p>
        </w:tc>
        <w:tc>
          <w:tcPr>
            <w:tcW w:w="1407" w:type="pct"/>
            <w:gridSpan w:val="2"/>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国家或地方污染物排放标准</w:t>
            </w:r>
          </w:p>
        </w:tc>
        <w:tc>
          <w:tcPr>
            <w:tcW w:w="617"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年排放量/（t/a）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236" w:type="pct"/>
            <w:vMerge w:val="continue"/>
            <w:vAlign w:val="center"/>
          </w:tcPr>
          <w:p>
            <w:pPr>
              <w:widowControl/>
              <w:adjustRightInd w:val="0"/>
              <w:snapToGrid w:val="0"/>
              <w:spacing w:line="240" w:lineRule="auto"/>
              <w:ind w:firstLine="0" w:firstLineChars="0"/>
              <w:jc w:val="center"/>
              <w:rPr>
                <w:kern w:val="0"/>
                <w:sz w:val="21"/>
                <w:szCs w:val="21"/>
              </w:rPr>
            </w:pPr>
          </w:p>
        </w:tc>
        <w:tc>
          <w:tcPr>
            <w:tcW w:w="472" w:type="pct"/>
            <w:vMerge w:val="continue"/>
            <w:vAlign w:val="center"/>
          </w:tcPr>
          <w:p>
            <w:pPr>
              <w:widowControl/>
              <w:adjustRightInd w:val="0"/>
              <w:snapToGrid w:val="0"/>
              <w:spacing w:line="240" w:lineRule="auto"/>
              <w:ind w:firstLine="0" w:firstLineChars="0"/>
              <w:jc w:val="center"/>
              <w:rPr>
                <w:kern w:val="0"/>
                <w:sz w:val="21"/>
                <w:szCs w:val="21"/>
              </w:rPr>
            </w:pPr>
          </w:p>
        </w:tc>
        <w:tc>
          <w:tcPr>
            <w:tcW w:w="391" w:type="pct"/>
            <w:vMerge w:val="continue"/>
            <w:vAlign w:val="center"/>
          </w:tcPr>
          <w:p>
            <w:pPr>
              <w:widowControl/>
              <w:adjustRightInd w:val="0"/>
              <w:snapToGrid w:val="0"/>
              <w:spacing w:line="240" w:lineRule="auto"/>
              <w:ind w:firstLine="0" w:firstLineChars="0"/>
              <w:jc w:val="center"/>
              <w:rPr>
                <w:kern w:val="0"/>
                <w:sz w:val="21"/>
                <w:szCs w:val="21"/>
              </w:rPr>
            </w:pPr>
          </w:p>
        </w:tc>
        <w:tc>
          <w:tcPr>
            <w:tcW w:w="474" w:type="pct"/>
            <w:vMerge w:val="continue"/>
            <w:vAlign w:val="center"/>
          </w:tcPr>
          <w:p>
            <w:pPr>
              <w:widowControl/>
              <w:adjustRightInd w:val="0"/>
              <w:snapToGrid w:val="0"/>
              <w:spacing w:line="240" w:lineRule="auto"/>
              <w:ind w:firstLine="0" w:firstLineChars="0"/>
              <w:jc w:val="center"/>
              <w:rPr>
                <w:kern w:val="0"/>
                <w:sz w:val="21"/>
                <w:szCs w:val="21"/>
              </w:rPr>
            </w:pPr>
          </w:p>
        </w:tc>
        <w:tc>
          <w:tcPr>
            <w:tcW w:w="1399" w:type="pct"/>
            <w:vMerge w:val="continue"/>
            <w:vAlign w:val="center"/>
          </w:tcPr>
          <w:p>
            <w:pPr>
              <w:widowControl/>
              <w:adjustRightInd w:val="0"/>
              <w:snapToGrid w:val="0"/>
              <w:spacing w:line="240" w:lineRule="auto"/>
              <w:ind w:firstLine="0" w:firstLineChars="0"/>
              <w:jc w:val="center"/>
              <w:rPr>
                <w:kern w:val="0"/>
                <w:sz w:val="21"/>
                <w:szCs w:val="21"/>
              </w:rPr>
            </w:pPr>
          </w:p>
        </w:tc>
        <w:tc>
          <w:tcPr>
            <w:tcW w:w="66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标准名称</w:t>
            </w: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浓度限值/（mg/m</w:t>
            </w:r>
            <w:r>
              <w:rPr>
                <w:rFonts w:hint="eastAsia"/>
                <w:kern w:val="0"/>
                <w:sz w:val="21"/>
                <w:szCs w:val="21"/>
                <w:vertAlign w:val="superscript"/>
              </w:rPr>
              <w:t>3</w:t>
            </w:r>
            <w:r>
              <w:rPr>
                <w:rFonts w:hint="eastAsia"/>
                <w:kern w:val="0"/>
                <w:sz w:val="21"/>
                <w:szCs w:val="21"/>
              </w:rPr>
              <w:t>）</w:t>
            </w:r>
          </w:p>
        </w:tc>
        <w:tc>
          <w:tcPr>
            <w:tcW w:w="617" w:type="pct"/>
            <w:vMerge w:val="continue"/>
            <w:vAlign w:val="center"/>
          </w:tcPr>
          <w:p>
            <w:pPr>
              <w:widowControl/>
              <w:adjustRightInd w:val="0"/>
              <w:snapToGrid w:val="0"/>
              <w:spacing w:line="240" w:lineRule="auto"/>
              <w:ind w:firstLine="0" w:firstLineChars="0"/>
              <w:jc w:val="center"/>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1" w:hRule="atLeast"/>
        </w:trPr>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1</w:t>
            </w:r>
          </w:p>
        </w:tc>
        <w:tc>
          <w:tcPr>
            <w:tcW w:w="472"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M1</w:t>
            </w:r>
          </w:p>
        </w:tc>
        <w:tc>
          <w:tcPr>
            <w:tcW w:w="391" w:type="pct"/>
            <w:vAlign w:val="center"/>
          </w:tcPr>
          <w:p>
            <w:pPr>
              <w:widowControl/>
              <w:adjustRightInd w:val="0"/>
              <w:snapToGrid w:val="0"/>
              <w:spacing w:line="240" w:lineRule="auto"/>
              <w:ind w:firstLine="0" w:firstLineChars="0"/>
              <w:jc w:val="center"/>
              <w:rPr>
                <w:kern w:val="0"/>
                <w:sz w:val="21"/>
                <w:szCs w:val="21"/>
              </w:rPr>
            </w:pPr>
            <w:r>
              <w:rPr>
                <w:rFonts w:hint="eastAsia"/>
                <w:sz w:val="21"/>
                <w:szCs w:val="21"/>
              </w:rPr>
              <w:t>饲草混合加工车间</w:t>
            </w: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TSP</w:t>
            </w:r>
          </w:p>
        </w:tc>
        <w:tc>
          <w:tcPr>
            <w:tcW w:w="1399" w:type="pct"/>
            <w:vAlign w:val="center"/>
          </w:tcPr>
          <w:p>
            <w:pPr>
              <w:widowControl/>
              <w:adjustRightInd w:val="0"/>
              <w:snapToGrid w:val="0"/>
              <w:spacing w:line="240" w:lineRule="auto"/>
              <w:ind w:firstLine="0" w:firstLineChars="0"/>
              <w:jc w:val="center"/>
              <w:rPr>
                <w:kern w:val="0"/>
                <w:sz w:val="21"/>
                <w:szCs w:val="21"/>
              </w:rPr>
            </w:pPr>
            <w:r>
              <w:rPr>
                <w:color w:val="000000" w:themeColor="text1"/>
                <w:sz w:val="21"/>
                <w:szCs w:val="21"/>
                <w14:textFill>
                  <w14:solidFill>
                    <w14:schemeClr w14:val="tx1"/>
                  </w14:solidFill>
                </w14:textFill>
              </w:rPr>
              <w:t>采</w:t>
            </w:r>
            <w:r>
              <w:rPr>
                <w:rFonts w:hint="eastAsia"/>
                <w:color w:val="000000" w:themeColor="text1"/>
                <w:sz w:val="21"/>
                <w:szCs w:val="21"/>
                <w14:textFill>
                  <w14:solidFill>
                    <w14:schemeClr w14:val="tx1"/>
                  </w14:solidFill>
                </w14:textFill>
              </w:rPr>
              <w:t>购</w:t>
            </w:r>
            <w:r>
              <w:rPr>
                <w:color w:val="000000" w:themeColor="text1"/>
                <w:sz w:val="21"/>
                <w:szCs w:val="21"/>
                <w14:textFill>
                  <w14:solidFill>
                    <w14:schemeClr w14:val="tx1"/>
                  </w14:solidFill>
                </w14:textFill>
              </w:rPr>
              <w:t>具有一定粒度的成品饲料</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饲料配制车间全封闭，</w:t>
            </w:r>
            <w:r>
              <w:rPr>
                <w:rFonts w:hint="eastAsia"/>
                <w:sz w:val="21"/>
                <w:szCs w:val="21"/>
              </w:rPr>
              <w:t>搅拌过程产生的粉尘通过搅拌机配备的布袋除尘器处理后无组织排放</w:t>
            </w:r>
            <w:r>
              <w:rPr>
                <w:sz w:val="21"/>
                <w:szCs w:val="21"/>
              </w:rPr>
              <w:t>，</w:t>
            </w:r>
            <w:r>
              <w:rPr>
                <w:rFonts w:hint="eastAsia"/>
                <w:sz w:val="21"/>
                <w:szCs w:val="21"/>
              </w:rPr>
              <w:t>排放粉尘99%</w:t>
            </w:r>
            <w:r>
              <w:rPr>
                <w:rFonts w:hint="eastAsia"/>
                <w:sz w:val="21"/>
                <w:szCs w:val="21"/>
                <w:lang w:val="en-US" w:eastAsia="zh-CN"/>
              </w:rPr>
              <w:t>被布袋除尘器收集后送至有机肥堆场生产有机肥</w:t>
            </w:r>
            <w:r>
              <w:rPr>
                <w:rFonts w:hint="eastAsia"/>
                <w:sz w:val="21"/>
                <w:szCs w:val="21"/>
              </w:rPr>
              <w:t>，</w:t>
            </w:r>
            <w:r>
              <w:rPr>
                <w:rFonts w:hint="eastAsia"/>
                <w:sz w:val="21"/>
                <w:szCs w:val="21"/>
                <w:lang w:val="en-US" w:eastAsia="zh-CN"/>
              </w:rPr>
              <w:t>未拦截的</w:t>
            </w:r>
            <w:r>
              <w:rPr>
                <w:rFonts w:hint="eastAsia"/>
                <w:sz w:val="21"/>
                <w:szCs w:val="21"/>
              </w:rPr>
              <w:t>1%排放于大气环境</w:t>
            </w:r>
          </w:p>
        </w:tc>
        <w:tc>
          <w:tcPr>
            <w:tcW w:w="666" w:type="pct"/>
            <w:vAlign w:val="center"/>
          </w:tcPr>
          <w:p>
            <w:pPr>
              <w:pStyle w:val="232"/>
              <w:rPr>
                <w:sz w:val="21"/>
                <w:szCs w:val="21"/>
              </w:rPr>
            </w:pPr>
            <w:r>
              <w:rPr>
                <w:rFonts w:hint="eastAsia"/>
                <w:sz w:val="21"/>
                <w:szCs w:val="21"/>
              </w:rPr>
              <w:t>《大气污染物综合排放标准》（GB16297-1996）</w:t>
            </w: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1.0</w:t>
            </w:r>
          </w:p>
        </w:tc>
        <w:tc>
          <w:tcPr>
            <w:tcW w:w="617" w:type="pct"/>
            <w:vAlign w:val="center"/>
          </w:tcPr>
          <w:p>
            <w:pPr>
              <w:autoSpaceDE w:val="0"/>
              <w:autoSpaceDN w:val="0"/>
              <w:spacing w:line="240" w:lineRule="auto"/>
              <w:ind w:firstLine="0" w:firstLineChars="0"/>
              <w:jc w:val="center"/>
              <w:rPr>
                <w:rFonts w:cs="宋体"/>
                <w:kern w:val="0"/>
                <w:sz w:val="21"/>
                <w:szCs w:val="21"/>
              </w:rPr>
            </w:pPr>
            <w:r>
              <w:rPr>
                <w:rFonts w:hint="eastAsia"/>
                <w:sz w:val="21"/>
                <w:szCs w:val="21"/>
              </w:rPr>
              <w:t>6.28×10</w:t>
            </w:r>
            <w:r>
              <w:rPr>
                <w:rFonts w:hint="eastAsia"/>
                <w:sz w:val="21"/>
                <w:szCs w:val="21"/>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2</w:t>
            </w:r>
          </w:p>
        </w:tc>
        <w:tc>
          <w:tcPr>
            <w:tcW w:w="472"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M2</w:t>
            </w:r>
          </w:p>
        </w:tc>
        <w:tc>
          <w:tcPr>
            <w:tcW w:w="391"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栏舍</w:t>
            </w: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NH</w:t>
            </w:r>
            <w:r>
              <w:rPr>
                <w:rFonts w:hint="eastAsia"/>
                <w:kern w:val="0"/>
                <w:sz w:val="21"/>
                <w:szCs w:val="21"/>
                <w:vertAlign w:val="subscript"/>
              </w:rPr>
              <w:t>3</w:t>
            </w:r>
          </w:p>
        </w:tc>
        <w:tc>
          <w:tcPr>
            <w:tcW w:w="1399"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科学喂养，饲料添加EM剂、干清粪、粪污</w:t>
            </w:r>
            <w:r>
              <w:rPr>
                <w:rFonts w:hint="eastAsia"/>
                <w:kern w:val="0"/>
                <w:sz w:val="21"/>
                <w:szCs w:val="21"/>
                <w:lang w:eastAsia="zh-CN"/>
              </w:rPr>
              <w:t>及时清理</w:t>
            </w:r>
            <w:r>
              <w:rPr>
                <w:rFonts w:hint="eastAsia"/>
                <w:kern w:val="0"/>
                <w:sz w:val="21"/>
                <w:szCs w:val="21"/>
              </w:rPr>
              <w:t>、加强羊舍通风、喷洒生物除臭剂</w:t>
            </w:r>
          </w:p>
        </w:tc>
        <w:tc>
          <w:tcPr>
            <w:tcW w:w="666" w:type="pct"/>
            <w:vMerge w:val="restart"/>
            <w:vAlign w:val="center"/>
          </w:tcPr>
          <w:p>
            <w:pPr>
              <w:pStyle w:val="232"/>
              <w:rPr>
                <w:sz w:val="21"/>
                <w:szCs w:val="21"/>
              </w:rPr>
            </w:pPr>
            <w:r>
              <w:rPr>
                <w:rFonts w:hint="eastAsia"/>
                <w:sz w:val="21"/>
                <w:szCs w:val="21"/>
              </w:rPr>
              <w:t>《恶臭污染物排放标准》（GB14554-93）</w:t>
            </w: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1.5</w:t>
            </w:r>
          </w:p>
        </w:tc>
        <w:tc>
          <w:tcPr>
            <w:tcW w:w="617" w:type="pct"/>
            <w:vAlign w:val="center"/>
          </w:tcPr>
          <w:p>
            <w:pPr>
              <w:autoSpaceDE w:val="0"/>
              <w:autoSpaceDN w:val="0"/>
              <w:spacing w:line="240" w:lineRule="auto"/>
              <w:ind w:firstLine="0" w:firstLineChars="0"/>
              <w:jc w:val="center"/>
              <w:rPr>
                <w:rFonts w:hint="default" w:eastAsia="宋体" w:cs="宋体"/>
                <w:color w:val="FF0000"/>
                <w:kern w:val="0"/>
                <w:sz w:val="21"/>
                <w:szCs w:val="21"/>
                <w:lang w:val="en-US" w:eastAsia="zh-CN"/>
              </w:rPr>
            </w:pPr>
            <w:r>
              <w:rPr>
                <w:rFonts w:hint="eastAsia" w:cs="宋体"/>
                <w:color w:val="FF0000"/>
                <w:kern w:val="0"/>
                <w:sz w:val="21"/>
                <w:szCs w:val="21"/>
                <w:lang w:val="en-US" w:eastAsia="zh-CN"/>
              </w:rPr>
              <w:t>0.47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3</w:t>
            </w:r>
          </w:p>
        </w:tc>
        <w:tc>
          <w:tcPr>
            <w:tcW w:w="472" w:type="pct"/>
            <w:vMerge w:val="continue"/>
            <w:vAlign w:val="center"/>
          </w:tcPr>
          <w:p>
            <w:pPr>
              <w:widowControl/>
              <w:adjustRightInd w:val="0"/>
              <w:snapToGrid w:val="0"/>
              <w:spacing w:line="240" w:lineRule="auto"/>
              <w:ind w:firstLine="0" w:firstLineChars="0"/>
              <w:jc w:val="center"/>
              <w:rPr>
                <w:kern w:val="0"/>
                <w:sz w:val="21"/>
                <w:szCs w:val="21"/>
              </w:rPr>
            </w:pPr>
          </w:p>
        </w:tc>
        <w:tc>
          <w:tcPr>
            <w:tcW w:w="391" w:type="pct"/>
            <w:vMerge w:val="continue"/>
            <w:vAlign w:val="center"/>
          </w:tcPr>
          <w:p>
            <w:pPr>
              <w:widowControl/>
              <w:adjustRightInd w:val="0"/>
              <w:snapToGrid w:val="0"/>
              <w:spacing w:line="240" w:lineRule="auto"/>
              <w:ind w:firstLine="0" w:firstLineChars="0"/>
              <w:jc w:val="center"/>
              <w:rPr>
                <w:kern w:val="0"/>
                <w:sz w:val="21"/>
                <w:szCs w:val="21"/>
              </w:rPr>
            </w:pP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H</w:t>
            </w:r>
            <w:r>
              <w:rPr>
                <w:rFonts w:hint="eastAsia"/>
                <w:kern w:val="0"/>
                <w:sz w:val="21"/>
                <w:szCs w:val="21"/>
                <w:vertAlign w:val="subscript"/>
              </w:rPr>
              <w:t>2</w:t>
            </w:r>
            <w:r>
              <w:rPr>
                <w:rFonts w:hint="eastAsia"/>
                <w:kern w:val="0"/>
                <w:sz w:val="21"/>
                <w:szCs w:val="21"/>
              </w:rPr>
              <w:t>S</w:t>
            </w:r>
          </w:p>
        </w:tc>
        <w:tc>
          <w:tcPr>
            <w:tcW w:w="1399" w:type="pct"/>
            <w:vMerge w:val="continue"/>
            <w:vAlign w:val="center"/>
          </w:tcPr>
          <w:p>
            <w:pPr>
              <w:widowControl/>
              <w:adjustRightInd w:val="0"/>
              <w:snapToGrid w:val="0"/>
              <w:spacing w:line="240" w:lineRule="auto"/>
              <w:ind w:firstLine="0" w:firstLineChars="0"/>
              <w:jc w:val="center"/>
              <w:rPr>
                <w:kern w:val="0"/>
                <w:sz w:val="21"/>
                <w:szCs w:val="21"/>
              </w:rPr>
            </w:pPr>
          </w:p>
        </w:tc>
        <w:tc>
          <w:tcPr>
            <w:tcW w:w="666" w:type="pct"/>
            <w:vMerge w:val="continue"/>
            <w:vAlign w:val="center"/>
          </w:tcPr>
          <w:p>
            <w:pPr>
              <w:pStyle w:val="232"/>
              <w:rPr>
                <w:sz w:val="21"/>
                <w:szCs w:val="21"/>
              </w:rPr>
            </w:pP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0.06</w:t>
            </w:r>
          </w:p>
        </w:tc>
        <w:tc>
          <w:tcPr>
            <w:tcW w:w="617" w:type="pct"/>
            <w:vAlign w:val="center"/>
          </w:tcPr>
          <w:p>
            <w:pPr>
              <w:autoSpaceDE w:val="0"/>
              <w:autoSpaceDN w:val="0"/>
              <w:spacing w:line="240" w:lineRule="auto"/>
              <w:ind w:firstLine="0" w:firstLineChars="0"/>
              <w:jc w:val="center"/>
              <w:rPr>
                <w:rFonts w:hint="default" w:eastAsia="宋体" w:cs="宋体"/>
                <w:color w:val="FF0000"/>
                <w:kern w:val="0"/>
                <w:sz w:val="21"/>
                <w:szCs w:val="21"/>
                <w:lang w:val="en-US" w:eastAsia="zh-CN"/>
              </w:rPr>
            </w:pPr>
            <w:r>
              <w:rPr>
                <w:rFonts w:hint="eastAsia" w:cs="宋体"/>
                <w:color w:val="FF0000"/>
                <w:kern w:val="0"/>
                <w:sz w:val="21"/>
                <w:szCs w:val="21"/>
                <w:lang w:val="en-US" w:eastAsia="zh-CN"/>
              </w:rPr>
              <w:t>0.0004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4</w:t>
            </w:r>
          </w:p>
        </w:tc>
        <w:tc>
          <w:tcPr>
            <w:tcW w:w="472"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M3</w:t>
            </w:r>
          </w:p>
        </w:tc>
        <w:tc>
          <w:tcPr>
            <w:tcW w:w="391" w:type="pct"/>
            <w:vMerge w:val="restart"/>
            <w:vAlign w:val="center"/>
          </w:tcPr>
          <w:p>
            <w:pPr>
              <w:widowControl/>
              <w:adjustRightInd w:val="0"/>
              <w:snapToGrid w:val="0"/>
              <w:spacing w:line="240" w:lineRule="auto"/>
              <w:ind w:firstLine="0" w:firstLineChars="0"/>
              <w:jc w:val="center"/>
              <w:rPr>
                <w:rFonts w:hint="eastAsia" w:eastAsia="宋体"/>
                <w:kern w:val="0"/>
                <w:sz w:val="21"/>
                <w:szCs w:val="21"/>
                <w:lang w:eastAsia="zh-CN"/>
              </w:rPr>
            </w:pPr>
            <w:r>
              <w:rPr>
                <w:rFonts w:hint="eastAsia"/>
                <w:kern w:val="0"/>
                <w:sz w:val="21"/>
                <w:szCs w:val="21"/>
                <w:highlight w:val="green"/>
                <w:lang w:eastAsia="zh-CN"/>
              </w:rPr>
              <w:t>有机肥堆场</w:t>
            </w: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NH</w:t>
            </w:r>
            <w:r>
              <w:rPr>
                <w:rFonts w:hint="eastAsia"/>
                <w:kern w:val="0"/>
                <w:sz w:val="21"/>
                <w:szCs w:val="21"/>
                <w:vertAlign w:val="subscript"/>
              </w:rPr>
              <w:t>3</w:t>
            </w:r>
          </w:p>
        </w:tc>
        <w:tc>
          <w:tcPr>
            <w:tcW w:w="1399"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本项目从饲料中添加EM菌群，能够从源头上减少氨气和硫化氢的产生，并及时对粪便进行清理，同时在栏舍范围内采用生物除臭技术，利用微生物菌群的分解、固化作用对已产生的臭气进行去除，同时加强四周场地绿化，在加强管理的前提下可有效减少恶臭污染物的排放</w:t>
            </w:r>
          </w:p>
        </w:tc>
        <w:tc>
          <w:tcPr>
            <w:tcW w:w="666" w:type="pct"/>
            <w:vMerge w:val="continue"/>
            <w:vAlign w:val="center"/>
          </w:tcPr>
          <w:p>
            <w:pPr>
              <w:pStyle w:val="232"/>
              <w:rPr>
                <w:sz w:val="21"/>
                <w:szCs w:val="21"/>
              </w:rPr>
            </w:pP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1.5</w:t>
            </w:r>
          </w:p>
        </w:tc>
        <w:tc>
          <w:tcPr>
            <w:tcW w:w="617" w:type="pct"/>
            <w:vAlign w:val="center"/>
          </w:tcPr>
          <w:p>
            <w:pPr>
              <w:autoSpaceDE w:val="0"/>
              <w:autoSpaceDN w:val="0"/>
              <w:spacing w:line="240" w:lineRule="auto"/>
              <w:ind w:firstLine="0" w:firstLineChars="0"/>
              <w:jc w:val="center"/>
              <w:rPr>
                <w:rFonts w:hint="default" w:eastAsia="宋体" w:cs="宋体"/>
                <w:color w:val="FF0000"/>
                <w:kern w:val="0"/>
                <w:sz w:val="21"/>
                <w:szCs w:val="21"/>
                <w:lang w:val="en-US" w:eastAsia="zh-CN"/>
              </w:rPr>
            </w:pPr>
            <w:r>
              <w:rPr>
                <w:rFonts w:hint="eastAsia" w:cs="宋体"/>
                <w:color w:val="FF0000"/>
                <w:kern w:val="0"/>
                <w:sz w:val="21"/>
                <w:szCs w:val="21"/>
                <w:lang w:val="en-US" w:eastAsia="zh-CN"/>
              </w:rPr>
              <w:t>0.122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5</w:t>
            </w:r>
          </w:p>
        </w:tc>
        <w:tc>
          <w:tcPr>
            <w:tcW w:w="472" w:type="pct"/>
            <w:vMerge w:val="continue"/>
            <w:vAlign w:val="center"/>
          </w:tcPr>
          <w:p>
            <w:pPr>
              <w:widowControl/>
              <w:adjustRightInd w:val="0"/>
              <w:snapToGrid w:val="0"/>
              <w:spacing w:line="240" w:lineRule="auto"/>
              <w:ind w:firstLine="0" w:firstLineChars="0"/>
              <w:jc w:val="center"/>
              <w:rPr>
                <w:kern w:val="0"/>
                <w:sz w:val="21"/>
                <w:szCs w:val="21"/>
              </w:rPr>
            </w:pPr>
          </w:p>
        </w:tc>
        <w:tc>
          <w:tcPr>
            <w:tcW w:w="391" w:type="pct"/>
            <w:vMerge w:val="continue"/>
            <w:vAlign w:val="center"/>
          </w:tcPr>
          <w:p>
            <w:pPr>
              <w:widowControl/>
              <w:adjustRightInd w:val="0"/>
              <w:snapToGrid w:val="0"/>
              <w:spacing w:line="240" w:lineRule="auto"/>
              <w:ind w:firstLine="0" w:firstLineChars="0"/>
              <w:jc w:val="center"/>
              <w:rPr>
                <w:kern w:val="0"/>
                <w:sz w:val="21"/>
                <w:szCs w:val="21"/>
              </w:rPr>
            </w:pP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H</w:t>
            </w:r>
            <w:r>
              <w:rPr>
                <w:rFonts w:hint="eastAsia"/>
                <w:kern w:val="0"/>
                <w:sz w:val="21"/>
                <w:szCs w:val="21"/>
                <w:vertAlign w:val="subscript"/>
              </w:rPr>
              <w:t>2</w:t>
            </w:r>
            <w:r>
              <w:rPr>
                <w:rFonts w:hint="eastAsia"/>
                <w:kern w:val="0"/>
                <w:sz w:val="21"/>
                <w:szCs w:val="21"/>
              </w:rPr>
              <w:t>S</w:t>
            </w:r>
          </w:p>
        </w:tc>
        <w:tc>
          <w:tcPr>
            <w:tcW w:w="1399" w:type="pct"/>
            <w:vMerge w:val="continue"/>
            <w:vAlign w:val="center"/>
          </w:tcPr>
          <w:p>
            <w:pPr>
              <w:widowControl/>
              <w:adjustRightInd w:val="0"/>
              <w:snapToGrid w:val="0"/>
              <w:spacing w:line="240" w:lineRule="auto"/>
              <w:ind w:firstLine="0" w:firstLineChars="0"/>
              <w:jc w:val="center"/>
              <w:rPr>
                <w:kern w:val="0"/>
                <w:sz w:val="21"/>
                <w:szCs w:val="21"/>
              </w:rPr>
            </w:pPr>
          </w:p>
        </w:tc>
        <w:tc>
          <w:tcPr>
            <w:tcW w:w="666" w:type="pct"/>
            <w:vMerge w:val="continue"/>
            <w:vAlign w:val="center"/>
          </w:tcPr>
          <w:p>
            <w:pPr>
              <w:pStyle w:val="232"/>
              <w:rPr>
                <w:sz w:val="21"/>
                <w:szCs w:val="21"/>
              </w:rPr>
            </w:pP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0.06</w:t>
            </w:r>
          </w:p>
        </w:tc>
        <w:tc>
          <w:tcPr>
            <w:tcW w:w="617" w:type="pct"/>
            <w:vAlign w:val="center"/>
          </w:tcPr>
          <w:p>
            <w:pPr>
              <w:autoSpaceDE w:val="0"/>
              <w:autoSpaceDN w:val="0"/>
              <w:spacing w:line="240" w:lineRule="auto"/>
              <w:ind w:firstLine="0" w:firstLineChars="0"/>
              <w:jc w:val="center"/>
              <w:rPr>
                <w:rFonts w:hint="default" w:eastAsia="宋体" w:cs="宋体"/>
                <w:color w:val="FF0000"/>
                <w:kern w:val="0"/>
                <w:sz w:val="21"/>
                <w:szCs w:val="21"/>
                <w:lang w:val="en-US" w:eastAsia="zh-CN"/>
              </w:rPr>
            </w:pPr>
            <w:r>
              <w:rPr>
                <w:rFonts w:hint="eastAsia" w:cs="宋体"/>
                <w:color w:val="FF0000"/>
                <w:kern w:val="0"/>
                <w:sz w:val="21"/>
                <w:szCs w:val="21"/>
                <w:lang w:val="en-US" w:eastAsia="zh-CN"/>
              </w:rPr>
              <w:t>0.005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6</w:t>
            </w:r>
          </w:p>
        </w:tc>
        <w:tc>
          <w:tcPr>
            <w:tcW w:w="472"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M4</w:t>
            </w:r>
          </w:p>
        </w:tc>
        <w:tc>
          <w:tcPr>
            <w:tcW w:w="391"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highlight w:val="green"/>
              </w:rPr>
              <w:t>无害化车间</w:t>
            </w: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NH</w:t>
            </w:r>
            <w:r>
              <w:rPr>
                <w:rFonts w:hint="eastAsia"/>
                <w:kern w:val="0"/>
                <w:sz w:val="21"/>
                <w:szCs w:val="21"/>
                <w:vertAlign w:val="subscript"/>
              </w:rPr>
              <w:t>3</w:t>
            </w:r>
          </w:p>
        </w:tc>
        <w:tc>
          <w:tcPr>
            <w:tcW w:w="1399" w:type="pct"/>
            <w:vMerge w:val="restart"/>
            <w:vAlign w:val="center"/>
          </w:tcPr>
          <w:p>
            <w:pPr>
              <w:widowControl/>
              <w:adjustRightInd w:val="0"/>
              <w:snapToGrid w:val="0"/>
              <w:spacing w:line="240" w:lineRule="auto"/>
              <w:ind w:firstLine="0" w:firstLineChars="0"/>
              <w:jc w:val="center"/>
              <w:rPr>
                <w:kern w:val="0"/>
                <w:sz w:val="21"/>
                <w:szCs w:val="21"/>
              </w:rPr>
            </w:pPr>
            <w:r>
              <w:rPr>
                <w:rFonts w:hint="eastAsia"/>
                <w:color w:val="FF0000"/>
                <w:kern w:val="0"/>
                <w:sz w:val="21"/>
                <w:szCs w:val="21"/>
              </w:rPr>
              <w:t>一体式无害化处理设置密闭车间，做顶部集气装置，</w:t>
            </w:r>
            <w:r>
              <w:rPr>
                <w:rFonts w:hint="eastAsia"/>
                <w:color w:val="FF0000"/>
                <w:kern w:val="0"/>
                <w:sz w:val="21"/>
                <w:szCs w:val="21"/>
                <w:lang w:val="en-US" w:eastAsia="zh-CN"/>
              </w:rPr>
              <w:t>通过</w:t>
            </w:r>
            <w:r>
              <w:rPr>
                <w:rFonts w:hint="eastAsia"/>
                <w:color w:val="FF0000"/>
                <w:kern w:val="0"/>
                <w:sz w:val="21"/>
                <w:szCs w:val="21"/>
              </w:rPr>
              <w:t>一套生物除臭塔进行处理后由车间排气筒DA001（15m高）排放，剩余未吸收部分以无组织形式M4排放</w:t>
            </w:r>
          </w:p>
        </w:tc>
        <w:tc>
          <w:tcPr>
            <w:tcW w:w="666" w:type="pct"/>
            <w:vMerge w:val="continue"/>
            <w:vAlign w:val="center"/>
          </w:tcPr>
          <w:p>
            <w:pPr>
              <w:pStyle w:val="232"/>
              <w:rPr>
                <w:sz w:val="21"/>
                <w:szCs w:val="21"/>
              </w:rPr>
            </w:pP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1.5</w:t>
            </w:r>
          </w:p>
        </w:tc>
        <w:tc>
          <w:tcPr>
            <w:tcW w:w="617" w:type="pct"/>
            <w:vAlign w:val="center"/>
          </w:tcPr>
          <w:p>
            <w:pPr>
              <w:autoSpaceDE w:val="0"/>
              <w:autoSpaceDN w:val="0"/>
              <w:spacing w:line="240" w:lineRule="auto"/>
              <w:ind w:firstLine="0" w:firstLineChars="0"/>
              <w:jc w:val="center"/>
              <w:rPr>
                <w:rFonts w:cs="宋体"/>
                <w:color w:val="FF0000"/>
                <w:kern w:val="0"/>
                <w:sz w:val="21"/>
                <w:szCs w:val="21"/>
              </w:rPr>
            </w:pPr>
            <w:r>
              <w:rPr>
                <w:rFonts w:hint="eastAsia" w:cs="宋体"/>
                <w:color w:val="FF0000"/>
                <w:kern w:val="0"/>
                <w:sz w:val="21"/>
                <w:szCs w:val="21"/>
                <w:lang w:val="en-US" w:eastAsia="zh-CN"/>
              </w:rPr>
              <w:t>0.26</w:t>
            </w:r>
            <w:r>
              <w:rPr>
                <w:rFonts w:hint="eastAsia"/>
                <w:color w:val="FF0000"/>
                <w:sz w:val="21"/>
                <w:szCs w:val="21"/>
              </w:rPr>
              <w:t>×10</w:t>
            </w:r>
            <w:r>
              <w:rPr>
                <w:rFonts w:hint="eastAsia"/>
                <w:color w:val="FF0000"/>
                <w:sz w:val="21"/>
                <w:szCs w:val="21"/>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6"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7</w:t>
            </w:r>
          </w:p>
        </w:tc>
        <w:tc>
          <w:tcPr>
            <w:tcW w:w="472" w:type="pct"/>
            <w:vMerge w:val="continue"/>
            <w:vAlign w:val="center"/>
          </w:tcPr>
          <w:p>
            <w:pPr>
              <w:widowControl/>
              <w:adjustRightInd w:val="0"/>
              <w:snapToGrid w:val="0"/>
              <w:spacing w:line="240" w:lineRule="auto"/>
              <w:ind w:firstLine="0" w:firstLineChars="0"/>
              <w:jc w:val="center"/>
              <w:rPr>
                <w:kern w:val="0"/>
                <w:sz w:val="21"/>
                <w:szCs w:val="21"/>
              </w:rPr>
            </w:pPr>
          </w:p>
        </w:tc>
        <w:tc>
          <w:tcPr>
            <w:tcW w:w="391" w:type="pct"/>
            <w:vMerge w:val="continue"/>
            <w:vAlign w:val="center"/>
          </w:tcPr>
          <w:p>
            <w:pPr>
              <w:widowControl/>
              <w:adjustRightInd w:val="0"/>
              <w:snapToGrid w:val="0"/>
              <w:spacing w:line="240" w:lineRule="auto"/>
              <w:ind w:firstLine="0" w:firstLineChars="0"/>
              <w:jc w:val="center"/>
              <w:rPr>
                <w:kern w:val="0"/>
                <w:sz w:val="21"/>
                <w:szCs w:val="21"/>
              </w:rPr>
            </w:pPr>
          </w:p>
        </w:tc>
        <w:tc>
          <w:tcPr>
            <w:tcW w:w="474"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H</w:t>
            </w:r>
            <w:r>
              <w:rPr>
                <w:rFonts w:hint="eastAsia"/>
                <w:kern w:val="0"/>
                <w:sz w:val="21"/>
                <w:szCs w:val="21"/>
                <w:vertAlign w:val="subscript"/>
              </w:rPr>
              <w:t>2</w:t>
            </w:r>
            <w:r>
              <w:rPr>
                <w:rFonts w:hint="eastAsia"/>
                <w:kern w:val="0"/>
                <w:sz w:val="21"/>
                <w:szCs w:val="21"/>
              </w:rPr>
              <w:t>S</w:t>
            </w:r>
          </w:p>
        </w:tc>
        <w:tc>
          <w:tcPr>
            <w:tcW w:w="1399" w:type="pct"/>
            <w:vMerge w:val="continue"/>
            <w:vAlign w:val="center"/>
          </w:tcPr>
          <w:p>
            <w:pPr>
              <w:widowControl/>
              <w:adjustRightInd w:val="0"/>
              <w:snapToGrid w:val="0"/>
              <w:spacing w:line="240" w:lineRule="auto"/>
              <w:ind w:firstLine="0" w:firstLineChars="0"/>
              <w:jc w:val="center"/>
              <w:rPr>
                <w:kern w:val="0"/>
                <w:sz w:val="21"/>
                <w:szCs w:val="21"/>
              </w:rPr>
            </w:pPr>
          </w:p>
        </w:tc>
        <w:tc>
          <w:tcPr>
            <w:tcW w:w="666" w:type="pct"/>
            <w:vMerge w:val="continue"/>
            <w:vAlign w:val="center"/>
          </w:tcPr>
          <w:p>
            <w:pPr>
              <w:pStyle w:val="232"/>
              <w:rPr>
                <w:sz w:val="21"/>
                <w:szCs w:val="21"/>
              </w:rPr>
            </w:pPr>
          </w:p>
        </w:tc>
        <w:tc>
          <w:tcPr>
            <w:tcW w:w="741" w:type="pct"/>
            <w:vAlign w:val="center"/>
          </w:tcPr>
          <w:p>
            <w:pPr>
              <w:widowControl/>
              <w:adjustRightInd w:val="0"/>
              <w:snapToGrid w:val="0"/>
              <w:spacing w:line="240" w:lineRule="auto"/>
              <w:ind w:firstLine="0" w:firstLineChars="0"/>
              <w:jc w:val="center"/>
              <w:rPr>
                <w:kern w:val="0"/>
                <w:sz w:val="21"/>
                <w:szCs w:val="21"/>
              </w:rPr>
            </w:pPr>
            <w:r>
              <w:rPr>
                <w:rFonts w:hint="eastAsia"/>
                <w:kern w:val="0"/>
                <w:sz w:val="21"/>
                <w:szCs w:val="21"/>
              </w:rPr>
              <w:t>0.06</w:t>
            </w:r>
          </w:p>
        </w:tc>
        <w:tc>
          <w:tcPr>
            <w:tcW w:w="617" w:type="pct"/>
            <w:vAlign w:val="center"/>
          </w:tcPr>
          <w:p>
            <w:pPr>
              <w:autoSpaceDE w:val="0"/>
              <w:autoSpaceDN w:val="0"/>
              <w:spacing w:line="240" w:lineRule="auto"/>
              <w:ind w:firstLine="0" w:firstLineChars="0"/>
              <w:jc w:val="center"/>
              <w:rPr>
                <w:rFonts w:cs="宋体"/>
                <w:color w:val="FF0000"/>
                <w:kern w:val="0"/>
                <w:sz w:val="21"/>
                <w:szCs w:val="21"/>
              </w:rPr>
            </w:pPr>
            <w:r>
              <w:rPr>
                <w:rFonts w:hint="eastAsia" w:cs="宋体"/>
                <w:color w:val="FF0000"/>
                <w:kern w:val="0"/>
                <w:sz w:val="21"/>
                <w:szCs w:val="21"/>
                <w:lang w:val="en-US" w:eastAsia="zh-CN"/>
              </w:rPr>
              <w:t>0.09</w:t>
            </w:r>
            <w:r>
              <w:rPr>
                <w:rFonts w:hint="eastAsia"/>
                <w:color w:val="FF0000"/>
                <w:sz w:val="21"/>
                <w:szCs w:val="21"/>
              </w:rPr>
              <w:t>×10</w:t>
            </w:r>
            <w:r>
              <w:rPr>
                <w:rFonts w:hint="eastAsia"/>
                <w:color w:val="FF0000"/>
                <w:sz w:val="21"/>
                <w:szCs w:val="21"/>
                <w:vertAlign w:val="superscript"/>
              </w:rPr>
              <w:t>-3</w:t>
            </w:r>
          </w:p>
        </w:tc>
      </w:tr>
    </w:tbl>
    <w:p>
      <w:pPr>
        <w:numPr>
          <w:ilvl w:val="0"/>
          <w:numId w:val="12"/>
        </w:numPr>
        <w:ind w:firstLine="480"/>
      </w:pPr>
      <w:r>
        <w:rPr>
          <w:rFonts w:hint="eastAsia"/>
        </w:rPr>
        <w:t>项目大气污染物年排放量核算</w:t>
      </w:r>
    </w:p>
    <w:p>
      <w:pPr>
        <w:ind w:firstLine="480"/>
      </w:pPr>
      <w:r>
        <w:rPr>
          <w:rFonts w:hint="eastAsia"/>
        </w:rPr>
        <w:t>本项目大气污染物年排放量包括项目各有组织排放源和无组织排放源在正常排放条件下的预测排放量之和。</w:t>
      </w:r>
    </w:p>
    <w:p>
      <w:pPr>
        <w:ind w:firstLine="480"/>
      </w:pPr>
      <w:r>
        <w:rPr>
          <w:rFonts w:hint="eastAsia"/>
        </w:rPr>
        <w:t>污染物年排放量计算公式见下。</w:t>
      </w:r>
    </w:p>
    <w:p>
      <w:pPr>
        <w:ind w:firstLine="480"/>
      </w:pPr>
      <m:oMathPara>
        <m:oMath>
          <m:sSub>
            <m:sSubPr>
              <m:ctrlPr>
                <w:rPr>
                  <w:rFonts w:ascii="Cambria Math" w:hAnsi="Cambria Math"/>
                </w:rPr>
              </m:ctrlPr>
            </m:sSubPr>
            <m:e>
              <m:r>
                <m:rPr/>
                <w:rPr>
                  <w:rFonts w:ascii="Cambria Math" w:hAnsi="Cambria Math"/>
                </w:rPr>
                <m:t>E</m:t>
              </m:r>
              <m:ctrlPr>
                <w:rPr>
                  <w:rFonts w:ascii="Cambria Math" w:hAnsi="Cambria Math"/>
                </w:rPr>
              </m:ctrlPr>
            </m:e>
            <m:sub>
              <m:r>
                <m:rPr>
                  <m:sty m:val="p"/>
                </m:rPr>
                <w:rPr>
                  <w:rFonts w:ascii="Cambria Math" w:hAnsi="Cambria Math"/>
                </w:rPr>
                <m:t>年排放</m:t>
              </m:r>
              <m:ctrlPr>
                <w:rPr>
                  <w:rFonts w:ascii="Cambria Math" w:hAnsi="Cambria Math"/>
                </w:rPr>
              </m:ctrlPr>
            </m:sub>
          </m:sSub>
          <m:r>
            <m:rPr/>
            <w:rPr>
              <w:rFonts w:ascii="Cambria Math" w:hAnsi="Cambria Math"/>
            </w:rPr>
            <m:t>=</m:t>
          </m:r>
          <m:nary>
            <m:naryPr>
              <m:chr m:val="∑"/>
              <m:limLoc m:val="subSup"/>
              <m:ctrlPr>
                <w:rPr>
                  <w:rFonts w:ascii="Cambria Math" w:hAnsi="Cambria Math"/>
                </w:rPr>
              </m:ctrlPr>
            </m:naryPr>
            <m:sub>
              <m:r>
                <m:rPr/>
                <w:rPr>
                  <w:rFonts w:ascii="Cambria Math" w:hAnsi="Cambria Math"/>
                </w:rPr>
                <m:t>i=</m:t>
              </m:r>
              <m:r>
                <m:rPr>
                  <m:sty m:val="p"/>
                </m:rPr>
                <w:rPr>
                  <w:rFonts w:ascii="Cambria Math" w:hAnsi="Cambria Math"/>
                </w:rPr>
                <m:t>1</m:t>
              </m:r>
              <m:ctrlPr>
                <w:rPr>
                  <w:rFonts w:ascii="Cambria Math" w:hAnsi="Cambria Math"/>
                </w:rPr>
              </m:ctrlPr>
            </m:sub>
            <m:sup>
              <m:r>
                <m:rPr/>
                <w:rPr>
                  <w:rFonts w:ascii="Cambria Math" w:hAnsi="Cambria Math"/>
                </w:rPr>
                <m:t>n</m:t>
              </m:r>
              <m:ctrlPr>
                <w:rPr>
                  <w:rFonts w:ascii="Cambria Math" w:hAnsi="Cambria Math"/>
                </w:rPr>
              </m:ctrlPr>
            </m:sup>
            <m:e>
              <m:f>
                <m:fPr>
                  <m:ctrlPr>
                    <w:rPr>
                      <w:rFonts w:ascii="Cambria Math" w:hAnsi="Cambria Math"/>
                    </w:rPr>
                  </m:ctrlPr>
                </m:fPr>
                <m:num>
                  <m:sSub>
                    <m:sSubPr>
                      <m:ctrlPr>
                        <w:rPr>
                          <w:rFonts w:ascii="Cambria Math" w:hAnsi="Cambria Math"/>
                        </w:rPr>
                      </m:ctrlPr>
                    </m:sSubPr>
                    <m:e>
                      <m:r>
                        <m:rPr/>
                        <w:rPr>
                          <w:rFonts w:ascii="Cambria Math" w:hAnsi="Cambria Math"/>
                        </w:rPr>
                        <m:t>M</m:t>
                      </m:r>
                      <m:ctrlPr>
                        <w:rPr>
                          <w:rFonts w:ascii="Cambria Math" w:hAnsi="Cambria Math"/>
                        </w:rPr>
                      </m:ctrlPr>
                    </m:e>
                    <m:sub>
                      <m:r>
                        <m:rPr>
                          <m:sty m:val="p"/>
                        </m:rPr>
                        <w:rPr>
                          <w:rFonts w:ascii="Cambria Math" w:hAnsi="Cambria Math"/>
                        </w:rPr>
                        <m:t>i有组织</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H</m:t>
                      </m:r>
                      <m:ctrlPr>
                        <w:rPr>
                          <w:rFonts w:ascii="Cambria Math" w:hAnsi="Cambria Math"/>
                        </w:rPr>
                      </m:ctrlPr>
                    </m:e>
                    <m:sub>
                      <m:r>
                        <m:rPr/>
                        <w:rPr>
                          <w:rFonts w:ascii="Cambria Math" w:hAnsi="Cambria Math"/>
                        </w:rPr>
                        <m:t>i</m:t>
                      </m:r>
                      <m:r>
                        <m:rPr>
                          <m:sty m:val="p"/>
                        </m:rPr>
                        <w:rPr>
                          <w:rFonts w:ascii="Cambria Math" w:hAnsi="Cambria Math"/>
                        </w:rPr>
                        <m:t>有组织</m:t>
                      </m:r>
                      <m:ctrlPr>
                        <w:rPr>
                          <w:rFonts w:ascii="Cambria Math" w:hAnsi="Cambria Math"/>
                        </w:rPr>
                      </m:ctrlPr>
                    </m:sub>
                  </m:sSub>
                  <m:ctrlPr>
                    <w:rPr>
                      <w:rFonts w:ascii="Cambria Math" w:hAnsi="Cambria Math"/>
                    </w:rPr>
                  </m:ctrlPr>
                </m:num>
                <m:den>
                  <m:r>
                    <m:rPr>
                      <m:sty m:val="p"/>
                    </m:rPr>
                    <w:rPr>
                      <w:rFonts w:ascii="Cambria Math" w:hAnsi="Cambria Math"/>
                    </w:rPr>
                    <m:t>1000</m:t>
                  </m:r>
                  <m:ctrlPr>
                    <w:rPr>
                      <w:rFonts w:ascii="Cambria Math" w:hAnsi="Cambria Math"/>
                    </w:rPr>
                  </m:ctrlPr>
                </m:den>
              </m:f>
              <m:r>
                <m:rPr>
                  <m:sty m:val="p"/>
                </m:rPr>
                <w:rPr>
                  <w:rFonts w:ascii="Cambria Math" w:hAnsi="Cambria Math"/>
                </w:rPr>
                <m:t>+</m:t>
              </m:r>
              <m:nary>
                <m:naryPr>
                  <m:chr m:val="∑"/>
                  <m:limLoc m:val="subSup"/>
                  <m:ctrlPr>
                    <w:rPr>
                      <w:rFonts w:ascii="Cambria Math" w:hAnsi="Cambria Math"/>
                    </w:rPr>
                  </m:ctrlPr>
                </m:naryPr>
                <m:sub>
                  <m:r>
                    <m:rPr/>
                    <w:rPr>
                      <w:rFonts w:ascii="Cambria Math" w:hAnsi="Cambria Math"/>
                    </w:rPr>
                    <m:t>j=</m:t>
                  </m:r>
                  <m:r>
                    <m:rPr>
                      <m:sty m:val="p"/>
                    </m:rPr>
                    <w:rPr>
                      <w:rFonts w:ascii="Cambria Math" w:hAnsi="Cambria Math"/>
                    </w:rPr>
                    <m:t>1</m:t>
                  </m:r>
                  <m:ctrlPr>
                    <w:rPr>
                      <w:rFonts w:ascii="Cambria Math" w:hAnsi="Cambria Math"/>
                    </w:rPr>
                  </m:ctrlPr>
                </m:sub>
                <m:sup>
                  <m:r>
                    <m:rPr/>
                    <w:rPr>
                      <w:rFonts w:ascii="Cambria Math" w:hAnsi="Cambria Math"/>
                    </w:rPr>
                    <m:t>n</m:t>
                  </m:r>
                  <m:ctrlPr>
                    <w:rPr>
                      <w:rFonts w:ascii="Cambria Math" w:hAnsi="Cambria Math"/>
                    </w:rPr>
                  </m:ctrlPr>
                </m:sup>
                <m:e>
                  <m:f>
                    <m:fPr>
                      <m:ctrlPr>
                        <w:rPr>
                          <w:rFonts w:ascii="Cambria Math" w:hAnsi="Cambria Math"/>
                        </w:rPr>
                      </m:ctrlPr>
                    </m:fPr>
                    <m:num>
                      <m:sSub>
                        <m:sSubPr>
                          <m:ctrlPr>
                            <w:rPr>
                              <w:rFonts w:ascii="Cambria Math" w:hAnsi="Cambria Math"/>
                            </w:rPr>
                          </m:ctrlPr>
                        </m:sSubPr>
                        <m:e>
                          <m:r>
                            <m:rPr/>
                            <w:rPr>
                              <w:rFonts w:ascii="Cambria Math" w:hAnsi="Cambria Math"/>
                            </w:rPr>
                            <m:t>M</m:t>
                          </m:r>
                          <m:ctrlPr>
                            <w:rPr>
                              <w:rFonts w:ascii="Cambria Math" w:hAnsi="Cambria Math"/>
                            </w:rPr>
                          </m:ctrlPr>
                        </m:e>
                        <m:sub>
                          <m:r>
                            <m:rPr>
                              <m:sty m:val="p"/>
                            </m:rPr>
                            <w:rPr>
                              <w:rFonts w:ascii="Cambria Math" w:hAnsi="Cambria Math"/>
                            </w:rPr>
                            <m:t>j无组织</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H</m:t>
                          </m:r>
                          <m:ctrlPr>
                            <w:rPr>
                              <w:rFonts w:ascii="Cambria Math" w:hAnsi="Cambria Math"/>
                            </w:rPr>
                          </m:ctrlPr>
                        </m:e>
                        <m:sub>
                          <m:r>
                            <m:rPr/>
                            <w:rPr>
                              <w:rFonts w:ascii="Cambria Math" w:hAnsi="Cambria Math"/>
                            </w:rPr>
                            <m:t>j</m:t>
                          </m:r>
                          <m:r>
                            <m:rPr>
                              <m:sty m:val="p"/>
                            </m:rPr>
                            <w:rPr>
                              <w:rFonts w:ascii="Cambria Math" w:hAnsi="Cambria Math"/>
                            </w:rPr>
                            <m:t>无组织</m:t>
                          </m:r>
                          <m:ctrlPr>
                            <w:rPr>
                              <w:rFonts w:ascii="Cambria Math" w:hAnsi="Cambria Math"/>
                            </w:rPr>
                          </m:ctrlPr>
                        </m:sub>
                      </m:sSub>
                      <m:ctrlPr>
                        <w:rPr>
                          <w:rFonts w:ascii="Cambria Math" w:hAnsi="Cambria Math"/>
                        </w:rPr>
                      </m:ctrlPr>
                    </m:num>
                    <m:den>
                      <m:r>
                        <m:rPr>
                          <m:sty m:val="p"/>
                        </m:rPr>
                        <w:rPr>
                          <w:rFonts w:ascii="Cambria Math" w:hAnsi="Cambria Math"/>
                        </w:rPr>
                        <m:t>1000</m:t>
                      </m:r>
                      <m:ctrlPr>
                        <w:rPr>
                          <w:rFonts w:ascii="Cambria Math" w:hAnsi="Cambria Math"/>
                        </w:rPr>
                      </m:ctrlPr>
                    </m:den>
                  </m:f>
                  <m:ctrlPr>
                    <w:rPr>
                      <w:rFonts w:ascii="Cambria Math" w:hAnsi="Cambria Math"/>
                    </w:rPr>
                  </m:ctrlPr>
                </m:e>
              </m:nary>
              <m:ctrlPr>
                <w:rPr>
                  <w:rFonts w:ascii="Cambria Math" w:hAnsi="Cambria Math"/>
                </w:rPr>
              </m:ctrlPr>
            </m:e>
          </m:nary>
        </m:oMath>
      </m:oMathPara>
    </w:p>
    <w:p>
      <w:pPr>
        <w:widowControl/>
        <w:adjustRightInd w:val="0"/>
        <w:snapToGrid w:val="0"/>
        <w:ind w:firstLine="480"/>
        <w:rPr>
          <w:kern w:val="0"/>
          <w:szCs w:val="28"/>
        </w:rPr>
      </w:pPr>
      <w:r>
        <w:rPr>
          <w:rFonts w:hint="eastAsia"/>
          <w:kern w:val="0"/>
          <w:szCs w:val="28"/>
        </w:rPr>
        <w:t>式中：E</w:t>
      </w:r>
      <w:r>
        <w:rPr>
          <w:rFonts w:hint="eastAsia"/>
          <w:kern w:val="0"/>
          <w:szCs w:val="28"/>
          <w:vertAlign w:val="subscript"/>
        </w:rPr>
        <w:t>年排放</w:t>
      </w:r>
      <w:r>
        <w:rPr>
          <w:rFonts w:hint="eastAsia"/>
          <w:kern w:val="0"/>
          <w:szCs w:val="28"/>
        </w:rPr>
        <w:t>——项目年排放量，t/a；</w:t>
      </w:r>
    </w:p>
    <w:p>
      <w:pPr>
        <w:widowControl/>
        <w:adjustRightInd w:val="0"/>
        <w:snapToGrid w:val="0"/>
        <w:ind w:firstLine="480"/>
        <w:rPr>
          <w:kern w:val="0"/>
          <w:szCs w:val="28"/>
        </w:rPr>
      </w:pPr>
      <w:r>
        <w:rPr>
          <w:rFonts w:hint="eastAsia"/>
          <w:kern w:val="0"/>
          <w:szCs w:val="28"/>
        </w:rPr>
        <w:t xml:space="preserve">      M</w:t>
      </w:r>
      <w:r>
        <w:rPr>
          <w:rFonts w:hint="eastAsia"/>
          <w:kern w:val="0"/>
          <w:szCs w:val="28"/>
          <w:vertAlign w:val="subscript"/>
        </w:rPr>
        <w:t>i有组织</w:t>
      </w:r>
      <w:r>
        <w:rPr>
          <w:rFonts w:hint="eastAsia"/>
          <w:kern w:val="0"/>
          <w:szCs w:val="28"/>
        </w:rPr>
        <w:t>——第i个有组织排放源的排放速率，kg/h；</w:t>
      </w:r>
    </w:p>
    <w:p>
      <w:pPr>
        <w:widowControl/>
        <w:adjustRightInd w:val="0"/>
        <w:snapToGrid w:val="0"/>
        <w:ind w:firstLine="480"/>
        <w:rPr>
          <w:kern w:val="0"/>
          <w:szCs w:val="28"/>
        </w:rPr>
      </w:pPr>
      <w:r>
        <w:rPr>
          <w:rFonts w:hint="eastAsia"/>
          <w:kern w:val="0"/>
          <w:szCs w:val="28"/>
        </w:rPr>
        <w:t xml:space="preserve">      H</w:t>
      </w:r>
      <w:r>
        <w:rPr>
          <w:rFonts w:hint="eastAsia"/>
          <w:kern w:val="0"/>
          <w:szCs w:val="28"/>
          <w:vertAlign w:val="subscript"/>
        </w:rPr>
        <w:t>i有组织</w:t>
      </w:r>
      <w:r>
        <w:rPr>
          <w:rFonts w:hint="eastAsia"/>
          <w:kern w:val="0"/>
          <w:szCs w:val="28"/>
        </w:rPr>
        <w:t>——第i个有组织排放源年有效排放小时数，h/a；</w:t>
      </w:r>
    </w:p>
    <w:p>
      <w:pPr>
        <w:widowControl/>
        <w:adjustRightInd w:val="0"/>
        <w:snapToGrid w:val="0"/>
        <w:ind w:firstLine="480"/>
        <w:rPr>
          <w:kern w:val="0"/>
          <w:szCs w:val="28"/>
        </w:rPr>
      </w:pPr>
      <w:r>
        <w:rPr>
          <w:rFonts w:hint="eastAsia"/>
          <w:kern w:val="0"/>
          <w:szCs w:val="28"/>
        </w:rPr>
        <w:t xml:space="preserve">      M</w:t>
      </w:r>
      <w:r>
        <w:rPr>
          <w:rFonts w:hint="eastAsia"/>
          <w:kern w:val="0"/>
          <w:szCs w:val="28"/>
          <w:vertAlign w:val="subscript"/>
        </w:rPr>
        <w:t>j无组织</w:t>
      </w:r>
      <w:r>
        <w:rPr>
          <w:rFonts w:hint="eastAsia"/>
          <w:kern w:val="0"/>
          <w:szCs w:val="28"/>
        </w:rPr>
        <w:t>——第i个无组织排放源的排放速率，kg/h；</w:t>
      </w:r>
    </w:p>
    <w:p>
      <w:pPr>
        <w:widowControl/>
        <w:adjustRightInd w:val="0"/>
        <w:snapToGrid w:val="0"/>
        <w:ind w:firstLine="480"/>
        <w:rPr>
          <w:kern w:val="0"/>
          <w:szCs w:val="28"/>
        </w:rPr>
      </w:pPr>
      <w:r>
        <w:rPr>
          <w:rFonts w:hint="eastAsia"/>
          <w:kern w:val="0"/>
          <w:szCs w:val="28"/>
        </w:rPr>
        <w:t xml:space="preserve">      H</w:t>
      </w:r>
      <w:r>
        <w:rPr>
          <w:rFonts w:hint="eastAsia"/>
          <w:kern w:val="0"/>
          <w:szCs w:val="28"/>
          <w:vertAlign w:val="subscript"/>
        </w:rPr>
        <w:t>i无组织</w:t>
      </w:r>
      <w:r>
        <w:rPr>
          <w:rFonts w:hint="eastAsia"/>
          <w:kern w:val="0"/>
          <w:szCs w:val="28"/>
        </w:rPr>
        <w:t>——第i个无组织排放源年有效排放小时数，h/a；</w:t>
      </w:r>
    </w:p>
    <w:p>
      <w:pPr>
        <w:ind w:firstLine="480"/>
      </w:pPr>
      <w:r>
        <w:rPr>
          <w:rFonts w:hint="eastAsia"/>
        </w:rPr>
        <w:t>项目大气污染物年排放量核算见表5.2.1-6。</w:t>
      </w:r>
    </w:p>
    <w:p>
      <w:pPr>
        <w:pStyle w:val="6"/>
      </w:pPr>
      <w:r>
        <w:rPr>
          <w:rFonts w:hint="eastAsia"/>
        </w:rPr>
        <w:t>表5.2.1-6  大气污染物年排放量核算表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6"/>
        <w:gridCol w:w="3140"/>
        <w:gridCol w:w="4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764" w:type="pct"/>
            <w:shd w:val="clear" w:color="auto" w:fill="auto"/>
            <w:vAlign w:val="center"/>
          </w:tcPr>
          <w:p>
            <w:pPr>
              <w:widowControl/>
              <w:spacing w:line="240" w:lineRule="auto"/>
              <w:ind w:firstLine="0" w:firstLineChars="0"/>
              <w:jc w:val="center"/>
              <w:rPr>
                <w:kern w:val="0"/>
                <w:sz w:val="21"/>
                <w:szCs w:val="21"/>
              </w:rPr>
            </w:pPr>
            <w:r>
              <w:rPr>
                <w:rFonts w:hint="eastAsia" w:ascii="宋体" w:hAnsi="宋体"/>
                <w:kern w:val="0"/>
                <w:sz w:val="21"/>
                <w:szCs w:val="21"/>
              </w:rPr>
              <w:t>序号</w:t>
            </w:r>
          </w:p>
        </w:tc>
        <w:tc>
          <w:tcPr>
            <w:tcW w:w="1743" w:type="pct"/>
            <w:shd w:val="clear" w:color="auto" w:fill="auto"/>
            <w:vAlign w:val="center"/>
          </w:tcPr>
          <w:p>
            <w:pPr>
              <w:widowControl/>
              <w:spacing w:line="240" w:lineRule="auto"/>
              <w:ind w:firstLine="0" w:firstLineChars="0"/>
              <w:jc w:val="center"/>
              <w:rPr>
                <w:kern w:val="0"/>
                <w:sz w:val="21"/>
                <w:szCs w:val="21"/>
              </w:rPr>
            </w:pPr>
            <w:r>
              <w:rPr>
                <w:rFonts w:hint="eastAsia" w:ascii="宋体" w:hAnsi="宋体"/>
                <w:kern w:val="0"/>
                <w:sz w:val="21"/>
                <w:szCs w:val="21"/>
              </w:rPr>
              <w:t>污染物</w:t>
            </w:r>
          </w:p>
        </w:tc>
        <w:tc>
          <w:tcPr>
            <w:tcW w:w="2491" w:type="pct"/>
            <w:shd w:val="clear" w:color="auto" w:fill="auto"/>
            <w:vAlign w:val="center"/>
          </w:tcPr>
          <w:p>
            <w:pPr>
              <w:widowControl/>
              <w:spacing w:line="240" w:lineRule="auto"/>
              <w:ind w:firstLine="0" w:firstLineChars="0"/>
              <w:jc w:val="center"/>
              <w:rPr>
                <w:kern w:val="0"/>
                <w:sz w:val="21"/>
                <w:szCs w:val="21"/>
              </w:rPr>
            </w:pPr>
            <w:r>
              <w:rPr>
                <w:rFonts w:hint="eastAsia" w:ascii="宋体" w:hAnsi="宋体"/>
                <w:kern w:val="0"/>
                <w:sz w:val="21"/>
                <w:szCs w:val="21"/>
              </w:rPr>
              <w:t>年排放量</w:t>
            </w:r>
            <w:r>
              <w:rPr>
                <w:kern w:val="0"/>
                <w:sz w:val="21"/>
                <w:szCs w:val="21"/>
              </w:rPr>
              <w:t>/</w:t>
            </w:r>
            <w:r>
              <w:rPr>
                <w:rFonts w:hint="eastAsia" w:ascii="宋体" w:hAnsi="宋体"/>
                <w:kern w:val="0"/>
                <w:sz w:val="21"/>
                <w:szCs w:val="21"/>
              </w:rPr>
              <w:t>（</w:t>
            </w:r>
            <w:r>
              <w:rPr>
                <w:kern w:val="0"/>
                <w:sz w:val="21"/>
                <w:szCs w:val="21"/>
              </w:rPr>
              <w:t>t/a</w:t>
            </w:r>
            <w:r>
              <w:rPr>
                <w:rFonts w:hint="eastAsia" w:ascii="宋体" w:hAnsi="宋体"/>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64" w:type="pct"/>
            <w:shd w:val="clear" w:color="auto" w:fill="auto"/>
            <w:vAlign w:val="center"/>
          </w:tcPr>
          <w:p>
            <w:pPr>
              <w:widowControl/>
              <w:spacing w:line="240" w:lineRule="auto"/>
              <w:ind w:firstLine="0" w:firstLineChars="0"/>
              <w:jc w:val="center"/>
              <w:rPr>
                <w:kern w:val="0"/>
                <w:sz w:val="21"/>
                <w:szCs w:val="21"/>
              </w:rPr>
            </w:pPr>
            <w:r>
              <w:rPr>
                <w:kern w:val="0"/>
                <w:sz w:val="21"/>
                <w:szCs w:val="21"/>
              </w:rPr>
              <w:t>1</w:t>
            </w:r>
          </w:p>
        </w:tc>
        <w:tc>
          <w:tcPr>
            <w:tcW w:w="1743" w:type="pct"/>
            <w:shd w:val="clear" w:color="auto" w:fill="auto"/>
            <w:vAlign w:val="center"/>
          </w:tcPr>
          <w:p>
            <w:pPr>
              <w:widowControl/>
              <w:spacing w:line="240" w:lineRule="auto"/>
              <w:ind w:firstLine="0" w:firstLineChars="0"/>
              <w:jc w:val="center"/>
              <w:rPr>
                <w:rFonts w:ascii="Times New Roman" w:hAnsi="Times New Roman" w:eastAsia="宋体" w:cs="宋体"/>
                <w:kern w:val="0"/>
                <w:sz w:val="21"/>
                <w:szCs w:val="21"/>
                <w:lang w:val="en-US" w:eastAsia="zh-CN" w:bidi="ar-SA"/>
              </w:rPr>
            </w:pPr>
            <w:r>
              <w:rPr>
                <w:rFonts w:hint="eastAsia" w:cs="宋体"/>
                <w:kern w:val="0"/>
                <w:sz w:val="21"/>
                <w:szCs w:val="21"/>
              </w:rPr>
              <w:t>NH</w:t>
            </w:r>
            <w:r>
              <w:rPr>
                <w:rFonts w:hint="eastAsia" w:cs="宋体"/>
                <w:kern w:val="0"/>
                <w:sz w:val="21"/>
                <w:szCs w:val="21"/>
                <w:vertAlign w:val="subscript"/>
              </w:rPr>
              <w:t>3</w:t>
            </w:r>
          </w:p>
        </w:tc>
        <w:tc>
          <w:tcPr>
            <w:tcW w:w="2491"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kern w:val="0"/>
                <w:sz w:val="22"/>
                <w:szCs w:val="22"/>
                <w:lang w:val="en-US" w:eastAsia="zh-CN" w:bidi="ar-SA"/>
              </w:rPr>
            </w:pPr>
            <w:r>
              <w:rPr>
                <w:rFonts w:hint="eastAsia"/>
                <w:color w:val="FF0000"/>
                <w:sz w:val="21"/>
                <w:szCs w:val="21"/>
                <w:lang w:val="en-US" w:eastAsia="zh-CN"/>
              </w:rPr>
              <w:t>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4" w:type="pct"/>
            <w:shd w:val="clear" w:color="auto" w:fill="auto"/>
            <w:vAlign w:val="center"/>
          </w:tcPr>
          <w:p>
            <w:pPr>
              <w:widowControl/>
              <w:spacing w:line="240" w:lineRule="auto"/>
              <w:ind w:firstLine="0" w:firstLineChars="0"/>
              <w:jc w:val="center"/>
              <w:rPr>
                <w:kern w:val="0"/>
                <w:sz w:val="21"/>
                <w:szCs w:val="21"/>
              </w:rPr>
            </w:pPr>
            <w:r>
              <w:rPr>
                <w:rFonts w:hint="eastAsia"/>
                <w:kern w:val="0"/>
                <w:sz w:val="21"/>
                <w:szCs w:val="21"/>
              </w:rPr>
              <w:t>2</w:t>
            </w:r>
          </w:p>
        </w:tc>
        <w:tc>
          <w:tcPr>
            <w:tcW w:w="1743" w:type="pct"/>
            <w:shd w:val="clear" w:color="auto" w:fill="auto"/>
            <w:vAlign w:val="center"/>
          </w:tcPr>
          <w:p>
            <w:pPr>
              <w:widowControl/>
              <w:spacing w:line="240" w:lineRule="auto"/>
              <w:ind w:firstLine="0" w:firstLineChars="0"/>
              <w:jc w:val="center"/>
              <w:rPr>
                <w:rFonts w:ascii="Times New Roman" w:hAnsi="Times New Roman" w:eastAsia="宋体" w:cs="宋体"/>
                <w:kern w:val="0"/>
                <w:sz w:val="21"/>
                <w:szCs w:val="21"/>
                <w:lang w:val="en-US" w:eastAsia="zh-CN" w:bidi="ar-SA"/>
              </w:rPr>
            </w:pPr>
            <w:r>
              <w:rPr>
                <w:rFonts w:hint="eastAsia" w:cs="宋体"/>
                <w:kern w:val="0"/>
                <w:sz w:val="21"/>
                <w:szCs w:val="21"/>
              </w:rPr>
              <w:t>H</w:t>
            </w:r>
            <w:r>
              <w:rPr>
                <w:rFonts w:hint="eastAsia" w:cs="宋体"/>
                <w:kern w:val="0"/>
                <w:sz w:val="21"/>
                <w:szCs w:val="21"/>
                <w:vertAlign w:val="subscript"/>
              </w:rPr>
              <w:t>2</w:t>
            </w:r>
            <w:r>
              <w:rPr>
                <w:rFonts w:hint="eastAsia" w:cs="宋体"/>
                <w:kern w:val="0"/>
                <w:sz w:val="21"/>
                <w:szCs w:val="21"/>
              </w:rPr>
              <w:t>S</w:t>
            </w:r>
          </w:p>
        </w:tc>
        <w:tc>
          <w:tcPr>
            <w:tcW w:w="2491" w:type="pct"/>
            <w:shd w:val="clear" w:color="auto" w:fill="auto"/>
            <w:vAlign w:val="center"/>
          </w:tcPr>
          <w:p>
            <w:pPr>
              <w:widowControl/>
              <w:spacing w:line="240" w:lineRule="auto"/>
              <w:ind w:firstLine="0" w:firstLineChars="0"/>
              <w:jc w:val="center"/>
              <w:rPr>
                <w:rFonts w:hint="default" w:ascii="Times New Roman" w:hAnsi="Times New Roman" w:eastAsia="宋体" w:cs="Times New Roman"/>
                <w:kern w:val="0"/>
                <w:sz w:val="22"/>
                <w:szCs w:val="22"/>
                <w:lang w:val="en-US" w:eastAsia="zh-CN" w:bidi="ar-SA"/>
              </w:rPr>
            </w:pPr>
            <w:r>
              <w:rPr>
                <w:rFonts w:hint="eastAsia"/>
                <w:color w:val="FF0000"/>
                <w:sz w:val="21"/>
                <w:szCs w:val="21"/>
                <w:lang w:val="en-US" w:eastAsia="zh-CN"/>
              </w:rPr>
              <w:t>00.0056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4" w:type="pct"/>
            <w:shd w:val="clear" w:color="auto" w:fill="auto"/>
            <w:vAlign w:val="center"/>
          </w:tcPr>
          <w:p>
            <w:pPr>
              <w:widowControl/>
              <w:spacing w:line="240" w:lineRule="auto"/>
              <w:ind w:firstLine="0" w:firstLineChars="0"/>
              <w:jc w:val="center"/>
              <w:rPr>
                <w:kern w:val="0"/>
                <w:sz w:val="21"/>
                <w:szCs w:val="21"/>
              </w:rPr>
            </w:pPr>
            <w:r>
              <w:rPr>
                <w:rFonts w:hint="eastAsia"/>
                <w:kern w:val="0"/>
                <w:sz w:val="21"/>
                <w:szCs w:val="21"/>
              </w:rPr>
              <w:t>3</w:t>
            </w:r>
          </w:p>
        </w:tc>
        <w:tc>
          <w:tcPr>
            <w:tcW w:w="1743" w:type="pct"/>
            <w:shd w:val="clear" w:color="auto" w:fill="auto"/>
            <w:vAlign w:val="center"/>
          </w:tcPr>
          <w:p>
            <w:pPr>
              <w:widowControl/>
              <w:spacing w:line="240" w:lineRule="auto"/>
              <w:ind w:firstLine="0" w:firstLineChars="0"/>
              <w:jc w:val="center"/>
              <w:rPr>
                <w:rFonts w:ascii="Times New Roman" w:hAnsi="Times New Roman" w:eastAsia="宋体" w:cs="宋体"/>
                <w:kern w:val="0"/>
                <w:sz w:val="21"/>
                <w:szCs w:val="21"/>
                <w:lang w:val="en-US" w:eastAsia="zh-CN" w:bidi="ar-SA"/>
              </w:rPr>
            </w:pPr>
            <w:r>
              <w:rPr>
                <w:rFonts w:hint="eastAsia" w:cs="宋体"/>
                <w:kern w:val="0"/>
                <w:sz w:val="21"/>
                <w:szCs w:val="21"/>
              </w:rPr>
              <w:t>TSP</w:t>
            </w:r>
          </w:p>
        </w:tc>
        <w:tc>
          <w:tcPr>
            <w:tcW w:w="2491" w:type="pct"/>
            <w:shd w:val="clear" w:color="auto" w:fill="auto"/>
            <w:vAlign w:val="center"/>
          </w:tcPr>
          <w:p>
            <w:pPr>
              <w:widowControl/>
              <w:spacing w:line="240" w:lineRule="auto"/>
              <w:ind w:firstLine="0" w:firstLineChars="0"/>
              <w:jc w:val="center"/>
              <w:rPr>
                <w:rFonts w:ascii="Times New Roman" w:hAnsi="Times New Roman" w:eastAsia="宋体" w:cs="Times New Roman"/>
                <w:kern w:val="0"/>
                <w:sz w:val="22"/>
                <w:szCs w:val="22"/>
                <w:lang w:val="en-US" w:eastAsia="zh-CN" w:bidi="ar-SA"/>
              </w:rPr>
            </w:pPr>
            <w:r>
              <w:rPr>
                <w:rFonts w:hint="eastAsia"/>
                <w:sz w:val="21"/>
                <w:szCs w:val="21"/>
              </w:rPr>
              <w:t>6.28×10</w:t>
            </w:r>
            <w:r>
              <w:rPr>
                <w:rFonts w:hint="eastAsia"/>
                <w:sz w:val="21"/>
                <w:szCs w:val="21"/>
                <w:vertAlign w:val="superscript"/>
              </w:rPr>
              <w:t>-3</w:t>
            </w:r>
          </w:p>
        </w:tc>
      </w:tr>
    </w:tbl>
    <w:p>
      <w:pPr>
        <w:ind w:firstLine="480"/>
      </w:pPr>
    </w:p>
    <w:p>
      <w:pPr>
        <w:numPr>
          <w:ilvl w:val="0"/>
          <w:numId w:val="12"/>
        </w:numPr>
        <w:ind w:firstLine="480"/>
      </w:pPr>
      <w:r>
        <w:rPr>
          <w:rFonts w:hint="eastAsia"/>
        </w:rPr>
        <w:t>非正常排放量核算</w:t>
      </w:r>
    </w:p>
    <w:p>
      <w:pPr>
        <w:pStyle w:val="6"/>
      </w:pPr>
      <w:r>
        <w:rPr>
          <w:rFonts w:hint="eastAsia"/>
        </w:rPr>
        <w:t>表5.2.1-7   大气污染物非正常排放量核算表</w:t>
      </w:r>
    </w:p>
    <w:tbl>
      <w:tblPr>
        <w:tblStyle w:val="2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1500"/>
        <w:gridCol w:w="1500"/>
        <w:gridCol w:w="1501"/>
        <w:gridCol w:w="1501"/>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pPr>
              <w:tabs>
                <w:tab w:val="left" w:pos="815"/>
              </w:tabs>
              <w:spacing w:line="240" w:lineRule="auto"/>
              <w:ind w:firstLine="0" w:firstLineChars="0"/>
              <w:jc w:val="center"/>
              <w:rPr>
                <w:sz w:val="21"/>
                <w:szCs w:val="21"/>
              </w:rPr>
            </w:pPr>
            <w:r>
              <w:rPr>
                <w:rFonts w:hint="eastAsia"/>
                <w:sz w:val="21"/>
                <w:szCs w:val="21"/>
              </w:rPr>
              <w:t>非正常排放源</w:t>
            </w:r>
          </w:p>
        </w:tc>
        <w:tc>
          <w:tcPr>
            <w:tcW w:w="833" w:type="pct"/>
            <w:vAlign w:val="center"/>
          </w:tcPr>
          <w:p>
            <w:pPr>
              <w:spacing w:line="240" w:lineRule="auto"/>
              <w:ind w:firstLine="0" w:firstLineChars="0"/>
              <w:jc w:val="center"/>
              <w:rPr>
                <w:sz w:val="21"/>
                <w:szCs w:val="21"/>
              </w:rPr>
            </w:pPr>
            <w:r>
              <w:rPr>
                <w:rFonts w:hint="eastAsia"/>
                <w:sz w:val="21"/>
                <w:szCs w:val="21"/>
              </w:rPr>
              <w:t>非正常排放原因</w:t>
            </w:r>
          </w:p>
        </w:tc>
        <w:tc>
          <w:tcPr>
            <w:tcW w:w="833" w:type="pct"/>
            <w:vAlign w:val="center"/>
          </w:tcPr>
          <w:p>
            <w:pPr>
              <w:spacing w:line="240" w:lineRule="auto"/>
              <w:ind w:firstLine="0" w:firstLineChars="0"/>
              <w:jc w:val="center"/>
              <w:rPr>
                <w:sz w:val="21"/>
                <w:szCs w:val="21"/>
              </w:rPr>
            </w:pPr>
            <w:r>
              <w:rPr>
                <w:rFonts w:hint="eastAsia"/>
                <w:sz w:val="21"/>
                <w:szCs w:val="21"/>
              </w:rPr>
              <w:t>污染物</w:t>
            </w:r>
          </w:p>
        </w:tc>
        <w:tc>
          <w:tcPr>
            <w:tcW w:w="833" w:type="pct"/>
            <w:vAlign w:val="center"/>
          </w:tcPr>
          <w:p>
            <w:pPr>
              <w:spacing w:line="240" w:lineRule="auto"/>
              <w:ind w:firstLine="0" w:firstLineChars="0"/>
              <w:jc w:val="center"/>
              <w:rPr>
                <w:sz w:val="21"/>
                <w:szCs w:val="21"/>
              </w:rPr>
            </w:pPr>
            <w:r>
              <w:rPr>
                <w:rFonts w:hint="eastAsia"/>
                <w:sz w:val="21"/>
                <w:szCs w:val="21"/>
              </w:rPr>
              <w:t>非正常排放速率</w:t>
            </w:r>
            <w:r>
              <w:rPr>
                <w:sz w:val="21"/>
                <w:szCs w:val="21"/>
              </w:rPr>
              <w:t>/</w:t>
            </w:r>
            <w:r>
              <w:rPr>
                <w:rFonts w:hint="eastAsia"/>
                <w:sz w:val="21"/>
                <w:szCs w:val="21"/>
              </w:rPr>
              <w:t>（</w:t>
            </w:r>
            <w:r>
              <w:rPr>
                <w:sz w:val="21"/>
                <w:szCs w:val="21"/>
              </w:rPr>
              <w:t>kg/h</w:t>
            </w:r>
            <w:r>
              <w:rPr>
                <w:rFonts w:hint="eastAsia"/>
                <w:sz w:val="21"/>
                <w:szCs w:val="21"/>
              </w:rPr>
              <w:t>）</w:t>
            </w:r>
          </w:p>
        </w:tc>
        <w:tc>
          <w:tcPr>
            <w:tcW w:w="833" w:type="pct"/>
            <w:vAlign w:val="center"/>
          </w:tcPr>
          <w:p>
            <w:pPr>
              <w:spacing w:line="240" w:lineRule="auto"/>
              <w:ind w:firstLine="0" w:firstLineChars="0"/>
              <w:jc w:val="center"/>
              <w:rPr>
                <w:sz w:val="21"/>
                <w:szCs w:val="21"/>
              </w:rPr>
            </w:pPr>
            <w:r>
              <w:rPr>
                <w:rFonts w:hint="eastAsia"/>
                <w:sz w:val="21"/>
                <w:szCs w:val="21"/>
              </w:rPr>
              <w:t>单次持续时间</w:t>
            </w:r>
            <w:r>
              <w:rPr>
                <w:sz w:val="21"/>
                <w:szCs w:val="21"/>
              </w:rPr>
              <w:t>/</w:t>
            </w:r>
            <w:r>
              <w:rPr>
                <w:rFonts w:hint="eastAsia"/>
                <w:sz w:val="21"/>
                <w:szCs w:val="21"/>
              </w:rPr>
              <w:t>（</w:t>
            </w:r>
            <w:r>
              <w:rPr>
                <w:sz w:val="21"/>
                <w:szCs w:val="21"/>
              </w:rPr>
              <w:t>h</w:t>
            </w:r>
            <w:r>
              <w:rPr>
                <w:rFonts w:hint="eastAsia"/>
                <w:sz w:val="21"/>
                <w:szCs w:val="21"/>
              </w:rPr>
              <w:t>）</w:t>
            </w:r>
          </w:p>
        </w:tc>
        <w:tc>
          <w:tcPr>
            <w:tcW w:w="833" w:type="pct"/>
            <w:vAlign w:val="center"/>
          </w:tcPr>
          <w:p>
            <w:pPr>
              <w:spacing w:line="240" w:lineRule="auto"/>
              <w:ind w:firstLine="0" w:firstLineChars="0"/>
              <w:jc w:val="center"/>
              <w:rPr>
                <w:sz w:val="21"/>
                <w:szCs w:val="21"/>
              </w:rPr>
            </w:pPr>
            <w:r>
              <w:rPr>
                <w:rFonts w:hint="eastAsia"/>
                <w:sz w:val="21"/>
                <w:szCs w:val="21"/>
              </w:rPr>
              <w:t>年发生频次</w:t>
            </w:r>
            <w:r>
              <w:rPr>
                <w:sz w:val="21"/>
                <w:szCs w:val="21"/>
              </w:rPr>
              <w:t>/</w:t>
            </w:r>
            <w:r>
              <w:rPr>
                <w:rFonts w:hint="eastAsia"/>
                <w:sz w:val="21"/>
                <w:szCs w:val="21"/>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33" w:type="pct"/>
            <w:vMerge w:val="restart"/>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排气筒DA001</w:t>
            </w:r>
          </w:p>
        </w:tc>
        <w:tc>
          <w:tcPr>
            <w:tcW w:w="833" w:type="pct"/>
            <w:vMerge w:val="restart"/>
            <w:vAlign w:val="center"/>
          </w:tcPr>
          <w:p>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环保设施异常，不能达到设计处理效率</w:t>
            </w:r>
          </w:p>
        </w:tc>
        <w:tc>
          <w:tcPr>
            <w:tcW w:w="833" w:type="pct"/>
            <w:vAlign w:val="center"/>
          </w:tcPr>
          <w:p>
            <w:pPr>
              <w:widowControl/>
              <w:spacing w:line="240" w:lineRule="auto"/>
              <w:ind w:firstLine="0" w:firstLineChars="0"/>
              <w:jc w:val="center"/>
              <w:rPr>
                <w:sz w:val="21"/>
                <w:szCs w:val="21"/>
              </w:rPr>
            </w:pPr>
            <w:r>
              <w:rPr>
                <w:rFonts w:hint="eastAsia" w:cs="宋体"/>
                <w:kern w:val="0"/>
                <w:sz w:val="21"/>
                <w:szCs w:val="21"/>
              </w:rPr>
              <w:t>NH</w:t>
            </w:r>
            <w:r>
              <w:rPr>
                <w:rFonts w:hint="eastAsia" w:cs="宋体"/>
                <w:kern w:val="0"/>
                <w:sz w:val="21"/>
                <w:szCs w:val="21"/>
                <w:vertAlign w:val="subscript"/>
              </w:rPr>
              <w:t>3</w:t>
            </w:r>
          </w:p>
        </w:tc>
        <w:tc>
          <w:tcPr>
            <w:tcW w:w="833" w:type="pct"/>
            <w:vAlign w:val="center"/>
          </w:tcPr>
          <w:p>
            <w:pPr>
              <w:spacing w:line="240" w:lineRule="auto"/>
              <w:ind w:firstLine="0" w:firstLineChars="0"/>
              <w:jc w:val="center"/>
              <w:rPr>
                <w:rFonts w:hint="default" w:eastAsia="宋体"/>
                <w:color w:val="FF0000"/>
                <w:sz w:val="21"/>
                <w:szCs w:val="21"/>
                <w:lang w:val="en-US" w:eastAsia="zh-CN"/>
              </w:rPr>
            </w:pPr>
            <w:r>
              <w:rPr>
                <w:rFonts w:hint="eastAsia"/>
                <w:color w:val="FF0000"/>
                <w:sz w:val="21"/>
                <w:szCs w:val="21"/>
                <w:lang w:val="en-US" w:eastAsia="zh-CN"/>
              </w:rPr>
              <w:t>0.002</w:t>
            </w:r>
          </w:p>
        </w:tc>
        <w:tc>
          <w:tcPr>
            <w:tcW w:w="833" w:type="pct"/>
            <w:vMerge w:val="restart"/>
            <w:vAlign w:val="center"/>
          </w:tcPr>
          <w:p>
            <w:pPr>
              <w:spacing w:line="240" w:lineRule="auto"/>
              <w:ind w:firstLine="0" w:firstLineChars="0"/>
              <w:jc w:val="center"/>
              <w:rPr>
                <w:sz w:val="21"/>
                <w:szCs w:val="21"/>
              </w:rPr>
            </w:pPr>
            <w:r>
              <w:rPr>
                <w:sz w:val="21"/>
                <w:szCs w:val="21"/>
              </w:rPr>
              <w:t>1</w:t>
            </w:r>
          </w:p>
        </w:tc>
        <w:tc>
          <w:tcPr>
            <w:tcW w:w="833" w:type="pct"/>
            <w:vMerge w:val="restart"/>
            <w:vAlign w:val="center"/>
          </w:tcPr>
          <w:p>
            <w:pPr>
              <w:spacing w:line="240" w:lineRule="auto"/>
              <w:ind w:firstLine="0" w:firstLineChars="0"/>
              <w:jc w:val="center"/>
              <w:rPr>
                <w:sz w:val="21"/>
                <w:szCs w:val="21"/>
              </w:rPr>
            </w:pPr>
            <w:r>
              <w:rPr>
                <w:sz w:val="21"/>
                <w:szCs w:val="21"/>
              </w:rPr>
              <w:t>2</w:t>
            </w:r>
            <w:r>
              <w:rPr>
                <w:rFonts w:hint="eastAsia"/>
                <w:sz w:val="21"/>
                <w:szCs w:val="21"/>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33" w:type="pct"/>
            <w:vMerge w:val="continue"/>
            <w:vAlign w:val="center"/>
          </w:tcPr>
          <w:p>
            <w:pPr>
              <w:spacing w:line="240" w:lineRule="auto"/>
              <w:ind w:firstLine="0" w:firstLineChars="0"/>
              <w:jc w:val="center"/>
              <w:rPr>
                <w:sz w:val="21"/>
                <w:szCs w:val="21"/>
              </w:rPr>
            </w:pPr>
          </w:p>
        </w:tc>
        <w:tc>
          <w:tcPr>
            <w:tcW w:w="833" w:type="pct"/>
            <w:vMerge w:val="continue"/>
            <w:vAlign w:val="center"/>
          </w:tcPr>
          <w:p>
            <w:pPr>
              <w:spacing w:line="240" w:lineRule="auto"/>
              <w:ind w:firstLine="0" w:firstLineChars="0"/>
              <w:jc w:val="center"/>
              <w:rPr>
                <w:sz w:val="21"/>
                <w:szCs w:val="21"/>
              </w:rPr>
            </w:pPr>
          </w:p>
        </w:tc>
        <w:tc>
          <w:tcPr>
            <w:tcW w:w="833" w:type="pct"/>
            <w:vAlign w:val="center"/>
          </w:tcPr>
          <w:p>
            <w:pPr>
              <w:widowControl/>
              <w:spacing w:line="240" w:lineRule="auto"/>
              <w:ind w:firstLine="0" w:firstLineChars="0"/>
              <w:jc w:val="center"/>
              <w:rPr>
                <w:sz w:val="21"/>
                <w:szCs w:val="21"/>
              </w:rPr>
            </w:pPr>
            <w:r>
              <w:rPr>
                <w:rFonts w:hint="eastAsia" w:cs="宋体"/>
                <w:kern w:val="0"/>
                <w:sz w:val="21"/>
                <w:szCs w:val="21"/>
              </w:rPr>
              <w:t>H</w:t>
            </w:r>
            <w:r>
              <w:rPr>
                <w:rFonts w:hint="eastAsia" w:cs="宋体"/>
                <w:kern w:val="0"/>
                <w:sz w:val="21"/>
                <w:szCs w:val="21"/>
                <w:vertAlign w:val="subscript"/>
              </w:rPr>
              <w:t>2</w:t>
            </w:r>
            <w:r>
              <w:rPr>
                <w:rFonts w:hint="eastAsia" w:cs="宋体"/>
                <w:kern w:val="0"/>
                <w:sz w:val="21"/>
                <w:szCs w:val="21"/>
              </w:rPr>
              <w:t>S</w:t>
            </w:r>
          </w:p>
        </w:tc>
        <w:tc>
          <w:tcPr>
            <w:tcW w:w="833" w:type="pct"/>
            <w:vAlign w:val="center"/>
          </w:tcPr>
          <w:p>
            <w:pPr>
              <w:spacing w:line="240" w:lineRule="auto"/>
              <w:ind w:firstLine="0" w:firstLineChars="0"/>
              <w:jc w:val="center"/>
              <w:rPr>
                <w:rFonts w:hint="eastAsia" w:eastAsia="宋体"/>
                <w:color w:val="FF0000"/>
                <w:sz w:val="21"/>
                <w:szCs w:val="21"/>
                <w:lang w:eastAsia="zh-CN"/>
              </w:rPr>
            </w:pPr>
            <w:r>
              <w:rPr>
                <w:rFonts w:hint="eastAsia"/>
                <w:color w:val="FF0000"/>
                <w:sz w:val="21"/>
                <w:szCs w:val="21"/>
              </w:rPr>
              <w:t>0.000</w:t>
            </w:r>
            <w:r>
              <w:rPr>
                <w:rFonts w:hint="eastAsia"/>
                <w:color w:val="FF0000"/>
                <w:sz w:val="21"/>
                <w:szCs w:val="21"/>
                <w:lang w:val="en-US" w:eastAsia="zh-CN"/>
              </w:rPr>
              <w:t>6</w:t>
            </w:r>
          </w:p>
        </w:tc>
        <w:tc>
          <w:tcPr>
            <w:tcW w:w="833" w:type="pct"/>
            <w:vMerge w:val="continue"/>
            <w:vAlign w:val="center"/>
          </w:tcPr>
          <w:p>
            <w:pPr>
              <w:spacing w:line="240" w:lineRule="auto"/>
              <w:ind w:firstLine="0" w:firstLineChars="0"/>
              <w:jc w:val="center"/>
              <w:rPr>
                <w:sz w:val="21"/>
                <w:szCs w:val="21"/>
              </w:rPr>
            </w:pPr>
          </w:p>
        </w:tc>
        <w:tc>
          <w:tcPr>
            <w:tcW w:w="833" w:type="pct"/>
            <w:vMerge w:val="continue"/>
            <w:vAlign w:val="center"/>
          </w:tcPr>
          <w:p>
            <w:pPr>
              <w:spacing w:line="240" w:lineRule="auto"/>
              <w:ind w:firstLine="0" w:firstLineChars="0"/>
              <w:jc w:val="center"/>
              <w:rPr>
                <w:sz w:val="21"/>
                <w:szCs w:val="21"/>
              </w:rPr>
            </w:pPr>
          </w:p>
        </w:tc>
      </w:tr>
    </w:tbl>
    <w:p>
      <w:pPr>
        <w:pStyle w:val="5"/>
      </w:pPr>
      <w:r>
        <w:rPr>
          <w:rFonts w:hint="eastAsia"/>
        </w:rPr>
        <w:t>大气环境防护距离</w:t>
      </w:r>
    </w:p>
    <w:p>
      <w:pPr>
        <w:ind w:firstLine="480"/>
      </w:pPr>
      <w:r>
        <w:rPr>
          <w:rFonts w:hint="eastAsia"/>
        </w:rPr>
        <w:t>《环境影响评价技术导则大气环境》（</w:t>
      </w:r>
      <w:r>
        <w:t>HJ2.2-2018</w:t>
      </w:r>
      <w:r>
        <w:rPr>
          <w:rFonts w:hint="eastAsia"/>
        </w:rPr>
        <w:t xml:space="preserve">）规定，大气环境防护距离是为了保护人群健康，减少正常排放条件下大气污染物对居住区的环境影响，在项目厂界外设置的环境防护距离。计算出的距离是以污染源中心为起点的控制距离，并结合厂区平面布置图，确定其控制的范围。对于超出厂界外的范围，确定为项目大气环境防护区域。 </w:t>
      </w:r>
    </w:p>
    <w:p>
      <w:pPr>
        <w:ind w:firstLine="480"/>
      </w:pPr>
      <w:r>
        <w:rPr>
          <w:rFonts w:hint="eastAsia"/>
        </w:rPr>
        <w:t>拟建项目大气防护距离采用《环境影响评价技术 导则 大气环境》 （</w:t>
      </w:r>
      <w:r>
        <w:t>HJ2.2-2018</w:t>
      </w:r>
      <w:r>
        <w:rPr>
          <w:rFonts w:hint="eastAsia"/>
        </w:rPr>
        <w:t>）推荐模式中的大气环境防护距离模式计算全厂所有污染源（包括现有污染源、有组织和无组织污染源）的大气环境防护距离。本项目生产过程中产生的硫化氢、氨等废气在厂界外没有出现浓度超标点。因此，本项目可不设置大气环境防护距离。</w:t>
      </w:r>
    </w:p>
    <w:p>
      <w:pPr>
        <w:pStyle w:val="5"/>
      </w:pPr>
      <w:r>
        <w:rPr>
          <w:rFonts w:hint="eastAsia"/>
        </w:rPr>
        <w:t>大气环境影响评价结论</w:t>
      </w:r>
    </w:p>
    <w:p>
      <w:pPr>
        <w:spacing w:line="520" w:lineRule="exact"/>
        <w:ind w:firstLine="480"/>
      </w:pPr>
      <w:r>
        <w:rPr>
          <w:rFonts w:hint="eastAsia"/>
          <w:color w:val="000000" w:themeColor="text1"/>
          <w14:textFill>
            <w14:solidFill>
              <w14:schemeClr w14:val="tx1"/>
            </w14:solidFill>
          </w14:textFill>
        </w:rPr>
        <w:t>项目采取的污染防治措施有效、可行，排放的大气污染物对环境影响较小，</w:t>
      </w:r>
      <w:r>
        <w:rPr>
          <w:color w:val="000000" w:themeColor="text1"/>
          <w14:textFill>
            <w14:solidFill>
              <w14:schemeClr w14:val="tx1"/>
            </w14:solidFill>
          </w14:textFill>
        </w:rPr>
        <w:t>根据</w:t>
      </w:r>
      <w:r>
        <w:rPr>
          <w:rFonts w:hint="eastAsia"/>
          <w:color w:val="000000" w:themeColor="text1"/>
          <w14:textFill>
            <w14:solidFill>
              <w14:schemeClr w14:val="tx1"/>
            </w14:solidFill>
          </w14:textFill>
        </w:rPr>
        <w:t>估算模式</w:t>
      </w:r>
      <w:r>
        <w:rPr>
          <w:color w:val="000000" w:themeColor="text1"/>
          <w14:textFill>
            <w14:solidFill>
              <w14:schemeClr w14:val="tx1"/>
            </w14:solidFill>
          </w14:textFill>
        </w:rPr>
        <w:t>预测结果，大气环境影响评价等级为二级，厂界外无超标点</w:t>
      </w:r>
      <w:r>
        <w:rPr>
          <w:rFonts w:hint="eastAsia"/>
          <w:color w:val="000000" w:themeColor="text1"/>
          <w14:textFill>
            <w14:solidFill>
              <w14:schemeClr w14:val="tx1"/>
            </w14:solidFill>
          </w14:textFill>
        </w:rPr>
        <w:t>，且敏感点</w:t>
      </w:r>
      <w:r>
        <w:rPr>
          <w:color w:val="000000" w:themeColor="text1"/>
          <w14:textFill>
            <w14:solidFill>
              <w14:schemeClr w14:val="tx1"/>
            </w14:solidFill>
          </w14:textFill>
        </w:rPr>
        <w:t>预测值</w:t>
      </w:r>
      <w:r>
        <w:rPr>
          <w:rFonts w:hint="eastAsia"/>
          <w:color w:val="000000" w:themeColor="text1"/>
          <w14:textFill>
            <w14:solidFill>
              <w14:schemeClr w14:val="tx1"/>
            </w14:solidFill>
          </w14:textFill>
        </w:rPr>
        <w:t>能够</w:t>
      </w:r>
      <w:r>
        <w:rPr>
          <w:color w:val="000000" w:themeColor="text1"/>
          <w14:textFill>
            <w14:solidFill>
              <w14:schemeClr w14:val="tx1"/>
            </w14:solidFill>
          </w14:textFill>
        </w:rPr>
        <w:t>满足环境功能区划要求</w:t>
      </w:r>
      <w:r>
        <w:rPr>
          <w:rFonts w:hint="eastAsia"/>
          <w:color w:val="000000" w:themeColor="text1"/>
          <w14:textFill>
            <w14:solidFill>
              <w14:schemeClr w14:val="tx1"/>
            </w14:solidFill>
          </w14:textFill>
        </w:rPr>
        <w:t>。项目正常情况排放的大气污染物对大气环境影响可接受</w:t>
      </w:r>
      <w:r>
        <w:rPr>
          <w:rFonts w:hint="eastAsia"/>
        </w:rPr>
        <w:t>。</w:t>
      </w:r>
    </w:p>
    <w:p>
      <w:pPr>
        <w:pStyle w:val="5"/>
      </w:pPr>
      <w:r>
        <w:rPr>
          <w:rFonts w:hint="eastAsia"/>
        </w:rPr>
        <w:t>大气环境影响评价自查表</w:t>
      </w:r>
    </w:p>
    <w:p>
      <w:pPr>
        <w:ind w:firstLine="480"/>
        <w:sectPr>
          <w:pgSz w:w="11906" w:h="16838"/>
          <w:pgMar w:top="1418" w:right="1418" w:bottom="1247" w:left="1701" w:header="851" w:footer="680" w:gutter="0"/>
          <w:pgNumType w:fmt="decimal"/>
          <w:cols w:space="720" w:num="1"/>
          <w:docGrid w:linePitch="326" w:charSpace="0"/>
        </w:sectPr>
      </w:pPr>
      <w:r>
        <w:rPr>
          <w:rFonts w:hint="eastAsia"/>
        </w:rPr>
        <w:t>本次大气环境影响评价完成后，对大气环境影响评价主要内容与结论进行自查，详见表5.2.1-8。</w:t>
      </w:r>
    </w:p>
    <w:p>
      <w:pPr>
        <w:pStyle w:val="6"/>
      </w:pPr>
      <w:r>
        <w:rPr>
          <w:rFonts w:hint="eastAsia"/>
        </w:rPr>
        <w:t>表5.2.1-8  大气环境影响评价自查表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888"/>
        <w:gridCol w:w="1629"/>
        <w:gridCol w:w="1522"/>
        <w:gridCol w:w="576"/>
        <w:gridCol w:w="437"/>
        <w:gridCol w:w="1404"/>
        <w:gridCol w:w="400"/>
        <w:gridCol w:w="1971"/>
        <w:gridCol w:w="1094"/>
        <w:gridCol w:w="875"/>
        <w:gridCol w:w="953"/>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2"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工作内容</w:t>
            </w:r>
          </w:p>
        </w:tc>
        <w:tc>
          <w:tcPr>
            <w:tcW w:w="4117" w:type="pct"/>
            <w:gridSpan w:val="11"/>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自查项目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评价等级与范围</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评价等级</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一级□</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二级</w:t>
            </w:r>
            <w:r>
              <w:rPr>
                <w:rFonts w:hint="eastAsia"/>
                <w:color w:val="000000" w:themeColor="text1"/>
                <w:sz w:val="21"/>
                <w:szCs w:val="21"/>
                <w14:textFill>
                  <w14:solidFill>
                    <w14:schemeClr w14:val="tx1"/>
                  </w14:solidFill>
                </w14:textFill>
              </w:rPr>
              <w:sym w:font="Wingdings 2" w:char="F052"/>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评价范围</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边长</w:t>
            </w:r>
            <w:r>
              <w:rPr>
                <w:color w:val="000000" w:themeColor="text1"/>
                <w:sz w:val="21"/>
                <w:szCs w:val="21"/>
                <w14:textFill>
                  <w14:solidFill>
                    <w14:schemeClr w14:val="tx1"/>
                  </w14:solidFill>
                </w14:textFill>
              </w:rPr>
              <w:t>=50km</w:t>
            </w:r>
            <w:r>
              <w:rPr>
                <w:rFonts w:hint="eastAsia"/>
                <w:color w:val="000000" w:themeColor="text1"/>
                <w:sz w:val="21"/>
                <w:szCs w:val="21"/>
                <w14:textFill>
                  <w14:solidFill>
                    <w14:schemeClr w14:val="tx1"/>
                  </w14:solidFill>
                </w14:textFill>
              </w:rPr>
              <w:t>□</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边长</w:t>
            </w:r>
            <w:r>
              <w:rPr>
                <w:color w:val="000000" w:themeColor="text1"/>
                <w:sz w:val="21"/>
                <w:szCs w:val="21"/>
                <w14:textFill>
                  <w14:solidFill>
                    <w14:schemeClr w14:val="tx1"/>
                  </w14:solidFill>
                </w14:textFill>
              </w:rPr>
              <w:t>=5~50km</w:t>
            </w:r>
            <w:r>
              <w:rPr>
                <w:rFonts w:hint="eastAsia"/>
                <w:color w:val="000000" w:themeColor="text1"/>
                <w:sz w:val="21"/>
                <w:szCs w:val="21"/>
                <w14:textFill>
                  <w14:solidFill>
                    <w14:schemeClr w14:val="tx1"/>
                  </w14:solidFill>
                </w14:textFill>
              </w:rPr>
              <w:sym w:font="Wingdings 2" w:char="F052"/>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边长</w:t>
            </w:r>
            <w:r>
              <w:rPr>
                <w:color w:val="000000" w:themeColor="text1"/>
                <w:sz w:val="21"/>
                <w:szCs w:val="21"/>
                <w14:textFill>
                  <w14:solidFill>
                    <w14:schemeClr w14:val="tx1"/>
                  </w14:solidFill>
                </w14:textFill>
              </w:rPr>
              <w:t>=5km</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评价因子</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SO</w:t>
            </w:r>
            <w:r>
              <w:rPr>
                <w:color w:val="000000" w:themeColor="text1"/>
                <w:sz w:val="21"/>
                <w:szCs w:val="21"/>
                <w:vertAlign w:val="subscript"/>
                <w14:textFill>
                  <w14:solidFill>
                    <w14:schemeClr w14:val="tx1"/>
                  </w14:solidFill>
                </w14:textFill>
              </w:rPr>
              <w:t>2</w:t>
            </w:r>
            <w:r>
              <w:rPr>
                <w:color w:val="000000" w:themeColor="text1"/>
                <w:sz w:val="21"/>
                <w:szCs w:val="21"/>
                <w14:textFill>
                  <w14:solidFill>
                    <w14:schemeClr w14:val="tx1"/>
                  </w14:solidFill>
                </w14:textFill>
              </w:rPr>
              <w:t>+NOx</w:t>
            </w:r>
            <w:r>
              <w:rPr>
                <w:rFonts w:hint="eastAsia"/>
                <w:color w:val="000000" w:themeColor="text1"/>
                <w:sz w:val="21"/>
                <w:szCs w:val="21"/>
                <w14:textFill>
                  <w14:solidFill>
                    <w14:schemeClr w14:val="tx1"/>
                  </w14:solidFill>
                </w14:textFill>
              </w:rPr>
              <w:t>排放量</w:t>
            </w:r>
          </w:p>
        </w:tc>
        <w:tc>
          <w:tcPr>
            <w:tcW w:w="1095"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2000t/a</w:t>
            </w:r>
            <w:r>
              <w:rPr>
                <w:rFonts w:hint="eastAsia"/>
                <w:color w:val="000000" w:themeColor="text1"/>
                <w:sz w:val="21"/>
                <w:szCs w:val="21"/>
                <w14:textFill>
                  <w14:solidFill>
                    <w14:schemeClr w14:val="tx1"/>
                  </w14:solidFill>
                </w14:textFill>
              </w:rPr>
              <w:t>□</w:t>
            </w:r>
          </w:p>
        </w:tc>
        <w:tc>
          <w:tcPr>
            <w:tcW w:w="1663" w:type="pct"/>
            <w:gridSpan w:val="5"/>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500~2000t/a</w:t>
            </w:r>
            <w:r>
              <w:rPr>
                <w:rFonts w:hint="eastAsia"/>
                <w:color w:val="000000" w:themeColor="text1"/>
                <w:sz w:val="21"/>
                <w:szCs w:val="21"/>
                <w14:textFill>
                  <w14:solidFill>
                    <w14:schemeClr w14:val="tx1"/>
                  </w14:solidFill>
                </w14:textFill>
              </w:rPr>
              <w:t>□</w:t>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&lt;500t/a</w:t>
            </w:r>
            <w:r>
              <w:rPr>
                <w:rFonts w:hint="eastAsia"/>
                <w:color w:val="000000" w:themeColor="text1"/>
                <w:sz w:val="21"/>
                <w:szCs w:val="21"/>
                <w14:textFill>
                  <w14:solidFill>
                    <w14:schemeClr w14:val="tx1"/>
                  </w14:solidFill>
                </w14:textFill>
              </w:rPr>
              <w:sym w:font="Wingdings 2" w:char="F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评价因子</w:t>
            </w:r>
          </w:p>
        </w:tc>
        <w:tc>
          <w:tcPr>
            <w:tcW w:w="2759" w:type="pct"/>
            <w:gridSpan w:val="7"/>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基本污染物（</w:t>
            </w:r>
            <w:r>
              <w:rPr>
                <w:rFonts w:hint="eastAsia"/>
                <w:color w:val="000000" w:themeColor="text1"/>
                <w14:textFill>
                  <w14:solidFill>
                    <w14:schemeClr w14:val="tx1"/>
                  </w14:solidFill>
                </w14:textFill>
              </w:rPr>
              <w:t>SO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、NO</w:t>
            </w:r>
            <w:r>
              <w:rPr>
                <w:rFonts w:hint="eastAsia"/>
                <w:color w:val="000000" w:themeColor="text1"/>
                <w:vertAlign w:val="subscript"/>
                <w14:textFill>
                  <w14:solidFill>
                    <w14:schemeClr w14:val="tx1"/>
                  </w14:solidFill>
                </w14:textFill>
              </w:rPr>
              <w:t>X</w:t>
            </w:r>
            <w:r>
              <w:rPr>
                <w:rFonts w:hint="eastAsia"/>
                <w:color w:val="000000" w:themeColor="text1"/>
                <w14:textFill>
                  <w14:solidFill>
                    <w14:schemeClr w14:val="tx1"/>
                  </w14:solidFill>
                </w14:textFill>
              </w:rPr>
              <w:t>、O</w:t>
            </w:r>
            <w:r>
              <w:rPr>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、CO、PM</w:t>
            </w:r>
            <w:r>
              <w:rPr>
                <w:rFonts w:hint="eastAsia"/>
                <w:color w:val="000000" w:themeColor="text1"/>
                <w:vertAlign w:val="subscript"/>
                <w14:textFill>
                  <w14:solidFill>
                    <w14:schemeClr w14:val="tx1"/>
                  </w14:solidFill>
                </w14:textFill>
              </w:rPr>
              <w:t>10</w:t>
            </w:r>
            <w:r>
              <w:rPr>
                <w:rFonts w:hint="eastAsia"/>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w:t>
            </w:r>
          </w:p>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其他污染物（</w:t>
            </w:r>
            <w:r>
              <w:rPr>
                <w:rFonts w:hint="eastAsia"/>
                <w:color w:val="000000" w:themeColor="text1"/>
                <w:sz w:val="21"/>
                <w:szCs w:val="21"/>
                <w14:textFill>
                  <w14:solidFill>
                    <w14:schemeClr w14:val="tx1"/>
                  </w14:solidFill>
                </w14:textFill>
              </w:rPr>
              <w:t>氨气、硫化氢</w:t>
            </w:r>
            <w:r>
              <w:rPr>
                <w:color w:val="000000" w:themeColor="text1"/>
                <w:sz w:val="21"/>
                <w:szCs w:val="21"/>
                <w14:textFill>
                  <w14:solidFill>
                    <w14:schemeClr w14:val="tx1"/>
                  </w14:solidFill>
                </w14:textFill>
              </w:rPr>
              <w:t>）</w:t>
            </w:r>
          </w:p>
        </w:tc>
        <w:tc>
          <w:tcPr>
            <w:tcW w:w="1357" w:type="pct"/>
            <w:gridSpan w:val="4"/>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包括二次PM2.5</w:t>
            </w:r>
            <w:r>
              <w:rPr>
                <w:color w:val="000000" w:themeColor="text1"/>
                <w14:textFill>
                  <w14:solidFill>
                    <w14:schemeClr w14:val="tx1"/>
                  </w14:solidFill>
                </w14:textFill>
              </w:rPr>
              <w:t>□</w:t>
            </w:r>
          </w:p>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不包括二次PM2.5</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eq \o\ac(</w:instrText>
            </w:r>
            <w:r>
              <w:rPr>
                <w:color w:val="000000" w:themeColor="text1"/>
                <w:position w:val="-4"/>
                <w:sz w:val="31"/>
                <w:szCs w:val="21"/>
                <w14:textFill>
                  <w14:solidFill>
                    <w14:schemeClr w14:val="tx1"/>
                  </w14:solidFill>
                </w14:textFill>
              </w:rPr>
              <w:instrText xml:space="preserve">□</w:instrText>
            </w:r>
            <w:r>
              <w:rPr>
                <w:color w:val="000000" w:themeColor="text1"/>
                <w:sz w:val="21"/>
                <w:szCs w:val="21"/>
                <w14:textFill>
                  <w14:solidFill>
                    <w14:schemeClr w14:val="tx1"/>
                  </w14:solidFill>
                </w14:textFill>
              </w:rPr>
              <w:instrText xml:space="preserve">,√)</w:instrText>
            </w:r>
            <w:r>
              <w:rPr>
                <w:color w:val="000000" w:themeColor="text1"/>
                <w:sz w:val="21"/>
                <w:szCs w:val="21"/>
                <w14:textFill>
                  <w14:solidFill>
                    <w14:schemeClr w14:val="tx1"/>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2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评价标准</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评价标准</w:t>
            </w:r>
          </w:p>
        </w:tc>
        <w:tc>
          <w:tcPr>
            <w:tcW w:w="1447"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国家标准</w:t>
            </w:r>
            <w:r>
              <w:rPr>
                <w:rFonts w:hint="eastAsia"/>
                <w:color w:val="000000" w:themeColor="text1"/>
                <w:sz w:val="21"/>
                <w:szCs w:val="21"/>
                <w14:textFill>
                  <w14:solidFill>
                    <w14:schemeClr w14:val="tx1"/>
                  </w14:solidFill>
                </w14:textFill>
              </w:rPr>
              <w:sym w:font="Wingdings 2" w:char="F052"/>
            </w:r>
          </w:p>
        </w:tc>
        <w:tc>
          <w:tcPr>
            <w:tcW w:w="1311" w:type="pct"/>
            <w:gridSpan w:val="3"/>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地方标准</w:t>
            </w:r>
            <w:r>
              <w:rPr>
                <w:rFonts w:hint="eastAsia"/>
                <w:color w:val="000000" w:themeColor="text1"/>
                <w:sz w:val="21"/>
                <w:szCs w:val="21"/>
                <w14:textFill>
                  <w14:solidFill>
                    <w14:schemeClr w14:val="tx1"/>
                  </w14:solidFill>
                </w14:textFill>
              </w:rPr>
              <w:sym w:font="Wingdings 2" w:char="00A3"/>
            </w:r>
          </w:p>
        </w:tc>
        <w:tc>
          <w:tcPr>
            <w:tcW w:w="684"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附录</w:t>
            </w:r>
            <w:r>
              <w:rPr>
                <w:color w:val="000000" w:themeColor="text1"/>
                <w:sz w:val="21"/>
                <w:szCs w:val="21"/>
                <w14:textFill>
                  <w14:solidFill>
                    <w14:schemeClr w14:val="tx1"/>
                  </w14:solidFill>
                </w14:textFill>
              </w:rPr>
              <w:t>D</w:t>
            </w:r>
            <w:r>
              <w:rPr>
                <w:rFonts w:hint="eastAsia"/>
                <w:color w:val="000000" w:themeColor="text1"/>
                <w:sz w:val="21"/>
                <w:szCs w:val="21"/>
                <w14:textFill>
                  <w14:solidFill>
                    <w14:schemeClr w14:val="tx1"/>
                  </w14:solidFill>
                </w14:textFill>
              </w:rPr>
              <w:sym w:font="Wingdings 2" w:char="F052"/>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其他标准</w:t>
            </w:r>
            <w:r>
              <w:rPr>
                <w:rFonts w:hint="eastAsia"/>
                <w:color w:val="000000" w:themeColor="text1"/>
                <w:sz w:val="21"/>
                <w:szCs w:val="21"/>
                <w14:textFill>
                  <w14:solidFill>
                    <w14:schemeClr w14:val="tx1"/>
                  </w14:solidFill>
                </w14:textFill>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22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现状评价</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评价功能区</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一类区口</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二类区</w:t>
            </w:r>
            <w:r>
              <w:rPr>
                <w:rFonts w:hint="eastAsia"/>
                <w:color w:val="000000" w:themeColor="text1"/>
                <w:sz w:val="21"/>
                <w:szCs w:val="21"/>
                <w14:textFill>
                  <w14:solidFill>
                    <w14:schemeClr w14:val="tx1"/>
                  </w14:solidFill>
                </w14:textFill>
              </w:rPr>
              <w:sym w:font="Wingdings 2" w:char="F052"/>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一类区和二类区□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评价基准年</w:t>
            </w:r>
          </w:p>
        </w:tc>
        <w:tc>
          <w:tcPr>
            <w:tcW w:w="4117" w:type="pct"/>
            <w:gridSpan w:val="11"/>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环境空气质量现状调查数据来源</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长期例行监测标准□</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主管部门发布的数据标准</w:t>
            </w:r>
            <w:r>
              <w:rPr>
                <w:rFonts w:hint="eastAsia"/>
                <w:color w:val="000000" w:themeColor="text1"/>
                <w:sz w:val="21"/>
                <w:szCs w:val="21"/>
                <w14:textFill>
                  <w14:solidFill>
                    <w14:schemeClr w14:val="tx1"/>
                  </w14:solidFill>
                </w14:textFill>
              </w:rPr>
              <w:sym w:font="Wingdings 2" w:char="F052"/>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现状补充标准</w:t>
            </w:r>
            <w:r>
              <w:rPr>
                <w:rFonts w:hint="eastAsia"/>
                <w:color w:val="000000" w:themeColor="text1"/>
                <w:sz w:val="21"/>
                <w:szCs w:val="21"/>
                <w14:textFill>
                  <w14:solidFill>
                    <w14:schemeClr w14:val="tx1"/>
                  </w14:solidFill>
                </w14:textFill>
              </w:rPr>
              <w:sym w:font="Wingdings 2" w:char="F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现状评价</w:t>
            </w:r>
          </w:p>
        </w:tc>
        <w:tc>
          <w:tcPr>
            <w:tcW w:w="2759" w:type="pct"/>
            <w:gridSpan w:val="7"/>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达标区☑</w:t>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不达标区</w:t>
            </w:r>
            <w:r>
              <w:rPr>
                <w:rFonts w:hint="eastAsia"/>
                <w:color w:val="000000" w:themeColor="text1"/>
                <w:sz w:val="21"/>
                <w:szCs w:val="21"/>
                <w14:textFill>
                  <w14:solidFill>
                    <w14:schemeClr w14:val="tx1"/>
                  </w14:solidFill>
                </w14:textFill>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22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污染源调查</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调查内容</w:t>
            </w:r>
          </w:p>
        </w:tc>
        <w:tc>
          <w:tcPr>
            <w:tcW w:w="1447"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本项目正常排放源</w:t>
            </w:r>
            <w:r>
              <w:rPr>
                <w:rFonts w:hint="eastAsia"/>
                <w:color w:val="000000" w:themeColor="text1"/>
                <w:sz w:val="21"/>
                <w:szCs w:val="21"/>
                <w14:textFill>
                  <w14:solidFill>
                    <w14:schemeClr w14:val="tx1"/>
                  </w14:solidFill>
                </w14:textFill>
              </w:rPr>
              <w:sym w:font="Wingdings 2" w:char="F052"/>
            </w:r>
            <w:r>
              <w:rPr>
                <w:rFonts w:hint="eastAsia"/>
                <w:color w:val="000000" w:themeColor="text1"/>
                <w:sz w:val="21"/>
                <w:szCs w:val="21"/>
                <w14:textFill>
                  <w14:solidFill>
                    <w14:schemeClr w14:val="tx1"/>
                  </w14:solidFill>
                </w14:textFill>
              </w:rPr>
              <w:br w:type="textWrapping"/>
            </w:r>
            <w:r>
              <w:rPr>
                <w:rFonts w:hint="eastAsia"/>
                <w:color w:val="000000" w:themeColor="text1"/>
                <w:sz w:val="21"/>
                <w:szCs w:val="21"/>
                <w14:textFill>
                  <w14:solidFill>
                    <w14:schemeClr w14:val="tx1"/>
                  </w14:solidFill>
                </w14:textFill>
              </w:rPr>
              <w:t>本项目非正常排放源</w:t>
            </w:r>
            <w:r>
              <w:rPr>
                <w:rFonts w:hint="eastAsia"/>
                <w:color w:val="000000" w:themeColor="text1"/>
                <w:sz w:val="21"/>
                <w:szCs w:val="21"/>
                <w14:textFill>
                  <w14:solidFill>
                    <w14:schemeClr w14:val="tx1"/>
                  </w14:solidFill>
                </w14:textFill>
              </w:rPr>
              <w:sym w:font="Wingdings 2" w:char="00A3"/>
            </w:r>
            <w:r>
              <w:rPr>
                <w:rFonts w:hint="eastAsia"/>
                <w:color w:val="000000" w:themeColor="text1"/>
                <w:sz w:val="21"/>
                <w:szCs w:val="21"/>
                <w14:textFill>
                  <w14:solidFill>
                    <w14:schemeClr w14:val="tx1"/>
                  </w14:solidFill>
                </w14:textFill>
              </w:rPr>
              <w:br w:type="textWrapping"/>
            </w:r>
            <w:r>
              <w:rPr>
                <w:rFonts w:hint="eastAsia"/>
                <w:color w:val="000000" w:themeColor="text1"/>
                <w:sz w:val="21"/>
                <w:szCs w:val="21"/>
                <w14:textFill>
                  <w14:solidFill>
                    <w14:schemeClr w14:val="tx1"/>
                  </w14:solidFill>
                </w14:textFill>
              </w:rPr>
              <w:t>现有污染源</w:t>
            </w:r>
            <w:r>
              <w:rPr>
                <w:rFonts w:hint="eastAsia"/>
                <w:color w:val="000000" w:themeColor="text1"/>
                <w:sz w:val="21"/>
                <w:szCs w:val="21"/>
                <w14:textFill>
                  <w14:solidFill>
                    <w14:schemeClr w14:val="tx1"/>
                  </w14:solidFill>
                </w14:textFill>
              </w:rPr>
              <w:sym w:font="Wingdings 2" w:char="00A3"/>
            </w:r>
          </w:p>
        </w:tc>
        <w:tc>
          <w:tcPr>
            <w:tcW w:w="1311" w:type="pct"/>
            <w:gridSpan w:val="3"/>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拟替代的污染源□</w:t>
            </w:r>
          </w:p>
        </w:tc>
        <w:tc>
          <w:tcPr>
            <w:tcW w:w="684"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其他在建、拟建项目污染源□</w:t>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区域污染源□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2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大气环境影响预测与评价</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预测模型</w:t>
            </w:r>
          </w:p>
        </w:tc>
        <w:tc>
          <w:tcPr>
            <w:tcW w:w="566" w:type="pct"/>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AERMOD</w:t>
            </w:r>
            <w:r>
              <w:rPr>
                <w:rFonts w:hint="eastAsia"/>
                <w:color w:val="000000" w:themeColor="text1"/>
                <w:sz w:val="21"/>
                <w:szCs w:val="21"/>
                <w14:textFill>
                  <w14:solidFill>
                    <w14:schemeClr w14:val="tx1"/>
                  </w14:solidFill>
                </w14:textFill>
              </w:rPr>
              <w:sym w:font="Wingdings 2" w:char="00A3"/>
            </w:r>
          </w:p>
        </w:tc>
        <w:tc>
          <w:tcPr>
            <w:tcW w:w="529" w:type="pct"/>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ADMS</w:t>
            </w:r>
            <w:r>
              <w:rPr>
                <w:rFonts w:hint="eastAsia"/>
                <w:color w:val="000000" w:themeColor="text1"/>
                <w:sz w:val="21"/>
                <w:szCs w:val="21"/>
                <w14:textFill>
                  <w14:solidFill>
                    <w14:schemeClr w14:val="tx1"/>
                  </w14:solidFill>
                </w14:textFill>
              </w:rPr>
              <w:t>□</w:t>
            </w:r>
          </w:p>
        </w:tc>
        <w:tc>
          <w:tcPr>
            <w:tcW w:w="839" w:type="pct"/>
            <w:gridSpan w:val="3"/>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AUSTAL2000</w:t>
            </w:r>
            <w:r>
              <w:rPr>
                <w:rFonts w:hint="eastAsia"/>
                <w:color w:val="000000" w:themeColor="text1"/>
                <w:sz w:val="21"/>
                <w:szCs w:val="21"/>
                <w14:textFill>
                  <w14:solidFill>
                    <w14:schemeClr w14:val="tx1"/>
                  </w14:solidFill>
                </w14:textFill>
              </w:rPr>
              <w:t>□</w:t>
            </w:r>
          </w:p>
        </w:tc>
        <w:tc>
          <w:tcPr>
            <w:tcW w:w="823" w:type="pct"/>
            <w:gridSpan w:val="2"/>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EDMS/AEDT</w:t>
            </w:r>
            <w:r>
              <w:rPr>
                <w:rFonts w:hint="eastAsia"/>
                <w:color w:val="000000" w:themeColor="text1"/>
                <w:sz w:val="21"/>
                <w:szCs w:val="21"/>
                <w14:textFill>
                  <w14:solidFill>
                    <w14:schemeClr w14:val="tx1"/>
                  </w14:solidFill>
                </w14:textFill>
              </w:rPr>
              <w:t>□</w:t>
            </w:r>
          </w:p>
        </w:tc>
        <w:tc>
          <w:tcPr>
            <w:tcW w:w="684" w:type="pct"/>
            <w:gridSpan w:val="2"/>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CALPUFF</w:t>
            </w:r>
            <w:r>
              <w:rPr>
                <w:rFonts w:hint="eastAsia"/>
                <w:color w:val="000000" w:themeColor="text1"/>
                <w:sz w:val="21"/>
                <w:szCs w:val="21"/>
                <w14:textFill>
                  <w14:solidFill>
                    <w14:schemeClr w14:val="tx1"/>
                  </w14:solidFill>
                </w14:textFill>
              </w:rPr>
              <w:t>□</w:t>
            </w:r>
          </w:p>
        </w:tc>
        <w:tc>
          <w:tcPr>
            <w:tcW w:w="331"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网格模型□</w:t>
            </w:r>
          </w:p>
        </w:tc>
        <w:tc>
          <w:tcPr>
            <w:tcW w:w="341"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预测范围</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边长≥</w:t>
            </w:r>
            <w:r>
              <w:rPr>
                <w:color w:val="000000" w:themeColor="text1"/>
                <w:sz w:val="21"/>
                <w:szCs w:val="21"/>
                <w14:textFill>
                  <w14:solidFill>
                    <w14:schemeClr w14:val="tx1"/>
                  </w14:solidFill>
                </w14:textFill>
              </w:rPr>
              <w:t>50km</w:t>
            </w:r>
            <w:r>
              <w:rPr>
                <w:rFonts w:hint="eastAsia"/>
                <w:color w:val="000000" w:themeColor="text1"/>
                <w:sz w:val="21"/>
                <w:szCs w:val="21"/>
                <w14:textFill>
                  <w14:solidFill>
                    <w14:schemeClr w14:val="tx1"/>
                  </w14:solidFill>
                </w14:textFill>
              </w:rPr>
              <w:t>□</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边长</w:t>
            </w:r>
            <w:r>
              <w:rPr>
                <w:color w:val="000000" w:themeColor="text1"/>
                <w:sz w:val="21"/>
                <w:szCs w:val="21"/>
                <w14:textFill>
                  <w14:solidFill>
                    <w14:schemeClr w14:val="tx1"/>
                  </w14:solidFill>
                </w14:textFill>
              </w:rPr>
              <w:t>5~50km</w:t>
            </w:r>
            <w:r>
              <w:rPr>
                <w:rFonts w:hint="eastAsia"/>
                <w:color w:val="000000" w:themeColor="text1"/>
                <w:sz w:val="21"/>
                <w:szCs w:val="21"/>
                <w14:textFill>
                  <w14:solidFill>
                    <w14:schemeClr w14:val="tx1"/>
                  </w14:solidFill>
                </w14:textFill>
              </w:rPr>
              <w:t>□</w:t>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边长=5km</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eq \o\ac(</w:instrText>
            </w:r>
            <w:r>
              <w:rPr>
                <w:color w:val="000000" w:themeColor="text1"/>
                <w:position w:val="-4"/>
                <w:sz w:val="31"/>
                <w:szCs w:val="21"/>
                <w14:textFill>
                  <w14:solidFill>
                    <w14:schemeClr w14:val="tx1"/>
                  </w14:solidFill>
                </w14:textFill>
              </w:rPr>
              <w:instrText xml:space="preserve">□</w:instrText>
            </w:r>
            <w:r>
              <w:rPr>
                <w:color w:val="000000" w:themeColor="text1"/>
                <w:sz w:val="21"/>
                <w:szCs w:val="21"/>
                <w14:textFill>
                  <w14:solidFill>
                    <w14:schemeClr w14:val="tx1"/>
                  </w14:solidFill>
                </w14:textFill>
              </w:rPr>
              <w:instrText xml:space="preserve">,√)</w:instrTex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预测因子</w:t>
            </w:r>
          </w:p>
        </w:tc>
        <w:tc>
          <w:tcPr>
            <w:tcW w:w="2759" w:type="pct"/>
            <w:gridSpan w:val="7"/>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预测因子（/）</w:t>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包括二次</w:t>
            </w:r>
            <w:r>
              <w:rPr>
                <w:color w:val="000000" w:themeColor="text1"/>
                <w:sz w:val="21"/>
                <w:szCs w:val="21"/>
                <w14:textFill>
                  <w14:solidFill>
                    <w14:schemeClr w14:val="tx1"/>
                  </w14:solidFill>
                </w14:textFill>
              </w:rPr>
              <w:t>PM</w:t>
            </w:r>
            <w:r>
              <w:rPr>
                <w:color w:val="000000" w:themeColor="text1"/>
                <w:sz w:val="21"/>
                <w:szCs w:val="21"/>
                <w:vertAlign w:val="subscript"/>
                <w14:textFill>
                  <w14:solidFill>
                    <w14:schemeClr w14:val="tx1"/>
                  </w14:solidFill>
                </w14:textFill>
              </w:rPr>
              <w:t>2.5</w:t>
            </w:r>
            <w:r>
              <w:rPr>
                <w:rFonts w:hint="eastAsia"/>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br w:type="textWrapping"/>
            </w:r>
            <w:r>
              <w:rPr>
                <w:rFonts w:hint="eastAsia"/>
                <w:color w:val="000000" w:themeColor="text1"/>
                <w:sz w:val="21"/>
                <w:szCs w:val="21"/>
                <w14:textFill>
                  <w14:solidFill>
                    <w14:schemeClr w14:val="tx1"/>
                  </w14:solidFill>
                </w14:textFill>
              </w:rPr>
              <w:t>不包括二次</w:t>
            </w:r>
            <w:r>
              <w:rPr>
                <w:color w:val="000000" w:themeColor="text1"/>
                <w:sz w:val="21"/>
                <w:szCs w:val="21"/>
                <w14:textFill>
                  <w14:solidFill>
                    <w14:schemeClr w14:val="tx1"/>
                  </w14:solidFill>
                </w14:textFill>
              </w:rPr>
              <w:t>PM</w:t>
            </w:r>
            <w:r>
              <w:rPr>
                <w:color w:val="000000" w:themeColor="text1"/>
                <w:sz w:val="21"/>
                <w:szCs w:val="21"/>
                <w:vertAlign w:val="subscript"/>
                <w14:textFill>
                  <w14:solidFill>
                    <w14:schemeClr w14:val="tx1"/>
                  </w14:solidFill>
                </w14:textFill>
              </w:rPr>
              <w:t>2.5</w:t>
            </w:r>
            <w:r>
              <w:rPr>
                <w:rFonts w:hint="eastAsia"/>
                <w:color w:val="000000" w:themeColor="text1"/>
                <w:sz w:val="21"/>
                <w:szCs w:val="21"/>
                <w14:textFill>
                  <w14:solidFill>
                    <w14:schemeClr w14:val="tx1"/>
                  </w14:solidFill>
                </w14:textFill>
              </w:rPr>
              <w:sym w:font="Wingdings 2" w:char="F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正常排放短期浓度贡献值</w:t>
            </w:r>
          </w:p>
        </w:tc>
        <w:tc>
          <w:tcPr>
            <w:tcW w:w="2759" w:type="pct"/>
            <w:gridSpan w:val="7"/>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14:textFill>
                  <w14:solidFill>
                    <w14:schemeClr w14:val="tx1"/>
                  </w14:solidFill>
                </w14:textFill>
              </w:rPr>
              <w:t>本项目最大占标率≤</w:t>
            </w:r>
            <w:r>
              <w:rPr>
                <w:color w:val="000000" w:themeColor="text1"/>
                <w:sz w:val="21"/>
                <w:szCs w:val="21"/>
                <w14:textFill>
                  <w14:solidFill>
                    <w14:schemeClr w14:val="tx1"/>
                  </w14:solidFill>
                </w14:textFill>
              </w:rPr>
              <w:t>100%</w:t>
            </w:r>
            <w:r>
              <w:rPr>
                <w:rFonts w:hint="eastAsia"/>
                <w:color w:val="000000" w:themeColor="text1"/>
                <w:sz w:val="21"/>
                <w:szCs w:val="21"/>
                <w14:textFill>
                  <w14:solidFill>
                    <w14:schemeClr w14:val="tx1"/>
                  </w14:solidFill>
                </w14:textFill>
              </w:rPr>
              <w:sym w:font="Wingdings 2" w:char="00A3"/>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14:textFill>
                  <w14:solidFill>
                    <w14:schemeClr w14:val="tx1"/>
                  </w14:solidFill>
                </w14:textFill>
              </w:rPr>
              <w:t>本项目最大占标率</w:t>
            </w:r>
            <w:r>
              <w:rPr>
                <w:color w:val="000000" w:themeColor="text1"/>
                <w:sz w:val="21"/>
                <w:szCs w:val="21"/>
                <w14:textFill>
                  <w14:solidFill>
                    <w14:schemeClr w14:val="tx1"/>
                  </w14:solidFill>
                </w14:textFill>
              </w:rPr>
              <w:t>&gt;100%</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正常排放年均浓度贡献值</w:t>
            </w:r>
          </w:p>
        </w:tc>
        <w:tc>
          <w:tcPr>
            <w:tcW w:w="1095"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一类区</w:t>
            </w:r>
          </w:p>
        </w:tc>
        <w:tc>
          <w:tcPr>
            <w:tcW w:w="1663" w:type="pct"/>
            <w:gridSpan w:val="5"/>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vertAlign w:val="subscript"/>
                <w14:textFill>
                  <w14:solidFill>
                    <w14:schemeClr w14:val="tx1"/>
                  </w14:solidFill>
                </w14:textFill>
              </w:rPr>
              <w:t>本项目</w:t>
            </w:r>
            <w:r>
              <w:rPr>
                <w:rFonts w:hint="eastAsia"/>
                <w:color w:val="000000" w:themeColor="text1"/>
                <w:sz w:val="21"/>
                <w:szCs w:val="21"/>
                <w14:textFill>
                  <w14:solidFill>
                    <w14:schemeClr w14:val="tx1"/>
                  </w14:solidFill>
                </w14:textFill>
              </w:rPr>
              <w:t>最大占标率≤</w:t>
            </w:r>
            <w:r>
              <w:rPr>
                <w:color w:val="000000" w:themeColor="text1"/>
                <w:sz w:val="21"/>
                <w:szCs w:val="21"/>
                <w14:textFill>
                  <w14:solidFill>
                    <w14:schemeClr w14:val="tx1"/>
                  </w14:solidFill>
                </w14:textFill>
              </w:rPr>
              <w:t>10%</w:t>
            </w:r>
            <w:r>
              <w:rPr>
                <w:rFonts w:hint="eastAsia"/>
                <w:color w:val="000000" w:themeColor="text1"/>
                <w:sz w:val="21"/>
                <w:szCs w:val="21"/>
                <w14:textFill>
                  <w14:solidFill>
                    <w14:schemeClr w14:val="tx1"/>
                  </w14:solidFill>
                </w14:textFill>
              </w:rPr>
              <w:t>□</w:t>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vertAlign w:val="subscript"/>
                <w14:textFill>
                  <w14:solidFill>
                    <w14:schemeClr w14:val="tx1"/>
                  </w14:solidFill>
                </w14:textFill>
              </w:rPr>
              <w:t>本项目</w:t>
            </w:r>
            <w:r>
              <w:rPr>
                <w:rFonts w:hint="eastAsia"/>
                <w:color w:val="000000" w:themeColor="text1"/>
                <w:sz w:val="21"/>
                <w:szCs w:val="21"/>
                <w14:textFill>
                  <w14:solidFill>
                    <w14:schemeClr w14:val="tx1"/>
                  </w14:solidFill>
                </w14:textFill>
              </w:rPr>
              <w:t>最大占标率</w:t>
            </w:r>
            <w:r>
              <w:rPr>
                <w:color w:val="000000" w:themeColor="text1"/>
                <w:sz w:val="21"/>
                <w:szCs w:val="21"/>
                <w14:textFill>
                  <w14:solidFill>
                    <w14:schemeClr w14:val="tx1"/>
                  </w14:solidFill>
                </w14:textFill>
              </w:rPr>
              <w:t>&gt;10%</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vMerge w:val="continue"/>
            <w:vAlign w:val="center"/>
          </w:tcPr>
          <w:p>
            <w:pPr>
              <w:pStyle w:val="64"/>
              <w:rPr>
                <w:color w:val="000000" w:themeColor="text1"/>
                <w:sz w:val="21"/>
                <w:szCs w:val="21"/>
                <w14:textFill>
                  <w14:solidFill>
                    <w14:schemeClr w14:val="tx1"/>
                  </w14:solidFill>
                </w14:textFill>
              </w:rPr>
            </w:pPr>
          </w:p>
        </w:tc>
        <w:tc>
          <w:tcPr>
            <w:tcW w:w="1095"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二类区</w:t>
            </w:r>
          </w:p>
        </w:tc>
        <w:tc>
          <w:tcPr>
            <w:tcW w:w="1663" w:type="pct"/>
            <w:gridSpan w:val="5"/>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vertAlign w:val="subscript"/>
                <w14:textFill>
                  <w14:solidFill>
                    <w14:schemeClr w14:val="tx1"/>
                  </w14:solidFill>
                </w14:textFill>
              </w:rPr>
              <w:t>本项目</w:t>
            </w:r>
            <w:r>
              <w:rPr>
                <w:rFonts w:hint="eastAsia"/>
                <w:color w:val="000000" w:themeColor="text1"/>
                <w:sz w:val="21"/>
                <w:szCs w:val="21"/>
                <w14:textFill>
                  <w14:solidFill>
                    <w14:schemeClr w14:val="tx1"/>
                  </w14:solidFill>
                </w14:textFill>
              </w:rPr>
              <w:t>最大占标率≤</w:t>
            </w:r>
            <w:r>
              <w:rPr>
                <w:color w:val="000000" w:themeColor="text1"/>
                <w:sz w:val="21"/>
                <w:szCs w:val="21"/>
                <w14:textFill>
                  <w14:solidFill>
                    <w14:schemeClr w14:val="tx1"/>
                  </w14:solidFill>
                </w14:textFill>
              </w:rPr>
              <w:t>30%</w:t>
            </w:r>
            <w:r>
              <w:rPr>
                <w:rFonts w:hint="eastAsia"/>
                <w:color w:val="000000" w:themeColor="text1"/>
                <w:sz w:val="21"/>
                <w:szCs w:val="21"/>
                <w14:textFill>
                  <w14:solidFill>
                    <w14:schemeClr w14:val="tx1"/>
                  </w14:solidFill>
                </w14:textFill>
              </w:rPr>
              <w:sym w:font="Wingdings 2" w:char="00A3"/>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vertAlign w:val="subscript"/>
                <w14:textFill>
                  <w14:solidFill>
                    <w14:schemeClr w14:val="tx1"/>
                  </w14:solidFill>
                </w14:textFill>
              </w:rPr>
              <w:t>本项目</w:t>
            </w:r>
            <w:r>
              <w:rPr>
                <w:rFonts w:hint="eastAsia"/>
                <w:color w:val="000000" w:themeColor="text1"/>
                <w:sz w:val="21"/>
                <w:szCs w:val="21"/>
                <w14:textFill>
                  <w14:solidFill>
                    <w14:schemeClr w14:val="tx1"/>
                  </w14:solidFill>
                </w14:textFill>
              </w:rPr>
              <w:t>最大占标率</w:t>
            </w:r>
            <w:r>
              <w:rPr>
                <w:color w:val="000000" w:themeColor="text1"/>
                <w:sz w:val="21"/>
                <w:szCs w:val="21"/>
                <w14:textFill>
                  <w14:solidFill>
                    <w14:schemeClr w14:val="tx1"/>
                  </w14:solidFill>
                </w14:textFill>
              </w:rPr>
              <w:t>&gt;30%</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非正常</w:t>
            </w:r>
            <w:r>
              <w:rPr>
                <w:color w:val="000000" w:themeColor="text1"/>
                <w:sz w:val="21"/>
                <w:szCs w:val="21"/>
                <w14:textFill>
                  <w14:solidFill>
                    <w14:schemeClr w14:val="tx1"/>
                  </w14:solidFill>
                </w14:textFill>
              </w:rPr>
              <w:t>1h</w:t>
            </w:r>
            <w:r>
              <w:rPr>
                <w:rFonts w:hint="eastAsia"/>
                <w:color w:val="000000" w:themeColor="text1"/>
                <w:sz w:val="21"/>
                <w:szCs w:val="21"/>
                <w14:textFill>
                  <w14:solidFill>
                    <w14:schemeClr w14:val="tx1"/>
                  </w14:solidFill>
                </w14:textFill>
              </w:rPr>
              <w:t>浓度贡献值</w:t>
            </w:r>
          </w:p>
        </w:tc>
        <w:tc>
          <w:tcPr>
            <w:tcW w:w="1447"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非正常持续时长</w:t>
            </w:r>
            <w:r>
              <w:rPr>
                <w:rFonts w:hint="eastAsia"/>
                <w:color w:val="000000" w:themeColor="text1"/>
                <w:sz w:val="21"/>
                <w:szCs w:val="21"/>
                <w14:textFill>
                  <w14:solidFill>
                    <w14:schemeClr w14:val="tx1"/>
                  </w14:solidFill>
                </w14:textFill>
              </w:rPr>
              <w:br w:type="textWrapping"/>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h</w:t>
            </w:r>
          </w:p>
        </w:tc>
        <w:tc>
          <w:tcPr>
            <w:tcW w:w="1995" w:type="pct"/>
            <w:gridSpan w:val="5"/>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vertAlign w:val="subscript"/>
                <w14:textFill>
                  <w14:solidFill>
                    <w14:schemeClr w14:val="tx1"/>
                  </w14:solidFill>
                </w14:textFill>
              </w:rPr>
              <w:t>非正常</w:t>
            </w:r>
            <w:r>
              <w:rPr>
                <w:rFonts w:hint="eastAsia"/>
                <w:color w:val="000000" w:themeColor="text1"/>
                <w:sz w:val="21"/>
                <w:szCs w:val="21"/>
                <w14:textFill>
                  <w14:solidFill>
                    <w14:schemeClr w14:val="tx1"/>
                  </w14:solidFill>
                </w14:textFill>
              </w:rPr>
              <w:t>占标率≤</w:t>
            </w:r>
            <w:r>
              <w:rPr>
                <w:color w:val="000000" w:themeColor="text1"/>
                <w:sz w:val="21"/>
                <w:szCs w:val="21"/>
                <w14:textFill>
                  <w14:solidFill>
                    <w14:schemeClr w14:val="tx1"/>
                  </w14:solidFill>
                </w14:textFill>
              </w:rPr>
              <w:t>100%</w:t>
            </w:r>
            <w:r>
              <w:rPr>
                <w:rFonts w:hint="eastAsia"/>
                <w:color w:val="000000" w:themeColor="text1"/>
                <w:sz w:val="21"/>
                <w:szCs w:val="21"/>
                <w14:textFill>
                  <w14:solidFill>
                    <w14:schemeClr w14:val="tx1"/>
                  </w14:solidFill>
                </w14:textFill>
              </w:rPr>
              <w:sym w:font="Wingdings 2" w:char="00A3"/>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vertAlign w:val="subscript"/>
                <w14:textFill>
                  <w14:solidFill>
                    <w14:schemeClr w14:val="tx1"/>
                  </w14:solidFill>
                </w14:textFill>
              </w:rPr>
              <w:t>非正常</w:t>
            </w:r>
            <w:r>
              <w:rPr>
                <w:rFonts w:hint="eastAsia"/>
                <w:color w:val="000000" w:themeColor="text1"/>
                <w:sz w:val="21"/>
                <w:szCs w:val="21"/>
                <w14:textFill>
                  <w14:solidFill>
                    <w14:schemeClr w14:val="tx1"/>
                  </w14:solidFill>
                </w14:textFill>
              </w:rPr>
              <w:t>占标率</w:t>
            </w:r>
            <w:r>
              <w:rPr>
                <w:color w:val="000000" w:themeColor="text1"/>
                <w:sz w:val="21"/>
                <w:szCs w:val="21"/>
                <w14:textFill>
                  <w14:solidFill>
                    <w14:schemeClr w14:val="tx1"/>
                  </w14:solidFill>
                </w14:textFill>
              </w:rPr>
              <w:t>&gt;100%</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保证率日平均浓度和年平均浓度叠加值</w:t>
            </w:r>
          </w:p>
        </w:tc>
        <w:tc>
          <w:tcPr>
            <w:tcW w:w="2759" w:type="pct"/>
            <w:gridSpan w:val="7"/>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14:textFill>
                  <w14:solidFill>
                    <w14:schemeClr w14:val="tx1"/>
                  </w14:solidFill>
                </w14:textFill>
              </w:rPr>
              <w:t>叠加达标</w:t>
            </w:r>
            <w:r>
              <w:rPr>
                <w:rFonts w:hint="eastAsia"/>
                <w:color w:val="000000" w:themeColor="text1"/>
                <w:sz w:val="21"/>
                <w:szCs w:val="21"/>
                <w14:textFill>
                  <w14:solidFill>
                    <w14:schemeClr w14:val="tx1"/>
                  </w14:solidFill>
                </w14:textFill>
              </w:rPr>
              <w:sym w:font="Wingdings 2" w:char="00A3"/>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w:t>
            </w:r>
            <w:r>
              <w:rPr>
                <w:rFonts w:hint="eastAsia"/>
                <w:color w:val="000000" w:themeColor="text1"/>
                <w:sz w:val="21"/>
                <w:szCs w:val="21"/>
                <w14:textFill>
                  <w14:solidFill>
                    <w14:schemeClr w14:val="tx1"/>
                  </w14:solidFill>
                </w14:textFill>
              </w:rPr>
              <w:t>叠加不达标□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区域环境质量的整体变化情况</w:t>
            </w:r>
          </w:p>
        </w:tc>
        <w:tc>
          <w:tcPr>
            <w:tcW w:w="2759" w:type="pct"/>
            <w:gridSpan w:val="7"/>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k</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-20%</w:t>
            </w:r>
            <w:r>
              <w:rPr>
                <w:rFonts w:hint="eastAsia"/>
                <w:color w:val="000000" w:themeColor="text1"/>
                <w:sz w:val="21"/>
                <w:szCs w:val="21"/>
                <w14:textFill>
                  <w14:solidFill>
                    <w14:schemeClr w14:val="tx1"/>
                  </w14:solidFill>
                </w14:textFill>
              </w:rPr>
              <w:t>□</w:t>
            </w:r>
          </w:p>
        </w:tc>
        <w:tc>
          <w:tcPr>
            <w:tcW w:w="1357" w:type="pct"/>
            <w:gridSpan w:val="4"/>
            <w:shd w:val="clear" w:color="auto" w:fill="auto"/>
            <w:vAlign w:val="center"/>
          </w:tcPr>
          <w:p>
            <w:pPr>
              <w:pStyle w:val="6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k&gt;-20%</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2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环境监测计划</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污染源监测</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监测因子（颗粒物、二氧化硫、氮氧化物、汞及其化合物、烟气黑度、氨气、硫化氢、臭气浓度）</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有组织废气监测</w:t>
            </w:r>
            <w:r>
              <w:rPr>
                <w:rFonts w:hint="eastAsia"/>
                <w:color w:val="000000" w:themeColor="text1"/>
                <w:sz w:val="21"/>
                <w:szCs w:val="21"/>
                <w14:textFill>
                  <w14:solidFill>
                    <w14:schemeClr w14:val="tx1"/>
                  </w14:solidFill>
                </w14:textFill>
              </w:rPr>
              <w:sym w:font="Wingdings 2" w:char="F052"/>
            </w:r>
            <w:r>
              <w:rPr>
                <w:rFonts w:hint="eastAsia"/>
                <w:color w:val="000000" w:themeColor="text1"/>
                <w:sz w:val="21"/>
                <w:szCs w:val="21"/>
                <w14:textFill>
                  <w14:solidFill>
                    <w14:schemeClr w14:val="tx1"/>
                  </w14:solidFill>
                </w14:textFill>
              </w:rPr>
              <w:br w:type="textWrapping"/>
            </w:r>
            <w:r>
              <w:rPr>
                <w:rFonts w:hint="eastAsia"/>
                <w:color w:val="000000" w:themeColor="text1"/>
                <w:sz w:val="21"/>
                <w:szCs w:val="21"/>
                <w14:textFill>
                  <w14:solidFill>
                    <w14:schemeClr w14:val="tx1"/>
                  </w14:solidFill>
                </w14:textFill>
              </w:rPr>
              <w:t>无组织废气监测</w:t>
            </w:r>
            <w:r>
              <w:rPr>
                <w:rFonts w:hint="eastAsia"/>
                <w:color w:val="000000" w:themeColor="text1"/>
                <w:sz w:val="21"/>
                <w:szCs w:val="21"/>
                <w14:textFill>
                  <w14:solidFill>
                    <w14:schemeClr w14:val="tx1"/>
                  </w14:solidFill>
                </w14:textFill>
              </w:rPr>
              <w:sym w:font="Wingdings 2" w:char="F052"/>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环境质量监测</w:t>
            </w:r>
          </w:p>
        </w:tc>
        <w:tc>
          <w:tcPr>
            <w:tcW w:w="1935" w:type="pct"/>
            <w:gridSpan w:val="5"/>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监测因子（</w:t>
            </w:r>
            <w:r>
              <w:rPr>
                <w:rFonts w:hint="eastAsia" w:cs="宋体"/>
                <w:kern w:val="0"/>
                <w:sz w:val="21"/>
                <w:szCs w:val="21"/>
              </w:rPr>
              <w:t>/</w:t>
            </w:r>
            <w:r>
              <w:rPr>
                <w:rFonts w:hint="eastAsia"/>
                <w:color w:val="000000" w:themeColor="text1"/>
                <w:sz w:val="21"/>
                <w:szCs w:val="21"/>
                <w14:textFill>
                  <w14:solidFill>
                    <w14:schemeClr w14:val="tx1"/>
                  </w14:solidFill>
                </w14:textFill>
              </w:rPr>
              <w:t>）</w:t>
            </w:r>
          </w:p>
        </w:tc>
        <w:tc>
          <w:tcPr>
            <w:tcW w:w="1508" w:type="pct"/>
            <w:gridSpan w:val="4"/>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监测点位数（/）</w:t>
            </w:r>
          </w:p>
        </w:tc>
        <w:tc>
          <w:tcPr>
            <w:tcW w:w="673" w:type="pct"/>
            <w:gridSpan w:val="2"/>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restar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评价结论</w:t>
            </w: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环境影响</w:t>
            </w:r>
          </w:p>
        </w:tc>
        <w:tc>
          <w:tcPr>
            <w:tcW w:w="4117" w:type="pct"/>
            <w:gridSpan w:val="11"/>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可以接受</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sym w:font="Wingdings 2" w:char="F052"/>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不可以接受</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大气环境防护距离</w:t>
            </w:r>
          </w:p>
        </w:tc>
        <w:tc>
          <w:tcPr>
            <w:tcW w:w="4117" w:type="pct"/>
            <w:gridSpan w:val="11"/>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距（</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厂界最远（</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6" w:type="pct"/>
            <w:vMerge w:val="continue"/>
            <w:vAlign w:val="center"/>
          </w:tcPr>
          <w:p>
            <w:pPr>
              <w:pStyle w:val="64"/>
              <w:rPr>
                <w:color w:val="000000" w:themeColor="text1"/>
                <w:sz w:val="21"/>
                <w:szCs w:val="21"/>
                <w14:textFill>
                  <w14:solidFill>
                    <w14:schemeClr w14:val="tx1"/>
                  </w14:solidFill>
                </w14:textFill>
              </w:rPr>
            </w:pPr>
          </w:p>
        </w:tc>
        <w:tc>
          <w:tcPr>
            <w:tcW w:w="656" w:type="pct"/>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污染源年排放量</w:t>
            </w:r>
          </w:p>
        </w:tc>
        <w:tc>
          <w:tcPr>
            <w:tcW w:w="1295" w:type="pct"/>
            <w:gridSpan w:val="3"/>
            <w:shd w:val="clear" w:color="auto" w:fill="auto"/>
            <w:vAlign w:val="center"/>
          </w:tcPr>
          <w:p>
            <w:pPr>
              <w:pStyle w:val="64"/>
              <w:rPr>
                <w:sz w:val="21"/>
                <w:szCs w:val="21"/>
              </w:rPr>
            </w:pPr>
            <w:r>
              <w:rPr>
                <w:sz w:val="21"/>
                <w:szCs w:val="21"/>
              </w:rPr>
              <w:t>SO</w:t>
            </w:r>
            <w:r>
              <w:rPr>
                <w:sz w:val="21"/>
                <w:szCs w:val="21"/>
                <w:vertAlign w:val="subscript"/>
              </w:rPr>
              <w:t>2</w:t>
            </w:r>
            <w:r>
              <w:rPr>
                <w:sz w:val="21"/>
                <w:szCs w:val="21"/>
              </w:rPr>
              <w:t>:(</w:t>
            </w:r>
            <w:r>
              <w:rPr>
                <w:rFonts w:hint="eastAsia"/>
                <w:sz w:val="21"/>
                <w:szCs w:val="21"/>
                <w:lang w:val="en-US" w:eastAsia="zh-CN"/>
              </w:rPr>
              <w:t xml:space="preserve"> </w:t>
            </w:r>
            <w:r>
              <w:rPr>
                <w:sz w:val="21"/>
                <w:szCs w:val="21"/>
              </w:rPr>
              <w:t>)t/a</w:t>
            </w:r>
          </w:p>
        </w:tc>
        <w:tc>
          <w:tcPr>
            <w:tcW w:w="779" w:type="pct"/>
            <w:gridSpan w:val="3"/>
            <w:shd w:val="clear" w:color="auto" w:fill="auto"/>
            <w:vAlign w:val="center"/>
          </w:tcPr>
          <w:p>
            <w:pPr>
              <w:pStyle w:val="64"/>
              <w:rPr>
                <w:sz w:val="21"/>
                <w:szCs w:val="21"/>
              </w:rPr>
            </w:pPr>
            <w:r>
              <w:rPr>
                <w:sz w:val="21"/>
                <w:szCs w:val="21"/>
              </w:rPr>
              <w:t>NOx:(</w:t>
            </w:r>
            <w:r>
              <w:rPr>
                <w:rFonts w:hint="eastAsia"/>
                <w:sz w:val="21"/>
                <w:szCs w:val="21"/>
              </w:rPr>
              <w:t xml:space="preserve"> </w:t>
            </w:r>
            <w:r>
              <w:rPr>
                <w:rFonts w:hint="eastAsia"/>
                <w:sz w:val="21"/>
                <w:szCs w:val="21"/>
                <w:lang w:val="en-US" w:eastAsia="zh-CN"/>
              </w:rPr>
              <w:t xml:space="preserve"> </w:t>
            </w:r>
            <w:r>
              <w:rPr>
                <w:sz w:val="21"/>
                <w:szCs w:val="21"/>
              </w:rPr>
              <w:t>)t/a</w:t>
            </w:r>
          </w:p>
        </w:tc>
        <w:tc>
          <w:tcPr>
            <w:tcW w:w="1065" w:type="pct"/>
            <w:gridSpan w:val="2"/>
            <w:shd w:val="clear" w:color="auto" w:fill="auto"/>
            <w:vAlign w:val="center"/>
          </w:tcPr>
          <w:p>
            <w:pPr>
              <w:pStyle w:val="64"/>
              <w:rPr>
                <w:sz w:val="21"/>
                <w:szCs w:val="21"/>
              </w:rPr>
            </w:pPr>
            <w:r>
              <w:rPr>
                <w:rFonts w:hint="eastAsia"/>
                <w:sz w:val="21"/>
                <w:szCs w:val="21"/>
              </w:rPr>
              <w:t>颗粒物</w:t>
            </w:r>
            <w:r>
              <w:rPr>
                <w:sz w:val="21"/>
                <w:szCs w:val="21"/>
              </w:rPr>
              <w:t>:(</w:t>
            </w:r>
            <w:r>
              <w:rPr>
                <w:rFonts w:hint="eastAsia"/>
                <w:sz w:val="21"/>
                <w:szCs w:val="21"/>
              </w:rPr>
              <w:t>0.11</w:t>
            </w:r>
            <w:r>
              <w:rPr>
                <w:sz w:val="21"/>
                <w:szCs w:val="21"/>
              </w:rPr>
              <w:t>)t/a</w:t>
            </w:r>
          </w:p>
        </w:tc>
        <w:tc>
          <w:tcPr>
            <w:tcW w:w="977" w:type="pct"/>
            <w:gridSpan w:val="3"/>
            <w:shd w:val="clear" w:color="auto" w:fill="auto"/>
            <w:vAlign w:val="center"/>
          </w:tcPr>
          <w:p>
            <w:pPr>
              <w:pStyle w:val="64"/>
              <w:rPr>
                <w:sz w:val="21"/>
                <w:szCs w:val="21"/>
              </w:rPr>
            </w:pPr>
            <w:r>
              <w:rPr>
                <w:sz w:val="21"/>
                <w:szCs w:val="21"/>
              </w:rPr>
              <w:t>VOCs:()t/a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13"/>
            <w:shd w:val="clear" w:color="auto" w:fill="auto"/>
            <w:vAlign w:val="center"/>
          </w:tcPr>
          <w:p>
            <w:pPr>
              <w:pStyle w:val="64"/>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注：</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，填</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为内容填写项</w:t>
            </w:r>
          </w:p>
        </w:tc>
      </w:tr>
    </w:tbl>
    <w:p>
      <w:pPr>
        <w:ind w:firstLine="480"/>
        <w:sectPr>
          <w:pgSz w:w="16838" w:h="11906" w:orient="landscape"/>
          <w:pgMar w:top="1701" w:right="1418" w:bottom="1418" w:left="1247" w:header="851" w:footer="680" w:gutter="0"/>
          <w:pgNumType w:fmt="decimal"/>
          <w:cols w:space="720" w:num="1"/>
          <w:docGrid w:linePitch="326" w:charSpace="0"/>
        </w:sectPr>
      </w:pPr>
    </w:p>
    <w:p>
      <w:pPr>
        <w:pStyle w:val="4"/>
      </w:pPr>
      <w:r>
        <w:rPr>
          <w:rFonts w:hint="eastAsia"/>
        </w:rPr>
        <w:t>运营期水环境影响预测与分析</w:t>
      </w:r>
    </w:p>
    <w:p>
      <w:pPr>
        <w:pStyle w:val="5"/>
      </w:pPr>
      <w:r>
        <w:rPr>
          <w:rFonts w:hint="eastAsia"/>
        </w:rPr>
        <w:t>项目运行期排水情况</w:t>
      </w:r>
    </w:p>
    <w:p>
      <w:pPr>
        <w:ind w:firstLine="480"/>
        <w:rPr>
          <w:rFonts w:ascii="宋体" w:hAnsi="宋体" w:cs="宋体"/>
        </w:rPr>
      </w:pPr>
      <w:r>
        <w:rPr>
          <w:rFonts w:ascii="宋体" w:hAnsi="宋体" w:cs="宋体"/>
        </w:rPr>
        <w:t>本项目</w:t>
      </w:r>
      <w:r>
        <w:rPr>
          <w:rFonts w:hint="eastAsia" w:ascii="宋体" w:hAnsi="宋体" w:cs="宋体"/>
        </w:rPr>
        <w:t>产生的废水为生活污水、养尿和无害化冷凝水</w:t>
      </w:r>
      <w:r>
        <w:rPr>
          <w:rFonts w:ascii="宋体" w:hAnsi="宋体" w:cs="宋体"/>
        </w:rPr>
        <w:t>。</w:t>
      </w:r>
    </w:p>
    <w:p>
      <w:pPr>
        <w:ind w:firstLine="480"/>
        <w:rPr>
          <w:rFonts w:hint="eastAsia"/>
          <w:color w:val="FF0000"/>
          <w:szCs w:val="21"/>
          <w:lang w:val="zh-CN"/>
        </w:rPr>
      </w:pPr>
      <w:r>
        <w:rPr>
          <w:color w:val="auto"/>
        </w:rPr>
        <w:t>生活污水排</w:t>
      </w:r>
      <w:r>
        <w:rPr>
          <w:rFonts w:hint="eastAsia"/>
          <w:color w:val="auto"/>
        </w:rPr>
        <w:t>水</w:t>
      </w:r>
      <w:r>
        <w:rPr>
          <w:color w:val="auto"/>
        </w:rPr>
        <w:t>量</w:t>
      </w:r>
      <w:r>
        <w:rPr>
          <w:rFonts w:hint="eastAsia"/>
        </w:rPr>
        <w:t>21.6</w:t>
      </w:r>
      <w:r>
        <w:t>m</w:t>
      </w:r>
      <w:r>
        <w:rPr>
          <w:rFonts w:hint="eastAsia"/>
          <w:vertAlign w:val="superscript"/>
        </w:rPr>
        <w:t>3</w:t>
      </w:r>
      <w:r>
        <w:t>/d</w:t>
      </w:r>
      <w:r>
        <w:rPr>
          <w:rFonts w:hint="eastAsia"/>
        </w:rPr>
        <w:t>（7884</w:t>
      </w:r>
      <w:r>
        <w:t>m</w:t>
      </w:r>
      <w:r>
        <w:rPr>
          <w:rFonts w:hint="eastAsia"/>
          <w:vertAlign w:val="superscript"/>
        </w:rPr>
        <w:t>3</w:t>
      </w:r>
      <w:r>
        <w:t>/a</w:t>
      </w:r>
      <w:r>
        <w:rPr>
          <w:rFonts w:hint="eastAsia"/>
        </w:rPr>
        <w:t>），</w:t>
      </w:r>
      <w:r>
        <w:rPr>
          <w:rFonts w:hint="eastAsia" w:ascii="Times New Roman" w:eastAsia="宋体"/>
          <w:color w:val="FF0000"/>
          <w:szCs w:val="21"/>
          <w:lang w:val="zh-CN"/>
        </w:rPr>
        <w:t>经化粪池处理后定期委托</w:t>
      </w:r>
      <w:r>
        <w:rPr>
          <w:rFonts w:hint="eastAsia"/>
          <w:color w:val="FF0000"/>
          <w:szCs w:val="21"/>
          <w:highlight w:val="green"/>
          <w:lang w:val="zh-CN"/>
        </w:rPr>
        <w:t>五原县塔尔湖污水处理厂</w:t>
      </w:r>
      <w:r>
        <w:rPr>
          <w:rFonts w:hint="eastAsia" w:ascii="Times New Roman" w:eastAsia="宋体"/>
          <w:color w:val="FF0000"/>
          <w:szCs w:val="21"/>
          <w:lang w:val="zh-CN"/>
        </w:rPr>
        <w:t>采用罐车清运处理</w:t>
      </w:r>
      <w:r>
        <w:rPr>
          <w:rFonts w:hint="eastAsia"/>
          <w:color w:val="FF0000"/>
          <w:szCs w:val="21"/>
          <w:lang w:val="zh-CN"/>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羊尿排放量为</w:t>
      </w:r>
      <w:r>
        <w:rPr>
          <w:rFonts w:hint="eastAsia"/>
          <w:color w:val="000000" w:themeColor="text1"/>
          <w:lang w:val="en-US" w:eastAsia="zh-CN"/>
          <w14:textFill>
            <w14:solidFill>
              <w14:schemeClr w14:val="tx1"/>
            </w14:solidFill>
          </w14:textFill>
        </w:rPr>
        <w:t>220550t/a（夏季尿液产生量660t/d，冬季尿液产生量为550t/d）</w:t>
      </w:r>
      <w:r>
        <w:rPr>
          <w:rFonts w:hint="eastAsia"/>
          <w:color w:val="000000" w:themeColor="text1"/>
          <w14:textFill>
            <w14:solidFill>
              <w14:schemeClr w14:val="tx1"/>
            </w14:solidFill>
          </w14:textFill>
        </w:rPr>
        <w:t>，该部分尿液随粪便</w:t>
      </w:r>
      <w:r>
        <w:rPr>
          <w:rFonts w:hint="eastAsia" w:ascii="Times New Roman" w:eastAsia="宋体"/>
          <w:color w:val="auto"/>
          <w:szCs w:val="21"/>
          <w:lang w:eastAsia="zh-CN"/>
        </w:rPr>
        <w:t>（</w:t>
      </w:r>
      <w:r>
        <w:rPr>
          <w:rFonts w:hint="eastAsia" w:ascii="Times New Roman" w:eastAsia="宋体"/>
          <w:color w:val="auto"/>
          <w:szCs w:val="21"/>
          <w:lang w:val="en-US" w:eastAsia="zh-CN"/>
        </w:rPr>
        <w:t>机械清理</w:t>
      </w:r>
      <w:r>
        <w:rPr>
          <w:rFonts w:hint="eastAsia" w:ascii="Times New Roman" w:eastAsia="宋体"/>
          <w:color w:val="auto"/>
          <w:szCs w:val="21"/>
          <w:lang w:eastAsia="zh-CN"/>
        </w:rPr>
        <w:t>）</w:t>
      </w:r>
      <w:r>
        <w:rPr>
          <w:rFonts w:ascii="Times New Roman" w:eastAsia="宋体"/>
          <w:color w:val="auto"/>
          <w:szCs w:val="21"/>
        </w:rPr>
        <w:t>，集中收集到羊舍外</w:t>
      </w:r>
      <w:r>
        <w:rPr>
          <w:rFonts w:hint="eastAsia" w:ascii="Times New Roman" w:eastAsia="宋体"/>
          <w:color w:val="auto"/>
          <w:szCs w:val="21"/>
          <w:lang w:val="en-US" w:eastAsia="zh-CN"/>
        </w:rPr>
        <w:t>直接装车拉运，</w:t>
      </w:r>
      <w:r>
        <w:rPr>
          <w:rFonts w:ascii="Times New Roman" w:eastAsia="宋体"/>
          <w:color w:val="auto"/>
          <w:szCs w:val="21"/>
        </w:rPr>
        <w:t>通过车辆运输至有机肥</w:t>
      </w:r>
      <w:r>
        <w:rPr>
          <w:rFonts w:hint="eastAsia" w:ascii="Times New Roman" w:eastAsia="宋体"/>
          <w:color w:val="auto"/>
          <w:szCs w:val="21"/>
          <w:lang w:val="en-US" w:eastAsia="zh-CN"/>
        </w:rPr>
        <w:t>堆场，进行有机肥制作</w:t>
      </w:r>
      <w:r>
        <w:rPr>
          <w:rFonts w:hint="eastAsia"/>
          <w:color w:val="000000" w:themeColor="text1"/>
          <w14:textFill>
            <w14:solidFill>
              <w14:schemeClr w14:val="tx1"/>
            </w14:solidFill>
          </w14:textFill>
        </w:rPr>
        <w:t>。</w:t>
      </w:r>
    </w:p>
    <w:p>
      <w:pPr>
        <w:ind w:firstLine="480"/>
      </w:pPr>
      <w:r>
        <w:rPr>
          <w:rFonts w:hint="eastAsia"/>
        </w:rPr>
        <w:t>本项目冷凝废水产生量为11.5t/a，</w:t>
      </w:r>
      <w:r>
        <w:rPr>
          <w:rFonts w:hint="eastAsia"/>
          <w:color w:val="000000" w:themeColor="text1"/>
          <w14:textFill>
            <w14:solidFill>
              <w14:schemeClr w14:val="tx1"/>
            </w14:solidFill>
          </w14:textFill>
        </w:rPr>
        <w:t>用于有机肥生产补水，不外排</w:t>
      </w:r>
      <w:r>
        <w:rPr>
          <w:rFonts w:hint="eastAsia"/>
        </w:rPr>
        <w:t>。</w:t>
      </w:r>
    </w:p>
    <w:p>
      <w:pPr>
        <w:pStyle w:val="5"/>
      </w:pPr>
      <w:r>
        <w:rPr>
          <w:rFonts w:hint="eastAsia"/>
        </w:rPr>
        <w:t>运营期地表水环境影响预测与分析</w:t>
      </w:r>
    </w:p>
    <w:p>
      <w:pPr>
        <w:widowControl/>
        <w:ind w:firstLine="480"/>
        <w:jc w:val="left"/>
      </w:pPr>
      <w:r>
        <w:rPr>
          <w:rFonts w:hint="eastAsia" w:ascii="宋体" w:hAnsi="宋体" w:cs="宋体"/>
          <w:color w:val="000000"/>
          <w:kern w:val="0"/>
          <w:lang w:bidi="ar"/>
        </w:rPr>
        <w:t>本项目属于</w:t>
      </w:r>
      <w:r>
        <w:rPr>
          <w:color w:val="000000"/>
          <w:kern w:val="0"/>
          <w:lang w:bidi="ar"/>
        </w:rPr>
        <w:t>A03</w:t>
      </w:r>
      <w:r>
        <w:rPr>
          <w:rFonts w:hint="eastAsia" w:ascii="宋体" w:hAnsi="宋体" w:cs="宋体"/>
          <w:color w:val="000000"/>
          <w:kern w:val="0"/>
          <w:lang w:bidi="ar"/>
        </w:rPr>
        <w:t>畜牧业，为水污染影响型建设项目。</w:t>
      </w:r>
    </w:p>
    <w:p>
      <w:pPr>
        <w:ind w:firstLine="480"/>
      </w:pPr>
      <w:r>
        <w:rPr>
          <w:rFonts w:hint="eastAsia" w:ascii="宋体" w:hAnsi="宋体" w:cs="宋体"/>
          <w:color w:val="000000"/>
          <w:kern w:val="0"/>
          <w:lang w:bidi="ar"/>
        </w:rPr>
        <w:t>根据《环境影响评价技术导则 地表水环境》（</w:t>
      </w:r>
      <w:r>
        <w:rPr>
          <w:color w:val="000000"/>
          <w:kern w:val="0"/>
          <w:lang w:bidi="ar"/>
        </w:rPr>
        <w:t>HJ2.3-2018</w:t>
      </w:r>
      <w:r>
        <w:rPr>
          <w:rFonts w:hint="eastAsia" w:ascii="宋体" w:hAnsi="宋体" w:cs="宋体"/>
          <w:color w:val="000000"/>
          <w:kern w:val="0"/>
          <w:lang w:bidi="ar"/>
        </w:rPr>
        <w:t>）“建设项目生产工艺中有废水产生，但作为回水利用，不排放到外环境的，按三级</w:t>
      </w:r>
      <w:r>
        <w:rPr>
          <w:color w:val="000000"/>
          <w:kern w:val="0"/>
          <w:lang w:bidi="ar"/>
        </w:rPr>
        <w:t>B</w:t>
      </w:r>
      <w:r>
        <w:rPr>
          <w:rFonts w:hint="eastAsia" w:ascii="宋体" w:hAnsi="宋体" w:cs="宋体"/>
          <w:color w:val="000000"/>
          <w:kern w:val="0"/>
          <w:lang w:bidi="ar"/>
        </w:rPr>
        <w:t>评价”，</w:t>
      </w:r>
      <w:r>
        <w:rPr>
          <w:rFonts w:hint="eastAsia"/>
        </w:rPr>
        <w:t>项目无废水外排，则地表水评价等级为三级B，根据《环境影响评价技术导则地面水》（HJ/T2.3-2018）中有关规定，水污染影响型三级B评价可不进行水环境影响预测，只需简要说明所排放的污染物的类型和数量、给排水状况、排水去向等，并进行一些简单的环境影响分析。</w:t>
      </w:r>
    </w:p>
    <w:p>
      <w:pPr>
        <w:ind w:firstLine="480"/>
        <w:rPr>
          <w:rFonts w:hint="eastAsia"/>
          <w:color w:val="000000" w:themeColor="text1"/>
          <w14:textFill>
            <w14:solidFill>
              <w14:schemeClr w14:val="tx1"/>
            </w14:solidFill>
          </w14:textFill>
        </w:rPr>
      </w:pPr>
      <w:bookmarkStart w:id="161" w:name="_Hlk91372315"/>
      <w:r>
        <w:rPr>
          <w:rFonts w:hint="eastAsia"/>
          <w:color w:val="000000" w:themeColor="text1"/>
          <w14:textFill>
            <w14:solidFill>
              <w14:schemeClr w14:val="tx1"/>
            </w14:solidFill>
          </w14:textFill>
        </w:rPr>
        <w:t>本项目不对羊舍进行清洗，羊尿液随粪便一起进入积粪池，最终进入</w:t>
      </w:r>
      <w:r>
        <w:rPr>
          <w:rFonts w:hint="eastAsia"/>
          <w:color w:val="92D050"/>
          <w:lang w:eastAsia="zh-CN"/>
        </w:rPr>
        <w:t>有机肥堆场</w:t>
      </w:r>
      <w:r>
        <w:rPr>
          <w:rFonts w:hint="eastAsia"/>
          <w:color w:val="000000" w:themeColor="text1"/>
          <w14:textFill>
            <w14:solidFill>
              <w14:schemeClr w14:val="tx1"/>
            </w14:solidFill>
          </w14:textFill>
        </w:rPr>
        <w:t>生产有机肥，生活污水经管道排入化粪池预处理，</w:t>
      </w:r>
      <w:bookmarkEnd w:id="161"/>
      <w:r>
        <w:rPr>
          <w:rFonts w:hint="eastAsia" w:ascii="Times New Roman" w:eastAsia="宋体"/>
          <w:color w:val="FF0000"/>
          <w:szCs w:val="21"/>
          <w:lang w:val="zh-CN"/>
        </w:rPr>
        <w:t>经化粪池处理后定期委托</w:t>
      </w:r>
      <w:r>
        <w:rPr>
          <w:rFonts w:hint="eastAsia"/>
          <w:color w:val="FF0000"/>
          <w:szCs w:val="21"/>
          <w:highlight w:val="green"/>
          <w:lang w:val="zh-CN"/>
        </w:rPr>
        <w:t>五原县塔尔湖污水处理厂</w:t>
      </w:r>
      <w:r>
        <w:rPr>
          <w:rFonts w:hint="eastAsia" w:ascii="Times New Roman" w:eastAsia="宋体"/>
          <w:color w:val="FF0000"/>
          <w:szCs w:val="21"/>
          <w:lang w:val="zh-CN"/>
        </w:rPr>
        <w:t>采用罐车清运处理</w:t>
      </w:r>
      <w:r>
        <w:rPr>
          <w:rFonts w:hint="eastAsia"/>
          <w:color w:val="000000" w:themeColor="text1"/>
          <w14:textFill>
            <w14:solidFill>
              <w14:schemeClr w14:val="tx1"/>
            </w14:solidFill>
          </w14:textFill>
        </w:rPr>
        <w:t>。</w:t>
      </w:r>
    </w:p>
    <w:p>
      <w:pPr>
        <w:spacing w:line="360" w:lineRule="auto"/>
        <w:ind w:firstLine="480" w:firstLineChars="200"/>
        <w:rPr>
          <w:color w:val="auto"/>
          <w:sz w:val="24"/>
        </w:rPr>
      </w:pPr>
      <w:r>
        <w:rPr>
          <w:color w:val="auto"/>
          <w:sz w:val="24"/>
        </w:rPr>
        <w:t>环保部、农业部2016年10月联合印发的《畜禽养殖禁养区划定技术指南》明确指出，养殖场将畜禽粪便等废弃物依法合规进行还田等利用不造成环境污染的，不属于排放污染物。</w:t>
      </w:r>
      <w:r>
        <w:rPr>
          <w:color w:val="auto"/>
          <w:sz w:val="24"/>
          <w:szCs w:val="24"/>
        </w:rPr>
        <w:t>因此，项目运营期污水对周边环境的影响较小。</w:t>
      </w:r>
    </w:p>
    <w:p>
      <w:pPr>
        <w:pStyle w:val="5"/>
      </w:pPr>
      <w:r>
        <w:rPr>
          <w:rFonts w:hint="eastAsia"/>
        </w:rPr>
        <w:t>运营期地下水环境影响预测与分析</w:t>
      </w:r>
    </w:p>
    <w:p>
      <w:pPr>
        <w:bidi w:val="0"/>
      </w:pPr>
      <w:r>
        <w:rPr>
          <w:rFonts w:hint="eastAsia"/>
        </w:rPr>
        <w:t>根据《环境影响评价技术导则</w:t>
      </w:r>
      <w:r>
        <w:t>—</w:t>
      </w:r>
      <w:r>
        <w:rPr>
          <w:rFonts w:hint="eastAsia"/>
        </w:rPr>
        <w:t>地下水环境》（</w:t>
      </w:r>
      <w:r>
        <w:t>HJ610-2016</w:t>
      </w:r>
      <w:r>
        <w:rPr>
          <w:rFonts w:hint="eastAsia"/>
        </w:rPr>
        <w:t>）判定，项目属Ⅲ类项目，区域地下水环境较敏感。因此，项目评价工作等级为三级。因此对地下水环境影响分析主要是在调查了解区域及场区附近地质及地下水埋藏资料的基础上进行的。</w:t>
      </w:r>
    </w:p>
    <w:p>
      <w:pPr>
        <w:bidi w:val="0"/>
      </w:pPr>
      <w:r>
        <w:rPr>
          <w:rFonts w:hint="eastAsia"/>
        </w:rPr>
        <w:t>（1）区域水文条件</w:t>
      </w:r>
    </w:p>
    <w:p>
      <w:pPr>
        <w:bidi w:val="0"/>
      </w:pPr>
      <w:r>
        <w:rPr>
          <w:rFonts w:hint="eastAsia"/>
        </w:rPr>
        <w:t>①水文地层及构造</w:t>
      </w:r>
    </w:p>
    <w:p>
      <w:pPr>
        <w:bidi w:val="0"/>
      </w:pPr>
      <w:r>
        <w:t>五原所处区域主要含水层为上更新统～全新统砂层，其下部中更新统为隔水底板。上述地层由老至新描述如下：</w:t>
      </w:r>
    </w:p>
    <w:p>
      <w:pPr>
        <w:bidi w:val="0"/>
      </w:pPr>
      <w:r>
        <w:rPr>
          <w:rFonts w:hint="eastAsia"/>
        </w:rPr>
        <w:t>I中更新统（Q2）</w:t>
      </w:r>
    </w:p>
    <w:p>
      <w:pPr>
        <w:bidi w:val="0"/>
      </w:pPr>
      <w:r>
        <w:t>岩性为黑灰色、兰灰色、青灰色厚层淤泥、淤泥质粘土或砂粘土，微层理明显，富含腐植质，属湖相沉积。揭露最大厚度 8.27m。其顶板产状与区域产状相一致，大体向北及西北倾斜。</w:t>
      </w:r>
    </w:p>
    <w:p>
      <w:pPr>
        <w:bidi w:val="0"/>
      </w:pPr>
      <w:r>
        <w:rPr>
          <w:rFonts w:hint="eastAsia"/>
        </w:rPr>
        <w:t>II</w:t>
      </w:r>
      <w:r>
        <w:t>上更新统（Q3）</w:t>
      </w:r>
    </w:p>
    <w:p>
      <w:pPr>
        <w:bidi w:val="0"/>
      </w:pPr>
      <w:r>
        <w:t>据钻孔揭露，上更新厚度为 59.72～90.93m，由于沉积岩相和岩性的不同，可分为上下两个岩性段。</w:t>
      </w:r>
    </w:p>
    <w:p>
      <w:pPr>
        <w:bidi w:val="0"/>
      </w:pPr>
      <w:r>
        <w:rPr>
          <w:rFonts w:hint="eastAsia"/>
        </w:rPr>
        <w:t>i</w:t>
      </w:r>
      <w:r>
        <w:t>下岩段（Q31）：岩性以黄灰色、灰色细砂、细粉砂、粉砂为主，夹2～3层粘性土薄层，粘性土层分布较广，局部地区相对较稳定。区内该岩段厚为22.07～48.11m，夹层厚度一般＜3m。局部地段底部淤泥质成份增高。该段以湖相沉积为主，整合覆盖于中更新统（Q2）之上。</w:t>
      </w:r>
    </w:p>
    <w:p>
      <w:pPr>
        <w:bidi w:val="0"/>
      </w:pPr>
      <w:r>
        <w:rPr>
          <w:rFonts w:hint="eastAsia"/>
        </w:rPr>
        <w:t>ii</w:t>
      </w:r>
      <w:r>
        <w:t>上岩段（Q32）：岩性以黄色、灰黄色细砂、中细砂、粉细砂为主，夹1～2层粘性土薄层。该段厚24.4～43.9m，夹层厚一般＜2m。该岩段是在湖水逐渐退缩，由湖相沉积逐渐过渡为河流相沉积的过程中形成的以河流冲积相为主的河湖相沉积。</w:t>
      </w:r>
    </w:p>
    <w:p>
      <w:pPr>
        <w:bidi w:val="0"/>
      </w:pPr>
      <w:r>
        <w:t>无论上岩段或下岩段，上更新统岩性均较为单一，以中厚砂层为主。上岩段与下岩段相比较，上岩段颜色较浅，岩性较粗，粘性土夹层较少。区内上更新统沉积厚度在水平方向上的变化是：南薄北厚，南部厚约50～60m，向北增厚，北部最厚达90.93m。在东西方向上变化不明显。</w:t>
      </w:r>
    </w:p>
    <w:p>
      <w:pPr>
        <w:bidi w:val="0"/>
      </w:pPr>
      <w:r>
        <w:rPr>
          <w:rFonts w:hint="eastAsia"/>
        </w:rPr>
        <w:t>III</w:t>
      </w:r>
      <w:r>
        <w:t>全新统（Q4）</w:t>
      </w:r>
    </w:p>
    <w:p>
      <w:pPr>
        <w:bidi w:val="0"/>
      </w:pPr>
      <w:r>
        <w:t>全新世沉积物在地表普遍分布，最大厚度达25.26m。岩性上部为黄色、桔黄色粘砂土、砂粘土、粘土或夹薄层粉砂互层，形成粘砂土覆盖层；下部为粉细砂、中细砂，局部含砾。沉积物主要为河流冲积形成，具上细下粗的二元结构特征。覆盖层以粘砂土为主，最厚达4.6m。</w:t>
      </w:r>
    </w:p>
    <w:p>
      <w:pPr>
        <w:bidi w:val="0"/>
      </w:pPr>
      <w:r>
        <w:t>项目区范围内浅层地下水全区赋存，其含水层由上更新统至全新统所组成，并构成含水层组。分述如下：</w:t>
      </w:r>
    </w:p>
    <w:p>
      <w:pPr>
        <w:bidi w:val="0"/>
      </w:pPr>
      <w:r>
        <w:rPr>
          <w:rFonts w:hint="eastAsia"/>
        </w:rPr>
        <w:t>i</w:t>
      </w:r>
      <w:r>
        <w:t>全新统含水层</w:t>
      </w:r>
    </w:p>
    <w:p>
      <w:pPr>
        <w:bidi w:val="0"/>
      </w:pPr>
      <w:r>
        <w:t>分布于该含水层组最上部，厚度6.1～24.91m，岩性为黄、枯黄色中细砂、细中砂，局部含砾，结构松散，分选均匀。其顶部绝大部分地区为粘砂土或砂粘土与粉砂互层所覆盖，形成上细下粗的二元结构，粘砂土覆盖层厚一般3～5m。由于绝大部分地区含水层顶部有粘性土覆盖层，使本区地下水具微承压性质，但压力水头不高，一般称为半承压水。</w:t>
      </w:r>
    </w:p>
    <w:p>
      <w:pPr>
        <w:bidi w:val="0"/>
      </w:pPr>
      <w:r>
        <w:rPr>
          <w:rFonts w:hint="eastAsia"/>
        </w:rPr>
        <w:t>ii</w:t>
      </w:r>
      <w:r>
        <w:t>上更新统含水层</w:t>
      </w:r>
    </w:p>
    <w:p>
      <w:pPr>
        <w:bidi w:val="0"/>
      </w:pPr>
      <w:r>
        <w:t>厚度 57.24～85.39m，依据岩相及岩性特征的不同，可分两段：</w:t>
      </w:r>
    </w:p>
    <w:p>
      <w:pPr>
        <w:bidi w:val="0"/>
      </w:pPr>
      <w:r>
        <w:t>A上段（Q32）</w:t>
      </w:r>
    </w:p>
    <w:p>
      <w:pPr>
        <w:bidi w:val="0"/>
      </w:pPr>
      <w:r>
        <w:t>岩性以黄、灰黄色细砂、中细砂、细中砂为主，结构松散，分选均匀，厚度23.47～41.70m，其间偶夹1～2层薄层粘土或砂粘土、粘性土透镜体，夹层厚度一般＜2m。</w:t>
      </w:r>
    </w:p>
    <w:p>
      <w:pPr>
        <w:bidi w:val="0"/>
      </w:pPr>
      <w:r>
        <w:t>B下段（Q31）</w:t>
      </w:r>
    </w:p>
    <w:p>
      <w:pPr>
        <w:bidi w:val="0"/>
      </w:pPr>
      <w:r>
        <w:t>岩性主要为黄灰、灰色细砂、粉细砂、粉砂或粉砂，厚度18.34～35.77m，其间夹2～3 层薄层粘性土透镜体，夹层厚度一般＜3m。局部地段底部淤泥质成份增高。</w:t>
      </w:r>
    </w:p>
    <w:p>
      <w:pPr>
        <w:bidi w:val="0"/>
      </w:pPr>
      <w:r>
        <w:t>下段含水层直接覆盖于中更新统厚层湖积淤泥质粘土之上，由于淤泥质粘土厚度大、分布广，其隔水性又很强，成为底部隔水边界，使浅层地下水与深层地下水无水力联系，亦不存在越流现象。</w:t>
      </w:r>
    </w:p>
    <w:p>
      <w:pPr>
        <w:bidi w:val="0"/>
      </w:pPr>
      <w:r>
        <w:t>全新统及上更新统上、下段含水层之间，虽有薄层粘性土夹层，但夹层多呈透镜状，分布不稳定，全新统及上更新统上、下段含水层在区域上成为具有水力联系的统一水位的含水层组，故称作上更新统～全新统含水层组。</w:t>
      </w:r>
    </w:p>
    <w:p>
      <w:pPr>
        <w:bidi w:val="0"/>
      </w:pPr>
      <w:r>
        <w:t>上更新统～全新统含水层组，其岩性以细砂为主，含水层组厚度，由南向北逐渐增厚，在黄河边为50～60m，在县城区附近含水层组厚度55.24～85.39m；水位埋深0.5～2.5m；砂厚率由南向北逐渐增高，南部黄河边＜70%。</w:t>
      </w:r>
    </w:p>
    <w:p>
      <w:pPr>
        <w:bidi w:val="0"/>
      </w:pPr>
      <w:r>
        <w:rPr>
          <w:rFonts w:hint="eastAsia"/>
        </w:rPr>
        <w:t>②</w:t>
      </w:r>
      <w:r>
        <w:t xml:space="preserve">地下水补排规律及水化特征 </w:t>
      </w:r>
    </w:p>
    <w:p>
      <w:pPr>
        <w:bidi w:val="0"/>
      </w:pPr>
      <w:r>
        <w:t xml:space="preserve">地下水补给、径流主要受气候、地貌、水文地质条件和人为活动的控制。河套平原是一个地处干旱气候带的引黄灌区，地形平缓，含水层颗粒细，降水稀少，蒸发强烈，引黄量大。这些因素对地下水的形成和运动有深刻影响。 </w:t>
      </w:r>
    </w:p>
    <w:p>
      <w:pPr>
        <w:bidi w:val="0"/>
      </w:pPr>
      <w:r>
        <w:rPr>
          <w:rFonts w:hint="eastAsia"/>
        </w:rPr>
        <w:t>I</w:t>
      </w:r>
      <w:r>
        <w:t xml:space="preserve">地下水的补给条件 </w:t>
      </w:r>
    </w:p>
    <w:p>
      <w:pPr>
        <w:bidi w:val="0"/>
      </w:pPr>
      <w:r>
        <w:t xml:space="preserve">在地下水的形成条件上，具有区域性的主要补给是引黄水量的入渗补给，其次为降水入渗补给。同时还有来自山区地下径流和黄河侧向补给，但是这两项补给具有一定的地带性。 </w:t>
      </w:r>
    </w:p>
    <w:p>
      <w:pPr>
        <w:bidi w:val="0"/>
      </w:pPr>
      <w:r>
        <w:rPr>
          <w:rFonts w:hint="eastAsia"/>
        </w:rPr>
        <w:t>II</w:t>
      </w:r>
      <w:r>
        <w:t xml:space="preserve">地下水的径流条件 </w:t>
      </w:r>
    </w:p>
    <w:p>
      <w:pPr>
        <w:bidi w:val="0"/>
      </w:pPr>
      <w:r>
        <w:t>地下水的径流条件主要受地貌、气候和含水层地质特征的影响。因此，地下水的运动以垂直交替为主要特征。河套地区在地形及地质构造上为一个封闭的盆地，其地形平缓、含水层颗粒细、水力坡度小，地下水径流条件较差，地下水没有水平的排泄出路，主要是垂直入渗补给，而以垂直蒸发消耗。区域地下水流向自西南向北东折向东，构成地表水和地下水的局部排泄带。</w:t>
      </w:r>
    </w:p>
    <w:p>
      <w:pPr>
        <w:bidi w:val="0"/>
        <w:rPr>
          <w:rFonts w:hint="eastAsia"/>
          <w:color w:val="FF0000"/>
          <w:lang w:val="en-US" w:eastAsia="zh-CN"/>
        </w:rPr>
      </w:pPr>
      <w:r>
        <w:rPr>
          <w:rFonts w:hint="eastAsia"/>
          <w:color w:val="FF0000"/>
          <w:lang w:eastAsia="zh-CN"/>
        </w:rPr>
        <w:t>（</w:t>
      </w:r>
      <w:r>
        <w:rPr>
          <w:rFonts w:hint="eastAsia"/>
          <w:color w:val="FF0000"/>
          <w:lang w:val="en-US" w:eastAsia="zh-CN"/>
        </w:rPr>
        <w:t>2</w:t>
      </w:r>
      <w:r>
        <w:rPr>
          <w:rFonts w:hint="eastAsia"/>
          <w:color w:val="FF0000"/>
          <w:lang w:eastAsia="zh-CN"/>
        </w:rPr>
        <w:t>）</w:t>
      </w:r>
      <w:r>
        <w:rPr>
          <w:rFonts w:hint="eastAsia"/>
          <w:color w:val="FF0000"/>
        </w:rPr>
        <w:t>地下水</w:t>
      </w:r>
      <w:r>
        <w:rPr>
          <w:rFonts w:hint="eastAsia"/>
          <w:color w:val="FF0000"/>
          <w:lang w:val="en-US" w:eastAsia="zh-CN"/>
        </w:rPr>
        <w:t>环境影响分析</w:t>
      </w:r>
    </w:p>
    <w:p>
      <w:pPr>
        <w:bidi w:val="0"/>
        <w:rPr>
          <w:color w:val="FF0000"/>
        </w:rPr>
      </w:pPr>
      <w:r>
        <w:rPr>
          <w:color w:val="FF0000"/>
        </w:rPr>
        <w:t>根据本项目工艺流程和总平面布置，本次对项目厂区所有工程单元逐单元进行地下水污染风险识别。地下水污染风险识别结果见表</w:t>
      </w:r>
      <w:r>
        <w:rPr>
          <w:rFonts w:hint="eastAsia"/>
          <w:color w:val="FF0000"/>
          <w:lang w:val="en-US" w:eastAsia="zh-CN"/>
        </w:rPr>
        <w:t>5.2.2-1</w:t>
      </w:r>
      <w:r>
        <w:rPr>
          <w:color w:val="FF0000"/>
        </w:rPr>
        <w:t>。</w:t>
      </w:r>
    </w:p>
    <w:p>
      <w:pPr>
        <w:pStyle w:val="6"/>
        <w:bidi w:val="0"/>
        <w:rPr>
          <w:color w:val="FF0000"/>
        </w:rPr>
      </w:pPr>
      <w:r>
        <w:rPr>
          <w:color w:val="FF0000"/>
        </w:rPr>
        <w:t>表</w:t>
      </w:r>
      <w:r>
        <w:rPr>
          <w:rFonts w:hint="eastAsia"/>
          <w:color w:val="FF0000"/>
          <w:lang w:val="en-US" w:eastAsia="zh-CN"/>
        </w:rPr>
        <w:t xml:space="preserve">5.2.2-1   </w:t>
      </w:r>
      <w:r>
        <w:rPr>
          <w:color w:val="FF0000"/>
        </w:rPr>
        <w:t>地下水污染风险识别结果一览表</w:t>
      </w:r>
    </w:p>
    <w:tbl>
      <w:tblPr>
        <w:tblStyle w:val="3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2"/>
        <w:gridCol w:w="2164"/>
        <w:gridCol w:w="5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FF0000"/>
                <w:sz w:val="21"/>
                <w:szCs w:val="21"/>
              </w:rPr>
            </w:pPr>
            <w:r>
              <w:rPr>
                <w:b/>
                <w:bCs/>
                <w:color w:val="FF0000"/>
                <w:sz w:val="21"/>
                <w:szCs w:val="21"/>
              </w:rPr>
              <w:t>污染源</w:t>
            </w:r>
          </w:p>
        </w:tc>
        <w:tc>
          <w:tcPr>
            <w:tcW w:w="1202"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FF0000"/>
                <w:sz w:val="21"/>
                <w:szCs w:val="21"/>
              </w:rPr>
            </w:pPr>
            <w:r>
              <w:rPr>
                <w:b/>
                <w:bCs/>
                <w:color w:val="FF0000"/>
                <w:sz w:val="21"/>
                <w:szCs w:val="21"/>
              </w:rPr>
              <w:t>污染途径</w:t>
            </w:r>
          </w:p>
        </w:tc>
        <w:tc>
          <w:tcPr>
            <w:tcW w:w="3045"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b/>
                <w:bCs/>
                <w:color w:val="FF0000"/>
                <w:sz w:val="21"/>
                <w:szCs w:val="21"/>
              </w:rPr>
            </w:pPr>
            <w:r>
              <w:rPr>
                <w:b/>
                <w:bCs/>
                <w:color w:val="FF0000"/>
                <w:sz w:val="21"/>
                <w:szCs w:val="21"/>
              </w:rPr>
              <w:t>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羊舍</w:t>
            </w:r>
          </w:p>
        </w:tc>
        <w:tc>
          <w:tcPr>
            <w:tcW w:w="1202"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羊舍地面渗漏</w:t>
            </w:r>
          </w:p>
        </w:tc>
        <w:tc>
          <w:tcPr>
            <w:tcW w:w="304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羊舍位于防渗地坪之上，一般不会下渗污染地下水。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eastAsia" w:eastAsia="宋体"/>
                <w:color w:val="FF0000"/>
                <w:sz w:val="21"/>
                <w:szCs w:val="21"/>
                <w:lang w:eastAsia="zh-CN"/>
              </w:rPr>
            </w:pPr>
            <w:r>
              <w:rPr>
                <w:rFonts w:hint="eastAsia"/>
                <w:color w:val="FF0000"/>
                <w:sz w:val="21"/>
                <w:szCs w:val="21"/>
                <w:lang w:eastAsia="zh-CN"/>
              </w:rPr>
              <w:t>有机有机肥堆场</w:t>
            </w:r>
          </w:p>
        </w:tc>
        <w:tc>
          <w:tcPr>
            <w:tcW w:w="1202"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无废水产生</w:t>
            </w:r>
          </w:p>
        </w:tc>
        <w:tc>
          <w:tcPr>
            <w:tcW w:w="304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羊有机</w:t>
            </w:r>
            <w:r>
              <w:rPr>
                <w:rFonts w:hint="eastAsia"/>
                <w:color w:val="FF0000"/>
                <w:sz w:val="21"/>
                <w:szCs w:val="21"/>
                <w:lang w:eastAsia="zh-CN"/>
              </w:rPr>
              <w:t>有机肥堆场</w:t>
            </w:r>
            <w:r>
              <w:rPr>
                <w:color w:val="FF0000"/>
                <w:sz w:val="21"/>
                <w:szCs w:val="21"/>
              </w:rPr>
              <w:t>位于防渗地坪之上，一般不会下渗污染地下水。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eastAsia"/>
                <w:color w:val="FF0000"/>
                <w:sz w:val="21"/>
                <w:szCs w:val="21"/>
                <w:lang w:val="en-US" w:eastAsia="zh-CN"/>
              </w:rPr>
            </w:pPr>
            <w:r>
              <w:rPr>
                <w:rFonts w:hint="eastAsia"/>
                <w:color w:val="FF0000"/>
                <w:sz w:val="21"/>
                <w:szCs w:val="21"/>
                <w:lang w:val="en-US" w:eastAsia="zh-CN"/>
              </w:rPr>
              <w:t>医疗废物</w:t>
            </w:r>
          </w:p>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暂存间</w:t>
            </w:r>
          </w:p>
        </w:tc>
        <w:tc>
          <w:tcPr>
            <w:tcW w:w="1202"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无废水产生</w:t>
            </w:r>
          </w:p>
        </w:tc>
        <w:tc>
          <w:tcPr>
            <w:tcW w:w="304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一般不会污染地下水。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eastAsia="宋体"/>
                <w:color w:val="FF0000"/>
                <w:sz w:val="21"/>
                <w:szCs w:val="21"/>
                <w:lang w:val="en-US" w:eastAsia="zh-CN"/>
              </w:rPr>
            </w:pPr>
            <w:r>
              <w:rPr>
                <w:rFonts w:hint="eastAsia"/>
                <w:color w:val="FF0000"/>
                <w:sz w:val="21"/>
                <w:szCs w:val="21"/>
                <w:lang w:val="en-US" w:eastAsia="zh-CN"/>
              </w:rPr>
              <w:t>动物无害化车间</w:t>
            </w:r>
          </w:p>
        </w:tc>
        <w:tc>
          <w:tcPr>
            <w:tcW w:w="1202"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kern w:val="2"/>
                <w:sz w:val="21"/>
                <w:szCs w:val="21"/>
                <w:lang w:val="en-US" w:eastAsia="zh-CN" w:bidi="ar-SA"/>
              </w:rPr>
            </w:pPr>
            <w:r>
              <w:rPr>
                <w:color w:val="FF0000"/>
                <w:sz w:val="21"/>
                <w:szCs w:val="21"/>
              </w:rPr>
              <w:t>无废水产生</w:t>
            </w:r>
          </w:p>
        </w:tc>
        <w:tc>
          <w:tcPr>
            <w:tcW w:w="304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kern w:val="2"/>
                <w:sz w:val="21"/>
                <w:szCs w:val="21"/>
                <w:lang w:val="en-US" w:eastAsia="zh-CN" w:bidi="ar-SA"/>
              </w:rPr>
            </w:pPr>
            <w:r>
              <w:rPr>
                <w:color w:val="FF0000"/>
                <w:sz w:val="21"/>
                <w:szCs w:val="21"/>
              </w:rPr>
              <w:t>一般不会污染地下水。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化粪池</w:t>
            </w:r>
          </w:p>
        </w:tc>
        <w:tc>
          <w:tcPr>
            <w:tcW w:w="1202"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可能发生</w:t>
            </w:r>
            <w:r>
              <w:rPr>
                <w:rFonts w:hint="eastAsia"/>
                <w:color w:val="FF0000"/>
                <w:sz w:val="21"/>
                <w:szCs w:val="21"/>
                <w:lang w:eastAsia="zh-CN"/>
              </w:rPr>
              <w:t>“</w:t>
            </w:r>
            <w:r>
              <w:rPr>
                <w:color w:val="FF0000"/>
                <w:sz w:val="21"/>
                <w:szCs w:val="21"/>
              </w:rPr>
              <w:t>跑、冒、滴、漏</w:t>
            </w:r>
            <w:r>
              <w:rPr>
                <w:rFonts w:hint="eastAsia"/>
                <w:color w:val="FF0000"/>
                <w:sz w:val="21"/>
                <w:szCs w:val="21"/>
                <w:lang w:eastAsia="zh-CN"/>
              </w:rPr>
              <w:t>”</w:t>
            </w:r>
            <w:r>
              <w:rPr>
                <w:color w:val="FF0000"/>
                <w:sz w:val="21"/>
                <w:szCs w:val="21"/>
              </w:rPr>
              <w:t>下渗污染地下水</w:t>
            </w:r>
          </w:p>
        </w:tc>
        <w:tc>
          <w:tcPr>
            <w:tcW w:w="3045" w:type="pct"/>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color w:val="FF0000"/>
                <w:sz w:val="21"/>
                <w:szCs w:val="21"/>
              </w:rPr>
            </w:pPr>
            <w:r>
              <w:rPr>
                <w:color w:val="FF0000"/>
                <w:sz w:val="21"/>
                <w:szCs w:val="21"/>
              </w:rPr>
              <w:t>一般不会下渗污染地下水。</w:t>
            </w:r>
          </w:p>
        </w:tc>
      </w:tr>
    </w:tbl>
    <w:p>
      <w:pPr>
        <w:spacing w:line="360" w:lineRule="auto"/>
        <w:ind w:firstLine="480" w:firstLineChars="200"/>
        <w:rPr>
          <w:color w:val="FF0000"/>
          <w:kern w:val="0"/>
          <w:sz w:val="24"/>
          <w:szCs w:val="24"/>
          <w:lang w:bidi="ar"/>
        </w:rPr>
      </w:pPr>
      <w:r>
        <w:rPr>
          <w:color w:val="FF0000"/>
          <w:kern w:val="0"/>
          <w:sz w:val="24"/>
          <w:szCs w:val="24"/>
          <w:lang w:bidi="ar"/>
        </w:rPr>
        <w:t>综合上述识别结果可知：正常状况下，厂区所有的区域按照相关的规范要求设置防渗，一般不会下渗污染地下水。</w:t>
      </w:r>
    </w:p>
    <w:p>
      <w:pPr>
        <w:bidi w:val="0"/>
        <w:rPr>
          <w:rFonts w:hint="eastAsia"/>
          <w:color w:val="FF0000"/>
          <w:lang w:eastAsia="zh-CN"/>
        </w:rPr>
      </w:pPr>
      <w:r>
        <w:rPr>
          <w:color w:val="FF0000"/>
        </w:rPr>
        <w:t>非正常状况下防渗层破损污染物可能发生泄漏</w:t>
      </w:r>
      <w:r>
        <w:rPr>
          <w:rFonts w:hint="eastAsia"/>
          <w:color w:val="FF0000"/>
          <w:lang w:eastAsia="zh-CN"/>
        </w:rPr>
        <w:t>。</w:t>
      </w:r>
    </w:p>
    <w:p>
      <w:pPr>
        <w:bidi w:val="0"/>
        <w:rPr>
          <w:color w:val="FF0000"/>
        </w:rPr>
      </w:pPr>
      <w:r>
        <w:rPr>
          <w:rFonts w:hint="eastAsia"/>
          <w:color w:val="FF0000"/>
          <w:lang w:eastAsia="zh-CN"/>
        </w:rPr>
        <w:t>化粪池</w:t>
      </w:r>
      <w:r>
        <w:rPr>
          <w:color w:val="FF0000"/>
        </w:rPr>
        <w:t>防渗层隐蔽，防渗层破损后容易发生持续泄漏，从而对地下水潜水造成污染。污染物进入潜水后，由于潜水含水层下部有隔水底板，污染物一般不会向下运移，而是随着水流向下游及四周扩散。项目主要污染物氨氮的浓度为560mg/L。渗漏速度根据经验，取年降水量的20倍，即每年入渗6000mm/a（即0.016m/d）。则污染源强为：</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FF0000"/>
        </w:rPr>
      </w:pPr>
      <w:r>
        <w:rPr>
          <w:color w:val="FF0000"/>
        </w:rPr>
        <w:t>污染物氨氮：71735</w:t>
      </w:r>
      <w:r>
        <w:rPr>
          <w:rFonts w:hint="eastAsia"/>
          <w:color w:val="FF0000"/>
          <w:lang w:val="en-US" w:eastAsia="zh-CN"/>
        </w:rPr>
        <w:t>m</w:t>
      </w:r>
      <w:r>
        <w:rPr>
          <w:rFonts w:hint="eastAsia"/>
          <w:color w:val="FF0000"/>
          <w:vertAlign w:val="superscript"/>
          <w:lang w:val="en-US" w:eastAsia="zh-CN"/>
        </w:rPr>
        <w:t>2</w:t>
      </w:r>
      <w:r>
        <w:rPr>
          <w:color w:val="FF0000"/>
        </w:rPr>
        <w:t>×5%×0.016m/d×560mg/L=36.55g/d</w:t>
      </w:r>
    </w:p>
    <w:p>
      <w:pPr>
        <w:bidi w:val="0"/>
        <w:rPr>
          <w:color w:val="FF0000"/>
        </w:rPr>
      </w:pPr>
      <w:r>
        <w:rPr>
          <w:rFonts w:hint="eastAsia"/>
          <w:color w:val="FF0000"/>
          <w:lang w:val="en-US" w:eastAsia="zh-CN"/>
        </w:rPr>
        <w:t>①</w:t>
      </w:r>
      <w:r>
        <w:rPr>
          <w:color w:val="FF0000"/>
        </w:rPr>
        <w:t>非正常工况下污染物泄漏时间确定</w:t>
      </w:r>
    </w:p>
    <w:p>
      <w:pPr>
        <w:spacing w:line="360" w:lineRule="auto"/>
        <w:ind w:firstLine="480"/>
        <w:rPr>
          <w:color w:val="FF0000"/>
          <w:sz w:val="24"/>
        </w:rPr>
      </w:pPr>
      <w:r>
        <w:rPr>
          <w:color w:val="FF0000"/>
          <w:sz w:val="24"/>
        </w:rPr>
        <w:t>根据地下水相关监测规范，对于工业污染源的地下水监测频率应为每季度一次，确定非正常工况污染物持续泄漏时间为100天。</w:t>
      </w:r>
    </w:p>
    <w:p>
      <w:pPr>
        <w:spacing w:line="360" w:lineRule="auto"/>
        <w:ind w:firstLine="480"/>
        <w:rPr>
          <w:color w:val="FF0000"/>
          <w:sz w:val="24"/>
        </w:rPr>
      </w:pPr>
      <w:r>
        <w:rPr>
          <w:rFonts w:hint="eastAsia"/>
          <w:color w:val="FF0000"/>
          <w:sz w:val="24"/>
          <w:lang w:val="en-US" w:eastAsia="zh-CN"/>
        </w:rPr>
        <w:t>②</w:t>
      </w:r>
      <w:r>
        <w:rPr>
          <w:color w:val="FF0000"/>
          <w:sz w:val="24"/>
        </w:rPr>
        <w:t>预测方法及预测结果</w:t>
      </w:r>
    </w:p>
    <w:p>
      <w:pPr>
        <w:spacing w:line="360" w:lineRule="auto"/>
        <w:ind w:firstLine="420"/>
        <w:rPr>
          <w:color w:val="FF0000"/>
          <w:sz w:val="24"/>
        </w:rPr>
      </w:pPr>
      <w:r>
        <w:rPr>
          <w:color w:val="FF0000"/>
          <w:sz w:val="24"/>
        </w:rPr>
        <w:t>根据本项目非正常工况下污染源分析及当地的水文地质条件，本次采用一维稳定流弥散方程对废水池等单元意外泄漏，导致对地下水可能产生的影响进行预测，公式见式1，预测结果见下表。</w:t>
      </w:r>
    </w:p>
    <w:p>
      <w:pPr>
        <w:spacing w:line="360" w:lineRule="auto"/>
        <w:ind w:firstLine="480"/>
        <w:jc w:val="right"/>
        <w:rPr>
          <w:color w:val="FF0000"/>
          <w:sz w:val="24"/>
        </w:rPr>
      </w:pPr>
      <w:r>
        <w:rPr>
          <w:color w:val="FF0000"/>
          <w:sz w:val="24"/>
        </w:rPr>
        <w:object>
          <v:shape id="_x0000_i1027" o:spt="75" type="#_x0000_t75" style="height:52.75pt;width:135pt;" o:ole="t" filled="f" stroked="f" coordsize="21600,21600">
            <v:path/>
            <v:fill on="f" focussize="0,0"/>
            <v:stroke on="f"/>
            <v:imagedata r:id="rId67" o:title="5453789831541380466585"/>
            <o:lock v:ext="edit" aspectratio="t"/>
            <w10:wrap type="none"/>
            <w10:anchorlock/>
          </v:shape>
          <o:OLEObject Type="Embed" ProgID="Excel.Sheet.8" ShapeID="_x0000_i1027" DrawAspect="Content" ObjectID="_1468075727" r:id="rId66">
            <o:LockedField>false</o:LockedField>
          </o:OLEObject>
        </w:object>
      </w:r>
      <w:r>
        <w:rPr>
          <w:color w:val="FF0000"/>
          <w:sz w:val="24"/>
        </w:rPr>
        <w:t xml:space="preserve">                       (1)</w:t>
      </w:r>
    </w:p>
    <w:p>
      <w:pPr>
        <w:spacing w:line="360" w:lineRule="auto"/>
        <w:ind w:firstLine="480"/>
        <w:rPr>
          <w:color w:val="FF0000"/>
          <w:sz w:val="24"/>
        </w:rPr>
      </w:pPr>
      <w:r>
        <w:rPr>
          <w:color w:val="FF0000"/>
          <w:sz w:val="24"/>
        </w:rPr>
        <w:t>式中：x —距离污染源的距离（m）；</w:t>
      </w:r>
    </w:p>
    <w:p>
      <w:pPr>
        <w:spacing w:line="360" w:lineRule="auto"/>
        <w:ind w:left="0" w:leftChars="0" w:firstLine="1060" w:firstLineChars="0"/>
        <w:rPr>
          <w:rFonts w:hint="eastAsia" w:eastAsia="宋体"/>
          <w:color w:val="FF0000"/>
          <w:sz w:val="24"/>
          <w:lang w:eastAsia="zh-CN"/>
        </w:rPr>
      </w:pPr>
      <w:r>
        <w:rPr>
          <w:color w:val="FF0000"/>
          <w:sz w:val="24"/>
        </w:rPr>
        <w:t>t —时间（d）；本次取污染发生后100天、1000天和7300天</w:t>
      </w:r>
      <w:r>
        <w:rPr>
          <w:rFonts w:hint="eastAsia"/>
          <w:color w:val="FF0000"/>
          <w:sz w:val="24"/>
          <w:lang w:eastAsia="zh-CN"/>
        </w:rPr>
        <w:t>；</w:t>
      </w:r>
    </w:p>
    <w:p>
      <w:pPr>
        <w:spacing w:line="360" w:lineRule="auto"/>
        <w:ind w:left="0" w:leftChars="0" w:firstLine="1060" w:firstLineChars="0"/>
        <w:rPr>
          <w:color w:val="FF0000"/>
          <w:sz w:val="24"/>
        </w:rPr>
      </w:pPr>
      <w:r>
        <w:rPr>
          <w:color w:val="FF0000"/>
          <w:sz w:val="24"/>
        </w:rPr>
        <w:t>m —污染物源强（g）；</w:t>
      </w:r>
    </w:p>
    <w:p>
      <w:pPr>
        <w:spacing w:line="360" w:lineRule="auto"/>
        <w:ind w:left="0" w:leftChars="0" w:firstLine="1060" w:firstLineChars="0"/>
        <w:rPr>
          <w:color w:val="FF0000"/>
          <w:sz w:val="24"/>
        </w:rPr>
      </w:pPr>
      <w:r>
        <w:rPr>
          <w:color w:val="FF0000"/>
          <w:sz w:val="24"/>
        </w:rPr>
        <w:t>w —横截面面积（</w:t>
      </w:r>
      <w:r>
        <w:rPr>
          <w:rFonts w:hint="eastAsia"/>
          <w:color w:val="FF0000"/>
          <w:sz w:val="24"/>
          <w:lang w:val="en-US" w:eastAsia="zh-CN"/>
        </w:rPr>
        <w:t>m</w:t>
      </w:r>
      <w:r>
        <w:rPr>
          <w:rFonts w:hint="eastAsia"/>
          <w:color w:val="FF0000"/>
          <w:sz w:val="24"/>
          <w:vertAlign w:val="superscript"/>
          <w:lang w:val="en-US" w:eastAsia="zh-CN"/>
        </w:rPr>
        <w:t>2</w:t>
      </w:r>
      <w:r>
        <w:rPr>
          <w:color w:val="FF0000"/>
          <w:sz w:val="24"/>
        </w:rPr>
        <w:t>），本次取3000</w:t>
      </w:r>
      <w:r>
        <w:rPr>
          <w:rFonts w:hint="eastAsia"/>
          <w:color w:val="FF0000"/>
          <w:sz w:val="24"/>
          <w:lang w:val="en-US" w:eastAsia="zh-CN"/>
        </w:rPr>
        <w:t>m</w:t>
      </w:r>
      <w:r>
        <w:rPr>
          <w:rFonts w:hint="eastAsia"/>
          <w:color w:val="FF0000"/>
          <w:sz w:val="24"/>
          <w:vertAlign w:val="superscript"/>
          <w:lang w:val="en-US" w:eastAsia="zh-CN"/>
        </w:rPr>
        <w:t>2</w:t>
      </w:r>
      <w:r>
        <w:rPr>
          <w:color w:val="FF0000"/>
          <w:sz w:val="24"/>
        </w:rPr>
        <w:t>；</w:t>
      </w:r>
    </w:p>
    <w:p>
      <w:pPr>
        <w:spacing w:line="360" w:lineRule="auto"/>
        <w:ind w:left="0" w:leftChars="0" w:firstLine="1060" w:firstLineChars="0"/>
        <w:rPr>
          <w:color w:val="FF0000"/>
          <w:sz w:val="24"/>
        </w:rPr>
      </w:pPr>
      <w:r>
        <w:rPr>
          <w:color w:val="FF0000"/>
          <w:sz w:val="24"/>
        </w:rPr>
        <w:t>n —有效孔隙度，0.25；</w:t>
      </w:r>
    </w:p>
    <w:p>
      <w:pPr>
        <w:spacing w:line="360" w:lineRule="auto"/>
        <w:ind w:left="0" w:leftChars="0" w:firstLine="1060" w:firstLineChars="0"/>
        <w:rPr>
          <w:color w:val="FF0000"/>
          <w:sz w:val="24"/>
        </w:rPr>
      </w:pPr>
      <w:r>
        <w:rPr>
          <w:color w:val="FF0000"/>
          <w:sz w:val="24"/>
        </w:rPr>
        <w:t>u —水流速度（m/d）；水流速度u=KI/n</w:t>
      </w:r>
      <w:r>
        <w:rPr>
          <w:color w:val="FF0000"/>
          <w:sz w:val="24"/>
          <w:vertAlign w:val="subscript"/>
        </w:rPr>
        <w:t>e</w:t>
      </w:r>
      <w:r>
        <w:rPr>
          <w:color w:val="FF0000"/>
          <w:sz w:val="24"/>
        </w:rPr>
        <w:t>，K为渗透系数，根据经验值选取潜水含水层渗透系数为3 m/d，I为水力梯度，保守取2‰，n</w:t>
      </w:r>
      <w:r>
        <w:rPr>
          <w:color w:val="FF0000"/>
          <w:sz w:val="24"/>
          <w:vertAlign w:val="subscript"/>
        </w:rPr>
        <w:t>e</w:t>
      </w:r>
      <w:r>
        <w:rPr>
          <w:color w:val="FF0000"/>
          <w:sz w:val="24"/>
        </w:rPr>
        <w:t>为有效孔隙度取0.25，得出水流速度为0.024m/d；</w:t>
      </w:r>
    </w:p>
    <w:p>
      <w:pPr>
        <w:spacing w:line="360" w:lineRule="auto"/>
        <w:ind w:left="0" w:leftChars="0" w:firstLine="1060" w:firstLineChars="0"/>
        <w:rPr>
          <w:color w:val="FF0000"/>
          <w:sz w:val="24"/>
        </w:rPr>
      </w:pPr>
      <w:r>
        <w:rPr>
          <w:color w:val="FF0000"/>
          <w:sz w:val="24"/>
        </w:rPr>
        <w:t>D</w:t>
      </w:r>
      <w:r>
        <w:rPr>
          <w:color w:val="FF0000"/>
          <w:sz w:val="24"/>
          <w:vertAlign w:val="subscript"/>
        </w:rPr>
        <w:t>L</w:t>
      </w:r>
      <w:r>
        <w:rPr>
          <w:color w:val="FF0000"/>
          <w:sz w:val="24"/>
        </w:rPr>
        <w:t>—纵向弥散系数（</w:t>
      </w:r>
      <w:r>
        <w:rPr>
          <w:rFonts w:hint="eastAsia"/>
          <w:color w:val="FF0000"/>
          <w:sz w:val="24"/>
          <w:lang w:val="en-US" w:eastAsia="zh-CN"/>
        </w:rPr>
        <w:t>m</w:t>
      </w:r>
      <w:r>
        <w:rPr>
          <w:rFonts w:hint="eastAsia"/>
          <w:color w:val="FF0000"/>
          <w:sz w:val="24"/>
          <w:vertAlign w:val="superscript"/>
          <w:lang w:val="en-US" w:eastAsia="zh-CN"/>
        </w:rPr>
        <w:t>2</w:t>
      </w:r>
      <w:r>
        <w:rPr>
          <w:color w:val="FF0000"/>
          <w:sz w:val="24"/>
        </w:rPr>
        <w:t>/d），本次取2</w:t>
      </w:r>
      <w:r>
        <w:rPr>
          <w:rFonts w:hint="eastAsia"/>
          <w:color w:val="FF0000"/>
          <w:sz w:val="24"/>
          <w:lang w:val="en-US" w:eastAsia="zh-CN"/>
        </w:rPr>
        <w:t>m</w:t>
      </w:r>
      <w:r>
        <w:rPr>
          <w:rFonts w:hint="eastAsia"/>
          <w:color w:val="FF0000"/>
          <w:sz w:val="24"/>
          <w:vertAlign w:val="superscript"/>
          <w:lang w:val="en-US" w:eastAsia="zh-CN"/>
        </w:rPr>
        <w:t>2</w:t>
      </w:r>
      <w:r>
        <w:rPr>
          <w:color w:val="FF0000"/>
          <w:sz w:val="24"/>
        </w:rPr>
        <w:t>/d。</w:t>
      </w:r>
    </w:p>
    <w:p>
      <w:pPr>
        <w:pStyle w:val="6"/>
        <w:bidi w:val="0"/>
        <w:rPr>
          <w:color w:val="FF0000"/>
        </w:rPr>
      </w:pPr>
      <w:r>
        <w:rPr>
          <w:color w:val="FF0000"/>
        </w:rPr>
        <w:t>表</w:t>
      </w:r>
      <w:r>
        <w:rPr>
          <w:rFonts w:hint="eastAsia"/>
          <w:color w:val="FF0000"/>
          <w:lang w:val="en-US" w:eastAsia="zh-CN"/>
        </w:rPr>
        <w:t xml:space="preserve">5.2.2-2   </w:t>
      </w:r>
      <w:r>
        <w:rPr>
          <w:color w:val="FF0000"/>
        </w:rPr>
        <w:t>污水泄漏污染物氨氮对地下水影响预测结果</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885"/>
        <w:gridCol w:w="765"/>
        <w:gridCol w:w="690"/>
        <w:gridCol w:w="615"/>
        <w:gridCol w:w="615"/>
        <w:gridCol w:w="645"/>
        <w:gridCol w:w="969"/>
        <w:gridCol w:w="1005"/>
        <w:gridCol w:w="1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距污染源</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距离（m）</w:t>
            </w:r>
          </w:p>
        </w:tc>
        <w:tc>
          <w:tcPr>
            <w:tcW w:w="42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50</w:t>
            </w:r>
          </w:p>
        </w:tc>
        <w:tc>
          <w:tcPr>
            <w:tcW w:w="3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100</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200</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500</w:t>
            </w:r>
          </w:p>
        </w:tc>
        <w:tc>
          <w:tcPr>
            <w:tcW w:w="3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680</w:t>
            </w:r>
          </w:p>
        </w:tc>
        <w:tc>
          <w:tcPr>
            <w:tcW w:w="53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最大增量值</w:t>
            </w:r>
          </w:p>
        </w:tc>
        <w:tc>
          <w:tcPr>
            <w:tcW w:w="5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最大增量值的距离(m)</w:t>
            </w:r>
          </w:p>
        </w:tc>
        <w:tc>
          <w:tcPr>
            <w:tcW w:w="97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叠加背景值后最大含量（mg/L）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氨氮浓度（mg/L）</w:t>
            </w:r>
          </w:p>
        </w:tc>
        <w:tc>
          <w:tcPr>
            <w:tcW w:w="4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100d</w:t>
            </w:r>
          </w:p>
        </w:tc>
        <w:tc>
          <w:tcPr>
            <w:tcW w:w="42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0.03 </w:t>
            </w:r>
          </w:p>
        </w:tc>
        <w:tc>
          <w:tcPr>
            <w:tcW w:w="3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3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53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0.38 </w:t>
            </w:r>
          </w:p>
        </w:tc>
        <w:tc>
          <w:tcPr>
            <w:tcW w:w="5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2 </w:t>
            </w:r>
          </w:p>
        </w:tc>
        <w:tc>
          <w:tcPr>
            <w:tcW w:w="97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val="0"/>
                <w:color w:val="FF0000"/>
                <w:sz w:val="21"/>
                <w:szCs w:val="21"/>
                <w:lang w:val="en-US" w:eastAsia="zh-CN"/>
              </w:rPr>
            </w:pPr>
            <w:r>
              <w:rPr>
                <w:b w:val="0"/>
                <w:bCs w:val="0"/>
                <w:color w:val="FF0000"/>
                <w:sz w:val="21"/>
                <w:szCs w:val="21"/>
              </w:rPr>
              <w:t>0.</w:t>
            </w:r>
            <w:r>
              <w:rPr>
                <w:rFonts w:hint="eastAsia"/>
                <w:b w:val="0"/>
                <w:bCs w:val="0"/>
                <w:color w:val="FF0000"/>
                <w:sz w:val="21"/>
                <w:szCs w:val="21"/>
                <w:lang w:val="en-US" w:eastAsia="zh-CN"/>
              </w:rPr>
              <w:t>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b w:val="0"/>
                <w:bCs w:val="0"/>
                <w:color w:val="FF0000"/>
                <w:sz w:val="21"/>
                <w:szCs w:val="21"/>
              </w:rPr>
            </w:pPr>
          </w:p>
        </w:tc>
        <w:tc>
          <w:tcPr>
            <w:tcW w:w="4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1000d</w:t>
            </w:r>
          </w:p>
        </w:tc>
        <w:tc>
          <w:tcPr>
            <w:tcW w:w="42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0.11 </w:t>
            </w:r>
          </w:p>
        </w:tc>
        <w:tc>
          <w:tcPr>
            <w:tcW w:w="3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0.06 </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3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53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0.12 </w:t>
            </w:r>
          </w:p>
        </w:tc>
        <w:tc>
          <w:tcPr>
            <w:tcW w:w="5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20 </w:t>
            </w:r>
          </w:p>
        </w:tc>
        <w:tc>
          <w:tcPr>
            <w:tcW w:w="97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0.</w:t>
            </w:r>
            <w:r>
              <w:rPr>
                <w:rFonts w:hint="eastAsia"/>
                <w:b w:val="0"/>
                <w:bCs w:val="0"/>
                <w:color w:val="FF0000"/>
                <w:sz w:val="21"/>
                <w:szCs w:val="21"/>
                <w:lang w:val="en-US" w:eastAsia="zh-CN"/>
              </w:rPr>
              <w:t>244</w:t>
            </w:r>
            <w:r>
              <w:rPr>
                <w:b w:val="0"/>
                <w:bCs w:val="0"/>
                <w:color w:val="FF000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b w:val="0"/>
                <w:bCs w:val="0"/>
                <w:color w:val="FF0000"/>
                <w:sz w:val="21"/>
                <w:szCs w:val="21"/>
              </w:rPr>
            </w:pPr>
          </w:p>
        </w:tc>
        <w:tc>
          <w:tcPr>
            <w:tcW w:w="4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7300d</w:t>
            </w:r>
          </w:p>
        </w:tc>
        <w:tc>
          <w:tcPr>
            <w:tcW w:w="42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0.03 </w:t>
            </w:r>
          </w:p>
        </w:tc>
        <w:tc>
          <w:tcPr>
            <w:tcW w:w="3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0.04 </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0.04 </w:t>
            </w:r>
          </w:p>
        </w:tc>
        <w:tc>
          <w:tcPr>
            <w:tcW w:w="3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0.01 </w:t>
            </w:r>
          </w:p>
        </w:tc>
        <w:tc>
          <w:tcPr>
            <w:tcW w:w="3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0.00 </w:t>
            </w:r>
          </w:p>
        </w:tc>
        <w:tc>
          <w:tcPr>
            <w:tcW w:w="53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0.04 </w:t>
            </w:r>
          </w:p>
        </w:tc>
        <w:tc>
          <w:tcPr>
            <w:tcW w:w="5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 xml:space="preserve">151 </w:t>
            </w:r>
          </w:p>
        </w:tc>
        <w:tc>
          <w:tcPr>
            <w:tcW w:w="97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0.1</w:t>
            </w:r>
            <w:r>
              <w:rPr>
                <w:rFonts w:hint="eastAsia"/>
                <w:b w:val="0"/>
                <w:bCs w:val="0"/>
                <w:color w:val="FF0000"/>
                <w:sz w:val="21"/>
                <w:szCs w:val="21"/>
                <w:lang w:val="en-US" w:eastAsia="zh-CN"/>
              </w:rPr>
              <w:t>6</w:t>
            </w:r>
            <w:r>
              <w:rPr>
                <w:b w:val="0"/>
                <w:bCs w:val="0"/>
                <w:color w:val="FF0000"/>
                <w:sz w:val="21"/>
                <w:szCs w:val="21"/>
              </w:rPr>
              <w:t xml:space="preserve">4 </w:t>
            </w:r>
          </w:p>
        </w:tc>
      </w:tr>
    </w:tbl>
    <w:p>
      <w:pPr>
        <w:spacing w:before="240" w:line="360" w:lineRule="auto"/>
        <w:ind w:firstLine="480"/>
        <w:rPr>
          <w:color w:val="FF0000"/>
          <w:sz w:val="24"/>
          <w:highlight w:val="none"/>
        </w:rPr>
      </w:pPr>
      <w:r>
        <w:rPr>
          <w:color w:val="FF0000"/>
          <w:sz w:val="24"/>
        </w:rPr>
        <w:t>由预测结果可知，在发生意外泄漏事故的情况下，在</w:t>
      </w:r>
      <w:r>
        <w:rPr>
          <w:rFonts w:hint="eastAsia"/>
          <w:color w:val="FF0000"/>
          <w:sz w:val="24"/>
          <w:lang w:eastAsia="zh-CN"/>
        </w:rPr>
        <w:t>泄漏</w:t>
      </w:r>
      <w:r>
        <w:rPr>
          <w:color w:val="FF0000"/>
          <w:sz w:val="24"/>
        </w:rPr>
        <w:t>初期到中期，地下水中污染物浓度在距离污染源近处相对较大，也出现超标现象。随着时间的推移，污染物逐渐</w:t>
      </w:r>
      <w:r>
        <w:rPr>
          <w:color w:val="FF0000"/>
          <w:sz w:val="24"/>
          <w:highlight w:val="none"/>
        </w:rPr>
        <w:t>向下游运移扩散，而污染物浓度峰值呈下降趋势。在长期时间内（7300天），污染物氨氮最大值出现在距离泄漏点下游151m处，此时浓度增加值为0.04mg/L，在叠加本底值最大值0.12</w:t>
      </w:r>
      <w:r>
        <w:rPr>
          <w:rFonts w:hint="eastAsia"/>
          <w:color w:val="FF0000"/>
          <w:sz w:val="24"/>
          <w:highlight w:val="none"/>
          <w:lang w:val="en-US" w:eastAsia="zh-CN"/>
        </w:rPr>
        <w:t>4</w:t>
      </w:r>
      <w:r>
        <w:rPr>
          <w:color w:val="FF0000"/>
          <w:sz w:val="24"/>
          <w:highlight w:val="none"/>
        </w:rPr>
        <w:t>mg/L后，浓度为0.1</w:t>
      </w:r>
      <w:r>
        <w:rPr>
          <w:rFonts w:hint="eastAsia"/>
          <w:color w:val="FF0000"/>
          <w:sz w:val="24"/>
          <w:highlight w:val="none"/>
          <w:lang w:val="en-US" w:eastAsia="zh-CN"/>
        </w:rPr>
        <w:t>64</w:t>
      </w:r>
      <w:r>
        <w:rPr>
          <w:color w:val="FF0000"/>
          <w:sz w:val="24"/>
          <w:highlight w:val="none"/>
        </w:rPr>
        <w:t xml:space="preserve"> mg/L，</w:t>
      </w:r>
      <w:r>
        <w:rPr>
          <w:rFonts w:hint="eastAsia"/>
          <w:color w:val="FF0000"/>
          <w:sz w:val="24"/>
          <w:highlight w:val="none"/>
          <w:lang w:eastAsia="zh-CN"/>
        </w:rPr>
        <w:t>氨氮</w:t>
      </w:r>
      <w:r>
        <w:rPr>
          <w:color w:val="FF0000"/>
          <w:sz w:val="24"/>
          <w:highlight w:val="none"/>
        </w:rPr>
        <w:t>满足</w:t>
      </w:r>
      <w:r>
        <w:rPr>
          <w:rFonts w:ascii="Times New Roman" w:hAnsi="Times New Roman" w:eastAsia="宋体" w:cs="Times New Roman"/>
          <w:color w:val="FF0000"/>
          <w:sz w:val="24"/>
          <w:highlight w:val="none"/>
        </w:rPr>
        <w:t>《地下水质量标准》（GB/T 14848-2017）Ⅲ类水的标</w:t>
      </w:r>
      <w:r>
        <w:rPr>
          <w:color w:val="FF0000"/>
          <w:sz w:val="24"/>
          <w:highlight w:val="none"/>
        </w:rPr>
        <w:t>准。</w:t>
      </w:r>
    </w:p>
    <w:p>
      <w:pPr>
        <w:bidi w:val="0"/>
        <w:rPr>
          <w:rFonts w:hint="eastAsia" w:eastAsia="宋体"/>
          <w:color w:val="FF0000"/>
          <w:lang w:val="en-US" w:eastAsia="zh-CN"/>
        </w:rPr>
      </w:pPr>
      <w:r>
        <w:rPr>
          <w:color w:val="FF0000"/>
          <w:sz w:val="24"/>
          <w:highlight w:val="none"/>
        </w:rPr>
        <w:t>采取严格的防渗措施的情况下，对区域地下水的影响不大</w:t>
      </w:r>
      <w:r>
        <w:rPr>
          <w:rFonts w:hint="eastAsia"/>
          <w:color w:val="FF0000"/>
          <w:sz w:val="24"/>
          <w:highlight w:val="none"/>
          <w:lang w:eastAsia="zh-CN"/>
        </w:rPr>
        <w:t>。</w:t>
      </w:r>
    </w:p>
    <w:p>
      <w:pPr>
        <w:pStyle w:val="4"/>
      </w:pPr>
      <w:r>
        <w:t>运营期固体废物环境影响预测与分析</w:t>
      </w:r>
    </w:p>
    <w:p>
      <w:pPr>
        <w:pStyle w:val="5"/>
      </w:pPr>
      <w:r>
        <w:rPr>
          <w:rFonts w:hint="eastAsia"/>
        </w:rPr>
        <w:t>本项目固体废物产生及处置情况</w:t>
      </w:r>
    </w:p>
    <w:p>
      <w:pPr>
        <w:ind w:firstLine="480"/>
      </w:pPr>
      <w:r>
        <w:rPr>
          <w:rFonts w:hint="eastAsia"/>
          <w:color w:val="000000" w:themeColor="text1"/>
          <w14:textFill>
            <w14:solidFill>
              <w14:schemeClr w14:val="tx1"/>
            </w14:solidFill>
          </w14:textFill>
        </w:rPr>
        <w:t>项目产生的固体废弃物主要包括一般固废（羊粪、动物尸体及胞衣）、危险固废（防疫废弃物）和生活垃圾。</w:t>
      </w:r>
    </w:p>
    <w:p>
      <w:pPr>
        <w:pStyle w:val="5"/>
      </w:pPr>
      <w:r>
        <w:rPr>
          <w:rFonts w:hint="eastAsia"/>
        </w:rPr>
        <w:t>固体废物环境影响途径</w:t>
      </w:r>
    </w:p>
    <w:p>
      <w:pPr>
        <w:ind w:firstLine="480"/>
      </w:pPr>
      <w:r>
        <w:rPr>
          <w:rFonts w:hint="eastAsia"/>
        </w:rPr>
        <w:t>固体废物中有害物质主要通过水体、土壤和大气进入环境中，对环境的影响程度取决于释放过程中污染物的转移量及其浓度，从本项目产生的固体废物的种类及其成分来看，若不妥当处理，将有可能对土壤、水体、环境空气质量造成影响。</w:t>
      </w:r>
    </w:p>
    <w:p>
      <w:pPr>
        <w:ind w:firstLine="480"/>
      </w:pPr>
      <w:r>
        <w:rPr>
          <w:rFonts w:hint="eastAsia"/>
        </w:rPr>
        <w:t>（1）固体废物对土壤环境的影响分析</w:t>
      </w:r>
    </w:p>
    <w:p>
      <w:pPr>
        <w:ind w:firstLine="480"/>
      </w:pPr>
      <w:r>
        <w:rPr>
          <w:rFonts w:hint="eastAsia"/>
        </w:rPr>
        <w:t>从本项目固体废物中主要有害成分来看，若固体废物不考虑设置</w:t>
      </w:r>
      <w:r>
        <w:rPr>
          <w:rFonts w:hint="eastAsia"/>
          <w:color w:val="FF0000"/>
          <w:lang w:val="en-US" w:eastAsia="zh-CN"/>
        </w:rPr>
        <w:t>设有防渗的存放或贮存装置</w:t>
      </w:r>
      <w:r>
        <w:rPr>
          <w:rFonts w:hint="eastAsia"/>
        </w:rPr>
        <w:t>，其中的有害组分很容易经过风化、雨水淋溶、地表径流的侵蚀，渗入土壤，杀死土壤中的微生物，破坏微生物与周围环境构成系统的平衡。</w:t>
      </w:r>
    </w:p>
    <w:p>
      <w:pPr>
        <w:ind w:firstLine="480"/>
      </w:pPr>
      <w:r>
        <w:rPr>
          <w:rFonts w:hint="eastAsia"/>
          <w:lang w:val="en-US" w:eastAsia="zh-CN"/>
        </w:rPr>
        <w:t>羊粪等的</w:t>
      </w:r>
      <w:r>
        <w:rPr>
          <w:rFonts w:hint="eastAsia"/>
        </w:rPr>
        <w:t>长期堆放，粪便中所含大量含氮化合物在土壤微生物的作用下，通过氨化、硝化等生物化学反应过程，</w:t>
      </w:r>
      <w:r>
        <w:rPr>
          <w:rFonts w:hint="eastAsia"/>
          <w:lang w:val="en-US" w:eastAsia="zh-CN"/>
        </w:rPr>
        <w:t>将会</w:t>
      </w:r>
      <w:r>
        <w:rPr>
          <w:rFonts w:hint="eastAsia"/>
        </w:rPr>
        <w:t>导致土壤中硝酸盐含量增高，间接影响人体健康。因此，本项目的固体废物</w:t>
      </w:r>
      <w:r>
        <w:rPr>
          <w:rFonts w:hint="eastAsia"/>
          <w:color w:val="FF0000"/>
        </w:rPr>
        <w:t>不能直接堆存或填埋，否则将给土壤带来一定的污染</w:t>
      </w:r>
      <w:r>
        <w:rPr>
          <w:rFonts w:hint="eastAsia"/>
        </w:rPr>
        <w:t>。</w:t>
      </w:r>
    </w:p>
    <w:p>
      <w:pPr>
        <w:ind w:firstLine="480"/>
      </w:pPr>
      <w:r>
        <w:rPr>
          <w:rFonts w:hint="eastAsia"/>
        </w:rPr>
        <w:t>（2）固体废物对水体环境的影响分析</w:t>
      </w:r>
    </w:p>
    <w:p>
      <w:pPr>
        <w:ind w:firstLine="480"/>
      </w:pPr>
      <w:r>
        <w:rPr>
          <w:rFonts w:hint="eastAsia"/>
        </w:rPr>
        <w:t>固体废物一旦与水和地表径流相遇，固体废物中的有害成分会浸滤出来，污染物中有害成分浸出液进入地面水体，使地面水体受到污染，随渗水进入土壤则污染地下水，可能对地面水体和地下水体造成二次污染。因此必须对这类固体废物进行妥善处置。</w:t>
      </w:r>
    </w:p>
    <w:p>
      <w:pPr>
        <w:ind w:firstLine="480"/>
      </w:pPr>
      <w:r>
        <w:rPr>
          <w:rFonts w:hint="eastAsia"/>
        </w:rPr>
        <w:t>畜禽粪便中的氮磷流失量大于化肥氮磷流失量，是造成农村污染的主要原因之一。若不及时清理，就会通过地表径流，汇入地表水体，大量的氮、磷流入会导致水体富营养化。</w:t>
      </w:r>
    </w:p>
    <w:p>
      <w:pPr>
        <w:ind w:firstLine="480"/>
      </w:pPr>
      <w:r>
        <w:rPr>
          <w:rFonts w:hint="eastAsia"/>
        </w:rPr>
        <w:t>（3）固体废物对环境空气质量的影响分析</w:t>
      </w:r>
    </w:p>
    <w:p>
      <w:pPr>
        <w:ind w:firstLine="480"/>
      </w:pPr>
      <w:r>
        <w:rPr>
          <w:rFonts w:hint="eastAsia"/>
        </w:rPr>
        <w:t>羊粪中含有大量的氮磷化合物，未经处理的粪便中的一部分氮以氨的形式挥发到大气中，增加了大气中氨的含量，氨可转化为氮氧化物，使空气质量下降，严重时导致酸雨，危害环境。</w:t>
      </w:r>
    </w:p>
    <w:p>
      <w:pPr>
        <w:ind w:firstLine="480"/>
        <w:rPr>
          <w:color w:val="000000" w:themeColor="text1"/>
          <w14:textFill>
            <w14:solidFill>
              <w14:schemeClr w14:val="tx1"/>
            </w14:solidFill>
          </w14:textFill>
        </w:rPr>
      </w:pPr>
      <w:r>
        <w:rPr>
          <w:rFonts w:hint="eastAsia"/>
        </w:rPr>
        <w:t>（4）</w:t>
      </w:r>
      <w:r>
        <w:rPr>
          <w:rFonts w:hint="eastAsia"/>
          <w:color w:val="000000" w:themeColor="text1"/>
          <w14:textFill>
            <w14:solidFill>
              <w14:schemeClr w14:val="tx1"/>
            </w14:solidFill>
          </w14:textFill>
        </w:rPr>
        <w:t>有害病原微生物的污染</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粪便是微生物的主要载体。大量实践表明，由于畜禽粪便的随意堆放，最终会导致畜禽传染病和寄生虫病的蔓延。</w:t>
      </w:r>
    </w:p>
    <w:p>
      <w:pPr>
        <w:pStyle w:val="5"/>
      </w:pPr>
      <w:r>
        <w:rPr>
          <w:rFonts w:hint="eastAsia"/>
        </w:rPr>
        <w:t xml:space="preserve">固废影响分析 </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项目产生的羊粪干法清粪后运至</w:t>
      </w:r>
      <w:r>
        <w:rPr>
          <w:rFonts w:hint="eastAsia"/>
          <w:color w:val="92D050"/>
          <w:lang w:eastAsia="zh-CN"/>
        </w:rPr>
        <w:t>有机肥堆场</w:t>
      </w:r>
      <w:r>
        <w:rPr>
          <w:rFonts w:hint="eastAsia"/>
          <w:color w:val="000000" w:themeColor="text1"/>
          <w14:textFill>
            <w14:solidFill>
              <w14:schemeClr w14:val="tx1"/>
            </w14:solidFill>
          </w14:textFill>
        </w:rPr>
        <w:t>进行堆肥；动物尸体及包衣由动物尸体无害化处理系统处理后用于堆肥。</w:t>
      </w:r>
    </w:p>
    <w:p>
      <w:pPr>
        <w:ind w:firstLine="480"/>
      </w:pPr>
      <w:r>
        <w:t>根据《医疗废物管理条例》中的要求</w:t>
      </w:r>
      <w:r>
        <w:rPr>
          <w:rFonts w:hint="eastAsia"/>
        </w:rPr>
        <w:t>，将其</w:t>
      </w:r>
      <w:r>
        <w:t>收集于医疗废物包装袋中，暂存于</w:t>
      </w:r>
      <w:r>
        <w:rPr>
          <w:rFonts w:hint="eastAsia"/>
          <w:lang w:val="en-US" w:eastAsia="zh-CN"/>
        </w:rPr>
        <w:t>医疗废物</w:t>
      </w:r>
      <w:r>
        <w:t>暂存间，经临时储存后</w:t>
      </w:r>
      <w:r>
        <w:rPr>
          <w:rFonts w:hint="eastAsia"/>
        </w:rPr>
        <w:t>定期</w:t>
      </w:r>
      <w:r>
        <w:t>交由</w:t>
      </w:r>
      <w:r>
        <w:rPr>
          <w:rFonts w:hint="eastAsia" w:ascii="Times New Roman" w:eastAsia="宋体"/>
          <w:color w:val="auto"/>
          <w:szCs w:val="21"/>
          <w:highlight w:val="green"/>
          <w:lang w:val="en-US" w:eastAsia="zh-CN"/>
        </w:rPr>
        <w:t>巴彦淖尔市维康环保有限公司</w:t>
      </w:r>
      <w:r>
        <w:t>进行集中清运、处理。</w:t>
      </w:r>
    </w:p>
    <w:p>
      <w:pPr>
        <w:ind w:firstLine="480"/>
      </w:pPr>
      <w:r>
        <w:rPr>
          <w:rFonts w:hint="eastAsia"/>
        </w:rPr>
        <w:t>本</w:t>
      </w:r>
      <w:r>
        <w:t>项目劳动定员</w:t>
      </w:r>
      <w:r>
        <w:rPr>
          <w:rFonts w:hint="eastAsia"/>
        </w:rPr>
        <w:t>450</w:t>
      </w:r>
      <w:r>
        <w:t>人，生活垃圾产生量0.5kg/人·d，生活垃圾产生量</w:t>
      </w:r>
      <w:r>
        <w:rPr>
          <w:rFonts w:hint="eastAsia"/>
        </w:rPr>
        <w:t>225kg/d（82.13</w:t>
      </w:r>
      <w:r>
        <w:t>t/a</w:t>
      </w:r>
      <w:r>
        <w:rPr>
          <w:rFonts w:hint="eastAsia"/>
        </w:rPr>
        <w:t>）</w:t>
      </w:r>
      <w:r>
        <w:t>，项目场区设置</w:t>
      </w:r>
      <w:r>
        <w:rPr>
          <w:rFonts w:hint="eastAsia"/>
        </w:rPr>
        <w:t>有</w:t>
      </w:r>
      <w:r>
        <w:t>封闭式垃圾桶，生活垃圾收集后定期按照环卫部门要求清运至项目附近生活垃圾转运点。</w:t>
      </w:r>
    </w:p>
    <w:p>
      <w:pPr>
        <w:ind w:firstLine="480"/>
      </w:pPr>
      <w:r>
        <w:t>综上分析，项目固废处置措施合理，去向明确，</w:t>
      </w:r>
      <w:r>
        <w:rPr>
          <w:rFonts w:hint="eastAsia"/>
        </w:rPr>
        <w:t>均</w:t>
      </w:r>
      <w:r>
        <w:t>采取</w:t>
      </w:r>
      <w:r>
        <w:rPr>
          <w:rFonts w:hint="eastAsia"/>
        </w:rPr>
        <w:t>了</w:t>
      </w:r>
      <w:r>
        <w:t>合理有效的防范措施，</w:t>
      </w:r>
      <w:r>
        <w:rPr>
          <w:rFonts w:hint="eastAsia"/>
        </w:rPr>
        <w:t>可避免</w:t>
      </w:r>
      <w:r>
        <w:t>对环境造成二次污染，对外环境影响很小。</w:t>
      </w:r>
    </w:p>
    <w:p>
      <w:pPr>
        <w:pStyle w:val="4"/>
      </w:pPr>
      <w:r>
        <w:rPr>
          <w:rFonts w:hint="eastAsia"/>
        </w:rPr>
        <w:t>运营期声环境影响预测与分析</w:t>
      </w:r>
    </w:p>
    <w:p>
      <w:pPr>
        <w:pStyle w:val="5"/>
      </w:pPr>
      <w:r>
        <w:rPr>
          <w:rFonts w:hint="eastAsia"/>
        </w:rPr>
        <w:t>噪声预测源强</w:t>
      </w:r>
    </w:p>
    <w:p>
      <w:pPr>
        <w:ind w:firstLine="480"/>
      </w:pPr>
      <w:r>
        <w:t>项目噪声源主要为羊叫声、各类机械运行设备噪声。噪声声级范围为60</w:t>
      </w:r>
      <w:r>
        <w:rPr>
          <w:rFonts w:hint="eastAsia"/>
        </w:rPr>
        <w:t>~</w:t>
      </w:r>
      <w:r>
        <w:t>85dB（A）</w:t>
      </w:r>
      <w:r>
        <w:rPr>
          <w:rFonts w:hint="eastAsia"/>
        </w:rPr>
        <w:t>。噪声声级在60~85dB（A）。</w:t>
      </w:r>
      <w:r>
        <w:t>本项目的噪声产生源强情况见下表</w:t>
      </w:r>
      <w:r>
        <w:rPr>
          <w:rFonts w:hint="eastAsia"/>
        </w:rPr>
        <w:t>，本项目在选用低噪声新型设备基础上，将生产设备安置在厂房内，并对设备进行基础减振、封闭门窗等，可使噪声排放减少20~25dB(A)。</w:t>
      </w:r>
    </w:p>
    <w:p>
      <w:pPr>
        <w:pStyle w:val="6"/>
      </w:pPr>
      <w:r>
        <w:rPr>
          <w:rFonts w:hint="eastAsia"/>
        </w:rPr>
        <w:t>表5.2.4-1   项目噪声源强一览表</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0" w:type="dxa"/>
          <w:bottom w:w="0" w:type="dxa"/>
          <w:right w:w="0" w:type="dxa"/>
        </w:tblCellMar>
      </w:tblPr>
      <w:tblGrid>
        <w:gridCol w:w="634"/>
        <w:gridCol w:w="931"/>
        <w:gridCol w:w="1508"/>
        <w:gridCol w:w="1202"/>
        <w:gridCol w:w="2616"/>
        <w:gridCol w:w="927"/>
        <w:gridCol w:w="975"/>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blHeader/>
          <w:jc w:val="center"/>
        </w:trPr>
        <w:tc>
          <w:tcPr>
            <w:tcW w:w="361" w:type="pct"/>
            <w:vAlign w:val="center"/>
          </w:tcPr>
          <w:p>
            <w:pPr>
              <w:spacing w:line="240" w:lineRule="auto"/>
              <w:ind w:firstLine="0" w:firstLineChars="0"/>
              <w:jc w:val="center"/>
              <w:rPr>
                <w:b/>
                <w:bCs/>
                <w:sz w:val="21"/>
                <w:szCs w:val="21"/>
              </w:rPr>
            </w:pPr>
            <w:r>
              <w:rPr>
                <w:b/>
                <w:bCs/>
                <w:sz w:val="21"/>
                <w:szCs w:val="21"/>
              </w:rPr>
              <w:t>序号</w:t>
            </w:r>
          </w:p>
        </w:tc>
        <w:tc>
          <w:tcPr>
            <w:tcW w:w="1386" w:type="pct"/>
            <w:gridSpan w:val="2"/>
            <w:vAlign w:val="center"/>
          </w:tcPr>
          <w:p>
            <w:pPr>
              <w:spacing w:line="240" w:lineRule="auto"/>
              <w:ind w:firstLine="0" w:firstLineChars="0"/>
              <w:jc w:val="center"/>
              <w:rPr>
                <w:b/>
                <w:bCs/>
                <w:sz w:val="21"/>
                <w:szCs w:val="21"/>
              </w:rPr>
            </w:pPr>
            <w:r>
              <w:rPr>
                <w:b/>
                <w:bCs/>
                <w:sz w:val="21"/>
                <w:szCs w:val="21"/>
              </w:rPr>
              <w:t>噪声源</w:t>
            </w:r>
          </w:p>
        </w:tc>
        <w:tc>
          <w:tcPr>
            <w:tcW w:w="683" w:type="pct"/>
            <w:vAlign w:val="center"/>
          </w:tcPr>
          <w:p>
            <w:pPr>
              <w:spacing w:line="240" w:lineRule="auto"/>
              <w:ind w:firstLine="0" w:firstLineChars="0"/>
              <w:jc w:val="center"/>
              <w:rPr>
                <w:b/>
                <w:bCs/>
                <w:sz w:val="21"/>
                <w:szCs w:val="21"/>
              </w:rPr>
            </w:pPr>
            <w:r>
              <w:rPr>
                <w:b/>
                <w:bCs/>
                <w:sz w:val="21"/>
                <w:szCs w:val="21"/>
              </w:rPr>
              <w:t>数量</w:t>
            </w:r>
          </w:p>
        </w:tc>
        <w:tc>
          <w:tcPr>
            <w:tcW w:w="1487" w:type="pct"/>
            <w:vAlign w:val="center"/>
          </w:tcPr>
          <w:p>
            <w:pPr>
              <w:spacing w:line="240" w:lineRule="auto"/>
              <w:ind w:firstLine="0" w:firstLineChars="0"/>
              <w:jc w:val="center"/>
              <w:rPr>
                <w:b/>
                <w:bCs/>
                <w:sz w:val="21"/>
                <w:szCs w:val="21"/>
              </w:rPr>
            </w:pPr>
            <w:r>
              <w:rPr>
                <w:b/>
                <w:bCs/>
                <w:sz w:val="21"/>
                <w:szCs w:val="21"/>
              </w:rPr>
              <w:t>治理措施</w:t>
            </w:r>
          </w:p>
        </w:tc>
        <w:tc>
          <w:tcPr>
            <w:tcW w:w="527" w:type="pct"/>
            <w:vAlign w:val="center"/>
          </w:tcPr>
          <w:p>
            <w:pPr>
              <w:spacing w:line="240" w:lineRule="auto"/>
              <w:ind w:firstLine="0" w:firstLineChars="0"/>
              <w:jc w:val="center"/>
              <w:rPr>
                <w:b/>
                <w:bCs/>
                <w:sz w:val="21"/>
                <w:szCs w:val="21"/>
              </w:rPr>
            </w:pPr>
            <w:r>
              <w:rPr>
                <w:b/>
                <w:bCs/>
                <w:sz w:val="21"/>
                <w:szCs w:val="21"/>
              </w:rPr>
              <w:t>源强dB(A)</w:t>
            </w:r>
          </w:p>
        </w:tc>
        <w:tc>
          <w:tcPr>
            <w:tcW w:w="554" w:type="pct"/>
          </w:tcPr>
          <w:p>
            <w:pPr>
              <w:spacing w:line="240" w:lineRule="auto"/>
              <w:ind w:firstLine="0" w:firstLineChars="0"/>
              <w:jc w:val="center"/>
              <w:rPr>
                <w:b/>
                <w:bCs/>
                <w:sz w:val="21"/>
                <w:szCs w:val="21"/>
              </w:rPr>
            </w:pPr>
            <w:r>
              <w:rPr>
                <w:b/>
                <w:bCs/>
                <w:sz w:val="21"/>
                <w:szCs w:val="21"/>
              </w:rPr>
              <w:t>排放强度dB(A)</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371" w:hRule="atLeast"/>
          <w:jc w:val="center"/>
        </w:trPr>
        <w:tc>
          <w:tcPr>
            <w:tcW w:w="361" w:type="pct"/>
            <w:vMerge w:val="restart"/>
            <w:vAlign w:val="center"/>
          </w:tcPr>
          <w:p>
            <w:pPr>
              <w:spacing w:line="240" w:lineRule="auto"/>
              <w:ind w:firstLine="0" w:firstLineChars="0"/>
              <w:jc w:val="center"/>
              <w:rPr>
                <w:sz w:val="21"/>
                <w:szCs w:val="21"/>
              </w:rPr>
            </w:pPr>
            <w:r>
              <w:rPr>
                <w:sz w:val="21"/>
                <w:szCs w:val="21"/>
              </w:rPr>
              <w:t>1</w:t>
            </w:r>
          </w:p>
        </w:tc>
        <w:tc>
          <w:tcPr>
            <w:tcW w:w="529" w:type="pct"/>
            <w:vMerge w:val="restart"/>
            <w:vAlign w:val="center"/>
          </w:tcPr>
          <w:p>
            <w:pPr>
              <w:spacing w:line="240" w:lineRule="auto"/>
              <w:ind w:firstLine="0" w:firstLineChars="0"/>
              <w:jc w:val="center"/>
              <w:rPr>
                <w:sz w:val="21"/>
                <w:szCs w:val="21"/>
              </w:rPr>
            </w:pPr>
            <w:r>
              <w:rPr>
                <w:rFonts w:hint="eastAsia"/>
                <w:sz w:val="21"/>
                <w:szCs w:val="21"/>
              </w:rPr>
              <w:t>养殖区</w:t>
            </w:r>
          </w:p>
        </w:tc>
        <w:tc>
          <w:tcPr>
            <w:tcW w:w="856" w:type="pct"/>
            <w:vAlign w:val="center"/>
          </w:tcPr>
          <w:p>
            <w:pPr>
              <w:spacing w:line="240" w:lineRule="auto"/>
              <w:ind w:firstLine="0" w:firstLineChars="0"/>
              <w:jc w:val="center"/>
              <w:rPr>
                <w:sz w:val="21"/>
                <w:szCs w:val="21"/>
              </w:rPr>
            </w:pPr>
            <w:r>
              <w:rPr>
                <w:rFonts w:hint="eastAsia"/>
                <w:sz w:val="21"/>
                <w:szCs w:val="21"/>
              </w:rPr>
              <w:t>羊叫</w:t>
            </w:r>
          </w:p>
        </w:tc>
        <w:tc>
          <w:tcPr>
            <w:tcW w:w="683" w:type="pct"/>
            <w:vAlign w:val="center"/>
          </w:tcPr>
          <w:p>
            <w:pPr>
              <w:spacing w:line="240" w:lineRule="auto"/>
              <w:ind w:firstLine="0" w:firstLineChars="0"/>
              <w:jc w:val="center"/>
              <w:rPr>
                <w:sz w:val="21"/>
                <w:szCs w:val="21"/>
              </w:rPr>
            </w:pPr>
            <w:r>
              <w:rPr>
                <w:sz w:val="21"/>
                <w:szCs w:val="21"/>
              </w:rPr>
              <w:t>若干头</w:t>
            </w:r>
            <w:r>
              <w:rPr>
                <w:rFonts w:hint="eastAsia"/>
                <w:sz w:val="21"/>
                <w:szCs w:val="21"/>
              </w:rPr>
              <w:t>（</w:t>
            </w:r>
            <w:r>
              <w:rPr>
                <w:sz w:val="21"/>
                <w:szCs w:val="21"/>
              </w:rPr>
              <w:t>只</w:t>
            </w:r>
            <w:r>
              <w:rPr>
                <w:rFonts w:hint="eastAsia"/>
                <w:sz w:val="21"/>
                <w:szCs w:val="21"/>
              </w:rPr>
              <w:t>）</w:t>
            </w:r>
          </w:p>
        </w:tc>
        <w:tc>
          <w:tcPr>
            <w:tcW w:w="1487" w:type="pct"/>
            <w:vAlign w:val="center"/>
          </w:tcPr>
          <w:p>
            <w:pPr>
              <w:spacing w:line="240" w:lineRule="auto"/>
              <w:ind w:firstLine="0" w:firstLineChars="0"/>
              <w:jc w:val="center"/>
              <w:rPr>
                <w:sz w:val="21"/>
                <w:szCs w:val="21"/>
              </w:rPr>
            </w:pPr>
            <w:r>
              <w:rPr>
                <w:sz w:val="21"/>
                <w:szCs w:val="21"/>
              </w:rPr>
              <w:t>墙壁设吸声材料、建筑隔声</w:t>
            </w:r>
          </w:p>
        </w:tc>
        <w:tc>
          <w:tcPr>
            <w:tcW w:w="527" w:type="pct"/>
            <w:vAlign w:val="center"/>
          </w:tcPr>
          <w:p>
            <w:pPr>
              <w:spacing w:line="240" w:lineRule="auto"/>
              <w:ind w:firstLine="0" w:firstLineChars="0"/>
              <w:jc w:val="center"/>
              <w:rPr>
                <w:sz w:val="21"/>
                <w:szCs w:val="21"/>
              </w:rPr>
            </w:pPr>
            <w:r>
              <w:rPr>
                <w:sz w:val="21"/>
                <w:szCs w:val="21"/>
              </w:rPr>
              <w:t>75-80</w:t>
            </w:r>
          </w:p>
        </w:tc>
        <w:tc>
          <w:tcPr>
            <w:tcW w:w="554" w:type="pct"/>
            <w:vAlign w:val="center"/>
          </w:tcPr>
          <w:p>
            <w:pPr>
              <w:spacing w:line="240" w:lineRule="auto"/>
              <w:ind w:firstLine="0" w:firstLineChars="0"/>
              <w:jc w:val="center"/>
              <w:rPr>
                <w:sz w:val="21"/>
                <w:szCs w:val="21"/>
              </w:rPr>
            </w:pPr>
            <w:r>
              <w:rPr>
                <w:sz w:val="21"/>
                <w:szCs w:val="21"/>
              </w:rPr>
              <w:t>65</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371" w:hRule="atLeast"/>
          <w:jc w:val="center"/>
        </w:trPr>
        <w:tc>
          <w:tcPr>
            <w:tcW w:w="361" w:type="pct"/>
            <w:vMerge w:val="continue"/>
            <w:vAlign w:val="center"/>
          </w:tcPr>
          <w:p>
            <w:pPr>
              <w:spacing w:line="240" w:lineRule="auto"/>
              <w:ind w:firstLine="0" w:firstLineChars="0"/>
              <w:jc w:val="center"/>
              <w:rPr>
                <w:sz w:val="21"/>
                <w:szCs w:val="21"/>
              </w:rPr>
            </w:pPr>
          </w:p>
        </w:tc>
        <w:tc>
          <w:tcPr>
            <w:tcW w:w="529" w:type="pct"/>
            <w:vMerge w:val="continue"/>
            <w:vAlign w:val="center"/>
          </w:tcPr>
          <w:p>
            <w:pPr>
              <w:spacing w:line="240" w:lineRule="auto"/>
              <w:ind w:firstLine="0" w:firstLineChars="0"/>
              <w:jc w:val="center"/>
              <w:rPr>
                <w:sz w:val="21"/>
                <w:szCs w:val="21"/>
              </w:rPr>
            </w:pPr>
          </w:p>
        </w:tc>
        <w:tc>
          <w:tcPr>
            <w:tcW w:w="856" w:type="pct"/>
            <w:vAlign w:val="center"/>
          </w:tcPr>
          <w:p>
            <w:pPr>
              <w:spacing w:line="240" w:lineRule="auto"/>
              <w:ind w:firstLine="0" w:firstLineChars="0"/>
              <w:jc w:val="center"/>
              <w:rPr>
                <w:sz w:val="21"/>
                <w:szCs w:val="21"/>
              </w:rPr>
            </w:pPr>
            <w:r>
              <w:rPr>
                <w:rFonts w:hint="eastAsia"/>
                <w:sz w:val="21"/>
                <w:szCs w:val="21"/>
              </w:rPr>
              <w:t>自动刮粪系统</w:t>
            </w:r>
          </w:p>
        </w:tc>
        <w:tc>
          <w:tcPr>
            <w:tcW w:w="683" w:type="pct"/>
            <w:vAlign w:val="center"/>
          </w:tcPr>
          <w:p>
            <w:pPr>
              <w:spacing w:line="240" w:lineRule="auto"/>
              <w:ind w:firstLine="0" w:firstLineChars="0"/>
              <w:jc w:val="center"/>
              <w:rPr>
                <w:sz w:val="21"/>
                <w:szCs w:val="21"/>
              </w:rPr>
            </w:pPr>
            <w:r>
              <w:rPr>
                <w:rFonts w:hint="eastAsia"/>
                <w:sz w:val="21"/>
                <w:szCs w:val="21"/>
              </w:rPr>
              <w:t>18</w:t>
            </w:r>
          </w:p>
        </w:tc>
        <w:tc>
          <w:tcPr>
            <w:tcW w:w="1487" w:type="pct"/>
            <w:vMerge w:val="restart"/>
            <w:vAlign w:val="center"/>
          </w:tcPr>
          <w:p>
            <w:pPr>
              <w:spacing w:line="240" w:lineRule="auto"/>
              <w:ind w:firstLine="0" w:firstLineChars="0"/>
              <w:jc w:val="center"/>
              <w:rPr>
                <w:sz w:val="21"/>
                <w:szCs w:val="21"/>
              </w:rPr>
            </w:pPr>
            <w:r>
              <w:rPr>
                <w:sz w:val="21"/>
                <w:szCs w:val="21"/>
              </w:rPr>
              <w:t>基础减振、建筑隔声</w:t>
            </w:r>
          </w:p>
        </w:tc>
        <w:tc>
          <w:tcPr>
            <w:tcW w:w="527" w:type="pct"/>
            <w:vAlign w:val="center"/>
          </w:tcPr>
          <w:p>
            <w:pPr>
              <w:spacing w:line="240" w:lineRule="auto"/>
              <w:ind w:firstLine="0" w:firstLineChars="0"/>
              <w:jc w:val="center"/>
              <w:rPr>
                <w:sz w:val="21"/>
                <w:szCs w:val="21"/>
              </w:rPr>
            </w:pPr>
            <w:r>
              <w:rPr>
                <w:sz w:val="21"/>
                <w:szCs w:val="21"/>
              </w:rPr>
              <w:t>80-85</w:t>
            </w:r>
          </w:p>
        </w:tc>
        <w:tc>
          <w:tcPr>
            <w:tcW w:w="554" w:type="pct"/>
            <w:vAlign w:val="center"/>
          </w:tcPr>
          <w:p>
            <w:pPr>
              <w:spacing w:line="240" w:lineRule="auto"/>
              <w:ind w:firstLine="0" w:firstLineChars="0"/>
              <w:jc w:val="center"/>
              <w:rPr>
                <w:sz w:val="21"/>
                <w:szCs w:val="21"/>
              </w:rPr>
            </w:pPr>
            <w:r>
              <w:rPr>
                <w:sz w:val="21"/>
                <w:szCs w:val="21"/>
              </w:rPr>
              <w:t>75</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69" w:hRule="atLeast"/>
          <w:jc w:val="center"/>
        </w:trPr>
        <w:tc>
          <w:tcPr>
            <w:tcW w:w="361" w:type="pct"/>
            <w:vMerge w:val="restart"/>
            <w:vAlign w:val="center"/>
          </w:tcPr>
          <w:p>
            <w:pPr>
              <w:spacing w:line="240" w:lineRule="auto"/>
              <w:ind w:firstLine="0" w:firstLineChars="0"/>
              <w:jc w:val="center"/>
              <w:rPr>
                <w:sz w:val="21"/>
                <w:szCs w:val="21"/>
              </w:rPr>
            </w:pPr>
            <w:r>
              <w:rPr>
                <w:sz w:val="21"/>
                <w:szCs w:val="21"/>
              </w:rPr>
              <w:t>2</w:t>
            </w:r>
          </w:p>
        </w:tc>
        <w:tc>
          <w:tcPr>
            <w:tcW w:w="529" w:type="pct"/>
            <w:vMerge w:val="restart"/>
            <w:vAlign w:val="center"/>
          </w:tcPr>
          <w:p>
            <w:pPr>
              <w:spacing w:line="240" w:lineRule="auto"/>
              <w:ind w:firstLine="0" w:firstLineChars="0"/>
              <w:jc w:val="center"/>
              <w:rPr>
                <w:sz w:val="21"/>
                <w:szCs w:val="21"/>
              </w:rPr>
            </w:pPr>
            <w:r>
              <w:rPr>
                <w:sz w:val="21"/>
                <w:szCs w:val="21"/>
              </w:rPr>
              <w:t>饲料</w:t>
            </w:r>
            <w:r>
              <w:rPr>
                <w:rFonts w:hint="eastAsia"/>
                <w:sz w:val="21"/>
                <w:szCs w:val="21"/>
              </w:rPr>
              <w:t>区</w:t>
            </w:r>
          </w:p>
        </w:tc>
        <w:tc>
          <w:tcPr>
            <w:tcW w:w="856" w:type="pct"/>
            <w:vAlign w:val="center"/>
          </w:tcPr>
          <w:p>
            <w:pPr>
              <w:widowControl/>
              <w:adjustRightInd w:val="0"/>
              <w:snapToGrid w:val="0"/>
              <w:spacing w:line="240" w:lineRule="auto"/>
              <w:ind w:firstLine="0" w:firstLineChars="0"/>
              <w:jc w:val="center"/>
              <w:rPr>
                <w:sz w:val="21"/>
                <w:szCs w:val="21"/>
              </w:rPr>
            </w:pPr>
            <w:r>
              <w:rPr>
                <w:rFonts w:hint="eastAsia"/>
                <w:sz w:val="21"/>
                <w:szCs w:val="21"/>
              </w:rPr>
              <w:t>装载机</w:t>
            </w:r>
          </w:p>
        </w:tc>
        <w:tc>
          <w:tcPr>
            <w:tcW w:w="683" w:type="pct"/>
            <w:vAlign w:val="center"/>
          </w:tcPr>
          <w:p>
            <w:pPr>
              <w:spacing w:line="240" w:lineRule="auto"/>
              <w:ind w:firstLine="0" w:firstLineChars="0"/>
              <w:jc w:val="center"/>
              <w:rPr>
                <w:sz w:val="21"/>
                <w:szCs w:val="21"/>
              </w:rPr>
            </w:pPr>
            <w:r>
              <w:rPr>
                <w:rFonts w:hint="eastAsia"/>
                <w:sz w:val="21"/>
                <w:szCs w:val="21"/>
              </w:rPr>
              <w:t>3</w:t>
            </w:r>
          </w:p>
        </w:tc>
        <w:tc>
          <w:tcPr>
            <w:tcW w:w="1487" w:type="pct"/>
            <w:vMerge w:val="continue"/>
            <w:vAlign w:val="center"/>
          </w:tcPr>
          <w:p>
            <w:pPr>
              <w:spacing w:line="240" w:lineRule="auto"/>
              <w:ind w:firstLine="0" w:firstLineChars="0"/>
              <w:jc w:val="center"/>
              <w:rPr>
                <w:sz w:val="21"/>
                <w:szCs w:val="21"/>
              </w:rPr>
            </w:pPr>
          </w:p>
        </w:tc>
        <w:tc>
          <w:tcPr>
            <w:tcW w:w="527" w:type="pct"/>
            <w:vAlign w:val="center"/>
          </w:tcPr>
          <w:p>
            <w:pPr>
              <w:spacing w:line="240" w:lineRule="auto"/>
              <w:ind w:firstLine="0" w:firstLineChars="0"/>
              <w:jc w:val="center"/>
              <w:rPr>
                <w:sz w:val="21"/>
                <w:szCs w:val="21"/>
              </w:rPr>
            </w:pPr>
            <w:r>
              <w:rPr>
                <w:sz w:val="21"/>
                <w:szCs w:val="21"/>
              </w:rPr>
              <w:t>80-85</w:t>
            </w:r>
          </w:p>
        </w:tc>
        <w:tc>
          <w:tcPr>
            <w:tcW w:w="554" w:type="pct"/>
            <w:vAlign w:val="center"/>
          </w:tcPr>
          <w:p>
            <w:pPr>
              <w:spacing w:line="240" w:lineRule="auto"/>
              <w:ind w:firstLine="0" w:firstLineChars="0"/>
              <w:jc w:val="center"/>
              <w:rPr>
                <w:sz w:val="21"/>
                <w:szCs w:val="21"/>
              </w:rPr>
            </w:pPr>
            <w:r>
              <w:rPr>
                <w:sz w:val="21"/>
                <w:szCs w:val="21"/>
              </w:rPr>
              <w:t>75</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trHeight w:val="69" w:hRule="atLeast"/>
          <w:jc w:val="center"/>
        </w:trPr>
        <w:tc>
          <w:tcPr>
            <w:tcW w:w="361" w:type="pct"/>
            <w:vMerge w:val="continue"/>
            <w:vAlign w:val="center"/>
          </w:tcPr>
          <w:p>
            <w:pPr>
              <w:spacing w:line="240" w:lineRule="auto"/>
              <w:ind w:firstLine="0" w:firstLineChars="0"/>
              <w:jc w:val="center"/>
              <w:rPr>
                <w:sz w:val="21"/>
                <w:szCs w:val="21"/>
              </w:rPr>
            </w:pPr>
          </w:p>
        </w:tc>
        <w:tc>
          <w:tcPr>
            <w:tcW w:w="529" w:type="pct"/>
            <w:vMerge w:val="continue"/>
            <w:vAlign w:val="center"/>
          </w:tcPr>
          <w:p>
            <w:pPr>
              <w:spacing w:line="240" w:lineRule="auto"/>
              <w:ind w:firstLine="0" w:firstLineChars="0"/>
              <w:jc w:val="center"/>
              <w:rPr>
                <w:sz w:val="21"/>
                <w:szCs w:val="21"/>
              </w:rPr>
            </w:pPr>
          </w:p>
        </w:tc>
        <w:tc>
          <w:tcPr>
            <w:tcW w:w="856" w:type="pct"/>
            <w:vAlign w:val="center"/>
          </w:tcPr>
          <w:p>
            <w:pPr>
              <w:widowControl/>
              <w:adjustRightInd w:val="0"/>
              <w:snapToGrid w:val="0"/>
              <w:spacing w:line="240" w:lineRule="auto"/>
              <w:ind w:firstLine="0" w:firstLineChars="0"/>
              <w:jc w:val="center"/>
              <w:rPr>
                <w:sz w:val="21"/>
                <w:szCs w:val="21"/>
              </w:rPr>
            </w:pPr>
            <w:r>
              <w:rPr>
                <w:rFonts w:hint="eastAsia"/>
                <w:sz w:val="21"/>
                <w:szCs w:val="21"/>
              </w:rPr>
              <w:t>叉车</w:t>
            </w:r>
          </w:p>
        </w:tc>
        <w:tc>
          <w:tcPr>
            <w:tcW w:w="683" w:type="pct"/>
            <w:vAlign w:val="center"/>
          </w:tcPr>
          <w:p>
            <w:pPr>
              <w:spacing w:line="240" w:lineRule="auto"/>
              <w:ind w:firstLine="0" w:firstLineChars="0"/>
              <w:jc w:val="center"/>
              <w:rPr>
                <w:sz w:val="21"/>
                <w:szCs w:val="21"/>
              </w:rPr>
            </w:pPr>
            <w:r>
              <w:rPr>
                <w:rFonts w:hint="eastAsia"/>
                <w:sz w:val="21"/>
                <w:szCs w:val="21"/>
              </w:rPr>
              <w:t>3</w:t>
            </w:r>
          </w:p>
        </w:tc>
        <w:tc>
          <w:tcPr>
            <w:tcW w:w="1487" w:type="pct"/>
            <w:vMerge w:val="continue"/>
            <w:vAlign w:val="center"/>
          </w:tcPr>
          <w:p>
            <w:pPr>
              <w:spacing w:line="240" w:lineRule="auto"/>
              <w:ind w:firstLine="0" w:firstLineChars="0"/>
              <w:jc w:val="center"/>
              <w:rPr>
                <w:sz w:val="21"/>
                <w:szCs w:val="21"/>
              </w:rPr>
            </w:pPr>
          </w:p>
        </w:tc>
        <w:tc>
          <w:tcPr>
            <w:tcW w:w="527" w:type="pct"/>
            <w:vAlign w:val="center"/>
          </w:tcPr>
          <w:p>
            <w:pPr>
              <w:spacing w:line="240" w:lineRule="auto"/>
              <w:ind w:firstLine="0" w:firstLineChars="0"/>
              <w:jc w:val="center"/>
              <w:rPr>
                <w:sz w:val="21"/>
                <w:szCs w:val="21"/>
              </w:rPr>
            </w:pPr>
            <w:r>
              <w:rPr>
                <w:sz w:val="21"/>
                <w:szCs w:val="21"/>
              </w:rPr>
              <w:t>60~70</w:t>
            </w:r>
          </w:p>
        </w:tc>
        <w:tc>
          <w:tcPr>
            <w:tcW w:w="554" w:type="pct"/>
            <w:vAlign w:val="center"/>
          </w:tcPr>
          <w:p>
            <w:pPr>
              <w:spacing w:line="240" w:lineRule="auto"/>
              <w:ind w:firstLine="0" w:firstLineChars="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361" w:type="pct"/>
            <w:vMerge w:val="continue"/>
            <w:vAlign w:val="center"/>
          </w:tcPr>
          <w:p>
            <w:pPr>
              <w:spacing w:line="240" w:lineRule="auto"/>
              <w:ind w:firstLine="0" w:firstLineChars="0"/>
              <w:jc w:val="center"/>
              <w:rPr>
                <w:sz w:val="21"/>
                <w:szCs w:val="21"/>
              </w:rPr>
            </w:pPr>
          </w:p>
        </w:tc>
        <w:tc>
          <w:tcPr>
            <w:tcW w:w="529" w:type="pct"/>
            <w:vMerge w:val="continue"/>
            <w:vAlign w:val="center"/>
          </w:tcPr>
          <w:p>
            <w:pPr>
              <w:spacing w:line="240" w:lineRule="auto"/>
              <w:ind w:firstLine="0" w:firstLineChars="0"/>
              <w:jc w:val="center"/>
              <w:rPr>
                <w:sz w:val="21"/>
                <w:szCs w:val="21"/>
              </w:rPr>
            </w:pPr>
          </w:p>
        </w:tc>
        <w:tc>
          <w:tcPr>
            <w:tcW w:w="856" w:type="pct"/>
            <w:vAlign w:val="center"/>
          </w:tcPr>
          <w:p>
            <w:pPr>
              <w:widowControl/>
              <w:adjustRightInd w:val="0"/>
              <w:snapToGrid w:val="0"/>
              <w:spacing w:line="240" w:lineRule="auto"/>
              <w:ind w:firstLine="0" w:firstLineChars="0"/>
              <w:jc w:val="center"/>
              <w:rPr>
                <w:sz w:val="21"/>
                <w:szCs w:val="21"/>
              </w:rPr>
            </w:pPr>
            <w:r>
              <w:rPr>
                <w:sz w:val="21"/>
                <w:szCs w:val="21"/>
              </w:rPr>
              <w:t>饲料搅拌</w:t>
            </w:r>
          </w:p>
        </w:tc>
        <w:tc>
          <w:tcPr>
            <w:tcW w:w="683" w:type="pct"/>
            <w:vAlign w:val="center"/>
          </w:tcPr>
          <w:p>
            <w:pPr>
              <w:spacing w:line="240" w:lineRule="auto"/>
              <w:ind w:firstLine="0" w:firstLineChars="0"/>
              <w:jc w:val="center"/>
              <w:rPr>
                <w:sz w:val="21"/>
                <w:szCs w:val="21"/>
              </w:rPr>
            </w:pPr>
            <w:r>
              <w:rPr>
                <w:rFonts w:hint="eastAsia"/>
                <w:sz w:val="21"/>
                <w:szCs w:val="21"/>
              </w:rPr>
              <w:t>1</w:t>
            </w:r>
            <w:r>
              <w:rPr>
                <w:sz w:val="21"/>
                <w:szCs w:val="21"/>
              </w:rPr>
              <w:t>2</w:t>
            </w:r>
          </w:p>
        </w:tc>
        <w:tc>
          <w:tcPr>
            <w:tcW w:w="1487" w:type="pct"/>
            <w:vMerge w:val="continue"/>
            <w:vAlign w:val="center"/>
          </w:tcPr>
          <w:p>
            <w:pPr>
              <w:spacing w:line="240" w:lineRule="auto"/>
              <w:ind w:firstLine="0" w:firstLineChars="0"/>
              <w:jc w:val="center"/>
              <w:rPr>
                <w:sz w:val="21"/>
                <w:szCs w:val="21"/>
              </w:rPr>
            </w:pPr>
          </w:p>
        </w:tc>
        <w:tc>
          <w:tcPr>
            <w:tcW w:w="527" w:type="pct"/>
            <w:vAlign w:val="center"/>
          </w:tcPr>
          <w:p>
            <w:pPr>
              <w:spacing w:line="240" w:lineRule="auto"/>
              <w:ind w:firstLine="0" w:firstLineChars="0"/>
              <w:jc w:val="center"/>
              <w:rPr>
                <w:sz w:val="21"/>
                <w:szCs w:val="21"/>
              </w:rPr>
            </w:pPr>
            <w:r>
              <w:rPr>
                <w:sz w:val="21"/>
                <w:szCs w:val="21"/>
              </w:rPr>
              <w:t>80-85</w:t>
            </w:r>
          </w:p>
        </w:tc>
        <w:tc>
          <w:tcPr>
            <w:tcW w:w="554" w:type="pct"/>
            <w:vAlign w:val="center"/>
          </w:tcPr>
          <w:p>
            <w:pPr>
              <w:spacing w:line="240" w:lineRule="auto"/>
              <w:ind w:firstLine="0" w:firstLineChars="0"/>
              <w:jc w:val="center"/>
              <w:rPr>
                <w:sz w:val="21"/>
                <w:szCs w:val="21"/>
              </w:rPr>
            </w:pPr>
            <w:r>
              <w:rPr>
                <w:sz w:val="21"/>
                <w:szCs w:val="21"/>
              </w:rPr>
              <w:t>70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361" w:type="pct"/>
            <w:vMerge w:val="restart"/>
            <w:vAlign w:val="center"/>
          </w:tcPr>
          <w:p>
            <w:pPr>
              <w:spacing w:line="240" w:lineRule="auto"/>
              <w:ind w:firstLine="0" w:firstLineChars="0"/>
              <w:jc w:val="center"/>
              <w:rPr>
                <w:sz w:val="21"/>
                <w:szCs w:val="21"/>
              </w:rPr>
            </w:pPr>
            <w:r>
              <w:rPr>
                <w:sz w:val="21"/>
                <w:szCs w:val="21"/>
              </w:rPr>
              <w:t>3</w:t>
            </w:r>
          </w:p>
        </w:tc>
        <w:tc>
          <w:tcPr>
            <w:tcW w:w="529" w:type="pct"/>
            <w:vMerge w:val="restart"/>
            <w:vAlign w:val="center"/>
          </w:tcPr>
          <w:p>
            <w:pPr>
              <w:spacing w:line="240" w:lineRule="auto"/>
              <w:ind w:firstLine="0" w:firstLineChars="0"/>
              <w:jc w:val="center"/>
              <w:rPr>
                <w:sz w:val="21"/>
                <w:szCs w:val="21"/>
              </w:rPr>
            </w:pPr>
            <w:r>
              <w:rPr>
                <w:rFonts w:hint="eastAsia"/>
                <w:sz w:val="21"/>
                <w:szCs w:val="21"/>
              </w:rPr>
              <w:t>有机肥堆场</w:t>
            </w:r>
          </w:p>
        </w:tc>
        <w:tc>
          <w:tcPr>
            <w:tcW w:w="856" w:type="pct"/>
            <w:vAlign w:val="center"/>
          </w:tcPr>
          <w:p>
            <w:pPr>
              <w:widowControl/>
              <w:adjustRightInd w:val="0"/>
              <w:snapToGrid w:val="0"/>
              <w:spacing w:line="240" w:lineRule="auto"/>
              <w:ind w:firstLine="0" w:firstLineChars="0"/>
              <w:jc w:val="center"/>
              <w:rPr>
                <w:sz w:val="21"/>
                <w:szCs w:val="21"/>
              </w:rPr>
            </w:pPr>
            <w:r>
              <w:rPr>
                <w:rFonts w:hint="eastAsia"/>
                <w:sz w:val="21"/>
                <w:szCs w:val="21"/>
              </w:rPr>
              <w:t>混合搅拌机</w:t>
            </w:r>
          </w:p>
        </w:tc>
        <w:tc>
          <w:tcPr>
            <w:tcW w:w="683" w:type="pct"/>
            <w:vAlign w:val="center"/>
          </w:tcPr>
          <w:p>
            <w:pPr>
              <w:spacing w:line="240" w:lineRule="auto"/>
              <w:ind w:firstLine="0" w:firstLineChars="0"/>
              <w:jc w:val="center"/>
              <w:rPr>
                <w:sz w:val="21"/>
                <w:szCs w:val="21"/>
              </w:rPr>
            </w:pPr>
            <w:r>
              <w:rPr>
                <w:rFonts w:hint="eastAsia"/>
                <w:sz w:val="21"/>
                <w:szCs w:val="21"/>
              </w:rPr>
              <w:t>2</w:t>
            </w:r>
          </w:p>
        </w:tc>
        <w:tc>
          <w:tcPr>
            <w:tcW w:w="1487" w:type="pct"/>
            <w:vMerge w:val="continue"/>
            <w:vAlign w:val="center"/>
          </w:tcPr>
          <w:p>
            <w:pPr>
              <w:spacing w:line="240" w:lineRule="auto"/>
              <w:ind w:firstLine="0" w:firstLineChars="0"/>
              <w:jc w:val="center"/>
              <w:rPr>
                <w:sz w:val="21"/>
                <w:szCs w:val="21"/>
              </w:rPr>
            </w:pPr>
          </w:p>
        </w:tc>
        <w:tc>
          <w:tcPr>
            <w:tcW w:w="527" w:type="pct"/>
            <w:vAlign w:val="center"/>
          </w:tcPr>
          <w:p>
            <w:pPr>
              <w:spacing w:line="240" w:lineRule="auto"/>
              <w:ind w:firstLine="0" w:firstLineChars="0"/>
              <w:jc w:val="center"/>
              <w:rPr>
                <w:sz w:val="21"/>
                <w:szCs w:val="21"/>
              </w:rPr>
            </w:pPr>
            <w:r>
              <w:rPr>
                <w:sz w:val="21"/>
                <w:szCs w:val="21"/>
              </w:rPr>
              <w:t>60~70</w:t>
            </w:r>
          </w:p>
        </w:tc>
        <w:tc>
          <w:tcPr>
            <w:tcW w:w="554" w:type="pct"/>
            <w:vAlign w:val="center"/>
          </w:tcPr>
          <w:p>
            <w:pPr>
              <w:spacing w:line="240" w:lineRule="auto"/>
              <w:ind w:firstLine="0" w:firstLineChars="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361" w:type="pct"/>
            <w:vMerge w:val="continue"/>
            <w:vAlign w:val="center"/>
          </w:tcPr>
          <w:p>
            <w:pPr>
              <w:spacing w:line="240" w:lineRule="auto"/>
              <w:ind w:firstLine="0" w:firstLineChars="0"/>
              <w:jc w:val="center"/>
              <w:rPr>
                <w:sz w:val="21"/>
                <w:szCs w:val="21"/>
              </w:rPr>
            </w:pPr>
          </w:p>
        </w:tc>
        <w:tc>
          <w:tcPr>
            <w:tcW w:w="529" w:type="pct"/>
            <w:vMerge w:val="continue"/>
            <w:vAlign w:val="center"/>
          </w:tcPr>
          <w:p>
            <w:pPr>
              <w:spacing w:line="240" w:lineRule="auto"/>
              <w:ind w:firstLine="0" w:firstLineChars="0"/>
              <w:jc w:val="center"/>
              <w:rPr>
                <w:sz w:val="21"/>
                <w:szCs w:val="21"/>
              </w:rPr>
            </w:pPr>
          </w:p>
        </w:tc>
        <w:tc>
          <w:tcPr>
            <w:tcW w:w="856" w:type="pct"/>
            <w:vAlign w:val="center"/>
          </w:tcPr>
          <w:p>
            <w:pPr>
              <w:widowControl/>
              <w:adjustRightInd w:val="0"/>
              <w:snapToGrid w:val="0"/>
              <w:spacing w:line="240" w:lineRule="auto"/>
              <w:ind w:firstLine="0" w:firstLineChars="0"/>
              <w:jc w:val="center"/>
              <w:rPr>
                <w:sz w:val="21"/>
                <w:szCs w:val="21"/>
              </w:rPr>
            </w:pPr>
            <w:r>
              <w:rPr>
                <w:sz w:val="21"/>
                <w:szCs w:val="21"/>
              </w:rPr>
              <w:t>翻抛机</w:t>
            </w:r>
          </w:p>
        </w:tc>
        <w:tc>
          <w:tcPr>
            <w:tcW w:w="683" w:type="pct"/>
            <w:vAlign w:val="center"/>
          </w:tcPr>
          <w:p>
            <w:pPr>
              <w:spacing w:line="240" w:lineRule="auto"/>
              <w:ind w:firstLine="0" w:firstLineChars="0"/>
              <w:jc w:val="center"/>
              <w:rPr>
                <w:sz w:val="21"/>
                <w:szCs w:val="21"/>
              </w:rPr>
            </w:pPr>
            <w:r>
              <w:rPr>
                <w:rFonts w:hint="eastAsia"/>
                <w:sz w:val="21"/>
                <w:szCs w:val="21"/>
              </w:rPr>
              <w:t>2</w:t>
            </w:r>
          </w:p>
        </w:tc>
        <w:tc>
          <w:tcPr>
            <w:tcW w:w="1487" w:type="pct"/>
            <w:vMerge w:val="continue"/>
            <w:vAlign w:val="center"/>
          </w:tcPr>
          <w:p>
            <w:pPr>
              <w:spacing w:line="240" w:lineRule="auto"/>
              <w:ind w:firstLine="0" w:firstLineChars="0"/>
              <w:jc w:val="center"/>
              <w:rPr>
                <w:sz w:val="21"/>
                <w:szCs w:val="21"/>
              </w:rPr>
            </w:pPr>
          </w:p>
        </w:tc>
        <w:tc>
          <w:tcPr>
            <w:tcW w:w="527" w:type="pct"/>
            <w:vAlign w:val="center"/>
          </w:tcPr>
          <w:p>
            <w:pPr>
              <w:spacing w:line="240" w:lineRule="auto"/>
              <w:ind w:firstLine="0" w:firstLineChars="0"/>
              <w:jc w:val="center"/>
              <w:rPr>
                <w:sz w:val="21"/>
                <w:szCs w:val="21"/>
              </w:rPr>
            </w:pPr>
            <w:r>
              <w:rPr>
                <w:sz w:val="21"/>
                <w:szCs w:val="21"/>
              </w:rPr>
              <w:t>60~70</w:t>
            </w:r>
          </w:p>
        </w:tc>
        <w:tc>
          <w:tcPr>
            <w:tcW w:w="554" w:type="pct"/>
            <w:vAlign w:val="center"/>
          </w:tcPr>
          <w:p>
            <w:pPr>
              <w:spacing w:line="240" w:lineRule="auto"/>
              <w:ind w:firstLine="0" w:firstLineChars="0"/>
              <w:jc w:val="center"/>
              <w:rPr>
                <w:sz w:val="21"/>
                <w:szCs w:val="21"/>
              </w:rPr>
            </w:pPr>
            <w:r>
              <w:rPr>
                <w:sz w:val="21"/>
                <w:szCs w:val="21"/>
              </w:rPr>
              <w:t>60</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0" w:type="dxa"/>
            <w:bottom w:w="0" w:type="dxa"/>
            <w:right w:w="0" w:type="dxa"/>
          </w:tblCellMar>
        </w:tblPrEx>
        <w:trPr>
          <w:jc w:val="center"/>
        </w:trPr>
        <w:tc>
          <w:tcPr>
            <w:tcW w:w="361" w:type="pct"/>
            <w:vAlign w:val="center"/>
          </w:tcPr>
          <w:p>
            <w:pPr>
              <w:spacing w:line="240" w:lineRule="auto"/>
              <w:ind w:firstLine="0" w:firstLineChars="0"/>
              <w:jc w:val="center"/>
              <w:rPr>
                <w:sz w:val="21"/>
                <w:szCs w:val="21"/>
              </w:rPr>
            </w:pPr>
            <w:r>
              <w:rPr>
                <w:sz w:val="21"/>
                <w:szCs w:val="21"/>
              </w:rPr>
              <w:t>4</w:t>
            </w:r>
          </w:p>
        </w:tc>
        <w:tc>
          <w:tcPr>
            <w:tcW w:w="529" w:type="pct"/>
            <w:vAlign w:val="center"/>
          </w:tcPr>
          <w:p>
            <w:pPr>
              <w:spacing w:line="240" w:lineRule="auto"/>
              <w:ind w:firstLine="0" w:firstLineChars="0"/>
              <w:jc w:val="center"/>
              <w:rPr>
                <w:sz w:val="21"/>
                <w:szCs w:val="21"/>
              </w:rPr>
            </w:pPr>
            <w:r>
              <w:rPr>
                <w:rFonts w:hint="eastAsia"/>
                <w:sz w:val="21"/>
                <w:szCs w:val="21"/>
              </w:rPr>
              <w:t>无害化处理</w:t>
            </w:r>
          </w:p>
        </w:tc>
        <w:tc>
          <w:tcPr>
            <w:tcW w:w="856" w:type="pct"/>
            <w:vAlign w:val="center"/>
          </w:tcPr>
          <w:p>
            <w:pPr>
              <w:widowControl/>
              <w:adjustRightInd w:val="0"/>
              <w:snapToGrid w:val="0"/>
              <w:spacing w:line="240" w:lineRule="auto"/>
              <w:ind w:firstLine="0" w:firstLineChars="0"/>
              <w:jc w:val="center"/>
              <w:rPr>
                <w:sz w:val="21"/>
                <w:szCs w:val="21"/>
              </w:rPr>
            </w:pPr>
            <w:r>
              <w:rPr>
                <w:rFonts w:hint="eastAsia"/>
                <w:sz w:val="21"/>
                <w:szCs w:val="21"/>
              </w:rPr>
              <w:t>无害化处理设备</w:t>
            </w:r>
          </w:p>
        </w:tc>
        <w:tc>
          <w:tcPr>
            <w:tcW w:w="683" w:type="pct"/>
            <w:vAlign w:val="center"/>
          </w:tcPr>
          <w:p>
            <w:pPr>
              <w:spacing w:line="240" w:lineRule="auto"/>
              <w:ind w:firstLine="0" w:firstLineChars="0"/>
              <w:jc w:val="center"/>
              <w:rPr>
                <w:sz w:val="21"/>
                <w:szCs w:val="21"/>
              </w:rPr>
            </w:pPr>
            <w:r>
              <w:rPr>
                <w:sz w:val="21"/>
                <w:szCs w:val="21"/>
              </w:rPr>
              <w:t>6</w:t>
            </w:r>
          </w:p>
        </w:tc>
        <w:tc>
          <w:tcPr>
            <w:tcW w:w="1487" w:type="pct"/>
            <w:vMerge w:val="continue"/>
            <w:vAlign w:val="center"/>
          </w:tcPr>
          <w:p>
            <w:pPr>
              <w:spacing w:line="240" w:lineRule="auto"/>
              <w:ind w:firstLine="0" w:firstLineChars="0"/>
              <w:jc w:val="center"/>
              <w:rPr>
                <w:sz w:val="21"/>
                <w:szCs w:val="21"/>
              </w:rPr>
            </w:pPr>
          </w:p>
        </w:tc>
        <w:tc>
          <w:tcPr>
            <w:tcW w:w="527" w:type="pct"/>
            <w:vAlign w:val="center"/>
          </w:tcPr>
          <w:p>
            <w:pPr>
              <w:spacing w:line="240" w:lineRule="auto"/>
              <w:ind w:firstLine="0" w:firstLineChars="0"/>
              <w:jc w:val="center"/>
              <w:rPr>
                <w:sz w:val="21"/>
                <w:szCs w:val="21"/>
              </w:rPr>
            </w:pPr>
            <w:r>
              <w:rPr>
                <w:sz w:val="21"/>
                <w:szCs w:val="21"/>
              </w:rPr>
              <w:t>80-85</w:t>
            </w:r>
          </w:p>
        </w:tc>
        <w:tc>
          <w:tcPr>
            <w:tcW w:w="554" w:type="pct"/>
            <w:vAlign w:val="center"/>
          </w:tcPr>
          <w:p>
            <w:pPr>
              <w:spacing w:line="240" w:lineRule="auto"/>
              <w:ind w:firstLine="0" w:firstLineChars="0"/>
              <w:jc w:val="center"/>
              <w:rPr>
                <w:sz w:val="21"/>
                <w:szCs w:val="21"/>
              </w:rPr>
            </w:pPr>
            <w:r>
              <w:rPr>
                <w:sz w:val="21"/>
                <w:szCs w:val="21"/>
              </w:rPr>
              <w:t>70</w:t>
            </w:r>
          </w:p>
        </w:tc>
      </w:tr>
    </w:tbl>
    <w:p>
      <w:pPr>
        <w:ind w:firstLine="480"/>
        <w:rPr>
          <w:color w:val="FF0000"/>
        </w:rPr>
      </w:pPr>
    </w:p>
    <w:p>
      <w:pPr>
        <w:pStyle w:val="5"/>
      </w:pPr>
      <w:r>
        <w:rPr>
          <w:rFonts w:hint="eastAsia"/>
        </w:rPr>
        <w:t>声环境预测内容</w:t>
      </w:r>
    </w:p>
    <w:p>
      <w:pPr>
        <w:ind w:firstLine="480"/>
      </w:pPr>
      <w:r>
        <w:t>预测在拟采取的治理措施情况下，项目噪声源对厂界噪声的影响。</w:t>
      </w:r>
    </w:p>
    <w:p>
      <w:pPr>
        <w:pStyle w:val="5"/>
      </w:pPr>
      <w:r>
        <w:rPr>
          <w:rFonts w:hint="eastAsia"/>
        </w:rPr>
        <w:t>预测模式</w:t>
      </w:r>
    </w:p>
    <w:p>
      <w:pPr>
        <w:ind w:firstLine="480"/>
      </w:pPr>
      <w:r>
        <w:t>预测模式采用《环境影响评价技术导则 声环境》（HJ2.4-20</w:t>
      </w:r>
      <w:r>
        <w:rPr>
          <w:rFonts w:hint="eastAsia"/>
        </w:rPr>
        <w:t>22</w:t>
      </w:r>
      <w:r>
        <w:t>）声预测模式。</w:t>
      </w:r>
    </w:p>
    <w:p>
      <w:pPr>
        <w:ind w:firstLine="480"/>
      </w:pPr>
      <w:r>
        <w:t>1、单个室外点声源在预测点产生的声级计算基本公式</w:t>
      </w:r>
    </w:p>
    <w:p>
      <w:pPr>
        <w:ind w:firstLine="480"/>
      </w:pPr>
      <w:r>
        <w:t>如已知声源的倍频带声功率级，预测点位置的倍频带声压级Lp(r)可按公式（1）计算：</w:t>
      </w:r>
    </w:p>
    <w:p>
      <w:pPr>
        <w:adjustRightInd w:val="0"/>
        <w:snapToGrid w:val="0"/>
        <w:ind w:firstLine="0" w:firstLineChars="0"/>
        <w:jc w:val="center"/>
      </w:pPr>
      <w:r>
        <w:drawing>
          <wp:inline distT="0" distB="0" distL="114300" distR="114300">
            <wp:extent cx="1301750" cy="241300"/>
            <wp:effectExtent l="0" t="0" r="0" b="0"/>
            <wp:docPr id="6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0"/>
                    <pic:cNvPicPr>
                      <a:picLocks noChangeAspect="1"/>
                    </pic:cNvPicPr>
                  </pic:nvPicPr>
                  <pic:blipFill>
                    <a:blip r:embed="rId68"/>
                    <a:stretch>
                      <a:fillRect/>
                    </a:stretch>
                  </pic:blipFill>
                  <pic:spPr>
                    <a:xfrm>
                      <a:off x="0" y="0"/>
                      <a:ext cx="1301750" cy="241300"/>
                    </a:xfrm>
                    <a:prstGeom prst="rect">
                      <a:avLst/>
                    </a:prstGeom>
                    <a:noFill/>
                    <a:ln>
                      <a:noFill/>
                    </a:ln>
                  </pic:spPr>
                </pic:pic>
              </a:graphicData>
            </a:graphic>
          </wp:inline>
        </w:drawing>
      </w:r>
      <w:r>
        <w:t>（1）</w:t>
      </w:r>
    </w:p>
    <w:p>
      <w:pPr>
        <w:adjustRightInd w:val="0"/>
        <w:snapToGrid w:val="0"/>
        <w:ind w:firstLine="0" w:firstLineChars="0"/>
        <w:jc w:val="center"/>
      </w:pPr>
      <w:r>
        <w:drawing>
          <wp:inline distT="0" distB="0" distL="114300" distR="114300">
            <wp:extent cx="2102485" cy="247650"/>
            <wp:effectExtent l="0" t="0" r="0" b="0"/>
            <wp:docPr id="5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1"/>
                    <pic:cNvPicPr>
                      <a:picLocks noChangeAspect="1"/>
                    </pic:cNvPicPr>
                  </pic:nvPicPr>
                  <pic:blipFill>
                    <a:blip r:embed="rId69"/>
                    <a:stretch>
                      <a:fillRect/>
                    </a:stretch>
                  </pic:blipFill>
                  <pic:spPr>
                    <a:xfrm>
                      <a:off x="0" y="0"/>
                      <a:ext cx="2102485" cy="247650"/>
                    </a:xfrm>
                    <a:prstGeom prst="rect">
                      <a:avLst/>
                    </a:prstGeom>
                    <a:noFill/>
                    <a:ln>
                      <a:noFill/>
                    </a:ln>
                  </pic:spPr>
                </pic:pic>
              </a:graphicData>
            </a:graphic>
          </wp:inline>
        </w:drawing>
      </w:r>
    </w:p>
    <w:p>
      <w:pPr>
        <w:ind w:firstLine="480"/>
      </w:pPr>
      <w:r>
        <w:t>式中：Lw—倍频带声功率级，dB；</w:t>
      </w:r>
    </w:p>
    <w:p>
      <w:pPr>
        <w:ind w:firstLine="480"/>
      </w:pPr>
      <w:r>
        <w:t>Dc—指向性校正，dB，对辐射到自由空间的全向点声源，为0；</w:t>
      </w:r>
    </w:p>
    <w:p>
      <w:pPr>
        <w:ind w:firstLine="480"/>
      </w:pPr>
      <w:r>
        <w:t>A—倍频带衰减，dB；</w:t>
      </w:r>
    </w:p>
    <w:p>
      <w:pPr>
        <w:ind w:firstLine="480"/>
      </w:pPr>
      <w:r>
        <w:t>Adiv—几何发散引起的倍频带衰减，dB；</w:t>
      </w:r>
    </w:p>
    <w:p>
      <w:pPr>
        <w:ind w:firstLine="480"/>
      </w:pPr>
      <w:r>
        <w:t>Aatm—大气吸收引起的倍频带衰减，dB；</w:t>
      </w:r>
    </w:p>
    <w:p>
      <w:pPr>
        <w:ind w:firstLine="480"/>
      </w:pPr>
      <w:r>
        <w:t>Agr—地面效应吸收引起的倍频带衰减，dB；</w:t>
      </w:r>
    </w:p>
    <w:p>
      <w:pPr>
        <w:ind w:firstLine="480"/>
      </w:pPr>
      <w:r>
        <w:t>Abar—声屏障引起的倍频带衰减，dB；</w:t>
      </w:r>
    </w:p>
    <w:p>
      <w:pPr>
        <w:ind w:firstLine="480"/>
      </w:pPr>
      <w:r>
        <w:t>Amisc—其他多方面效应引起的倍频带衰减，dB。</w:t>
      </w:r>
    </w:p>
    <w:p>
      <w:pPr>
        <w:ind w:firstLine="480"/>
      </w:pPr>
      <w:r>
        <w:t>如已知靠近声源处某点的倍频带声压级Lp(r0)时，相同方向预测点位置的倍频带声压级Lp(r)可按公式（2）计算：</w:t>
      </w:r>
    </w:p>
    <w:p>
      <w:pPr>
        <w:ind w:firstLine="0" w:firstLineChars="0"/>
        <w:jc w:val="center"/>
      </w:pPr>
      <w:r>
        <w:drawing>
          <wp:inline distT="0" distB="0" distL="114300" distR="114300">
            <wp:extent cx="1193800" cy="241300"/>
            <wp:effectExtent l="0" t="0" r="0" b="0"/>
            <wp:docPr id="6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2"/>
                    <pic:cNvPicPr>
                      <a:picLocks noChangeAspect="1"/>
                    </pic:cNvPicPr>
                  </pic:nvPicPr>
                  <pic:blipFill>
                    <a:blip r:embed="rId70"/>
                    <a:stretch>
                      <a:fillRect/>
                    </a:stretch>
                  </pic:blipFill>
                  <pic:spPr>
                    <a:xfrm>
                      <a:off x="0" y="0"/>
                      <a:ext cx="1193800" cy="241300"/>
                    </a:xfrm>
                    <a:prstGeom prst="rect">
                      <a:avLst/>
                    </a:prstGeom>
                    <a:noFill/>
                    <a:ln>
                      <a:noFill/>
                    </a:ln>
                  </pic:spPr>
                </pic:pic>
              </a:graphicData>
            </a:graphic>
          </wp:inline>
        </w:drawing>
      </w:r>
      <w:r>
        <w:t>（2）</w:t>
      </w:r>
    </w:p>
    <w:p>
      <w:pPr>
        <w:ind w:firstLine="480"/>
      </w:pPr>
      <w:r>
        <w:t>预测点的A声级LA(r)，可利用8个倍频带的声压级公式（3）计算：</w:t>
      </w:r>
    </w:p>
    <w:p>
      <w:pPr>
        <w:ind w:firstLine="0" w:firstLineChars="0"/>
        <w:jc w:val="center"/>
      </w:pPr>
      <w:r>
        <w:drawing>
          <wp:inline distT="0" distB="0" distL="114300" distR="114300">
            <wp:extent cx="1834515" cy="425450"/>
            <wp:effectExtent l="0" t="0" r="0" b="0"/>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pic:cNvPicPr>
                  </pic:nvPicPr>
                  <pic:blipFill>
                    <a:blip r:embed="rId71"/>
                    <a:stretch>
                      <a:fillRect/>
                    </a:stretch>
                  </pic:blipFill>
                  <pic:spPr>
                    <a:xfrm>
                      <a:off x="0" y="0"/>
                      <a:ext cx="1834515" cy="425450"/>
                    </a:xfrm>
                    <a:prstGeom prst="rect">
                      <a:avLst/>
                    </a:prstGeom>
                    <a:noFill/>
                    <a:ln>
                      <a:noFill/>
                    </a:ln>
                  </pic:spPr>
                </pic:pic>
              </a:graphicData>
            </a:graphic>
          </wp:inline>
        </w:drawing>
      </w:r>
      <w:r>
        <w:t>（3）</w:t>
      </w:r>
    </w:p>
    <w:p>
      <w:pPr>
        <w:ind w:firstLine="480"/>
      </w:pPr>
      <w:r>
        <w:t>式中：LPi(r)—预测点（r）处，第i倍频带声压级，dB；</w:t>
      </w:r>
    </w:p>
    <w:p>
      <w:pPr>
        <w:ind w:firstLine="480"/>
      </w:pPr>
      <w:r>
        <w:drawing>
          <wp:inline distT="0" distB="0" distL="114300" distR="114300">
            <wp:extent cx="146050" cy="158750"/>
            <wp:effectExtent l="0" t="0" r="0" b="0"/>
            <wp:docPr id="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
                    <pic:cNvPicPr>
                      <a:picLocks noChangeAspect="1"/>
                    </pic:cNvPicPr>
                  </pic:nvPicPr>
                  <pic:blipFill>
                    <a:blip r:embed="rId72"/>
                    <a:stretch>
                      <a:fillRect/>
                    </a:stretch>
                  </pic:blipFill>
                  <pic:spPr>
                    <a:xfrm>
                      <a:off x="0" y="0"/>
                      <a:ext cx="146050" cy="158750"/>
                    </a:xfrm>
                    <a:prstGeom prst="rect">
                      <a:avLst/>
                    </a:prstGeom>
                    <a:noFill/>
                    <a:ln>
                      <a:noFill/>
                    </a:ln>
                  </pic:spPr>
                </pic:pic>
              </a:graphicData>
            </a:graphic>
          </wp:inline>
        </w:drawing>
      </w:r>
      <w:r>
        <w:t>Li—第i倍频带的A计权网络修正值，dB。</w:t>
      </w:r>
    </w:p>
    <w:p>
      <w:pPr>
        <w:ind w:firstLine="480"/>
      </w:pPr>
      <w:r>
        <w:t>在不能取得声源倍频带声功率级或倍频带声压级，只能获得A声功率级或某点的A声级时，可按公式（4）做近似计算：</w:t>
      </w:r>
    </w:p>
    <w:p>
      <w:pPr>
        <w:ind w:firstLine="0" w:firstLineChars="0"/>
        <w:jc w:val="center"/>
      </w:pPr>
      <w:r>
        <w:drawing>
          <wp:inline distT="0" distB="0" distL="114300" distR="114300">
            <wp:extent cx="1371600" cy="228600"/>
            <wp:effectExtent l="0" t="0" r="0" b="0"/>
            <wp:docPr id="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5"/>
                    <pic:cNvPicPr>
                      <a:picLocks noChangeAspect="1"/>
                    </pic:cNvPicPr>
                  </pic:nvPicPr>
                  <pic:blipFill>
                    <a:blip r:embed="rId73"/>
                    <a:stretch>
                      <a:fillRect/>
                    </a:stretch>
                  </pic:blipFill>
                  <pic:spPr>
                    <a:xfrm>
                      <a:off x="0" y="0"/>
                      <a:ext cx="1371600" cy="228600"/>
                    </a:xfrm>
                    <a:prstGeom prst="rect">
                      <a:avLst/>
                    </a:prstGeom>
                    <a:noFill/>
                    <a:ln>
                      <a:noFill/>
                    </a:ln>
                  </pic:spPr>
                </pic:pic>
              </a:graphicData>
            </a:graphic>
          </wp:inline>
        </w:drawing>
      </w:r>
      <w:r>
        <w:t xml:space="preserve">  （4）</w:t>
      </w:r>
    </w:p>
    <w:p>
      <w:pPr>
        <w:ind w:firstLine="0" w:firstLineChars="0"/>
        <w:jc w:val="center"/>
      </w:pPr>
      <w:r>
        <w:t>或</w:t>
      </w:r>
      <w:r>
        <w:drawing>
          <wp:inline distT="0" distB="0" distL="114300" distR="114300">
            <wp:extent cx="1207135" cy="228600"/>
            <wp:effectExtent l="0" t="0" r="0" b="0"/>
            <wp:docPr id="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pic:cNvPicPr>
                      <a:picLocks noChangeAspect="1"/>
                    </pic:cNvPicPr>
                  </pic:nvPicPr>
                  <pic:blipFill>
                    <a:blip r:embed="rId74"/>
                    <a:stretch>
                      <a:fillRect/>
                    </a:stretch>
                  </pic:blipFill>
                  <pic:spPr>
                    <a:xfrm>
                      <a:off x="0" y="0"/>
                      <a:ext cx="1207135" cy="228600"/>
                    </a:xfrm>
                    <a:prstGeom prst="rect">
                      <a:avLst/>
                    </a:prstGeom>
                    <a:noFill/>
                    <a:ln>
                      <a:noFill/>
                    </a:ln>
                  </pic:spPr>
                </pic:pic>
              </a:graphicData>
            </a:graphic>
          </wp:inline>
        </w:drawing>
      </w:r>
    </w:p>
    <w:p>
      <w:pPr>
        <w:ind w:firstLine="480"/>
      </w:pPr>
      <w:r>
        <w:t>A可选择对A声级影响最大的倍频带计算，一般可选中心频率为500Hz的倍频带估算。</w:t>
      </w:r>
    </w:p>
    <w:p>
      <w:pPr>
        <w:ind w:firstLine="480"/>
      </w:pPr>
      <w:r>
        <w:t>2、室内声源等效室外声源声功率级计算方法</w:t>
      </w:r>
    </w:p>
    <w:p>
      <w:pPr>
        <w:ind w:firstLine="480"/>
      </w:pPr>
      <w:r>
        <w:t>设靠近开口处（或窗户）室内，室外某倍频带的声压级分别为LP1和LP2。若声源所在室内声场为近似扩散声场，则室外倍频声压级可按下公式近似求出：</w:t>
      </w:r>
    </w:p>
    <w:p>
      <w:pPr>
        <w:ind w:firstLine="0" w:firstLineChars="0"/>
        <w:jc w:val="center"/>
      </w:pPr>
      <w:r>
        <w:drawing>
          <wp:inline distT="0" distB="0" distL="114300" distR="114300">
            <wp:extent cx="1250315" cy="241300"/>
            <wp:effectExtent l="0" t="0" r="0" b="0"/>
            <wp:docPr id="5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7"/>
                    <pic:cNvPicPr>
                      <a:picLocks noChangeAspect="1"/>
                    </pic:cNvPicPr>
                  </pic:nvPicPr>
                  <pic:blipFill>
                    <a:blip r:embed="rId75"/>
                    <a:stretch>
                      <a:fillRect/>
                    </a:stretch>
                  </pic:blipFill>
                  <pic:spPr>
                    <a:xfrm>
                      <a:off x="0" y="0"/>
                      <a:ext cx="1250315" cy="241300"/>
                    </a:xfrm>
                    <a:prstGeom prst="rect">
                      <a:avLst/>
                    </a:prstGeom>
                    <a:noFill/>
                    <a:ln>
                      <a:noFill/>
                    </a:ln>
                  </pic:spPr>
                </pic:pic>
              </a:graphicData>
            </a:graphic>
          </wp:inline>
        </w:drawing>
      </w:r>
      <w:r>
        <w:t>（5）</w:t>
      </w:r>
    </w:p>
    <w:p>
      <w:pPr>
        <w:ind w:firstLine="480"/>
      </w:pPr>
      <w:r>
        <w:t>式中：TL—隔墙或窗户倍频带的隔声量，dB。</w:t>
      </w:r>
    </w:p>
    <w:p>
      <w:pPr>
        <w:ind w:firstLine="480"/>
      </w:pPr>
      <w:r>
        <w:t>3、有限长线声源</w:t>
      </w:r>
    </w:p>
    <w:p>
      <w:pPr>
        <w:ind w:firstLine="0" w:firstLineChars="0"/>
        <w:jc w:val="center"/>
      </w:pPr>
      <w:r>
        <w:drawing>
          <wp:inline distT="0" distB="0" distL="114300" distR="114300">
            <wp:extent cx="2146935" cy="393700"/>
            <wp:effectExtent l="0" t="0" r="5715" b="0"/>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76"/>
                    <a:stretch>
                      <a:fillRect/>
                    </a:stretch>
                  </pic:blipFill>
                  <pic:spPr>
                    <a:xfrm>
                      <a:off x="0" y="0"/>
                      <a:ext cx="2146935" cy="393700"/>
                    </a:xfrm>
                    <a:prstGeom prst="rect">
                      <a:avLst/>
                    </a:prstGeom>
                    <a:noFill/>
                    <a:ln>
                      <a:noFill/>
                    </a:ln>
                  </pic:spPr>
                </pic:pic>
              </a:graphicData>
            </a:graphic>
          </wp:inline>
        </w:drawing>
      </w:r>
      <w:r>
        <w:t>（6）</w:t>
      </w:r>
    </w:p>
    <w:p>
      <w:pPr>
        <w:ind w:firstLine="480"/>
      </w:pPr>
      <w:r>
        <w:t>4、面声源的几何发散衰减</w:t>
      </w:r>
    </w:p>
    <w:p>
      <w:pPr>
        <w:ind w:firstLine="480"/>
      </w:pPr>
      <w:r>
        <w:t>《环境影响评价技术导则 声环境》</w:t>
      </w:r>
      <w:r>
        <w:rPr>
          <w:rFonts w:hint="eastAsia"/>
        </w:rPr>
        <w:t>（HJ2.4-2022）</w:t>
      </w:r>
      <w:r>
        <w:t>垂直声源要求的简化算法为：</w:t>
      </w:r>
    </w:p>
    <w:p>
      <w:pPr>
        <w:adjustRightInd w:val="0"/>
        <w:snapToGrid w:val="0"/>
        <w:ind w:firstLine="0" w:firstLineChars="0"/>
        <w:jc w:val="center"/>
        <w:rPr>
          <w:color w:val="FF0000"/>
        </w:rPr>
      </w:pPr>
      <w:r>
        <w:rPr>
          <w:color w:val="FF0000"/>
        </w:rPr>
        <w:drawing>
          <wp:inline distT="0" distB="0" distL="114300" distR="114300">
            <wp:extent cx="3524250" cy="2508885"/>
            <wp:effectExtent l="0" t="0" r="0" b="5715"/>
            <wp:docPr id="50" name="图片 19" descr="HJ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9" descr="HJ2"/>
                    <pic:cNvPicPr>
                      <a:picLocks noChangeAspect="1"/>
                    </pic:cNvPicPr>
                  </pic:nvPicPr>
                  <pic:blipFill>
                    <a:blip r:embed="rId77"/>
                    <a:stretch>
                      <a:fillRect/>
                    </a:stretch>
                  </pic:blipFill>
                  <pic:spPr>
                    <a:xfrm>
                      <a:off x="0" y="0"/>
                      <a:ext cx="3524250" cy="2508885"/>
                    </a:xfrm>
                    <a:prstGeom prst="rect">
                      <a:avLst/>
                    </a:prstGeom>
                    <a:noFill/>
                    <a:ln>
                      <a:noFill/>
                    </a:ln>
                  </pic:spPr>
                </pic:pic>
              </a:graphicData>
            </a:graphic>
          </wp:inline>
        </w:drawing>
      </w:r>
    </w:p>
    <w:p>
      <w:pPr>
        <w:ind w:firstLine="480"/>
      </w:pPr>
      <w:r>
        <w:t>r&lt;a/π时，Adiv≈0;几乎不衰减</w:t>
      </w:r>
    </w:p>
    <w:p>
      <w:pPr>
        <w:ind w:firstLine="480"/>
      </w:pPr>
      <w:r>
        <w:t>a/π&lt;r&lt;b/π时，距离加倍时Adiv≈3；类似线声源（Adiv≈10lg(r/r0)）</w:t>
      </w:r>
    </w:p>
    <w:p>
      <w:pPr>
        <w:ind w:firstLine="480"/>
      </w:pPr>
      <w:r>
        <w:t>r&gt;b/π时，距离加倍时Adiv≈6；类似点声源（Adiv≈20lg(r/r0)）</w:t>
      </w:r>
    </w:p>
    <w:p>
      <w:pPr>
        <w:ind w:firstLine="480"/>
      </w:pPr>
      <w:r>
        <w:t>r&lt;a/π时，Adiv≈0。</w:t>
      </w:r>
    </w:p>
    <w:p>
      <w:pPr>
        <w:ind w:firstLine="480"/>
      </w:pPr>
      <w:r>
        <w:t>5、噪声贡献值计算</w:t>
      </w:r>
    </w:p>
    <w:p>
      <w:pPr>
        <w:ind w:firstLine="480"/>
      </w:pPr>
      <w:r>
        <w:t>设第i个室外声源在预测点产生的A声级为LAi，在T时间内该声源工作时间为ti；第j个等效室外声源在预测点产生的A声级为LAj，在T时间内该声源工作时间为tj；则拟建工程声源对预测点产生的贡献值为（Leqg）：</w:t>
      </w:r>
    </w:p>
    <w:p>
      <w:pPr>
        <w:adjustRightInd w:val="0"/>
        <w:snapToGrid w:val="0"/>
        <w:ind w:firstLine="0" w:firstLineChars="0"/>
        <w:jc w:val="center"/>
        <w:rPr>
          <w:color w:val="FF0000"/>
        </w:rPr>
      </w:pPr>
      <w:r>
        <w:rPr>
          <w:color w:val="FF0000"/>
        </w:rPr>
        <w:drawing>
          <wp:inline distT="0" distB="0" distL="114300" distR="114300">
            <wp:extent cx="2667000" cy="508000"/>
            <wp:effectExtent l="0" t="0" r="0" b="0"/>
            <wp:docPr id="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0"/>
                    <pic:cNvPicPr>
                      <a:picLocks noChangeAspect="1"/>
                    </pic:cNvPicPr>
                  </pic:nvPicPr>
                  <pic:blipFill>
                    <a:blip r:embed="rId78"/>
                    <a:stretch>
                      <a:fillRect/>
                    </a:stretch>
                  </pic:blipFill>
                  <pic:spPr>
                    <a:xfrm>
                      <a:off x="0" y="0"/>
                      <a:ext cx="2667000" cy="508000"/>
                    </a:xfrm>
                    <a:prstGeom prst="rect">
                      <a:avLst/>
                    </a:prstGeom>
                    <a:noFill/>
                    <a:ln>
                      <a:noFill/>
                    </a:ln>
                  </pic:spPr>
                </pic:pic>
              </a:graphicData>
            </a:graphic>
          </wp:inline>
        </w:drawing>
      </w:r>
      <w:r>
        <w:t>（7）</w:t>
      </w:r>
    </w:p>
    <w:p>
      <w:pPr>
        <w:ind w:firstLine="480"/>
      </w:pPr>
      <w:r>
        <w:t>式中：tj—在T时间内j声源工作时间，s；</w:t>
      </w:r>
    </w:p>
    <w:p>
      <w:pPr>
        <w:ind w:firstLine="480"/>
      </w:pPr>
      <w:r>
        <w:t>ti—在T时间内i声源工作时间，s；</w:t>
      </w:r>
    </w:p>
    <w:p>
      <w:pPr>
        <w:ind w:firstLine="480"/>
      </w:pPr>
      <w:r>
        <w:t>T—用于计算等效声级的时间，s；</w:t>
      </w:r>
    </w:p>
    <w:p>
      <w:pPr>
        <w:ind w:firstLine="480"/>
      </w:pPr>
      <w:r>
        <w:t>N—室外声源个数；</w:t>
      </w:r>
    </w:p>
    <w:p>
      <w:pPr>
        <w:ind w:firstLine="480"/>
      </w:pPr>
      <w:r>
        <w:t>M—等效室外声源个数。</w:t>
      </w:r>
    </w:p>
    <w:p>
      <w:pPr>
        <w:pStyle w:val="5"/>
      </w:pPr>
      <w:r>
        <w:rPr>
          <w:rFonts w:hint="eastAsia"/>
        </w:rPr>
        <w:t>噪声预测结果与影响分析</w:t>
      </w:r>
    </w:p>
    <w:p>
      <w:pPr>
        <w:ind w:firstLine="480"/>
      </w:pPr>
      <w:r>
        <w:t>根据本项目主要噪声源的声学参数、声源分布及声源防治措施，对项目运营后场界噪声进行预测计算，预测结果见下表。</w:t>
      </w:r>
    </w:p>
    <w:p>
      <w:pPr>
        <w:pStyle w:val="6"/>
      </w:pPr>
      <w:r>
        <w:t>表</w:t>
      </w:r>
      <w:r>
        <w:rPr>
          <w:rFonts w:hint="eastAsia"/>
        </w:rPr>
        <w:t>5.2.4-2</w:t>
      </w:r>
      <w:r>
        <w:t xml:space="preserve"> </w:t>
      </w:r>
      <w:r>
        <w:rPr>
          <w:rFonts w:hint="eastAsia"/>
        </w:rPr>
        <w:t xml:space="preserve">   </w:t>
      </w:r>
      <w:r>
        <w:t>设备噪声预测结果</w:t>
      </w:r>
      <w:r>
        <w:rPr>
          <w:rFonts w:hint="eastAsia"/>
        </w:rPr>
        <w:t xml:space="preserve">  </w:t>
      </w:r>
      <w:r>
        <w:t>单位：dB（A）</w:t>
      </w:r>
    </w:p>
    <w:tbl>
      <w:tblPr>
        <w:tblStyle w:val="38"/>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39"/>
        <w:gridCol w:w="772"/>
        <w:gridCol w:w="775"/>
        <w:gridCol w:w="1083"/>
        <w:gridCol w:w="663"/>
        <w:gridCol w:w="812"/>
        <w:gridCol w:w="678"/>
        <w:gridCol w:w="936"/>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3" w:hRule="atLeast"/>
          <w:tblHeader/>
          <w:jc w:val="center"/>
        </w:trPr>
        <w:tc>
          <w:tcPr>
            <w:tcW w:w="1040" w:type="pct"/>
            <w:vMerge w:val="restart"/>
            <w:tcBorders>
              <w:tl2br w:val="nil"/>
              <w:tr2bl w:val="nil"/>
            </w:tcBorders>
            <w:vAlign w:val="center"/>
          </w:tcPr>
          <w:p>
            <w:pPr>
              <w:spacing w:line="240" w:lineRule="auto"/>
              <w:ind w:firstLine="0" w:firstLineChars="0"/>
              <w:jc w:val="center"/>
              <w:rPr>
                <w:sz w:val="21"/>
                <w:szCs w:val="21"/>
              </w:rPr>
            </w:pPr>
            <w:r>
              <w:rPr>
                <w:sz w:val="21"/>
                <w:szCs w:val="21"/>
              </w:rPr>
              <w:t>预测点位置</w:t>
            </w:r>
          </w:p>
        </w:tc>
        <w:tc>
          <w:tcPr>
            <w:tcW w:w="1862" w:type="pct"/>
            <w:gridSpan w:val="4"/>
            <w:tcBorders>
              <w:tl2br w:val="nil"/>
              <w:tr2bl w:val="nil"/>
            </w:tcBorders>
            <w:vAlign w:val="center"/>
          </w:tcPr>
          <w:p>
            <w:pPr>
              <w:spacing w:line="240" w:lineRule="auto"/>
              <w:ind w:firstLine="0" w:firstLineChars="0"/>
              <w:jc w:val="center"/>
              <w:rPr>
                <w:sz w:val="21"/>
                <w:szCs w:val="21"/>
              </w:rPr>
            </w:pPr>
            <w:r>
              <w:rPr>
                <w:sz w:val="21"/>
                <w:szCs w:val="21"/>
              </w:rPr>
              <w:t>昼间</w:t>
            </w:r>
          </w:p>
        </w:tc>
        <w:tc>
          <w:tcPr>
            <w:tcW w:w="2096" w:type="pct"/>
            <w:gridSpan w:val="4"/>
            <w:tcBorders>
              <w:tl2br w:val="nil"/>
              <w:tr2bl w:val="nil"/>
            </w:tcBorders>
            <w:vAlign w:val="center"/>
          </w:tcPr>
          <w:p>
            <w:pPr>
              <w:spacing w:line="240" w:lineRule="auto"/>
              <w:ind w:firstLine="0" w:firstLineChars="0"/>
              <w:jc w:val="center"/>
              <w:rPr>
                <w:sz w:val="21"/>
                <w:szCs w:val="21"/>
              </w:rPr>
            </w:pPr>
            <w:r>
              <w:rPr>
                <w:sz w:val="21"/>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tblHeader/>
          <w:jc w:val="center"/>
        </w:trPr>
        <w:tc>
          <w:tcPr>
            <w:tcW w:w="1040" w:type="pct"/>
            <w:vMerge w:val="continue"/>
            <w:tcBorders>
              <w:tl2br w:val="nil"/>
              <w:tr2bl w:val="nil"/>
            </w:tcBorders>
            <w:vAlign w:val="center"/>
          </w:tcPr>
          <w:p>
            <w:pPr>
              <w:spacing w:line="240" w:lineRule="auto"/>
              <w:ind w:firstLine="0" w:firstLineChars="0"/>
              <w:jc w:val="center"/>
              <w:rPr>
                <w:sz w:val="21"/>
                <w:szCs w:val="21"/>
              </w:rPr>
            </w:pPr>
          </w:p>
        </w:tc>
        <w:tc>
          <w:tcPr>
            <w:tcW w:w="437" w:type="pct"/>
            <w:tcBorders>
              <w:tl2br w:val="nil"/>
              <w:tr2bl w:val="nil"/>
            </w:tcBorders>
            <w:vAlign w:val="center"/>
          </w:tcPr>
          <w:p>
            <w:pPr>
              <w:spacing w:line="240" w:lineRule="auto"/>
              <w:ind w:firstLine="0" w:firstLineChars="0"/>
              <w:jc w:val="center"/>
              <w:rPr>
                <w:sz w:val="21"/>
                <w:szCs w:val="21"/>
              </w:rPr>
            </w:pPr>
            <w:r>
              <w:rPr>
                <w:sz w:val="21"/>
                <w:szCs w:val="21"/>
              </w:rPr>
              <w:t>贡献值</w:t>
            </w:r>
          </w:p>
        </w:tc>
        <w:tc>
          <w:tcPr>
            <w:tcW w:w="438" w:type="pct"/>
            <w:tcBorders>
              <w:tl2br w:val="nil"/>
              <w:tr2bl w:val="nil"/>
            </w:tcBorders>
            <w:vAlign w:val="center"/>
          </w:tcPr>
          <w:p>
            <w:pPr>
              <w:spacing w:line="240" w:lineRule="auto"/>
              <w:ind w:firstLine="0" w:firstLineChars="0"/>
              <w:jc w:val="center"/>
              <w:rPr>
                <w:sz w:val="21"/>
                <w:szCs w:val="21"/>
              </w:rPr>
            </w:pPr>
            <w:r>
              <w:rPr>
                <w:sz w:val="21"/>
                <w:szCs w:val="21"/>
              </w:rPr>
              <w:t>背景值</w:t>
            </w:r>
          </w:p>
        </w:tc>
        <w:tc>
          <w:tcPr>
            <w:tcW w:w="612" w:type="pct"/>
            <w:tcBorders>
              <w:tl2br w:val="nil"/>
              <w:tr2bl w:val="nil"/>
            </w:tcBorders>
            <w:vAlign w:val="center"/>
          </w:tcPr>
          <w:p>
            <w:pPr>
              <w:spacing w:line="240" w:lineRule="auto"/>
              <w:ind w:firstLine="0" w:firstLineChars="0"/>
              <w:jc w:val="center"/>
              <w:rPr>
                <w:sz w:val="21"/>
                <w:szCs w:val="21"/>
              </w:rPr>
            </w:pPr>
            <w:r>
              <w:rPr>
                <w:sz w:val="21"/>
                <w:szCs w:val="21"/>
              </w:rPr>
              <w:t>叠加值</w:t>
            </w:r>
          </w:p>
        </w:tc>
        <w:tc>
          <w:tcPr>
            <w:tcW w:w="374" w:type="pct"/>
            <w:tcBorders>
              <w:tl2br w:val="nil"/>
              <w:tr2bl w:val="nil"/>
            </w:tcBorders>
            <w:vAlign w:val="center"/>
          </w:tcPr>
          <w:p>
            <w:pPr>
              <w:spacing w:line="240" w:lineRule="auto"/>
              <w:ind w:firstLine="0" w:firstLineChars="0"/>
              <w:jc w:val="center"/>
              <w:rPr>
                <w:sz w:val="21"/>
                <w:szCs w:val="21"/>
              </w:rPr>
            </w:pPr>
            <w:r>
              <w:rPr>
                <w:sz w:val="21"/>
                <w:szCs w:val="21"/>
              </w:rPr>
              <w:t>标准</w:t>
            </w:r>
          </w:p>
        </w:tc>
        <w:tc>
          <w:tcPr>
            <w:tcW w:w="459" w:type="pct"/>
            <w:tcBorders>
              <w:tl2br w:val="nil"/>
              <w:tr2bl w:val="nil"/>
            </w:tcBorders>
            <w:vAlign w:val="center"/>
          </w:tcPr>
          <w:p>
            <w:pPr>
              <w:spacing w:line="240" w:lineRule="auto"/>
              <w:ind w:firstLine="0" w:firstLineChars="0"/>
              <w:jc w:val="center"/>
              <w:rPr>
                <w:sz w:val="21"/>
                <w:szCs w:val="21"/>
              </w:rPr>
            </w:pPr>
            <w:r>
              <w:rPr>
                <w:sz w:val="21"/>
                <w:szCs w:val="21"/>
              </w:rPr>
              <w:t>贡献值</w:t>
            </w:r>
          </w:p>
        </w:tc>
        <w:tc>
          <w:tcPr>
            <w:tcW w:w="383" w:type="pct"/>
            <w:tcBorders>
              <w:tl2br w:val="nil"/>
              <w:tr2bl w:val="nil"/>
            </w:tcBorders>
            <w:vAlign w:val="center"/>
          </w:tcPr>
          <w:p>
            <w:pPr>
              <w:spacing w:line="240" w:lineRule="auto"/>
              <w:ind w:firstLine="0" w:firstLineChars="0"/>
              <w:jc w:val="center"/>
              <w:rPr>
                <w:sz w:val="21"/>
                <w:szCs w:val="21"/>
              </w:rPr>
            </w:pPr>
            <w:r>
              <w:rPr>
                <w:sz w:val="21"/>
                <w:szCs w:val="21"/>
              </w:rPr>
              <w:t>背景值</w:t>
            </w:r>
          </w:p>
        </w:tc>
        <w:tc>
          <w:tcPr>
            <w:tcW w:w="529" w:type="pct"/>
            <w:tcBorders>
              <w:tl2br w:val="nil"/>
              <w:tr2bl w:val="nil"/>
            </w:tcBorders>
            <w:vAlign w:val="center"/>
          </w:tcPr>
          <w:p>
            <w:pPr>
              <w:spacing w:line="240" w:lineRule="auto"/>
              <w:ind w:firstLine="0" w:firstLineChars="0"/>
              <w:jc w:val="center"/>
              <w:rPr>
                <w:sz w:val="21"/>
                <w:szCs w:val="21"/>
              </w:rPr>
            </w:pPr>
            <w:r>
              <w:rPr>
                <w:sz w:val="21"/>
                <w:szCs w:val="21"/>
              </w:rPr>
              <w:t>叠加值</w:t>
            </w:r>
          </w:p>
        </w:tc>
        <w:tc>
          <w:tcPr>
            <w:tcW w:w="724" w:type="pct"/>
            <w:tcBorders>
              <w:tl2br w:val="nil"/>
              <w:tr2bl w:val="nil"/>
            </w:tcBorders>
            <w:vAlign w:val="center"/>
          </w:tcPr>
          <w:p>
            <w:pPr>
              <w:spacing w:line="240" w:lineRule="auto"/>
              <w:ind w:firstLine="0" w:firstLineChars="0"/>
              <w:jc w:val="center"/>
              <w:rPr>
                <w:sz w:val="21"/>
                <w:szCs w:val="21"/>
              </w:rPr>
            </w:pPr>
            <w:r>
              <w:rPr>
                <w:sz w:val="21"/>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7" w:hRule="atLeast"/>
          <w:jc w:val="center"/>
        </w:trPr>
        <w:tc>
          <w:tcPr>
            <w:tcW w:w="1843" w:type="dxa"/>
            <w:tcBorders>
              <w:tl2br w:val="nil"/>
              <w:tr2bl w:val="nil"/>
            </w:tcBorders>
            <w:vAlign w:val="center"/>
          </w:tcPr>
          <w:p>
            <w:pPr>
              <w:spacing w:line="240" w:lineRule="auto"/>
              <w:ind w:firstLine="0" w:firstLineChars="0"/>
              <w:jc w:val="center"/>
              <w:rPr>
                <w:sz w:val="21"/>
                <w:szCs w:val="21"/>
              </w:rPr>
            </w:pPr>
            <w:r>
              <w:rPr>
                <w:sz w:val="21"/>
                <w:szCs w:val="21"/>
              </w:rPr>
              <w:t>1#</w:t>
            </w:r>
            <w:r>
              <w:rPr>
                <w:rFonts w:hint="eastAsia"/>
                <w:sz w:val="21"/>
                <w:szCs w:val="21"/>
              </w:rPr>
              <w:t>厂址东侧</w:t>
            </w:r>
            <w:r>
              <w:rPr>
                <w:sz w:val="21"/>
                <w:szCs w:val="21"/>
              </w:rPr>
              <w:t>1m</w:t>
            </w:r>
          </w:p>
        </w:tc>
        <w:tc>
          <w:tcPr>
            <w:tcW w:w="437" w:type="pct"/>
            <w:tcBorders>
              <w:tl2br w:val="nil"/>
              <w:tr2bl w:val="nil"/>
            </w:tcBorders>
            <w:vAlign w:val="center"/>
          </w:tcPr>
          <w:p>
            <w:pPr>
              <w:spacing w:line="240" w:lineRule="auto"/>
              <w:ind w:firstLine="0" w:firstLineChars="0"/>
              <w:jc w:val="center"/>
              <w:rPr>
                <w:sz w:val="21"/>
                <w:szCs w:val="21"/>
              </w:rPr>
            </w:pPr>
            <w:r>
              <w:rPr>
                <w:sz w:val="21"/>
                <w:szCs w:val="21"/>
              </w:rPr>
              <w:t>41.6</w:t>
            </w:r>
          </w:p>
        </w:tc>
        <w:tc>
          <w:tcPr>
            <w:tcW w:w="777" w:type="dxa"/>
            <w:tcBorders>
              <w:tl2br w:val="nil"/>
              <w:tr2bl w:val="nil"/>
            </w:tcBorders>
            <w:vAlign w:val="center"/>
          </w:tcPr>
          <w:p>
            <w:pPr>
              <w:spacing w:line="240" w:lineRule="auto"/>
              <w:ind w:firstLine="0" w:firstLineChars="0"/>
              <w:jc w:val="center"/>
              <w:rPr>
                <w:sz w:val="21"/>
                <w:szCs w:val="21"/>
              </w:rPr>
            </w:pPr>
            <w:r>
              <w:rPr>
                <w:rFonts w:hint="eastAsia"/>
                <w:sz w:val="21"/>
                <w:szCs w:val="21"/>
              </w:rPr>
              <w:t>53</w:t>
            </w:r>
          </w:p>
        </w:tc>
        <w:tc>
          <w:tcPr>
            <w:tcW w:w="612" w:type="pct"/>
            <w:tcBorders>
              <w:tl2br w:val="nil"/>
              <w:tr2bl w:val="nil"/>
            </w:tcBorders>
            <w:vAlign w:val="center"/>
          </w:tcPr>
          <w:p>
            <w:pPr>
              <w:spacing w:line="240" w:lineRule="auto"/>
              <w:ind w:firstLine="0" w:firstLineChars="0"/>
              <w:jc w:val="center"/>
              <w:rPr>
                <w:sz w:val="21"/>
                <w:szCs w:val="21"/>
              </w:rPr>
            </w:pPr>
            <w:r>
              <w:rPr>
                <w:rFonts w:hint="eastAsia"/>
                <w:sz w:val="21"/>
                <w:szCs w:val="21"/>
              </w:rPr>
              <w:t>53.3</w:t>
            </w:r>
          </w:p>
        </w:tc>
        <w:tc>
          <w:tcPr>
            <w:tcW w:w="374" w:type="pct"/>
            <w:vMerge w:val="restart"/>
            <w:tcBorders>
              <w:tl2br w:val="nil"/>
              <w:tr2bl w:val="nil"/>
            </w:tcBorders>
            <w:vAlign w:val="center"/>
          </w:tcPr>
          <w:p>
            <w:pPr>
              <w:spacing w:line="240" w:lineRule="auto"/>
              <w:ind w:firstLine="0" w:firstLineChars="0"/>
              <w:jc w:val="center"/>
              <w:rPr>
                <w:sz w:val="21"/>
                <w:szCs w:val="21"/>
              </w:rPr>
            </w:pPr>
            <w:r>
              <w:rPr>
                <w:rFonts w:hint="eastAsia"/>
                <w:sz w:val="21"/>
                <w:szCs w:val="21"/>
              </w:rPr>
              <w:t>60</w:t>
            </w:r>
          </w:p>
        </w:tc>
        <w:tc>
          <w:tcPr>
            <w:tcW w:w="459" w:type="pct"/>
            <w:tcBorders>
              <w:tl2br w:val="nil"/>
              <w:tr2bl w:val="nil"/>
            </w:tcBorders>
          </w:tcPr>
          <w:p>
            <w:pPr>
              <w:spacing w:line="240" w:lineRule="auto"/>
              <w:ind w:firstLine="0" w:firstLineChars="0"/>
              <w:jc w:val="center"/>
              <w:rPr>
                <w:sz w:val="21"/>
                <w:szCs w:val="21"/>
              </w:rPr>
            </w:pPr>
            <w:r>
              <w:rPr>
                <w:sz w:val="21"/>
                <w:szCs w:val="21"/>
              </w:rPr>
              <w:t>40.3</w:t>
            </w:r>
          </w:p>
        </w:tc>
        <w:tc>
          <w:tcPr>
            <w:tcW w:w="679" w:type="dxa"/>
            <w:tcBorders>
              <w:tl2br w:val="nil"/>
              <w:tr2bl w:val="nil"/>
            </w:tcBorders>
            <w:vAlign w:val="center"/>
          </w:tcPr>
          <w:p>
            <w:pPr>
              <w:spacing w:line="240" w:lineRule="auto"/>
              <w:ind w:firstLine="0" w:firstLineChars="0"/>
              <w:jc w:val="center"/>
              <w:rPr>
                <w:b/>
                <w:bCs/>
                <w:sz w:val="21"/>
                <w:szCs w:val="21"/>
              </w:rPr>
            </w:pPr>
            <w:r>
              <w:rPr>
                <w:rFonts w:hint="eastAsia"/>
                <w:sz w:val="21"/>
                <w:szCs w:val="21"/>
              </w:rPr>
              <w:t>44</w:t>
            </w:r>
          </w:p>
        </w:tc>
        <w:tc>
          <w:tcPr>
            <w:tcW w:w="529" w:type="pct"/>
            <w:tcBorders>
              <w:tl2br w:val="nil"/>
              <w:tr2bl w:val="nil"/>
            </w:tcBorders>
          </w:tcPr>
          <w:p>
            <w:pPr>
              <w:spacing w:line="240" w:lineRule="auto"/>
              <w:ind w:firstLine="0" w:firstLineChars="0"/>
              <w:jc w:val="center"/>
              <w:rPr>
                <w:sz w:val="21"/>
                <w:szCs w:val="21"/>
              </w:rPr>
            </w:pPr>
            <w:r>
              <w:rPr>
                <w:rFonts w:hint="eastAsia"/>
                <w:sz w:val="21"/>
                <w:szCs w:val="21"/>
              </w:rPr>
              <w:t>45.54</w:t>
            </w:r>
          </w:p>
        </w:tc>
        <w:tc>
          <w:tcPr>
            <w:tcW w:w="724" w:type="pct"/>
            <w:vMerge w:val="restart"/>
            <w:tcBorders>
              <w:tl2br w:val="nil"/>
              <w:tr2bl w:val="nil"/>
            </w:tcBorders>
            <w:vAlign w:val="center"/>
          </w:tcPr>
          <w:p>
            <w:pPr>
              <w:spacing w:line="240" w:lineRule="auto"/>
              <w:ind w:firstLine="0" w:firstLineChars="0"/>
              <w:jc w:val="center"/>
              <w:rPr>
                <w:sz w:val="21"/>
                <w:szCs w:val="21"/>
              </w:rPr>
            </w:pPr>
            <w:r>
              <w:rPr>
                <w:rFonts w:hint="eastAsia"/>
                <w:sz w:val="21"/>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9" w:hRule="atLeast"/>
          <w:jc w:val="center"/>
        </w:trPr>
        <w:tc>
          <w:tcPr>
            <w:tcW w:w="1843" w:type="dxa"/>
            <w:tcBorders>
              <w:tl2br w:val="nil"/>
              <w:tr2bl w:val="nil"/>
            </w:tcBorders>
            <w:vAlign w:val="center"/>
          </w:tcPr>
          <w:p>
            <w:pPr>
              <w:spacing w:line="240" w:lineRule="auto"/>
              <w:ind w:firstLine="0" w:firstLineChars="0"/>
              <w:jc w:val="center"/>
              <w:rPr>
                <w:sz w:val="21"/>
                <w:szCs w:val="21"/>
              </w:rPr>
            </w:pPr>
            <w:r>
              <w:rPr>
                <w:sz w:val="21"/>
                <w:szCs w:val="21"/>
              </w:rPr>
              <w:t>2#</w:t>
            </w:r>
            <w:r>
              <w:rPr>
                <w:rFonts w:hint="eastAsia"/>
                <w:sz w:val="21"/>
                <w:szCs w:val="21"/>
              </w:rPr>
              <w:t>厂址南侧</w:t>
            </w:r>
            <w:r>
              <w:rPr>
                <w:sz w:val="21"/>
                <w:szCs w:val="21"/>
              </w:rPr>
              <w:t>1m</w:t>
            </w:r>
          </w:p>
        </w:tc>
        <w:tc>
          <w:tcPr>
            <w:tcW w:w="437" w:type="pct"/>
            <w:tcBorders>
              <w:tl2br w:val="nil"/>
              <w:tr2bl w:val="nil"/>
            </w:tcBorders>
            <w:vAlign w:val="center"/>
          </w:tcPr>
          <w:p>
            <w:pPr>
              <w:spacing w:line="240" w:lineRule="auto"/>
              <w:ind w:firstLine="0" w:firstLineChars="0"/>
              <w:jc w:val="center"/>
              <w:rPr>
                <w:sz w:val="21"/>
                <w:szCs w:val="21"/>
              </w:rPr>
            </w:pPr>
            <w:r>
              <w:rPr>
                <w:sz w:val="21"/>
                <w:szCs w:val="21"/>
              </w:rPr>
              <w:t>41.2</w:t>
            </w:r>
          </w:p>
        </w:tc>
        <w:tc>
          <w:tcPr>
            <w:tcW w:w="777" w:type="dxa"/>
            <w:tcBorders>
              <w:tl2br w:val="nil"/>
              <w:tr2bl w:val="nil"/>
            </w:tcBorders>
            <w:vAlign w:val="center"/>
          </w:tcPr>
          <w:p>
            <w:pPr>
              <w:spacing w:line="240" w:lineRule="auto"/>
              <w:ind w:firstLine="0" w:firstLineChars="0"/>
              <w:jc w:val="center"/>
              <w:rPr>
                <w:sz w:val="21"/>
                <w:szCs w:val="21"/>
              </w:rPr>
            </w:pPr>
            <w:r>
              <w:rPr>
                <w:rFonts w:hint="eastAsia"/>
                <w:sz w:val="21"/>
                <w:szCs w:val="21"/>
              </w:rPr>
              <w:t>51</w:t>
            </w:r>
          </w:p>
        </w:tc>
        <w:tc>
          <w:tcPr>
            <w:tcW w:w="612" w:type="pct"/>
            <w:tcBorders>
              <w:tl2br w:val="nil"/>
              <w:tr2bl w:val="nil"/>
            </w:tcBorders>
            <w:vAlign w:val="center"/>
          </w:tcPr>
          <w:p>
            <w:pPr>
              <w:spacing w:line="240" w:lineRule="auto"/>
              <w:ind w:firstLine="0" w:firstLineChars="0"/>
              <w:jc w:val="center"/>
              <w:rPr>
                <w:sz w:val="21"/>
                <w:szCs w:val="21"/>
              </w:rPr>
            </w:pPr>
            <w:r>
              <w:rPr>
                <w:rFonts w:hint="eastAsia"/>
                <w:sz w:val="21"/>
                <w:szCs w:val="21"/>
              </w:rPr>
              <w:t>51.43</w:t>
            </w:r>
          </w:p>
        </w:tc>
        <w:tc>
          <w:tcPr>
            <w:tcW w:w="374" w:type="pct"/>
            <w:vMerge w:val="continue"/>
            <w:tcBorders>
              <w:tl2br w:val="nil"/>
              <w:tr2bl w:val="nil"/>
            </w:tcBorders>
            <w:vAlign w:val="center"/>
          </w:tcPr>
          <w:p>
            <w:pPr>
              <w:spacing w:line="240" w:lineRule="auto"/>
              <w:ind w:firstLine="0" w:firstLineChars="0"/>
              <w:jc w:val="center"/>
              <w:rPr>
                <w:sz w:val="21"/>
                <w:szCs w:val="21"/>
              </w:rPr>
            </w:pPr>
          </w:p>
        </w:tc>
        <w:tc>
          <w:tcPr>
            <w:tcW w:w="459" w:type="pct"/>
            <w:tcBorders>
              <w:tl2br w:val="nil"/>
              <w:tr2bl w:val="nil"/>
            </w:tcBorders>
          </w:tcPr>
          <w:p>
            <w:pPr>
              <w:spacing w:line="240" w:lineRule="auto"/>
              <w:ind w:firstLine="0" w:firstLineChars="0"/>
              <w:jc w:val="center"/>
              <w:rPr>
                <w:sz w:val="21"/>
                <w:szCs w:val="21"/>
              </w:rPr>
            </w:pPr>
            <w:r>
              <w:rPr>
                <w:sz w:val="21"/>
                <w:szCs w:val="21"/>
              </w:rPr>
              <w:t>40.2</w:t>
            </w:r>
          </w:p>
        </w:tc>
        <w:tc>
          <w:tcPr>
            <w:tcW w:w="679" w:type="dxa"/>
            <w:tcBorders>
              <w:tl2br w:val="nil"/>
              <w:tr2bl w:val="nil"/>
            </w:tcBorders>
            <w:vAlign w:val="center"/>
          </w:tcPr>
          <w:p>
            <w:pPr>
              <w:spacing w:line="240" w:lineRule="auto"/>
              <w:ind w:firstLine="0" w:firstLineChars="0"/>
              <w:jc w:val="center"/>
              <w:rPr>
                <w:b/>
                <w:bCs/>
                <w:sz w:val="21"/>
                <w:szCs w:val="21"/>
              </w:rPr>
            </w:pPr>
            <w:r>
              <w:rPr>
                <w:rFonts w:hint="eastAsia"/>
                <w:sz w:val="21"/>
                <w:szCs w:val="21"/>
              </w:rPr>
              <w:t>41</w:t>
            </w:r>
          </w:p>
        </w:tc>
        <w:tc>
          <w:tcPr>
            <w:tcW w:w="529" w:type="pct"/>
            <w:tcBorders>
              <w:tl2br w:val="nil"/>
              <w:tr2bl w:val="nil"/>
            </w:tcBorders>
          </w:tcPr>
          <w:p>
            <w:pPr>
              <w:spacing w:line="240" w:lineRule="auto"/>
              <w:ind w:firstLine="0" w:firstLineChars="0"/>
              <w:jc w:val="center"/>
              <w:rPr>
                <w:sz w:val="21"/>
                <w:szCs w:val="21"/>
              </w:rPr>
            </w:pPr>
            <w:r>
              <w:rPr>
                <w:sz w:val="21"/>
                <w:szCs w:val="21"/>
              </w:rPr>
              <w:t>43.</w:t>
            </w:r>
            <w:r>
              <w:rPr>
                <w:rFonts w:hint="eastAsia"/>
                <w:sz w:val="21"/>
                <w:szCs w:val="21"/>
              </w:rPr>
              <w:t>62</w:t>
            </w:r>
          </w:p>
        </w:tc>
        <w:tc>
          <w:tcPr>
            <w:tcW w:w="724" w:type="pct"/>
            <w:vMerge w:val="continue"/>
            <w:tcBorders>
              <w:tl2br w:val="nil"/>
              <w:tr2bl w:val="nil"/>
            </w:tcBorders>
            <w:vAlign w:val="center"/>
          </w:tcPr>
          <w:p>
            <w:pPr>
              <w:ind w:firstLine="480"/>
              <w:jc w:val="center"/>
              <w:rPr>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9" w:hRule="atLeast"/>
          <w:jc w:val="center"/>
        </w:trPr>
        <w:tc>
          <w:tcPr>
            <w:tcW w:w="1843" w:type="dxa"/>
            <w:tcBorders>
              <w:tl2br w:val="nil"/>
              <w:tr2bl w:val="nil"/>
            </w:tcBorders>
            <w:vAlign w:val="center"/>
          </w:tcPr>
          <w:p>
            <w:pPr>
              <w:spacing w:line="240" w:lineRule="auto"/>
              <w:ind w:firstLine="0" w:firstLineChars="0"/>
              <w:jc w:val="center"/>
              <w:rPr>
                <w:sz w:val="21"/>
                <w:szCs w:val="21"/>
              </w:rPr>
            </w:pPr>
            <w:r>
              <w:rPr>
                <w:sz w:val="21"/>
                <w:szCs w:val="21"/>
              </w:rPr>
              <w:t>3#</w:t>
            </w:r>
            <w:r>
              <w:rPr>
                <w:rFonts w:hint="eastAsia"/>
                <w:sz w:val="21"/>
                <w:szCs w:val="21"/>
              </w:rPr>
              <w:t>厂址西侧</w:t>
            </w:r>
            <w:r>
              <w:rPr>
                <w:sz w:val="21"/>
                <w:szCs w:val="21"/>
              </w:rPr>
              <w:t>1m</w:t>
            </w:r>
          </w:p>
        </w:tc>
        <w:tc>
          <w:tcPr>
            <w:tcW w:w="437" w:type="pct"/>
            <w:tcBorders>
              <w:tl2br w:val="nil"/>
              <w:tr2bl w:val="nil"/>
            </w:tcBorders>
            <w:vAlign w:val="center"/>
          </w:tcPr>
          <w:p>
            <w:pPr>
              <w:spacing w:line="240" w:lineRule="auto"/>
              <w:ind w:firstLine="0" w:firstLineChars="0"/>
              <w:jc w:val="center"/>
              <w:rPr>
                <w:sz w:val="21"/>
                <w:szCs w:val="21"/>
              </w:rPr>
            </w:pPr>
            <w:r>
              <w:rPr>
                <w:sz w:val="21"/>
                <w:szCs w:val="21"/>
              </w:rPr>
              <w:t>40.4</w:t>
            </w:r>
          </w:p>
        </w:tc>
        <w:tc>
          <w:tcPr>
            <w:tcW w:w="777" w:type="dxa"/>
            <w:tcBorders>
              <w:tl2br w:val="nil"/>
              <w:tr2bl w:val="nil"/>
            </w:tcBorders>
            <w:vAlign w:val="center"/>
          </w:tcPr>
          <w:p>
            <w:pPr>
              <w:spacing w:line="240" w:lineRule="auto"/>
              <w:ind w:firstLine="0" w:firstLineChars="0"/>
              <w:jc w:val="center"/>
              <w:rPr>
                <w:sz w:val="21"/>
                <w:szCs w:val="21"/>
              </w:rPr>
            </w:pPr>
            <w:r>
              <w:rPr>
                <w:rFonts w:hint="eastAsia"/>
                <w:sz w:val="21"/>
                <w:szCs w:val="21"/>
              </w:rPr>
              <w:t>51</w:t>
            </w:r>
          </w:p>
        </w:tc>
        <w:tc>
          <w:tcPr>
            <w:tcW w:w="612" w:type="pct"/>
            <w:tcBorders>
              <w:tl2br w:val="nil"/>
              <w:tr2bl w:val="nil"/>
            </w:tcBorders>
            <w:vAlign w:val="center"/>
          </w:tcPr>
          <w:p>
            <w:pPr>
              <w:spacing w:line="240" w:lineRule="auto"/>
              <w:ind w:firstLine="0" w:firstLineChars="0"/>
              <w:jc w:val="center"/>
              <w:rPr>
                <w:sz w:val="21"/>
                <w:szCs w:val="21"/>
              </w:rPr>
            </w:pPr>
            <w:r>
              <w:rPr>
                <w:rFonts w:hint="eastAsia"/>
                <w:sz w:val="21"/>
                <w:szCs w:val="21"/>
              </w:rPr>
              <w:t>51.36</w:t>
            </w:r>
          </w:p>
        </w:tc>
        <w:tc>
          <w:tcPr>
            <w:tcW w:w="374" w:type="pct"/>
            <w:vMerge w:val="continue"/>
            <w:tcBorders>
              <w:tl2br w:val="nil"/>
              <w:tr2bl w:val="nil"/>
            </w:tcBorders>
            <w:vAlign w:val="center"/>
          </w:tcPr>
          <w:p>
            <w:pPr>
              <w:spacing w:line="240" w:lineRule="auto"/>
              <w:ind w:firstLine="0" w:firstLineChars="0"/>
              <w:jc w:val="center"/>
              <w:rPr>
                <w:sz w:val="21"/>
                <w:szCs w:val="21"/>
              </w:rPr>
            </w:pPr>
          </w:p>
        </w:tc>
        <w:tc>
          <w:tcPr>
            <w:tcW w:w="459" w:type="pct"/>
            <w:tcBorders>
              <w:tl2br w:val="nil"/>
              <w:tr2bl w:val="nil"/>
            </w:tcBorders>
          </w:tcPr>
          <w:p>
            <w:pPr>
              <w:spacing w:line="240" w:lineRule="auto"/>
              <w:ind w:firstLine="0" w:firstLineChars="0"/>
              <w:jc w:val="center"/>
              <w:rPr>
                <w:sz w:val="21"/>
                <w:szCs w:val="21"/>
              </w:rPr>
            </w:pPr>
            <w:r>
              <w:rPr>
                <w:sz w:val="21"/>
                <w:szCs w:val="21"/>
              </w:rPr>
              <w:t>40.2</w:t>
            </w:r>
          </w:p>
        </w:tc>
        <w:tc>
          <w:tcPr>
            <w:tcW w:w="679" w:type="dxa"/>
            <w:tcBorders>
              <w:tl2br w:val="nil"/>
              <w:tr2bl w:val="nil"/>
            </w:tcBorders>
            <w:vAlign w:val="center"/>
          </w:tcPr>
          <w:p>
            <w:pPr>
              <w:spacing w:line="240" w:lineRule="auto"/>
              <w:ind w:firstLine="0" w:firstLineChars="0"/>
              <w:jc w:val="center"/>
              <w:rPr>
                <w:b/>
                <w:bCs/>
                <w:sz w:val="21"/>
                <w:szCs w:val="21"/>
              </w:rPr>
            </w:pPr>
            <w:r>
              <w:rPr>
                <w:rFonts w:hint="eastAsia"/>
                <w:sz w:val="21"/>
                <w:szCs w:val="21"/>
              </w:rPr>
              <w:t>42</w:t>
            </w:r>
          </w:p>
        </w:tc>
        <w:tc>
          <w:tcPr>
            <w:tcW w:w="529" w:type="pct"/>
            <w:tcBorders>
              <w:tl2br w:val="nil"/>
              <w:tr2bl w:val="nil"/>
            </w:tcBorders>
          </w:tcPr>
          <w:p>
            <w:pPr>
              <w:spacing w:line="240" w:lineRule="auto"/>
              <w:ind w:firstLine="0" w:firstLineChars="0"/>
              <w:jc w:val="center"/>
              <w:rPr>
                <w:sz w:val="21"/>
                <w:szCs w:val="21"/>
              </w:rPr>
            </w:pPr>
            <w:r>
              <w:rPr>
                <w:rFonts w:hint="eastAsia"/>
                <w:sz w:val="21"/>
                <w:szCs w:val="21"/>
              </w:rPr>
              <w:t>44.2</w:t>
            </w:r>
          </w:p>
        </w:tc>
        <w:tc>
          <w:tcPr>
            <w:tcW w:w="724" w:type="pct"/>
            <w:vMerge w:val="continue"/>
            <w:tcBorders>
              <w:tl2br w:val="nil"/>
              <w:tr2bl w:val="nil"/>
            </w:tcBorders>
            <w:vAlign w:val="center"/>
          </w:tcPr>
          <w:p>
            <w:pPr>
              <w:ind w:firstLine="480"/>
              <w:jc w:val="center"/>
              <w:rPr>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9" w:hRule="atLeast"/>
          <w:jc w:val="center"/>
        </w:trPr>
        <w:tc>
          <w:tcPr>
            <w:tcW w:w="1843" w:type="dxa"/>
            <w:tcBorders>
              <w:tl2br w:val="nil"/>
              <w:tr2bl w:val="nil"/>
            </w:tcBorders>
            <w:vAlign w:val="center"/>
          </w:tcPr>
          <w:p>
            <w:pPr>
              <w:spacing w:line="240" w:lineRule="auto"/>
              <w:ind w:firstLine="0" w:firstLineChars="0"/>
              <w:jc w:val="center"/>
              <w:rPr>
                <w:sz w:val="21"/>
                <w:szCs w:val="21"/>
              </w:rPr>
            </w:pPr>
            <w:r>
              <w:rPr>
                <w:sz w:val="21"/>
                <w:szCs w:val="21"/>
              </w:rPr>
              <w:t>4#</w:t>
            </w:r>
            <w:r>
              <w:rPr>
                <w:rFonts w:hint="eastAsia"/>
                <w:sz w:val="21"/>
                <w:szCs w:val="21"/>
              </w:rPr>
              <w:t>厂址北侧</w:t>
            </w:r>
            <w:r>
              <w:rPr>
                <w:sz w:val="21"/>
                <w:szCs w:val="21"/>
              </w:rPr>
              <w:t>1m</w:t>
            </w:r>
          </w:p>
        </w:tc>
        <w:tc>
          <w:tcPr>
            <w:tcW w:w="437" w:type="pct"/>
            <w:tcBorders>
              <w:tl2br w:val="nil"/>
              <w:tr2bl w:val="nil"/>
            </w:tcBorders>
            <w:vAlign w:val="center"/>
          </w:tcPr>
          <w:p>
            <w:pPr>
              <w:spacing w:line="240" w:lineRule="auto"/>
              <w:ind w:firstLine="0" w:firstLineChars="0"/>
              <w:jc w:val="center"/>
              <w:rPr>
                <w:sz w:val="21"/>
                <w:szCs w:val="21"/>
              </w:rPr>
            </w:pPr>
            <w:r>
              <w:rPr>
                <w:sz w:val="21"/>
                <w:szCs w:val="21"/>
              </w:rPr>
              <w:t>44.7</w:t>
            </w:r>
          </w:p>
        </w:tc>
        <w:tc>
          <w:tcPr>
            <w:tcW w:w="777" w:type="dxa"/>
            <w:tcBorders>
              <w:tl2br w:val="nil"/>
              <w:tr2bl w:val="nil"/>
            </w:tcBorders>
            <w:vAlign w:val="center"/>
          </w:tcPr>
          <w:p>
            <w:pPr>
              <w:spacing w:line="240" w:lineRule="auto"/>
              <w:ind w:firstLine="0" w:firstLineChars="0"/>
              <w:jc w:val="center"/>
              <w:rPr>
                <w:sz w:val="21"/>
                <w:szCs w:val="21"/>
              </w:rPr>
            </w:pPr>
            <w:r>
              <w:rPr>
                <w:rFonts w:hint="eastAsia"/>
                <w:sz w:val="21"/>
                <w:szCs w:val="21"/>
              </w:rPr>
              <w:t>51</w:t>
            </w:r>
          </w:p>
        </w:tc>
        <w:tc>
          <w:tcPr>
            <w:tcW w:w="612" w:type="pct"/>
            <w:tcBorders>
              <w:tl2br w:val="nil"/>
              <w:tr2bl w:val="nil"/>
            </w:tcBorders>
            <w:vAlign w:val="center"/>
          </w:tcPr>
          <w:p>
            <w:pPr>
              <w:spacing w:line="240" w:lineRule="auto"/>
              <w:ind w:firstLine="0" w:firstLineChars="0"/>
              <w:jc w:val="center"/>
              <w:rPr>
                <w:sz w:val="21"/>
                <w:szCs w:val="21"/>
              </w:rPr>
            </w:pPr>
            <w:r>
              <w:rPr>
                <w:rFonts w:hint="eastAsia"/>
                <w:sz w:val="21"/>
                <w:szCs w:val="21"/>
              </w:rPr>
              <w:t>51.91</w:t>
            </w:r>
          </w:p>
        </w:tc>
        <w:tc>
          <w:tcPr>
            <w:tcW w:w="374" w:type="pct"/>
            <w:vMerge w:val="continue"/>
            <w:tcBorders>
              <w:tl2br w:val="nil"/>
              <w:tr2bl w:val="nil"/>
            </w:tcBorders>
            <w:vAlign w:val="center"/>
          </w:tcPr>
          <w:p>
            <w:pPr>
              <w:spacing w:line="240" w:lineRule="auto"/>
              <w:ind w:firstLine="0" w:firstLineChars="0"/>
              <w:jc w:val="center"/>
              <w:rPr>
                <w:sz w:val="21"/>
                <w:szCs w:val="21"/>
              </w:rPr>
            </w:pPr>
          </w:p>
        </w:tc>
        <w:tc>
          <w:tcPr>
            <w:tcW w:w="459" w:type="pct"/>
            <w:tcBorders>
              <w:tl2br w:val="nil"/>
              <w:tr2bl w:val="nil"/>
            </w:tcBorders>
          </w:tcPr>
          <w:p>
            <w:pPr>
              <w:spacing w:line="240" w:lineRule="auto"/>
              <w:ind w:firstLine="0" w:firstLineChars="0"/>
              <w:jc w:val="center"/>
              <w:rPr>
                <w:sz w:val="21"/>
                <w:szCs w:val="21"/>
              </w:rPr>
            </w:pPr>
            <w:r>
              <w:rPr>
                <w:sz w:val="21"/>
                <w:szCs w:val="21"/>
              </w:rPr>
              <w:t>41.6</w:t>
            </w:r>
          </w:p>
        </w:tc>
        <w:tc>
          <w:tcPr>
            <w:tcW w:w="679" w:type="dxa"/>
            <w:tcBorders>
              <w:tl2br w:val="nil"/>
              <w:tr2bl w:val="nil"/>
            </w:tcBorders>
            <w:vAlign w:val="center"/>
          </w:tcPr>
          <w:p>
            <w:pPr>
              <w:spacing w:line="240" w:lineRule="auto"/>
              <w:ind w:firstLine="0" w:firstLineChars="0"/>
              <w:jc w:val="center"/>
              <w:rPr>
                <w:b/>
                <w:bCs/>
                <w:sz w:val="21"/>
                <w:szCs w:val="21"/>
              </w:rPr>
            </w:pPr>
            <w:r>
              <w:rPr>
                <w:rFonts w:hint="eastAsia"/>
                <w:sz w:val="21"/>
                <w:szCs w:val="21"/>
              </w:rPr>
              <w:t>41</w:t>
            </w:r>
          </w:p>
        </w:tc>
        <w:tc>
          <w:tcPr>
            <w:tcW w:w="529" w:type="pct"/>
            <w:tcBorders>
              <w:tl2br w:val="nil"/>
              <w:tr2bl w:val="nil"/>
            </w:tcBorders>
          </w:tcPr>
          <w:p>
            <w:pPr>
              <w:spacing w:line="240" w:lineRule="auto"/>
              <w:ind w:firstLine="0" w:firstLineChars="0"/>
              <w:jc w:val="center"/>
              <w:rPr>
                <w:sz w:val="21"/>
                <w:szCs w:val="21"/>
              </w:rPr>
            </w:pPr>
            <w:r>
              <w:rPr>
                <w:sz w:val="21"/>
                <w:szCs w:val="21"/>
              </w:rPr>
              <w:t>44.3</w:t>
            </w:r>
            <w:r>
              <w:rPr>
                <w:rFonts w:hint="eastAsia"/>
                <w:sz w:val="21"/>
                <w:szCs w:val="21"/>
              </w:rPr>
              <w:t>2</w:t>
            </w:r>
          </w:p>
        </w:tc>
        <w:tc>
          <w:tcPr>
            <w:tcW w:w="724" w:type="pct"/>
            <w:vMerge w:val="continue"/>
            <w:tcBorders>
              <w:tl2br w:val="nil"/>
              <w:tr2bl w:val="nil"/>
            </w:tcBorders>
            <w:vAlign w:val="center"/>
          </w:tcPr>
          <w:p>
            <w:pPr>
              <w:ind w:firstLine="480"/>
              <w:jc w:val="center"/>
              <w:rPr>
                <w:color w:val="FF0000"/>
                <w:szCs w:val="21"/>
              </w:rPr>
            </w:pPr>
          </w:p>
        </w:tc>
      </w:tr>
    </w:tbl>
    <w:p>
      <w:pPr>
        <w:ind w:firstLine="480"/>
      </w:pPr>
      <w:r>
        <w:t>由表</w:t>
      </w:r>
      <w:r>
        <w:rPr>
          <w:rFonts w:hint="eastAsia"/>
        </w:rPr>
        <w:t>5.2.4-2</w:t>
      </w:r>
      <w:r>
        <w:t>的结果可知，本项目投产后，设备运行噪声对场界噪声的贡献值很小，厂界噪声贡献值未超过《工业企业厂界环境噪声排放标准》（GB12348-</w:t>
      </w:r>
      <w:r>
        <w:fldChar w:fldCharType="begin"/>
      </w:r>
      <w:r>
        <w:instrText xml:space="preserve">symbol 151 \f "Times New Roman" \* MERGEFORMAT </w:instrText>
      </w:r>
      <w:r>
        <w:fldChar w:fldCharType="end"/>
      </w:r>
      <w:r>
        <w:t>2008）中</w:t>
      </w:r>
      <w:r>
        <w:rPr>
          <w:rFonts w:hint="eastAsia"/>
        </w:rPr>
        <w:t>2</w:t>
      </w:r>
      <w:r>
        <w:t>类区昼间</w:t>
      </w:r>
      <w:r>
        <w:rPr>
          <w:rFonts w:hint="eastAsia"/>
        </w:rPr>
        <w:t>60</w:t>
      </w:r>
      <w:r>
        <w:t>dB（A）、夜间</w:t>
      </w:r>
      <w:r>
        <w:rPr>
          <w:rFonts w:hint="eastAsia"/>
        </w:rPr>
        <w:t>50</w:t>
      </w:r>
      <w:r>
        <w:t>dB（A）的标准限值要求。本项目对周边声环境影响较小。</w:t>
      </w:r>
    </w:p>
    <w:p>
      <w:pPr>
        <w:pStyle w:val="4"/>
      </w:pPr>
      <w:r>
        <w:rPr>
          <w:rFonts w:hint="eastAsia"/>
        </w:rPr>
        <w:t>运营期土壤环境影响预测与分析</w:t>
      </w:r>
    </w:p>
    <w:p>
      <w:pPr>
        <w:pStyle w:val="5"/>
      </w:pPr>
      <w:r>
        <w:rPr>
          <w:rFonts w:hint="eastAsia"/>
        </w:rPr>
        <w:t>环境影响识别</w:t>
      </w:r>
    </w:p>
    <w:p>
      <w:pPr>
        <w:numPr>
          <w:ilvl w:val="0"/>
          <w:numId w:val="13"/>
        </w:numPr>
        <w:ind w:firstLine="480"/>
      </w:pPr>
      <w:r>
        <w:rPr>
          <w:rFonts w:hint="eastAsia"/>
        </w:rPr>
        <w:t>项目类别</w:t>
      </w:r>
    </w:p>
    <w:p>
      <w:pPr>
        <w:ind w:firstLine="480"/>
      </w:pPr>
      <w:r>
        <w:t>根据《环境影响评价技术导则</w:t>
      </w:r>
      <w:r>
        <w:rPr>
          <w:rFonts w:hint="eastAsia"/>
        </w:rPr>
        <w:t xml:space="preserve"> </w:t>
      </w:r>
      <w:r>
        <w:t>土壤环境》（试行）（HJ964-2018）附表A.1，本项目属于农林牧渔业</w:t>
      </w:r>
      <w:r>
        <w:rPr>
          <w:rFonts w:hint="eastAsia"/>
        </w:rPr>
        <w:t>，本项目年存栏量50万只，年出栏量100万只，根据《畜禽养殖业污染物排放标准》（GB18596-2001）3只羊折算1头猪，本项目折合存栏量16.7万头猪，年出栏33.3万头猪</w:t>
      </w:r>
      <w:r>
        <w:t>，项目类别为</w:t>
      </w:r>
      <w:r>
        <w:rPr>
          <w:rFonts w:hint="eastAsia"/>
          <w:lang w:val="en-US" w:eastAsia="zh-CN"/>
        </w:rPr>
        <w:t>II</w:t>
      </w:r>
      <w:r>
        <w:t>类。</w:t>
      </w:r>
    </w:p>
    <w:p>
      <w:pPr>
        <w:numPr>
          <w:ilvl w:val="0"/>
          <w:numId w:val="13"/>
        </w:numPr>
        <w:ind w:firstLine="480"/>
      </w:pPr>
      <w:r>
        <w:rPr>
          <w:rFonts w:hint="eastAsia"/>
        </w:rPr>
        <w:t>影响类型及途径</w:t>
      </w:r>
    </w:p>
    <w:p>
      <w:pPr>
        <w:ind w:firstLine="480"/>
      </w:pPr>
      <w:r>
        <w:rPr>
          <w:rFonts w:hint="eastAsia"/>
        </w:rPr>
        <w:t>营运期粪污废水在事故状况下将下渗会对土壤造成垂直入渗影响，项目不涉及酸、碱、盐类物质，不会造成土壤酸化、碱化和盐化。</w:t>
      </w:r>
    </w:p>
    <w:p>
      <w:pPr>
        <w:pStyle w:val="6"/>
      </w:pPr>
      <w:r>
        <w:rPr>
          <w:rFonts w:hint="eastAsia"/>
        </w:rPr>
        <w:t>表5.2.5-1    建设项目土壤环境影响类型与影响途径表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01"/>
        <w:gridCol w:w="1291"/>
        <w:gridCol w:w="1291"/>
        <w:gridCol w:w="1291"/>
        <w:gridCol w:w="668"/>
        <w:gridCol w:w="667"/>
        <w:gridCol w:w="668"/>
        <w:gridCol w:w="668"/>
        <w:gridCol w:w="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908" w:type="pct"/>
            <w:vMerge w:val="restart"/>
            <w:shd w:val="clear" w:color="auto" w:fill="auto"/>
            <w:tcMar>
              <w:top w:w="15" w:type="dxa"/>
              <w:left w:w="15" w:type="dxa"/>
              <w:right w:w="15" w:type="dxa"/>
            </w:tcMar>
            <w:vAlign w:val="center"/>
          </w:tcPr>
          <w:p>
            <w:pPr>
              <w:pStyle w:val="232"/>
            </w:pPr>
            <w:r>
              <w:t>不同时段</w:t>
            </w:r>
          </w:p>
        </w:tc>
        <w:tc>
          <w:tcPr>
            <w:tcW w:w="2575" w:type="pct"/>
            <w:gridSpan w:val="4"/>
            <w:shd w:val="clear" w:color="auto" w:fill="auto"/>
            <w:tcMar>
              <w:top w:w="15" w:type="dxa"/>
              <w:left w:w="15" w:type="dxa"/>
              <w:right w:w="15" w:type="dxa"/>
            </w:tcMar>
            <w:vAlign w:val="center"/>
          </w:tcPr>
          <w:p>
            <w:pPr>
              <w:pStyle w:val="232"/>
            </w:pPr>
            <w:r>
              <w:t>污染影响型</w:t>
            </w:r>
          </w:p>
        </w:tc>
        <w:tc>
          <w:tcPr>
            <w:tcW w:w="1517" w:type="pct"/>
            <w:gridSpan w:val="4"/>
            <w:shd w:val="clear" w:color="auto" w:fill="auto"/>
            <w:tcMar>
              <w:top w:w="15" w:type="dxa"/>
              <w:left w:w="15" w:type="dxa"/>
              <w:right w:w="15" w:type="dxa"/>
            </w:tcMar>
            <w:vAlign w:val="center"/>
          </w:tcPr>
          <w:p>
            <w:pPr>
              <w:pStyle w:val="232"/>
            </w:pPr>
            <w:r>
              <w:t>生态影响型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908" w:type="pct"/>
            <w:vMerge w:val="continue"/>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r>
              <w:t>大气沉降</w:t>
            </w:r>
          </w:p>
        </w:tc>
        <w:tc>
          <w:tcPr>
            <w:tcW w:w="732" w:type="pct"/>
            <w:shd w:val="clear" w:color="auto" w:fill="auto"/>
            <w:tcMar>
              <w:top w:w="15" w:type="dxa"/>
              <w:left w:w="15" w:type="dxa"/>
              <w:right w:w="15" w:type="dxa"/>
            </w:tcMar>
            <w:vAlign w:val="center"/>
          </w:tcPr>
          <w:p>
            <w:pPr>
              <w:pStyle w:val="232"/>
            </w:pPr>
            <w:r>
              <w:t>地面漫流</w:t>
            </w:r>
          </w:p>
        </w:tc>
        <w:tc>
          <w:tcPr>
            <w:tcW w:w="732" w:type="pct"/>
            <w:shd w:val="clear" w:color="auto" w:fill="auto"/>
            <w:tcMar>
              <w:top w:w="15" w:type="dxa"/>
              <w:left w:w="15" w:type="dxa"/>
              <w:right w:w="15" w:type="dxa"/>
            </w:tcMar>
            <w:vAlign w:val="center"/>
          </w:tcPr>
          <w:p>
            <w:pPr>
              <w:pStyle w:val="232"/>
            </w:pPr>
            <w:r>
              <w:t>垂直入渗</w:t>
            </w:r>
          </w:p>
        </w:tc>
        <w:tc>
          <w:tcPr>
            <w:tcW w:w="379" w:type="pct"/>
            <w:shd w:val="clear" w:color="auto" w:fill="auto"/>
            <w:tcMar>
              <w:top w:w="15" w:type="dxa"/>
              <w:left w:w="15" w:type="dxa"/>
              <w:right w:w="15" w:type="dxa"/>
            </w:tcMar>
            <w:vAlign w:val="center"/>
          </w:tcPr>
          <w:p>
            <w:pPr>
              <w:pStyle w:val="232"/>
            </w:pPr>
            <w:r>
              <w:t>其他</w:t>
            </w:r>
          </w:p>
        </w:tc>
        <w:tc>
          <w:tcPr>
            <w:tcW w:w="378" w:type="pct"/>
            <w:shd w:val="clear" w:color="auto" w:fill="auto"/>
            <w:tcMar>
              <w:top w:w="15" w:type="dxa"/>
              <w:left w:w="15" w:type="dxa"/>
              <w:right w:w="15" w:type="dxa"/>
            </w:tcMar>
            <w:vAlign w:val="center"/>
          </w:tcPr>
          <w:p>
            <w:pPr>
              <w:pStyle w:val="232"/>
            </w:pPr>
            <w:r>
              <w:t>盐化</w:t>
            </w:r>
          </w:p>
        </w:tc>
        <w:tc>
          <w:tcPr>
            <w:tcW w:w="379" w:type="pct"/>
            <w:shd w:val="clear" w:color="auto" w:fill="auto"/>
            <w:tcMar>
              <w:top w:w="15" w:type="dxa"/>
              <w:left w:w="15" w:type="dxa"/>
              <w:right w:w="15" w:type="dxa"/>
            </w:tcMar>
            <w:vAlign w:val="center"/>
          </w:tcPr>
          <w:p>
            <w:pPr>
              <w:pStyle w:val="232"/>
            </w:pPr>
            <w:r>
              <w:t>碱化</w:t>
            </w:r>
          </w:p>
        </w:tc>
        <w:tc>
          <w:tcPr>
            <w:tcW w:w="379" w:type="pct"/>
            <w:shd w:val="clear" w:color="auto" w:fill="auto"/>
            <w:tcMar>
              <w:top w:w="15" w:type="dxa"/>
              <w:left w:w="15" w:type="dxa"/>
              <w:right w:w="15" w:type="dxa"/>
            </w:tcMar>
            <w:vAlign w:val="center"/>
          </w:tcPr>
          <w:p>
            <w:pPr>
              <w:pStyle w:val="232"/>
            </w:pPr>
            <w:r>
              <w:t>酸化</w:t>
            </w:r>
          </w:p>
        </w:tc>
        <w:tc>
          <w:tcPr>
            <w:tcW w:w="381" w:type="pct"/>
            <w:shd w:val="clear" w:color="auto" w:fill="auto"/>
            <w:tcMar>
              <w:top w:w="15" w:type="dxa"/>
              <w:left w:w="15" w:type="dxa"/>
              <w:right w:w="15" w:type="dxa"/>
            </w:tcMar>
            <w:vAlign w:val="center"/>
          </w:tcPr>
          <w:p>
            <w:pPr>
              <w:pStyle w:val="232"/>
            </w:pPr>
            <w: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908" w:type="pct"/>
            <w:shd w:val="clear" w:color="auto" w:fill="auto"/>
            <w:tcMar>
              <w:top w:w="15" w:type="dxa"/>
              <w:left w:w="15" w:type="dxa"/>
              <w:right w:w="15" w:type="dxa"/>
            </w:tcMar>
            <w:vAlign w:val="center"/>
          </w:tcPr>
          <w:p>
            <w:pPr>
              <w:pStyle w:val="232"/>
            </w:pPr>
            <w:r>
              <w:t>建设期</w:t>
            </w:r>
          </w:p>
        </w:tc>
        <w:tc>
          <w:tcPr>
            <w:tcW w:w="732" w:type="pct"/>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78"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81" w:type="pct"/>
            <w:shd w:val="clear" w:color="auto" w:fill="auto"/>
            <w:tcMar>
              <w:top w:w="15" w:type="dxa"/>
              <w:left w:w="15" w:type="dxa"/>
              <w:right w:w="15" w:type="dxa"/>
            </w:tcMar>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908" w:type="pct"/>
            <w:shd w:val="clear" w:color="auto" w:fill="auto"/>
            <w:tcMar>
              <w:top w:w="15" w:type="dxa"/>
              <w:left w:w="15" w:type="dxa"/>
              <w:right w:w="15" w:type="dxa"/>
            </w:tcMar>
            <w:vAlign w:val="center"/>
          </w:tcPr>
          <w:p>
            <w:pPr>
              <w:pStyle w:val="232"/>
            </w:pPr>
            <w:r>
              <w:t>运营期</w:t>
            </w:r>
          </w:p>
        </w:tc>
        <w:tc>
          <w:tcPr>
            <w:tcW w:w="732" w:type="pct"/>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r>
              <w:t>√</w:t>
            </w:r>
          </w:p>
        </w:tc>
        <w:tc>
          <w:tcPr>
            <w:tcW w:w="379" w:type="pct"/>
            <w:shd w:val="clear" w:color="auto" w:fill="auto"/>
            <w:tcMar>
              <w:top w:w="15" w:type="dxa"/>
              <w:left w:w="15" w:type="dxa"/>
              <w:right w:w="15" w:type="dxa"/>
            </w:tcMar>
            <w:vAlign w:val="center"/>
          </w:tcPr>
          <w:p>
            <w:pPr>
              <w:pStyle w:val="232"/>
            </w:pPr>
          </w:p>
        </w:tc>
        <w:tc>
          <w:tcPr>
            <w:tcW w:w="378"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81" w:type="pct"/>
            <w:shd w:val="clear" w:color="auto" w:fill="auto"/>
            <w:tcMar>
              <w:top w:w="15" w:type="dxa"/>
              <w:left w:w="15" w:type="dxa"/>
              <w:right w:w="15" w:type="dxa"/>
            </w:tcMar>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908" w:type="pct"/>
            <w:shd w:val="clear" w:color="auto" w:fill="auto"/>
            <w:tcMar>
              <w:top w:w="15" w:type="dxa"/>
              <w:left w:w="15" w:type="dxa"/>
              <w:right w:w="15" w:type="dxa"/>
            </w:tcMar>
            <w:vAlign w:val="center"/>
          </w:tcPr>
          <w:p>
            <w:pPr>
              <w:pStyle w:val="232"/>
            </w:pPr>
            <w:r>
              <w:t>服务期满后</w:t>
            </w:r>
          </w:p>
        </w:tc>
        <w:tc>
          <w:tcPr>
            <w:tcW w:w="732" w:type="pct"/>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p>
        </w:tc>
        <w:tc>
          <w:tcPr>
            <w:tcW w:w="732"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78"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79" w:type="pct"/>
            <w:shd w:val="clear" w:color="auto" w:fill="auto"/>
            <w:tcMar>
              <w:top w:w="15" w:type="dxa"/>
              <w:left w:w="15" w:type="dxa"/>
              <w:right w:w="15" w:type="dxa"/>
            </w:tcMar>
            <w:vAlign w:val="center"/>
          </w:tcPr>
          <w:p>
            <w:pPr>
              <w:pStyle w:val="232"/>
            </w:pPr>
          </w:p>
        </w:tc>
        <w:tc>
          <w:tcPr>
            <w:tcW w:w="381" w:type="pct"/>
            <w:shd w:val="clear" w:color="auto" w:fill="auto"/>
            <w:tcMar>
              <w:top w:w="15" w:type="dxa"/>
              <w:left w:w="15" w:type="dxa"/>
              <w:right w:w="15" w:type="dxa"/>
            </w:tcMar>
            <w:vAlign w:val="center"/>
          </w:tcPr>
          <w:p>
            <w:pPr>
              <w:pStyle w:val="232"/>
            </w:pPr>
          </w:p>
        </w:tc>
      </w:tr>
    </w:tbl>
    <w:p>
      <w:pPr>
        <w:ind w:firstLine="480"/>
      </w:pPr>
      <w:r>
        <w:rPr>
          <w:rFonts w:hint="eastAsia"/>
        </w:rPr>
        <w:t>由上表可知，拟建项目影响途径主要为运营期垂直入渗污染，因此拟建项目土壤环境影响途径为“污染影响型”。</w:t>
      </w:r>
    </w:p>
    <w:p>
      <w:pPr>
        <w:numPr>
          <w:ilvl w:val="0"/>
          <w:numId w:val="13"/>
        </w:numPr>
        <w:ind w:firstLine="480"/>
      </w:pPr>
      <w:r>
        <w:t>影响源及影响因子</w:t>
      </w:r>
    </w:p>
    <w:p>
      <w:pPr>
        <w:ind w:firstLine="480"/>
      </w:pPr>
      <w:r>
        <w:t>拟建项目土壤环境影响源及影响因子识别结果参见</w:t>
      </w:r>
      <w:r>
        <w:rPr>
          <w:rFonts w:hint="eastAsia"/>
        </w:rPr>
        <w:t>下</w:t>
      </w:r>
      <w:r>
        <w:t>表</w:t>
      </w:r>
      <w:r>
        <w:rPr>
          <w:rFonts w:hint="eastAsia"/>
        </w:rPr>
        <w:t>。</w:t>
      </w:r>
    </w:p>
    <w:p>
      <w:pPr>
        <w:pStyle w:val="6"/>
      </w:pPr>
      <w:r>
        <w:t>表</w:t>
      </w:r>
      <w:r>
        <w:rPr>
          <w:rFonts w:hint="eastAsia"/>
        </w:rPr>
        <w:t xml:space="preserve">5.2.5-2    </w:t>
      </w:r>
      <w:r>
        <w:t>土壤环境影响源及影响因子识别表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82"/>
        <w:gridCol w:w="1726"/>
        <w:gridCol w:w="1113"/>
        <w:gridCol w:w="2906"/>
        <w:gridCol w:w="1113"/>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4" w:type="pct"/>
            <w:shd w:val="clear" w:color="auto" w:fill="auto"/>
            <w:tcMar>
              <w:top w:w="15" w:type="dxa"/>
              <w:left w:w="15" w:type="dxa"/>
              <w:right w:w="15" w:type="dxa"/>
            </w:tcMar>
            <w:vAlign w:val="center"/>
          </w:tcPr>
          <w:p>
            <w:pPr>
              <w:pStyle w:val="232"/>
            </w:pPr>
            <w:r>
              <w:t>污染源</w:t>
            </w:r>
          </w:p>
        </w:tc>
        <w:tc>
          <w:tcPr>
            <w:tcW w:w="979" w:type="pct"/>
            <w:shd w:val="clear" w:color="auto" w:fill="auto"/>
            <w:tcMar>
              <w:top w:w="15" w:type="dxa"/>
              <w:left w:w="15" w:type="dxa"/>
              <w:right w:w="15" w:type="dxa"/>
            </w:tcMar>
            <w:vAlign w:val="center"/>
          </w:tcPr>
          <w:p>
            <w:pPr>
              <w:pStyle w:val="232"/>
            </w:pPr>
            <w:r>
              <w:t>工艺流程/节点</w:t>
            </w:r>
          </w:p>
        </w:tc>
        <w:tc>
          <w:tcPr>
            <w:tcW w:w="631" w:type="pct"/>
            <w:shd w:val="clear" w:color="auto" w:fill="auto"/>
            <w:tcMar>
              <w:top w:w="15" w:type="dxa"/>
              <w:left w:w="15" w:type="dxa"/>
              <w:right w:w="15" w:type="dxa"/>
            </w:tcMar>
            <w:vAlign w:val="center"/>
          </w:tcPr>
          <w:p>
            <w:pPr>
              <w:pStyle w:val="232"/>
            </w:pPr>
            <w:r>
              <w:t>污染途径</w:t>
            </w:r>
          </w:p>
        </w:tc>
        <w:tc>
          <w:tcPr>
            <w:tcW w:w="1648" w:type="pct"/>
            <w:shd w:val="clear" w:color="auto" w:fill="auto"/>
            <w:tcMar>
              <w:top w:w="15" w:type="dxa"/>
              <w:left w:w="15" w:type="dxa"/>
              <w:right w:w="15" w:type="dxa"/>
            </w:tcMar>
            <w:vAlign w:val="center"/>
          </w:tcPr>
          <w:p>
            <w:pPr>
              <w:pStyle w:val="232"/>
            </w:pPr>
            <w:r>
              <w:t>全部污染物指标</w:t>
            </w:r>
          </w:p>
        </w:tc>
        <w:tc>
          <w:tcPr>
            <w:tcW w:w="631" w:type="pct"/>
            <w:shd w:val="clear" w:color="auto" w:fill="auto"/>
            <w:tcMar>
              <w:top w:w="15" w:type="dxa"/>
              <w:left w:w="15" w:type="dxa"/>
              <w:right w:w="15" w:type="dxa"/>
            </w:tcMar>
            <w:vAlign w:val="center"/>
          </w:tcPr>
          <w:p>
            <w:pPr>
              <w:pStyle w:val="232"/>
            </w:pPr>
            <w:r>
              <w:t>特征因子</w:t>
            </w:r>
          </w:p>
        </w:tc>
        <w:tc>
          <w:tcPr>
            <w:tcW w:w="327" w:type="pct"/>
            <w:shd w:val="clear" w:color="auto" w:fill="auto"/>
            <w:tcMar>
              <w:top w:w="15" w:type="dxa"/>
              <w:left w:w="15" w:type="dxa"/>
              <w:right w:w="15" w:type="dxa"/>
            </w:tcMar>
            <w:vAlign w:val="center"/>
          </w:tcPr>
          <w:p>
            <w:pPr>
              <w:pStyle w:val="232"/>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4" w:type="pct"/>
            <w:shd w:val="clear" w:color="auto" w:fill="auto"/>
            <w:tcMar>
              <w:top w:w="15" w:type="dxa"/>
              <w:left w:w="15" w:type="dxa"/>
              <w:right w:w="15" w:type="dxa"/>
            </w:tcMar>
            <w:vAlign w:val="center"/>
          </w:tcPr>
          <w:p>
            <w:pPr>
              <w:pStyle w:val="232"/>
              <w:rPr>
                <w:rFonts w:hint="eastAsia" w:eastAsia="宋体"/>
                <w:lang w:eastAsia="zh-CN"/>
              </w:rPr>
            </w:pPr>
            <w:r>
              <w:rPr>
                <w:rFonts w:hint="eastAsia"/>
                <w:lang w:eastAsia="zh-CN"/>
              </w:rPr>
              <w:t>有机肥堆场</w:t>
            </w:r>
          </w:p>
        </w:tc>
        <w:tc>
          <w:tcPr>
            <w:tcW w:w="979" w:type="pct"/>
            <w:shd w:val="clear" w:color="auto" w:fill="auto"/>
            <w:tcMar>
              <w:top w:w="15" w:type="dxa"/>
              <w:left w:w="15" w:type="dxa"/>
              <w:right w:w="15" w:type="dxa"/>
            </w:tcMar>
            <w:vAlign w:val="center"/>
          </w:tcPr>
          <w:p>
            <w:pPr>
              <w:pStyle w:val="232"/>
            </w:pPr>
            <w:r>
              <w:rPr>
                <w:rFonts w:hint="eastAsia"/>
              </w:rPr>
              <w:t>粪污</w:t>
            </w:r>
          </w:p>
        </w:tc>
        <w:tc>
          <w:tcPr>
            <w:tcW w:w="631" w:type="pct"/>
            <w:shd w:val="clear" w:color="auto" w:fill="auto"/>
            <w:tcMar>
              <w:top w:w="15" w:type="dxa"/>
              <w:left w:w="15" w:type="dxa"/>
              <w:right w:w="15" w:type="dxa"/>
            </w:tcMar>
            <w:vAlign w:val="center"/>
          </w:tcPr>
          <w:p>
            <w:pPr>
              <w:pStyle w:val="232"/>
            </w:pPr>
            <w:r>
              <w:t>垂直入渗</w:t>
            </w:r>
          </w:p>
        </w:tc>
        <w:tc>
          <w:tcPr>
            <w:tcW w:w="1648" w:type="pct"/>
            <w:shd w:val="clear" w:color="auto" w:fill="auto"/>
            <w:tcMar>
              <w:top w:w="15" w:type="dxa"/>
              <w:left w:w="15" w:type="dxa"/>
              <w:right w:w="15" w:type="dxa"/>
            </w:tcMar>
            <w:vAlign w:val="center"/>
          </w:tcPr>
          <w:p>
            <w:pPr>
              <w:pStyle w:val="232"/>
            </w:pPr>
            <w:r>
              <w:t>COD、SS、BOD</w:t>
            </w:r>
            <w:r>
              <w:rPr>
                <w:rFonts w:hint="eastAsia"/>
                <w:vertAlign w:val="subscript"/>
              </w:rPr>
              <w:t>5</w:t>
            </w:r>
            <w:r>
              <w:t>、氨氮</w:t>
            </w:r>
          </w:p>
        </w:tc>
        <w:tc>
          <w:tcPr>
            <w:tcW w:w="631" w:type="pct"/>
            <w:shd w:val="clear" w:color="auto" w:fill="auto"/>
            <w:tcMar>
              <w:top w:w="15" w:type="dxa"/>
              <w:left w:w="15" w:type="dxa"/>
              <w:right w:w="15" w:type="dxa"/>
            </w:tcMar>
            <w:vAlign w:val="center"/>
          </w:tcPr>
          <w:p>
            <w:pPr>
              <w:pStyle w:val="232"/>
            </w:pPr>
            <w:r>
              <w:t>氨氮</w:t>
            </w:r>
          </w:p>
        </w:tc>
        <w:tc>
          <w:tcPr>
            <w:tcW w:w="327" w:type="pct"/>
            <w:shd w:val="clear" w:color="auto" w:fill="auto"/>
            <w:tcMar>
              <w:top w:w="15" w:type="dxa"/>
              <w:left w:w="15" w:type="dxa"/>
              <w:right w:w="15" w:type="dxa"/>
            </w:tcMar>
            <w:vAlign w:val="center"/>
          </w:tcPr>
          <w:p>
            <w:pPr>
              <w:pStyle w:val="232"/>
            </w:pPr>
            <w:r>
              <w:t>事故</w:t>
            </w:r>
          </w:p>
        </w:tc>
      </w:tr>
    </w:tbl>
    <w:p>
      <w:pPr>
        <w:ind w:firstLine="480"/>
      </w:pPr>
    </w:p>
    <w:p>
      <w:pPr>
        <w:pStyle w:val="5"/>
      </w:pPr>
      <w:r>
        <w:rPr>
          <w:rFonts w:hint="eastAsia"/>
        </w:rPr>
        <w:t>理化性质调查与评价</w:t>
      </w:r>
    </w:p>
    <w:p>
      <w:pPr>
        <w:numPr>
          <w:ilvl w:val="0"/>
          <w:numId w:val="14"/>
        </w:numPr>
        <w:ind w:firstLine="480"/>
      </w:pPr>
      <w:r>
        <w:rPr>
          <w:rFonts w:hint="eastAsia"/>
        </w:rPr>
        <w:t>调查范围</w:t>
      </w:r>
    </w:p>
    <w:p>
      <w:pPr>
        <w:ind w:firstLine="480"/>
      </w:pPr>
      <w:r>
        <w:rPr>
          <w:rFonts w:hint="eastAsia"/>
        </w:rPr>
        <w:t>根据《环境影响评价技术导则 土壤环境》（试行）（HJ964-2018），结合项目特征，土壤现状调查范围为项目占地范围及占地范围外0.05km范围。</w:t>
      </w:r>
    </w:p>
    <w:p>
      <w:pPr>
        <w:numPr>
          <w:ilvl w:val="0"/>
          <w:numId w:val="14"/>
        </w:numPr>
        <w:ind w:firstLine="480"/>
      </w:pPr>
      <w:r>
        <w:rPr>
          <w:rFonts w:hint="eastAsia"/>
        </w:rPr>
        <w:t>敏感目标</w:t>
      </w:r>
    </w:p>
    <w:p>
      <w:pPr>
        <w:ind w:firstLine="480"/>
      </w:pPr>
      <w:r>
        <w:t>根据《环境影响评价技术导则</w:t>
      </w:r>
      <w:r>
        <w:rPr>
          <w:rFonts w:hint="eastAsia"/>
        </w:rPr>
        <w:t xml:space="preserve"> </w:t>
      </w:r>
      <w:r>
        <w:t>土壤环境》（试行）（HJ964-2018），本项目</w:t>
      </w:r>
      <w:r>
        <w:rPr>
          <w:rFonts w:hint="eastAsia"/>
        </w:rPr>
        <w:t>周边存在耕地，属于敏感土壤环境目标。</w:t>
      </w:r>
    </w:p>
    <w:p>
      <w:pPr>
        <w:numPr>
          <w:ilvl w:val="0"/>
          <w:numId w:val="14"/>
        </w:numPr>
        <w:ind w:firstLine="480"/>
      </w:pPr>
      <w:r>
        <w:rPr>
          <w:rFonts w:hint="eastAsia"/>
        </w:rPr>
        <w:t>土地利用现状</w:t>
      </w:r>
    </w:p>
    <w:p>
      <w:pPr>
        <w:ind w:firstLine="480"/>
      </w:pPr>
      <w:r>
        <w:rPr>
          <w:rFonts w:hint="eastAsia"/>
        </w:rPr>
        <w:t>本项目位于巴彦淖尔市五原县塔尔湖镇胜丰八社，调查评价范围内土地利用现状为盐碱地，主要为沙生植被其上生长植物种类多以灌木及多年生草本植物为主，主要有沙蒿等。</w:t>
      </w:r>
    </w:p>
    <w:p>
      <w:pPr>
        <w:numPr>
          <w:ilvl w:val="0"/>
          <w:numId w:val="14"/>
        </w:numPr>
        <w:ind w:firstLine="480"/>
      </w:pPr>
      <w:r>
        <w:rPr>
          <w:rFonts w:hint="eastAsia"/>
        </w:rPr>
        <w:t>土壤理化性质</w:t>
      </w:r>
    </w:p>
    <w:p>
      <w:pPr>
        <w:ind w:firstLine="480"/>
      </w:pPr>
      <w:r>
        <w:t>采样和分析方法按《土壤环境监测技术规范》（HJ/T166－2004）及</w:t>
      </w:r>
      <w:r>
        <w:rPr>
          <w:rFonts w:hint="eastAsia"/>
        </w:rPr>
        <w:t>《土壤环境质量 农用地土壤污染风险管控标准（试行）》（GB15618-2018）</w:t>
      </w:r>
      <w:r>
        <w:t>中相关要求进行，</w:t>
      </w:r>
      <w:r>
        <w:rPr>
          <w:rFonts w:hint="eastAsia"/>
        </w:rPr>
        <w:t>项目土壤理化性质调查见下表。</w:t>
      </w:r>
    </w:p>
    <w:p>
      <w:pPr>
        <w:pStyle w:val="6"/>
      </w:pPr>
      <w:r>
        <w:rPr>
          <w:rFonts w:hint="eastAsia"/>
        </w:rPr>
        <w:t>表5.2.5-3   土壤理化特性调查表</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3316"/>
        <w:gridCol w:w="1354"/>
        <w:gridCol w:w="1354"/>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3" w:type="pct"/>
            <w:gridSpan w:val="2"/>
            <w:vAlign w:val="center"/>
          </w:tcPr>
          <w:p>
            <w:pPr>
              <w:spacing w:line="240" w:lineRule="auto"/>
              <w:ind w:firstLine="0" w:firstLineChars="0"/>
              <w:jc w:val="center"/>
              <w:rPr>
                <w:sz w:val="21"/>
                <w:szCs w:val="21"/>
              </w:rPr>
            </w:pPr>
            <w:r>
              <w:rPr>
                <w:rFonts w:hint="eastAsia"/>
                <w:sz w:val="21"/>
                <w:szCs w:val="21"/>
              </w:rPr>
              <w:t>点位</w:t>
            </w:r>
          </w:p>
        </w:tc>
        <w:tc>
          <w:tcPr>
            <w:tcW w:w="752" w:type="pct"/>
            <w:vAlign w:val="center"/>
          </w:tcPr>
          <w:p>
            <w:pPr>
              <w:pStyle w:val="232"/>
            </w:pPr>
            <w:r>
              <w:rPr>
                <w:rFonts w:hint="eastAsia"/>
                <w:color w:val="000000" w:themeColor="text1"/>
                <w14:textFill>
                  <w14:solidFill>
                    <w14:schemeClr w14:val="tx1"/>
                  </w14:solidFill>
                </w14:textFill>
              </w:rPr>
              <w:t>T1</w:t>
            </w:r>
          </w:p>
        </w:tc>
        <w:tc>
          <w:tcPr>
            <w:tcW w:w="752" w:type="pct"/>
            <w:vAlign w:val="center"/>
          </w:tcPr>
          <w:p>
            <w:pPr>
              <w:pStyle w:val="232"/>
            </w:pPr>
            <w:r>
              <w:rPr>
                <w:rFonts w:hint="eastAsia"/>
                <w:color w:val="000000" w:themeColor="text1"/>
                <w14:textFill>
                  <w14:solidFill>
                    <w14:schemeClr w14:val="tx1"/>
                  </w14:solidFill>
                </w14:textFill>
              </w:rPr>
              <w:t>T2</w:t>
            </w:r>
          </w:p>
        </w:tc>
        <w:tc>
          <w:tcPr>
            <w:tcW w:w="752" w:type="pct"/>
            <w:vAlign w:val="center"/>
          </w:tcPr>
          <w:p>
            <w:pPr>
              <w:pStyle w:val="232"/>
            </w:pPr>
            <w:r>
              <w:rPr>
                <w:rFonts w:hint="eastAsia"/>
                <w:color w:val="000000" w:themeColor="text1"/>
                <w14:textFill>
                  <w14:solidFill>
                    <w14:schemeClr w14:val="tx1"/>
                  </w14:solidFill>
                </w14:textFill>
              </w:rPr>
              <w:t>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3" w:type="pct"/>
            <w:gridSpan w:val="2"/>
            <w:vAlign w:val="center"/>
          </w:tcPr>
          <w:p>
            <w:pPr>
              <w:spacing w:line="240" w:lineRule="auto"/>
              <w:ind w:firstLine="0" w:firstLineChars="0"/>
              <w:jc w:val="center"/>
              <w:rPr>
                <w:sz w:val="21"/>
                <w:szCs w:val="21"/>
              </w:rPr>
            </w:pPr>
            <w:r>
              <w:rPr>
                <w:rFonts w:hint="eastAsia"/>
                <w:sz w:val="21"/>
                <w:szCs w:val="21"/>
              </w:rPr>
              <w:t>层次</w:t>
            </w:r>
          </w:p>
        </w:tc>
        <w:tc>
          <w:tcPr>
            <w:tcW w:w="752" w:type="pct"/>
            <w:vAlign w:val="center"/>
          </w:tcPr>
          <w:p>
            <w:pPr>
              <w:pStyle w:val="232"/>
            </w:pPr>
            <w:r>
              <w:rPr>
                <w:color w:val="000000" w:themeColor="text1"/>
                <w14:textFill>
                  <w14:solidFill>
                    <w14:schemeClr w14:val="tx1"/>
                  </w14:solidFill>
                </w14:textFill>
              </w:rPr>
              <w:t>表层样</w:t>
            </w:r>
          </w:p>
        </w:tc>
        <w:tc>
          <w:tcPr>
            <w:tcW w:w="752" w:type="pct"/>
            <w:vAlign w:val="center"/>
          </w:tcPr>
          <w:p>
            <w:pPr>
              <w:pStyle w:val="232"/>
            </w:pPr>
            <w:r>
              <w:rPr>
                <w:color w:val="000000" w:themeColor="text1"/>
                <w14:textFill>
                  <w14:solidFill>
                    <w14:schemeClr w14:val="tx1"/>
                  </w14:solidFill>
                </w14:textFill>
              </w:rPr>
              <w:t>表层样</w:t>
            </w:r>
          </w:p>
        </w:tc>
        <w:tc>
          <w:tcPr>
            <w:tcW w:w="752" w:type="pct"/>
            <w:vAlign w:val="center"/>
          </w:tcPr>
          <w:p>
            <w:pPr>
              <w:pStyle w:val="232"/>
            </w:pPr>
            <w:r>
              <w:rPr>
                <w:color w:val="000000" w:themeColor="text1"/>
                <w14:textFill>
                  <w14:solidFill>
                    <w14:schemeClr w14:val="tx1"/>
                  </w14:solidFill>
                </w14:textFill>
              </w:rPr>
              <w:t>表层样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restart"/>
            <w:vAlign w:val="center"/>
          </w:tcPr>
          <w:p>
            <w:pPr>
              <w:spacing w:line="240" w:lineRule="auto"/>
              <w:ind w:firstLine="0" w:firstLineChars="0"/>
              <w:jc w:val="center"/>
              <w:rPr>
                <w:sz w:val="21"/>
                <w:szCs w:val="21"/>
              </w:rPr>
            </w:pPr>
            <w:r>
              <w:rPr>
                <w:sz w:val="21"/>
                <w:szCs w:val="21"/>
              </w:rPr>
              <w:t>现场记录</w:t>
            </w:r>
          </w:p>
        </w:tc>
        <w:tc>
          <w:tcPr>
            <w:tcW w:w="1842" w:type="pct"/>
            <w:vAlign w:val="center"/>
          </w:tcPr>
          <w:p>
            <w:pPr>
              <w:spacing w:line="240" w:lineRule="auto"/>
              <w:ind w:firstLine="0" w:firstLineChars="0"/>
              <w:jc w:val="center"/>
              <w:rPr>
                <w:sz w:val="21"/>
                <w:szCs w:val="21"/>
              </w:rPr>
            </w:pPr>
            <w:r>
              <w:rPr>
                <w:sz w:val="21"/>
                <w:szCs w:val="21"/>
              </w:rPr>
              <w:t>颜色</w:t>
            </w:r>
          </w:p>
        </w:tc>
        <w:tc>
          <w:tcPr>
            <w:tcW w:w="752" w:type="pct"/>
            <w:vAlign w:val="center"/>
          </w:tcPr>
          <w:p>
            <w:pPr>
              <w:spacing w:line="240" w:lineRule="auto"/>
              <w:ind w:firstLine="0" w:firstLineChars="0"/>
              <w:jc w:val="center"/>
              <w:rPr>
                <w:sz w:val="21"/>
                <w:szCs w:val="21"/>
              </w:rPr>
            </w:pPr>
            <w:r>
              <w:rPr>
                <w:sz w:val="21"/>
                <w:szCs w:val="21"/>
              </w:rPr>
              <w:t>黄棕</w:t>
            </w:r>
          </w:p>
        </w:tc>
        <w:tc>
          <w:tcPr>
            <w:tcW w:w="752" w:type="pct"/>
            <w:vAlign w:val="center"/>
          </w:tcPr>
          <w:p>
            <w:pPr>
              <w:spacing w:line="240" w:lineRule="auto"/>
              <w:ind w:firstLine="0" w:firstLineChars="0"/>
              <w:jc w:val="center"/>
              <w:rPr>
                <w:sz w:val="21"/>
                <w:szCs w:val="21"/>
              </w:rPr>
            </w:pPr>
            <w:r>
              <w:rPr>
                <w:sz w:val="21"/>
                <w:szCs w:val="21"/>
              </w:rPr>
              <w:t>黄棕</w:t>
            </w:r>
          </w:p>
        </w:tc>
        <w:tc>
          <w:tcPr>
            <w:tcW w:w="752" w:type="pct"/>
            <w:vAlign w:val="center"/>
          </w:tcPr>
          <w:p>
            <w:pPr>
              <w:spacing w:line="240" w:lineRule="auto"/>
              <w:ind w:firstLine="0" w:firstLineChars="0"/>
              <w:jc w:val="center"/>
              <w:rPr>
                <w:sz w:val="21"/>
                <w:szCs w:val="21"/>
              </w:rPr>
            </w:pPr>
            <w:r>
              <w:rPr>
                <w:sz w:val="21"/>
                <w:szCs w:val="21"/>
              </w:rPr>
              <w:t>黄棕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结构</w:t>
            </w:r>
          </w:p>
        </w:tc>
        <w:tc>
          <w:tcPr>
            <w:tcW w:w="752" w:type="pct"/>
            <w:vAlign w:val="center"/>
          </w:tcPr>
          <w:p>
            <w:pPr>
              <w:spacing w:line="240" w:lineRule="auto"/>
              <w:ind w:firstLine="0" w:firstLineChars="0"/>
              <w:jc w:val="center"/>
              <w:rPr>
                <w:sz w:val="21"/>
                <w:szCs w:val="21"/>
              </w:rPr>
            </w:pPr>
            <w:r>
              <w:rPr>
                <w:sz w:val="21"/>
                <w:szCs w:val="21"/>
              </w:rPr>
              <w:t>团粒</w:t>
            </w:r>
          </w:p>
        </w:tc>
        <w:tc>
          <w:tcPr>
            <w:tcW w:w="752" w:type="pct"/>
            <w:vAlign w:val="center"/>
          </w:tcPr>
          <w:p>
            <w:pPr>
              <w:spacing w:line="240" w:lineRule="auto"/>
              <w:ind w:firstLine="0" w:firstLineChars="0"/>
              <w:jc w:val="center"/>
              <w:rPr>
                <w:sz w:val="21"/>
                <w:szCs w:val="21"/>
              </w:rPr>
            </w:pPr>
            <w:r>
              <w:rPr>
                <w:sz w:val="21"/>
                <w:szCs w:val="21"/>
              </w:rPr>
              <w:t>团粒</w:t>
            </w:r>
          </w:p>
        </w:tc>
        <w:tc>
          <w:tcPr>
            <w:tcW w:w="752" w:type="pct"/>
            <w:vAlign w:val="center"/>
          </w:tcPr>
          <w:p>
            <w:pPr>
              <w:spacing w:line="240" w:lineRule="auto"/>
              <w:ind w:firstLine="0" w:firstLineChars="0"/>
              <w:jc w:val="center"/>
              <w:rPr>
                <w:sz w:val="21"/>
                <w:szCs w:val="21"/>
              </w:rPr>
            </w:pPr>
            <w:r>
              <w:rPr>
                <w:sz w:val="21"/>
                <w:szCs w:val="21"/>
              </w:rPr>
              <w:t>团粒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质地</w:t>
            </w:r>
          </w:p>
        </w:tc>
        <w:tc>
          <w:tcPr>
            <w:tcW w:w="752" w:type="pct"/>
            <w:vAlign w:val="center"/>
          </w:tcPr>
          <w:p>
            <w:pPr>
              <w:spacing w:line="240" w:lineRule="auto"/>
              <w:ind w:firstLine="0" w:firstLineChars="0"/>
              <w:jc w:val="center"/>
              <w:rPr>
                <w:sz w:val="21"/>
                <w:szCs w:val="21"/>
              </w:rPr>
            </w:pPr>
            <w:r>
              <w:rPr>
                <w:sz w:val="21"/>
                <w:szCs w:val="21"/>
              </w:rPr>
              <w:t>砂壤</w:t>
            </w:r>
          </w:p>
        </w:tc>
        <w:tc>
          <w:tcPr>
            <w:tcW w:w="752" w:type="pct"/>
            <w:vAlign w:val="center"/>
          </w:tcPr>
          <w:p>
            <w:pPr>
              <w:spacing w:line="240" w:lineRule="auto"/>
              <w:ind w:firstLine="0" w:firstLineChars="0"/>
              <w:jc w:val="center"/>
              <w:rPr>
                <w:sz w:val="21"/>
                <w:szCs w:val="21"/>
              </w:rPr>
            </w:pPr>
            <w:r>
              <w:rPr>
                <w:sz w:val="21"/>
                <w:szCs w:val="21"/>
              </w:rPr>
              <w:t>砂壤</w:t>
            </w:r>
          </w:p>
        </w:tc>
        <w:tc>
          <w:tcPr>
            <w:tcW w:w="752" w:type="pct"/>
            <w:vAlign w:val="center"/>
          </w:tcPr>
          <w:p>
            <w:pPr>
              <w:spacing w:line="240" w:lineRule="auto"/>
              <w:ind w:firstLine="0" w:firstLineChars="0"/>
              <w:jc w:val="center"/>
              <w:rPr>
                <w:sz w:val="21"/>
                <w:szCs w:val="21"/>
              </w:rPr>
            </w:pPr>
            <w:r>
              <w:rPr>
                <w:sz w:val="21"/>
                <w:szCs w:val="21"/>
              </w:rPr>
              <w:t>砂壤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砂砾含量</w:t>
            </w:r>
          </w:p>
        </w:tc>
        <w:tc>
          <w:tcPr>
            <w:tcW w:w="752" w:type="pct"/>
            <w:vAlign w:val="center"/>
          </w:tcPr>
          <w:p>
            <w:pPr>
              <w:spacing w:line="240" w:lineRule="auto"/>
              <w:ind w:firstLine="0" w:firstLineChars="0"/>
              <w:jc w:val="center"/>
              <w:rPr>
                <w:sz w:val="21"/>
                <w:szCs w:val="21"/>
              </w:rPr>
            </w:pPr>
            <w:r>
              <w:rPr>
                <w:sz w:val="21"/>
                <w:szCs w:val="21"/>
              </w:rPr>
              <w:t>中量</w:t>
            </w:r>
          </w:p>
        </w:tc>
        <w:tc>
          <w:tcPr>
            <w:tcW w:w="752" w:type="pct"/>
            <w:vAlign w:val="center"/>
          </w:tcPr>
          <w:p>
            <w:pPr>
              <w:spacing w:line="240" w:lineRule="auto"/>
              <w:ind w:firstLine="0" w:firstLineChars="0"/>
              <w:jc w:val="center"/>
              <w:rPr>
                <w:sz w:val="21"/>
                <w:szCs w:val="21"/>
              </w:rPr>
            </w:pPr>
            <w:r>
              <w:rPr>
                <w:sz w:val="21"/>
                <w:szCs w:val="21"/>
              </w:rPr>
              <w:t>中量</w:t>
            </w:r>
          </w:p>
        </w:tc>
        <w:tc>
          <w:tcPr>
            <w:tcW w:w="752" w:type="pct"/>
            <w:vAlign w:val="center"/>
          </w:tcPr>
          <w:p>
            <w:pPr>
              <w:spacing w:line="240" w:lineRule="auto"/>
              <w:ind w:firstLine="0" w:firstLineChars="0"/>
              <w:jc w:val="center"/>
              <w:rPr>
                <w:sz w:val="21"/>
                <w:szCs w:val="21"/>
              </w:rPr>
            </w:pPr>
            <w:r>
              <w:rPr>
                <w:sz w:val="21"/>
                <w:szCs w:val="21"/>
              </w:rPr>
              <w:t>中量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其他异物</w:t>
            </w:r>
          </w:p>
        </w:tc>
        <w:tc>
          <w:tcPr>
            <w:tcW w:w="752" w:type="pct"/>
            <w:vAlign w:val="center"/>
          </w:tcPr>
          <w:p>
            <w:pPr>
              <w:spacing w:line="240" w:lineRule="auto"/>
              <w:ind w:firstLine="0" w:firstLineChars="0"/>
              <w:jc w:val="center"/>
              <w:rPr>
                <w:sz w:val="21"/>
                <w:szCs w:val="21"/>
              </w:rPr>
            </w:pPr>
            <w:r>
              <w:rPr>
                <w:sz w:val="21"/>
                <w:szCs w:val="21"/>
              </w:rPr>
              <w:t>少量异物</w:t>
            </w:r>
          </w:p>
        </w:tc>
        <w:tc>
          <w:tcPr>
            <w:tcW w:w="752" w:type="pct"/>
            <w:vAlign w:val="center"/>
          </w:tcPr>
          <w:p>
            <w:pPr>
              <w:spacing w:line="240" w:lineRule="auto"/>
              <w:ind w:firstLine="0" w:firstLineChars="0"/>
              <w:jc w:val="center"/>
              <w:rPr>
                <w:sz w:val="21"/>
                <w:szCs w:val="21"/>
              </w:rPr>
            </w:pPr>
            <w:r>
              <w:rPr>
                <w:sz w:val="21"/>
                <w:szCs w:val="21"/>
              </w:rPr>
              <w:t>少量异物</w:t>
            </w:r>
          </w:p>
        </w:tc>
        <w:tc>
          <w:tcPr>
            <w:tcW w:w="752" w:type="pct"/>
            <w:vAlign w:val="center"/>
          </w:tcPr>
          <w:p>
            <w:pPr>
              <w:spacing w:line="240" w:lineRule="auto"/>
              <w:ind w:firstLine="0" w:firstLineChars="0"/>
              <w:jc w:val="center"/>
              <w:rPr>
                <w:sz w:val="21"/>
                <w:szCs w:val="21"/>
              </w:rPr>
            </w:pPr>
            <w:r>
              <w:rPr>
                <w:sz w:val="21"/>
                <w:szCs w:val="21"/>
              </w:rPr>
              <w:t>少量异物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氧化还原电位（mV）</w:t>
            </w:r>
          </w:p>
        </w:tc>
        <w:tc>
          <w:tcPr>
            <w:tcW w:w="752" w:type="pct"/>
            <w:vAlign w:val="center"/>
          </w:tcPr>
          <w:p>
            <w:pPr>
              <w:spacing w:line="240" w:lineRule="auto"/>
              <w:ind w:firstLine="0" w:firstLineChars="0"/>
              <w:jc w:val="center"/>
              <w:rPr>
                <w:sz w:val="21"/>
                <w:szCs w:val="21"/>
              </w:rPr>
            </w:pPr>
            <w:r>
              <w:rPr>
                <w:sz w:val="21"/>
                <w:szCs w:val="21"/>
              </w:rPr>
              <w:t>431</w:t>
            </w:r>
          </w:p>
        </w:tc>
        <w:tc>
          <w:tcPr>
            <w:tcW w:w="752" w:type="pct"/>
            <w:vAlign w:val="center"/>
          </w:tcPr>
          <w:p>
            <w:pPr>
              <w:spacing w:line="240" w:lineRule="auto"/>
              <w:ind w:firstLine="0" w:firstLineChars="0"/>
              <w:jc w:val="center"/>
              <w:rPr>
                <w:sz w:val="21"/>
                <w:szCs w:val="21"/>
              </w:rPr>
            </w:pPr>
            <w:r>
              <w:rPr>
                <w:sz w:val="21"/>
                <w:szCs w:val="21"/>
              </w:rPr>
              <w:t>425</w:t>
            </w:r>
          </w:p>
        </w:tc>
        <w:tc>
          <w:tcPr>
            <w:tcW w:w="752" w:type="pct"/>
            <w:vAlign w:val="center"/>
          </w:tcPr>
          <w:p>
            <w:pPr>
              <w:spacing w:line="240" w:lineRule="auto"/>
              <w:ind w:firstLine="0" w:firstLineChars="0"/>
              <w:jc w:val="center"/>
              <w:rPr>
                <w:sz w:val="21"/>
                <w:szCs w:val="21"/>
              </w:rPr>
            </w:pPr>
            <w:r>
              <w:rPr>
                <w:sz w:val="21"/>
                <w:szCs w:val="21"/>
              </w:rPr>
              <w:t>436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restart"/>
            <w:vAlign w:val="center"/>
          </w:tcPr>
          <w:p>
            <w:pPr>
              <w:spacing w:line="240" w:lineRule="auto"/>
              <w:ind w:firstLine="0" w:firstLineChars="0"/>
              <w:jc w:val="center"/>
              <w:rPr>
                <w:sz w:val="21"/>
                <w:szCs w:val="21"/>
              </w:rPr>
            </w:pPr>
            <w:r>
              <w:rPr>
                <w:sz w:val="21"/>
                <w:szCs w:val="21"/>
              </w:rPr>
              <w:t>实验室测定</w:t>
            </w:r>
          </w:p>
        </w:tc>
        <w:tc>
          <w:tcPr>
            <w:tcW w:w="1842" w:type="pct"/>
            <w:vAlign w:val="center"/>
          </w:tcPr>
          <w:p>
            <w:pPr>
              <w:spacing w:line="240" w:lineRule="auto"/>
              <w:ind w:firstLine="0" w:firstLineChars="0"/>
              <w:jc w:val="center"/>
              <w:rPr>
                <w:sz w:val="21"/>
                <w:szCs w:val="21"/>
              </w:rPr>
            </w:pPr>
            <w:r>
              <w:rPr>
                <w:sz w:val="21"/>
                <w:szCs w:val="21"/>
              </w:rPr>
              <w:t>pH值（无量纲）</w:t>
            </w:r>
          </w:p>
        </w:tc>
        <w:tc>
          <w:tcPr>
            <w:tcW w:w="752" w:type="pct"/>
            <w:vAlign w:val="center"/>
          </w:tcPr>
          <w:p>
            <w:pPr>
              <w:spacing w:line="240" w:lineRule="auto"/>
              <w:ind w:firstLine="0" w:firstLineChars="0"/>
              <w:jc w:val="center"/>
              <w:rPr>
                <w:sz w:val="21"/>
                <w:szCs w:val="21"/>
              </w:rPr>
            </w:pPr>
            <w:r>
              <w:rPr>
                <w:sz w:val="21"/>
                <w:szCs w:val="21"/>
              </w:rPr>
              <w:t>8.25</w:t>
            </w:r>
          </w:p>
        </w:tc>
        <w:tc>
          <w:tcPr>
            <w:tcW w:w="752" w:type="pct"/>
            <w:vAlign w:val="center"/>
          </w:tcPr>
          <w:p>
            <w:pPr>
              <w:spacing w:line="240" w:lineRule="auto"/>
              <w:ind w:firstLine="0" w:firstLineChars="0"/>
              <w:jc w:val="center"/>
              <w:rPr>
                <w:sz w:val="21"/>
                <w:szCs w:val="21"/>
              </w:rPr>
            </w:pPr>
            <w:r>
              <w:rPr>
                <w:sz w:val="21"/>
                <w:szCs w:val="21"/>
              </w:rPr>
              <w:t>8.39</w:t>
            </w:r>
          </w:p>
        </w:tc>
        <w:tc>
          <w:tcPr>
            <w:tcW w:w="752" w:type="pct"/>
            <w:vAlign w:val="center"/>
          </w:tcPr>
          <w:p>
            <w:pPr>
              <w:spacing w:line="240" w:lineRule="auto"/>
              <w:ind w:firstLine="0" w:firstLineChars="0"/>
              <w:jc w:val="center"/>
              <w:rPr>
                <w:sz w:val="21"/>
                <w:szCs w:val="21"/>
              </w:rPr>
            </w:pPr>
            <w:r>
              <w:rPr>
                <w:sz w:val="21"/>
                <w:szCs w:val="21"/>
              </w:rPr>
              <w:t>8.06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阳离子交换量（cmol/kg）</w:t>
            </w:r>
          </w:p>
        </w:tc>
        <w:tc>
          <w:tcPr>
            <w:tcW w:w="752" w:type="pct"/>
            <w:vAlign w:val="center"/>
          </w:tcPr>
          <w:p>
            <w:pPr>
              <w:spacing w:line="240" w:lineRule="auto"/>
              <w:ind w:firstLine="0" w:firstLineChars="0"/>
              <w:jc w:val="center"/>
              <w:rPr>
                <w:sz w:val="21"/>
                <w:szCs w:val="21"/>
              </w:rPr>
            </w:pPr>
            <w:r>
              <w:rPr>
                <w:sz w:val="21"/>
                <w:szCs w:val="21"/>
              </w:rPr>
              <w:t>22.1</w:t>
            </w:r>
          </w:p>
        </w:tc>
        <w:tc>
          <w:tcPr>
            <w:tcW w:w="752" w:type="pct"/>
            <w:vAlign w:val="center"/>
          </w:tcPr>
          <w:p>
            <w:pPr>
              <w:spacing w:line="240" w:lineRule="auto"/>
              <w:ind w:firstLine="0" w:firstLineChars="0"/>
              <w:jc w:val="center"/>
              <w:rPr>
                <w:sz w:val="21"/>
                <w:szCs w:val="21"/>
              </w:rPr>
            </w:pPr>
            <w:r>
              <w:rPr>
                <w:sz w:val="21"/>
                <w:szCs w:val="21"/>
              </w:rPr>
              <w:t>20.9</w:t>
            </w:r>
          </w:p>
        </w:tc>
        <w:tc>
          <w:tcPr>
            <w:tcW w:w="752" w:type="pct"/>
            <w:vAlign w:val="center"/>
          </w:tcPr>
          <w:p>
            <w:pPr>
              <w:spacing w:line="240" w:lineRule="auto"/>
              <w:ind w:firstLine="0" w:firstLineChars="0"/>
              <w:jc w:val="center"/>
              <w:rPr>
                <w:sz w:val="21"/>
                <w:szCs w:val="21"/>
              </w:rPr>
            </w:pPr>
            <w:r>
              <w:rPr>
                <w:sz w:val="21"/>
                <w:szCs w:val="21"/>
              </w:rPr>
              <w:t>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渗滤率（mm/min)</w:t>
            </w:r>
          </w:p>
        </w:tc>
        <w:tc>
          <w:tcPr>
            <w:tcW w:w="752" w:type="pct"/>
            <w:vAlign w:val="center"/>
          </w:tcPr>
          <w:p>
            <w:pPr>
              <w:spacing w:line="240" w:lineRule="auto"/>
              <w:ind w:firstLine="0" w:firstLineChars="0"/>
              <w:jc w:val="center"/>
              <w:rPr>
                <w:sz w:val="21"/>
                <w:szCs w:val="21"/>
              </w:rPr>
            </w:pPr>
            <w:r>
              <w:rPr>
                <w:sz w:val="21"/>
                <w:szCs w:val="21"/>
              </w:rPr>
              <w:t>1.06</w:t>
            </w:r>
          </w:p>
        </w:tc>
        <w:tc>
          <w:tcPr>
            <w:tcW w:w="752" w:type="pct"/>
            <w:vAlign w:val="center"/>
          </w:tcPr>
          <w:p>
            <w:pPr>
              <w:spacing w:line="240" w:lineRule="auto"/>
              <w:ind w:firstLine="0" w:firstLineChars="0"/>
              <w:jc w:val="center"/>
              <w:rPr>
                <w:sz w:val="21"/>
                <w:szCs w:val="21"/>
              </w:rPr>
            </w:pPr>
            <w:r>
              <w:rPr>
                <w:sz w:val="21"/>
                <w:szCs w:val="21"/>
              </w:rPr>
              <w:t>0.96</w:t>
            </w:r>
          </w:p>
        </w:tc>
        <w:tc>
          <w:tcPr>
            <w:tcW w:w="752" w:type="pct"/>
            <w:vAlign w:val="center"/>
          </w:tcPr>
          <w:p>
            <w:pPr>
              <w:spacing w:line="240" w:lineRule="auto"/>
              <w:ind w:firstLine="0" w:firstLineChars="0"/>
              <w:jc w:val="center"/>
              <w:rPr>
                <w:sz w:val="21"/>
                <w:szCs w:val="21"/>
              </w:rPr>
            </w:pPr>
            <w:r>
              <w:rPr>
                <w:sz w:val="21"/>
                <w:szCs w:val="21"/>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容重（g/cm</w:t>
            </w:r>
            <w:r>
              <w:rPr>
                <w:sz w:val="21"/>
                <w:szCs w:val="21"/>
                <w:vertAlign w:val="superscript"/>
              </w:rPr>
              <w:t>3</w:t>
            </w:r>
            <w:r>
              <w:rPr>
                <w:sz w:val="21"/>
                <w:szCs w:val="21"/>
              </w:rPr>
              <w:t>)</w:t>
            </w:r>
          </w:p>
        </w:tc>
        <w:tc>
          <w:tcPr>
            <w:tcW w:w="752" w:type="pct"/>
            <w:vAlign w:val="center"/>
          </w:tcPr>
          <w:p>
            <w:pPr>
              <w:spacing w:line="240" w:lineRule="auto"/>
              <w:ind w:firstLine="0" w:firstLineChars="0"/>
              <w:jc w:val="center"/>
              <w:rPr>
                <w:sz w:val="21"/>
                <w:szCs w:val="21"/>
              </w:rPr>
            </w:pPr>
            <w:r>
              <w:rPr>
                <w:sz w:val="21"/>
                <w:szCs w:val="21"/>
              </w:rPr>
              <w:t>0.93</w:t>
            </w:r>
          </w:p>
        </w:tc>
        <w:tc>
          <w:tcPr>
            <w:tcW w:w="752" w:type="pct"/>
            <w:vAlign w:val="center"/>
          </w:tcPr>
          <w:p>
            <w:pPr>
              <w:spacing w:line="240" w:lineRule="auto"/>
              <w:ind w:firstLine="0" w:firstLineChars="0"/>
              <w:jc w:val="center"/>
              <w:rPr>
                <w:sz w:val="21"/>
                <w:szCs w:val="21"/>
              </w:rPr>
            </w:pPr>
            <w:r>
              <w:rPr>
                <w:sz w:val="21"/>
                <w:szCs w:val="21"/>
              </w:rPr>
              <w:t>1.02</w:t>
            </w:r>
          </w:p>
        </w:tc>
        <w:tc>
          <w:tcPr>
            <w:tcW w:w="752" w:type="pct"/>
            <w:vAlign w:val="center"/>
          </w:tcPr>
          <w:p>
            <w:pPr>
              <w:spacing w:line="240" w:lineRule="auto"/>
              <w:ind w:firstLine="0" w:firstLineChars="0"/>
              <w:jc w:val="center"/>
              <w:rPr>
                <w:sz w:val="21"/>
                <w:szCs w:val="21"/>
              </w:rPr>
            </w:pPr>
            <w:r>
              <w:rPr>
                <w:sz w:val="21"/>
                <w:szCs w:val="21"/>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 w:type="pct"/>
            <w:vMerge w:val="continue"/>
            <w:vAlign w:val="center"/>
          </w:tcPr>
          <w:p>
            <w:pPr>
              <w:spacing w:line="240" w:lineRule="auto"/>
              <w:ind w:firstLine="0" w:firstLineChars="0"/>
              <w:jc w:val="center"/>
              <w:rPr>
                <w:sz w:val="21"/>
                <w:szCs w:val="21"/>
              </w:rPr>
            </w:pPr>
          </w:p>
        </w:tc>
        <w:tc>
          <w:tcPr>
            <w:tcW w:w="1842" w:type="pct"/>
            <w:vAlign w:val="center"/>
          </w:tcPr>
          <w:p>
            <w:pPr>
              <w:spacing w:line="240" w:lineRule="auto"/>
              <w:ind w:firstLine="0" w:firstLineChars="0"/>
              <w:jc w:val="center"/>
              <w:rPr>
                <w:sz w:val="21"/>
                <w:szCs w:val="21"/>
              </w:rPr>
            </w:pPr>
            <w:r>
              <w:rPr>
                <w:sz w:val="21"/>
                <w:szCs w:val="21"/>
              </w:rPr>
              <w:t>总孔隙度（%）</w:t>
            </w:r>
          </w:p>
        </w:tc>
        <w:tc>
          <w:tcPr>
            <w:tcW w:w="752" w:type="pct"/>
            <w:vAlign w:val="center"/>
          </w:tcPr>
          <w:p>
            <w:pPr>
              <w:spacing w:line="240" w:lineRule="auto"/>
              <w:ind w:firstLine="0" w:firstLineChars="0"/>
              <w:jc w:val="center"/>
              <w:rPr>
                <w:sz w:val="21"/>
                <w:szCs w:val="21"/>
              </w:rPr>
            </w:pPr>
            <w:r>
              <w:rPr>
                <w:sz w:val="21"/>
                <w:szCs w:val="21"/>
              </w:rPr>
              <w:t>32.1</w:t>
            </w:r>
          </w:p>
        </w:tc>
        <w:tc>
          <w:tcPr>
            <w:tcW w:w="752" w:type="pct"/>
            <w:vAlign w:val="center"/>
          </w:tcPr>
          <w:p>
            <w:pPr>
              <w:spacing w:line="240" w:lineRule="auto"/>
              <w:ind w:firstLine="0" w:firstLineChars="0"/>
              <w:jc w:val="center"/>
              <w:rPr>
                <w:sz w:val="21"/>
                <w:szCs w:val="21"/>
              </w:rPr>
            </w:pPr>
            <w:r>
              <w:rPr>
                <w:sz w:val="21"/>
                <w:szCs w:val="21"/>
              </w:rPr>
              <w:t>34.6</w:t>
            </w:r>
          </w:p>
        </w:tc>
        <w:tc>
          <w:tcPr>
            <w:tcW w:w="752" w:type="pct"/>
            <w:vAlign w:val="center"/>
          </w:tcPr>
          <w:p>
            <w:pPr>
              <w:spacing w:line="240" w:lineRule="auto"/>
              <w:ind w:firstLine="0" w:firstLineChars="0"/>
              <w:jc w:val="center"/>
              <w:rPr>
                <w:sz w:val="21"/>
                <w:szCs w:val="21"/>
              </w:rPr>
            </w:pPr>
            <w:r>
              <w:rPr>
                <w:sz w:val="21"/>
                <w:szCs w:val="21"/>
              </w:rPr>
              <w:t>33.5</w:t>
            </w:r>
          </w:p>
        </w:tc>
      </w:tr>
    </w:tbl>
    <w:p>
      <w:pPr>
        <w:ind w:firstLine="0" w:firstLineChars="0"/>
        <w:rPr>
          <w:color w:val="FF0000"/>
        </w:rPr>
      </w:pPr>
    </w:p>
    <w:p>
      <w:pPr>
        <w:numPr>
          <w:ilvl w:val="0"/>
          <w:numId w:val="14"/>
        </w:numPr>
        <w:ind w:firstLine="480"/>
      </w:pPr>
      <w:r>
        <w:rPr>
          <w:rFonts w:hint="eastAsia"/>
        </w:rPr>
        <w:t>影响源调查</w:t>
      </w:r>
    </w:p>
    <w:p>
      <w:pPr>
        <w:ind w:firstLine="480"/>
      </w:pPr>
      <w:r>
        <w:rPr>
          <w:rFonts w:hint="eastAsia"/>
        </w:rPr>
        <w:t>调查评价范围内无其他工业企业，无与建设项目产生同种特征因子或造成相同土壤环境影响后果的影响源。</w:t>
      </w:r>
    </w:p>
    <w:p>
      <w:pPr>
        <w:pStyle w:val="5"/>
      </w:pPr>
      <w:r>
        <w:rPr>
          <w:rFonts w:hint="eastAsia"/>
        </w:rPr>
        <w:t>土壤环境影响预测</w:t>
      </w:r>
    </w:p>
    <w:p>
      <w:pPr>
        <w:numPr>
          <w:ilvl w:val="0"/>
          <w:numId w:val="15"/>
        </w:numPr>
        <w:ind w:firstLine="480"/>
      </w:pPr>
      <w:r>
        <w:rPr>
          <w:rFonts w:hint="eastAsia"/>
        </w:rPr>
        <w:t>正常工况下土壤环境影响分析</w:t>
      </w:r>
    </w:p>
    <w:p>
      <w:pPr>
        <w:ind w:firstLine="480"/>
      </w:pPr>
      <w:r>
        <w:rPr>
          <w:rFonts w:hint="eastAsia"/>
        </w:rPr>
        <w:t>根据土壤污染途径分析结果，本项目可能对土壤造成污染的主要有废气、废水和固废。项目确保各类废气污染物达标排放，可以有效减少废气污染物通过沉降或降水进入土壤的量，项目羊粪尿经收集池清运至</w:t>
      </w:r>
      <w:r>
        <w:rPr>
          <w:rFonts w:hint="eastAsia"/>
          <w:lang w:eastAsia="zh-CN"/>
        </w:rPr>
        <w:t>有机肥堆场</w:t>
      </w:r>
      <w:r>
        <w:rPr>
          <w:rFonts w:hint="eastAsia"/>
        </w:rPr>
        <w:t>用作有机肥原料。本项目对厂区采取了分区防渗措施，可以有效减小废水对土壤的污染影响。项目生产过程中产生的危险固废经集中收集后委托有资质的单位处理，项目肉羊养殖园区建设项目建有一座</w:t>
      </w:r>
      <w:r>
        <w:rPr>
          <w:rFonts w:hint="eastAsia"/>
          <w:color w:val="FF0000"/>
          <w:lang w:val="en-US" w:eastAsia="zh-CN"/>
        </w:rPr>
        <w:t>医疗废物</w:t>
      </w:r>
      <w:r>
        <w:rPr>
          <w:color w:val="FF0000"/>
        </w:rPr>
        <w:t>暂存间</w:t>
      </w:r>
      <w:r>
        <w:rPr>
          <w:rFonts w:hint="eastAsia"/>
        </w:rPr>
        <w:t>，危废临时储存库按照</w:t>
      </w:r>
      <w:r>
        <w:rPr>
          <w:rFonts w:hint="eastAsia"/>
          <w:color w:val="FF0000"/>
        </w:rPr>
        <w:t>《危险废物贮存污染控制标准》（GB18597－20</w:t>
      </w:r>
      <w:r>
        <w:rPr>
          <w:rFonts w:hint="eastAsia"/>
          <w:color w:val="FF0000"/>
          <w:lang w:val="en-US" w:eastAsia="zh-CN"/>
        </w:rPr>
        <w:t>23</w:t>
      </w:r>
      <w:r>
        <w:rPr>
          <w:rFonts w:hint="eastAsia"/>
          <w:color w:val="FF0000"/>
        </w:rPr>
        <w:t>）</w:t>
      </w:r>
      <w:r>
        <w:rPr>
          <w:rFonts w:hint="eastAsia"/>
        </w:rPr>
        <w:t>的要求进行了防渗和封闭处理，在此处存放的危废采用袋装或桶装形式。通过以上分析可以看出，建设项目在正常运行工况下，不会对土壤环境质量造成显著影响。</w:t>
      </w:r>
    </w:p>
    <w:p>
      <w:pPr>
        <w:numPr>
          <w:ilvl w:val="0"/>
          <w:numId w:val="15"/>
        </w:numPr>
        <w:ind w:firstLine="480"/>
      </w:pPr>
      <w:r>
        <w:rPr>
          <w:rFonts w:hint="eastAsia"/>
        </w:rPr>
        <w:t>非正常工况下土壤环境影响分析</w:t>
      </w:r>
    </w:p>
    <w:p>
      <w:pPr>
        <w:ind w:firstLine="480"/>
      </w:pPr>
      <w:r>
        <w:rPr>
          <w:rFonts w:hint="eastAsia"/>
        </w:rPr>
        <w:t>在非正常工况或者事故情况下，建设项目可能对区域土壤造成影响。通过对建设项目建设内容分析，非正常工况下或事故情况下建设项目对地下水的可能影响途径主要包括：</w:t>
      </w:r>
      <w:r>
        <w:rPr>
          <w:rFonts w:hint="eastAsia"/>
          <w:lang w:eastAsia="zh-CN"/>
        </w:rPr>
        <w:t>有机肥堆场</w:t>
      </w:r>
      <w:r>
        <w:rPr>
          <w:rFonts w:hint="eastAsia"/>
        </w:rPr>
        <w:t>出现粪污泄漏，渗入地下从而引起土壤环境污染。本项目在确保肉羊养殖园区各项预防措施得以落实并得到良好维护的前提下，项目生产在短期内不会对土壤造成明显的影响。</w:t>
      </w:r>
    </w:p>
    <w:p>
      <w:pPr>
        <w:pStyle w:val="5"/>
      </w:pPr>
      <w:r>
        <w:rPr>
          <w:rFonts w:hint="eastAsia"/>
        </w:rPr>
        <w:t>土壤影响评价结论</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正常工况下，不会有泄漏情况发生，也不会对土壤环境造成影响。本次项目</w:t>
      </w:r>
      <w:r>
        <w:rPr>
          <w:rFonts w:hint="eastAsia"/>
          <w:color w:val="92D050"/>
          <w:lang w:eastAsia="zh-CN"/>
        </w:rPr>
        <w:t>有机肥堆场</w:t>
      </w:r>
      <w:r>
        <w:rPr>
          <w:rFonts w:hint="eastAsia"/>
          <w:color w:val="000000" w:themeColor="text1"/>
          <w14:textFill>
            <w14:solidFill>
              <w14:schemeClr w14:val="tx1"/>
            </w14:solidFill>
          </w14:textFill>
        </w:rPr>
        <w:t>采取合格防渗的措施，对土壤和下水造成污染的可能性更低。因此，可以推测本次项目正常工况下不会对周围土壤环境造成不良影响。事故状态下，假设粪污废水泄露，相关污染物持续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综上，项目土壤环境影响可接受。</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建设项目土壤环境影响评价自查表见下表。</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表5.2.5-4    土壤环境影响评价自查表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03"/>
        <w:gridCol w:w="1589"/>
        <w:gridCol w:w="1342"/>
        <w:gridCol w:w="1453"/>
        <w:gridCol w:w="1539"/>
        <w:gridCol w:w="619"/>
        <w:gridCol w:w="764"/>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1132"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工作内容</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完成情况</w:t>
            </w:r>
          </w:p>
        </w:tc>
        <w:tc>
          <w:tcPr>
            <w:tcW w:w="61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29"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影响识别</w:t>
            </w: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影响类型</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污染影响型</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；生态影响型</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；两种兼有</w:t>
            </w:r>
            <w:r>
              <w:rPr>
                <w:color w:val="000000" w:themeColor="text1"/>
                <w:sz w:val="28"/>
                <w:szCs w:val="28"/>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土地利用类型</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建设用地</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；农用地</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；未利用地</w:t>
            </w:r>
            <w:r>
              <w:rPr>
                <w:color w:val="000000" w:themeColor="text1"/>
                <w:sz w:val="28"/>
                <w:szCs w:val="28"/>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土地利用类</w:t>
            </w:r>
          </w:p>
          <w:p>
            <w:pPr>
              <w:pStyle w:val="232"/>
              <w:rPr>
                <w:color w:val="000000" w:themeColor="text1"/>
                <w14:textFill>
                  <w14:solidFill>
                    <w14:schemeClr w14:val="tx1"/>
                  </w14:solidFill>
                </w14:textFill>
              </w:rPr>
            </w:pPr>
            <w:r>
              <w:rPr>
                <w:color w:val="000000" w:themeColor="text1"/>
                <w14:textFill>
                  <w14:solidFill>
                    <w14:schemeClr w14:val="tx1"/>
                  </w14:solidFill>
                </w14:textFill>
              </w:rPr>
              <w:t>型图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占地规模</w:t>
            </w:r>
          </w:p>
        </w:tc>
        <w:tc>
          <w:tcPr>
            <w:tcW w:w="3250" w:type="pct"/>
            <w:gridSpan w:val="5"/>
            <w:vAlign w:val="center"/>
          </w:tcPr>
          <w:p>
            <w:pPr>
              <w:pStyle w:val="232"/>
              <w:rPr>
                <w:rFonts w:eastAsia="Times New Roman"/>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116.91</w:t>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hm</w:t>
            </w:r>
            <w:r>
              <w:rPr>
                <w:rFonts w:eastAsia="Times New Roman"/>
                <w:color w:val="000000" w:themeColor="text1"/>
                <w:position w:val="6"/>
                <w:vertAlign w:val="superscript"/>
                <w14:textFill>
                  <w14:solidFill>
                    <w14:schemeClr w14:val="tx1"/>
                  </w14:solidFill>
                </w14:textFill>
              </w:rPr>
              <w:t>2</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敏感目标信息</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敏感目标（</w:t>
            </w:r>
            <w:r>
              <w:rPr>
                <w:rFonts w:hint="eastAsia"/>
                <w:color w:val="000000" w:themeColor="text1"/>
                <w14:textFill>
                  <w14:solidFill>
                    <w14:schemeClr w14:val="tx1"/>
                  </w14:solidFill>
                </w14:textFill>
              </w:rPr>
              <w:t>耕地</w:t>
            </w:r>
            <w:r>
              <w:rPr>
                <w:color w:val="000000" w:themeColor="text1"/>
                <w14:textFill>
                  <w14:solidFill>
                    <w14:schemeClr w14:val="tx1"/>
                  </w14:solidFill>
                </w14:textFill>
              </w:rPr>
              <w:t>）、方位（</w:t>
            </w:r>
            <w:r>
              <w:rPr>
                <w:rFonts w:hint="eastAsia"/>
                <w:color w:val="000000" w:themeColor="text1"/>
                <w14:textFill>
                  <w14:solidFill>
                    <w14:schemeClr w14:val="tx1"/>
                  </w14:solidFill>
                </w14:textFill>
              </w:rPr>
              <w:t>四周</w:t>
            </w:r>
            <w:r>
              <w:rPr>
                <w:color w:val="000000" w:themeColor="text1"/>
                <w14:textFill>
                  <w14:solidFill>
                    <w14:schemeClr w14:val="tx1"/>
                  </w14:solidFill>
                </w14:textFill>
              </w:rPr>
              <w:t>）、距离（</w:t>
            </w:r>
            <w:r>
              <w:rPr>
                <w:rFonts w:hint="eastAsia"/>
                <w:color w:val="000000" w:themeColor="text1"/>
                <w14:textFill>
                  <w14:solidFill>
                    <w14:schemeClr w14:val="tx1"/>
                  </w14:solidFill>
                </w14:textFill>
              </w:rPr>
              <w:t>10m</w:t>
            </w:r>
            <w:r>
              <w:rPr>
                <w:color w:val="000000" w:themeColor="text1"/>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影响途径</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大气沉降</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；地面漫流</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；垂直入渗</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；地下水位</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；其他（）</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全部污染物</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COD、SS、BOD</w:t>
            </w:r>
            <w:r>
              <w:rPr>
                <w:rFonts w:hint="eastAsia"/>
                <w:color w:val="000000" w:themeColor="text1"/>
                <w:vertAlign w:val="subscript"/>
                <w14:textFill>
                  <w14:solidFill>
                    <w14:schemeClr w14:val="tx1"/>
                  </w14:solidFill>
                </w14:textFill>
              </w:rPr>
              <w:t>5</w:t>
            </w:r>
            <w:r>
              <w:rPr>
                <w:color w:val="000000" w:themeColor="text1"/>
                <w14:textFill>
                  <w14:solidFill>
                    <w14:schemeClr w14:val="tx1"/>
                  </w14:solidFill>
                </w14:textFill>
              </w:rPr>
              <w:t>、氨氮</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特征因子</w:t>
            </w:r>
          </w:p>
        </w:tc>
        <w:tc>
          <w:tcPr>
            <w:tcW w:w="3250" w:type="pct"/>
            <w:gridSpan w:val="5"/>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氨氮</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所属土壤环境影响评价项目类别</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Ⅰ类</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；Ⅱ类</w:t>
            </w:r>
            <w:r>
              <w:rPr>
                <w:rFonts w:hint="eastAsia"/>
                <w:color w:val="000000" w:themeColor="text1"/>
                <w:sz w:val="28"/>
                <w:szCs w:val="28"/>
                <w:lang w:eastAsia="zh-CN"/>
                <w14:textFill>
                  <w14:solidFill>
                    <w14:schemeClr w14:val="tx1"/>
                  </w14:solidFill>
                </w14:textFill>
              </w:rPr>
              <w:t>☑</w:t>
            </w:r>
            <w:r>
              <w:rPr>
                <w:color w:val="000000" w:themeColor="text1"/>
                <w14:textFill>
                  <w14:solidFill>
                    <w14:schemeClr w14:val="tx1"/>
                  </w14:solidFill>
                </w14:textFill>
              </w:rPr>
              <w:t>；Ⅲ类</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；Ⅳ类</w:t>
            </w:r>
            <w:r>
              <w:rPr>
                <w:color w:val="000000" w:themeColor="text1"/>
                <w:sz w:val="28"/>
                <w:szCs w:val="28"/>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敏感程度</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敏感</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；较敏感</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；不敏感</w:t>
            </w:r>
            <w:r>
              <w:rPr>
                <w:color w:val="000000" w:themeColor="text1"/>
                <w:sz w:val="28"/>
                <w:szCs w:val="28"/>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132"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评价工作等级</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一级</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；二级</w:t>
            </w:r>
            <w:r>
              <w:rPr>
                <w:rFonts w:hint="eastAsia"/>
                <w:color w:val="000000" w:themeColor="text1"/>
                <w:sz w:val="28"/>
                <w:szCs w:val="28"/>
                <w:lang w:eastAsia="zh-CN"/>
                <w14:textFill>
                  <w14:solidFill>
                    <w14:schemeClr w14:val="tx1"/>
                  </w14:solidFill>
                </w14:textFill>
              </w:rPr>
              <w:t>☑</w:t>
            </w:r>
            <w:r>
              <w:rPr>
                <w:color w:val="000000" w:themeColor="text1"/>
                <w14:textFill>
                  <w14:solidFill>
                    <w14:schemeClr w14:val="tx1"/>
                  </w14:solidFill>
                </w14:textFill>
              </w:rPr>
              <w:t>；三级</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sz w:val="28"/>
                <w:szCs w:val="28"/>
                <w14:textFill>
                  <w14:solidFill>
                    <w14:schemeClr w14:val="tx1"/>
                  </w14:solidFill>
                </w14:textFill>
              </w:rPr>
              <w:fldChar w:fldCharType="end"/>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29"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现状调查内容</w:t>
            </w: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资料收集</w:t>
            </w:r>
          </w:p>
        </w:tc>
        <w:tc>
          <w:tcPr>
            <w:tcW w:w="3250" w:type="pct"/>
            <w:gridSpan w:val="5"/>
            <w:vAlign w:val="center"/>
          </w:tcPr>
          <w:p>
            <w:pPr>
              <w:pStyle w:val="232"/>
              <w:rPr>
                <w:color w:val="000000" w:themeColor="text1"/>
                <w14:textFill>
                  <w14:solidFill>
                    <w14:schemeClr w14:val="tx1"/>
                  </w14:solidFill>
                </w14:textFill>
              </w:rPr>
            </w:pPr>
            <w:r>
              <w:rPr>
                <w:rFonts w:eastAsia="Times New Roman"/>
                <w:color w:val="000000" w:themeColor="text1"/>
                <w14:textFill>
                  <w14:solidFill>
                    <w14:schemeClr w14:val="tx1"/>
                  </w14:solidFill>
                </w14:textFill>
              </w:rPr>
              <w:t>a</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b</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c</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；d）</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理化特性</w:t>
            </w:r>
          </w:p>
        </w:tc>
        <w:tc>
          <w:tcPr>
            <w:tcW w:w="3250" w:type="pct"/>
            <w:gridSpan w:val="5"/>
            <w:vAlign w:val="center"/>
          </w:tcPr>
          <w:p>
            <w:pPr>
              <w:pStyle w:val="232"/>
              <w:rPr>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见表</w:t>
            </w:r>
            <w:r>
              <w:rPr>
                <w:rFonts w:hint="eastAsia" w:ascii="Times New Roman" w:hAnsi="Times New Roman" w:cs="Times New Roman"/>
                <w:color w:val="000000" w:themeColor="text1"/>
                <w14:textFill>
                  <w14:solidFill>
                    <w14:schemeClr w14:val="tx1"/>
                  </w14:solidFill>
                </w14:textFill>
              </w:rPr>
              <w:t>5.2.5-3</w:t>
            </w:r>
          </w:p>
        </w:tc>
        <w:tc>
          <w:tcPr>
            <w:tcW w:w="618" w:type="pct"/>
            <w:vAlign w:val="center"/>
          </w:tcPr>
          <w:p>
            <w:pPr>
              <w:pStyle w:val="232"/>
              <w:rPr>
                <w:rFonts w:eastAsia="Times New Roman"/>
                <w:color w:val="000000" w:themeColor="text1"/>
                <w14:textFill>
                  <w14:solidFill>
                    <w14:schemeClr w14:val="tx1"/>
                  </w14:solidFill>
                </w14:textFill>
              </w:rPr>
            </w:pPr>
            <w:r>
              <w:rPr>
                <w:color w:val="000000" w:themeColor="text1"/>
                <w14:textFill>
                  <w14:solidFill>
                    <w14:schemeClr w14:val="tx1"/>
                  </w14:solidFill>
                </w14:textFill>
              </w:rPr>
              <w:t>同附录</w:t>
            </w:r>
            <w:r>
              <w:rPr>
                <w:rFonts w:eastAsia="Times New Roman"/>
                <w:color w:val="000000" w:themeColor="text1"/>
                <w14:textFill>
                  <w14:solidFill>
                    <w14:schemeClr w14:val="tx1"/>
                  </w14:solidFill>
                </w14:textFill>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现状监测点位</w:t>
            </w:r>
          </w:p>
        </w:tc>
        <w:tc>
          <w:tcPr>
            <w:tcW w:w="763" w:type="pct"/>
            <w:vAlign w:val="center"/>
          </w:tcPr>
          <w:p>
            <w:pPr>
              <w:pStyle w:val="232"/>
              <w:rPr>
                <w:color w:val="000000" w:themeColor="text1"/>
                <w14:textFill>
                  <w14:solidFill>
                    <w14:schemeClr w14:val="tx1"/>
                  </w14:solidFill>
                </w14:textFill>
              </w:rPr>
            </w:pPr>
          </w:p>
        </w:tc>
        <w:tc>
          <w:tcPr>
            <w:tcW w:w="82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占地范围内</w:t>
            </w:r>
          </w:p>
        </w:tc>
        <w:tc>
          <w:tcPr>
            <w:tcW w:w="1227"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占地范围外</w:t>
            </w:r>
          </w:p>
        </w:tc>
        <w:tc>
          <w:tcPr>
            <w:tcW w:w="43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深度</w:t>
            </w:r>
          </w:p>
        </w:tc>
        <w:tc>
          <w:tcPr>
            <w:tcW w:w="618" w:type="pct"/>
            <w:vMerge w:val="restart"/>
            <w:vAlign w:val="center"/>
          </w:tcPr>
          <w:p>
            <w:pPr>
              <w:pStyle w:val="232"/>
              <w:rPr>
                <w:rFonts w:ascii="黑体"/>
                <w:color w:val="000000" w:themeColor="text1"/>
                <w14:textFill>
                  <w14:solidFill>
                    <w14:schemeClr w14:val="tx1"/>
                  </w14:solidFill>
                </w14:textFill>
              </w:rPr>
            </w:pPr>
          </w:p>
          <w:p>
            <w:pPr>
              <w:pStyle w:val="232"/>
              <w:rPr>
                <w:color w:val="000000" w:themeColor="text1"/>
                <w14:textFill>
                  <w14:solidFill>
                    <w14:schemeClr w14:val="tx1"/>
                  </w14:solidFill>
                </w14:textFill>
              </w:rPr>
            </w:pPr>
            <w:r>
              <w:rPr>
                <w:color w:val="000000" w:themeColor="text1"/>
                <w14:textFill>
                  <w14:solidFill>
                    <w14:schemeClr w14:val="tx1"/>
                  </w14:solidFill>
                </w14:textFill>
              </w:rPr>
              <w:t>点位布置图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Merge w:val="continue"/>
            <w:vAlign w:val="center"/>
          </w:tcPr>
          <w:p>
            <w:pPr>
              <w:pStyle w:val="232"/>
              <w:rPr>
                <w:color w:val="000000" w:themeColor="text1"/>
                <w14:textFill>
                  <w14:solidFill>
                    <w14:schemeClr w14:val="tx1"/>
                  </w14:solidFill>
                </w14:textFill>
              </w:rPr>
            </w:pPr>
          </w:p>
        </w:tc>
        <w:tc>
          <w:tcPr>
            <w:tcW w:w="76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表层样点数</w:t>
            </w:r>
          </w:p>
        </w:tc>
        <w:tc>
          <w:tcPr>
            <w:tcW w:w="826"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1227" w:type="pct"/>
            <w:gridSpan w:val="2"/>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0.2m</w:t>
            </w:r>
          </w:p>
        </w:tc>
        <w:tc>
          <w:tcPr>
            <w:tcW w:w="618"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Merge w:val="continue"/>
            <w:vAlign w:val="center"/>
          </w:tcPr>
          <w:p>
            <w:pPr>
              <w:pStyle w:val="232"/>
              <w:rPr>
                <w:color w:val="000000" w:themeColor="text1"/>
                <w14:textFill>
                  <w14:solidFill>
                    <w14:schemeClr w14:val="tx1"/>
                  </w14:solidFill>
                </w14:textFill>
              </w:rPr>
            </w:pPr>
          </w:p>
        </w:tc>
        <w:tc>
          <w:tcPr>
            <w:tcW w:w="76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柱状样点数</w:t>
            </w:r>
          </w:p>
        </w:tc>
        <w:tc>
          <w:tcPr>
            <w:tcW w:w="826"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227"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3m</w:t>
            </w:r>
          </w:p>
        </w:tc>
        <w:tc>
          <w:tcPr>
            <w:tcW w:w="618"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现状监测因子</w:t>
            </w:r>
          </w:p>
        </w:tc>
        <w:tc>
          <w:tcPr>
            <w:tcW w:w="3250" w:type="pct"/>
            <w:gridSpan w:val="5"/>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pH、砷、镉、六价铬、铜、铅、汞、镍等</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现状评</w:t>
            </w:r>
          </w:p>
          <w:p>
            <w:pPr>
              <w:pStyle w:val="232"/>
              <w:rPr>
                <w:color w:val="000000" w:themeColor="text1"/>
                <w14:textFill>
                  <w14:solidFill>
                    <w14:schemeClr w14:val="tx1"/>
                  </w14:solidFill>
                </w14:textFill>
              </w:rPr>
            </w:pPr>
            <w:r>
              <w:rPr>
                <w:color w:val="000000" w:themeColor="text1"/>
                <w14:textFill>
                  <w14:solidFill>
                    <w14:schemeClr w14:val="tx1"/>
                  </w14:solidFill>
                </w14:textFill>
              </w:rPr>
              <w:t>价</w:t>
            </w: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评价因子</w:t>
            </w:r>
          </w:p>
        </w:tc>
        <w:tc>
          <w:tcPr>
            <w:tcW w:w="3250" w:type="pct"/>
            <w:gridSpan w:val="5"/>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pH、砷、镉、六价铬、铜、铅、汞、镍等</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评价标准</w:t>
            </w:r>
          </w:p>
        </w:tc>
        <w:tc>
          <w:tcPr>
            <w:tcW w:w="3250" w:type="pct"/>
            <w:gridSpan w:val="5"/>
            <w:vAlign w:val="center"/>
          </w:tcPr>
          <w:p>
            <w:pPr>
              <w:pStyle w:val="232"/>
              <w:rPr>
                <w:color w:val="000000" w:themeColor="text1"/>
                <w14:textFill>
                  <w14:solidFill>
                    <w14:schemeClr w14:val="tx1"/>
                  </w14:solidFill>
                </w14:textFill>
              </w:rPr>
            </w:pPr>
            <w:r>
              <w:rPr>
                <w:rFonts w:eastAsia="Times New Roman"/>
                <w:color w:val="000000" w:themeColor="text1"/>
                <w14:textFill>
                  <w14:solidFill>
                    <w14:schemeClr w14:val="tx1"/>
                  </w14:solidFill>
                </w14:textFill>
              </w:rPr>
              <w:t>GB 15618</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GB 36600</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；表</w:t>
            </w:r>
            <w:r>
              <w:rPr>
                <w:rFonts w:eastAsia="Times New Roman"/>
                <w:color w:val="000000" w:themeColor="text1"/>
                <w14:textFill>
                  <w14:solidFill>
                    <w14:schemeClr w14:val="tx1"/>
                  </w14:solidFill>
                </w14:textFill>
              </w:rPr>
              <w:t>D.1</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；表</w:t>
            </w:r>
            <w:r>
              <w:rPr>
                <w:rFonts w:eastAsia="Times New Roman"/>
                <w:color w:val="000000" w:themeColor="text1"/>
                <w14:textFill>
                  <w14:solidFill>
                    <w14:schemeClr w14:val="tx1"/>
                  </w14:solidFill>
                </w14:textFill>
              </w:rPr>
              <w:t>D.2</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；其他（）</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现状评价结论</w:t>
            </w:r>
          </w:p>
        </w:tc>
        <w:tc>
          <w:tcPr>
            <w:tcW w:w="3250" w:type="pct"/>
            <w:gridSpan w:val="5"/>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满足《土壤环境质量 农用地土壤污染风险管控标准（试行）》（GB15618-2018）表1农用地土壤污染风险筛选值中其他用地，p</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的标准要求</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29"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影响预测</w:t>
            </w: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预测因子</w:t>
            </w:r>
          </w:p>
        </w:tc>
        <w:tc>
          <w:tcPr>
            <w:tcW w:w="3250" w:type="pct"/>
            <w:gridSpan w:val="5"/>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预测方法</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附录</w:t>
            </w:r>
            <w:r>
              <w:rPr>
                <w:rFonts w:eastAsia="Times New Roman"/>
                <w:color w:val="000000" w:themeColor="text1"/>
                <w14:textFill>
                  <w14:solidFill>
                    <w14:schemeClr w14:val="tx1"/>
                  </w14:solidFill>
                </w14:textFill>
              </w:rPr>
              <w:t>E</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；附录</w:t>
            </w:r>
            <w:r>
              <w:rPr>
                <w:rFonts w:eastAsia="Times New Roman"/>
                <w:color w:val="000000" w:themeColor="text1"/>
                <w14:textFill>
                  <w14:solidFill>
                    <w14:schemeClr w14:val="tx1"/>
                  </w14:solidFill>
                </w14:textFill>
              </w:rPr>
              <w:t>F</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；其他（定性分析）</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预测分析内容</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影响范围（</w:t>
            </w:r>
            <w:r>
              <w:rPr>
                <w:rFonts w:hint="eastAsia"/>
                <w:color w:val="000000" w:themeColor="text1"/>
                <w14:textFill>
                  <w14:solidFill>
                    <w14:schemeClr w14:val="tx1"/>
                  </w14:solidFill>
                </w14:textFill>
              </w:rPr>
              <w:t>本场区内</w:t>
            </w:r>
            <w:r>
              <w:rPr>
                <w:color w:val="000000" w:themeColor="text1"/>
                <w14:textFill>
                  <w14:solidFill>
                    <w14:schemeClr w14:val="tx1"/>
                  </w14:solidFill>
                </w14:textFill>
              </w:rPr>
              <w:t>）</w:t>
            </w:r>
          </w:p>
          <w:p>
            <w:pPr>
              <w:pStyle w:val="232"/>
              <w:rPr>
                <w:color w:val="000000" w:themeColor="text1"/>
                <w14:textFill>
                  <w14:solidFill>
                    <w14:schemeClr w14:val="tx1"/>
                  </w14:solidFill>
                </w14:textFill>
              </w:rPr>
            </w:pPr>
            <w:r>
              <w:rPr>
                <w:color w:val="000000" w:themeColor="text1"/>
                <w14:textFill>
                  <w14:solidFill>
                    <w14:schemeClr w14:val="tx1"/>
                  </w14:solidFill>
                </w14:textFill>
              </w:rPr>
              <w:t>影响程度（较小）</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预测结论</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达标结论：</w:t>
            </w:r>
            <w:r>
              <w:rPr>
                <w:rFonts w:eastAsia="Times New Roman"/>
                <w:color w:val="000000" w:themeColor="text1"/>
                <w14:textFill>
                  <w14:solidFill>
                    <w14:schemeClr w14:val="tx1"/>
                  </w14:solidFill>
                </w14:textFill>
              </w:rPr>
              <w:t>a</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b</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c</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t>□</w:t>
            </w:r>
          </w:p>
          <w:p>
            <w:pPr>
              <w:pStyle w:val="232"/>
              <w:rPr>
                <w:color w:val="000000" w:themeColor="text1"/>
                <w14:textFill>
                  <w14:solidFill>
                    <w14:schemeClr w14:val="tx1"/>
                  </w14:solidFill>
                </w14:textFill>
              </w:rPr>
            </w:pPr>
            <w:r>
              <w:rPr>
                <w:color w:val="000000" w:themeColor="text1"/>
                <w14:textFill>
                  <w14:solidFill>
                    <w14:schemeClr w14:val="tx1"/>
                  </w14:solidFill>
                </w14:textFill>
              </w:rPr>
              <w:t>不达标结论：</w:t>
            </w:r>
            <w:r>
              <w:rPr>
                <w:rFonts w:eastAsia="Times New Roman"/>
                <w:color w:val="000000" w:themeColor="text1"/>
                <w14:textFill>
                  <w14:solidFill>
                    <w14:schemeClr w14:val="tx1"/>
                  </w14:solidFill>
                </w14:textFill>
              </w:rPr>
              <w:t>a</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w:t>
            </w:r>
            <w:r>
              <w:rPr>
                <w:rFonts w:eastAsia="Times New Roman"/>
                <w:color w:val="000000" w:themeColor="text1"/>
                <w14:textFill>
                  <w14:solidFill>
                    <w14:schemeClr w14:val="tx1"/>
                  </w14:solidFill>
                </w14:textFill>
              </w:rPr>
              <w:t>b</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t>□</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防治措</w:t>
            </w:r>
          </w:p>
          <w:p>
            <w:pPr>
              <w:pStyle w:val="232"/>
              <w:rPr>
                <w:color w:val="000000" w:themeColor="text1"/>
                <w14:textFill>
                  <w14:solidFill>
                    <w14:schemeClr w14:val="tx1"/>
                  </w14:solidFill>
                </w14:textFill>
              </w:rPr>
            </w:pPr>
            <w:r>
              <w:rPr>
                <w:color w:val="000000" w:themeColor="text1"/>
                <w14:textFill>
                  <w14:solidFill>
                    <w14:schemeClr w14:val="tx1"/>
                  </w14:solidFill>
                </w14:textFill>
              </w:rPr>
              <w:t>施</w:t>
            </w: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防控措施</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土壤环境质量现状保障</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；源头控制</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；过程防控</w:t>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eq \o\ac(□,</w:instrText>
            </w:r>
            <w:r>
              <w:rPr>
                <w:color w:val="000000" w:themeColor="text1"/>
                <w:position w:val="2"/>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instrText xml:space="preserve">)</w:instrText>
            </w:r>
            <w:r>
              <w:rPr>
                <w:color w:val="000000" w:themeColor="text1"/>
                <w:sz w:val="28"/>
                <w:szCs w:val="28"/>
                <w14:textFill>
                  <w14:solidFill>
                    <w14:schemeClr w14:val="tx1"/>
                  </w14:solidFill>
                </w14:textFill>
              </w:rPr>
              <w:fldChar w:fldCharType="end"/>
            </w:r>
            <w:r>
              <w:rPr>
                <w:color w:val="000000" w:themeColor="text1"/>
                <w14:textFill>
                  <w14:solidFill>
                    <w14:schemeClr w14:val="tx1"/>
                  </w14:solidFill>
                </w14:textFill>
              </w:rPr>
              <w:t>；其他（）</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跟踪监测</w:t>
            </w:r>
          </w:p>
        </w:tc>
        <w:tc>
          <w:tcPr>
            <w:tcW w:w="1589"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监测点数</w:t>
            </w:r>
          </w:p>
        </w:tc>
        <w:tc>
          <w:tcPr>
            <w:tcW w:w="87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监测指标</w:t>
            </w:r>
          </w:p>
        </w:tc>
        <w:tc>
          <w:tcPr>
            <w:tcW w:w="785"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监测频次</w:t>
            </w:r>
          </w:p>
        </w:tc>
        <w:tc>
          <w:tcPr>
            <w:tcW w:w="618" w:type="pct"/>
            <w:vMerge w:val="restar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Merge w:val="continue"/>
            <w:vAlign w:val="center"/>
          </w:tcPr>
          <w:p>
            <w:pPr>
              <w:pStyle w:val="232"/>
              <w:rPr>
                <w:color w:val="000000" w:themeColor="text1"/>
                <w14:textFill>
                  <w14:solidFill>
                    <w14:schemeClr w14:val="tx1"/>
                  </w14:solidFill>
                </w14:textFill>
              </w:rPr>
            </w:pPr>
          </w:p>
        </w:tc>
        <w:tc>
          <w:tcPr>
            <w:tcW w:w="1589"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87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p</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、氨氮、砷、镉、六价铬、铜、铅、汞、镍等</w:t>
            </w:r>
          </w:p>
        </w:tc>
        <w:tc>
          <w:tcPr>
            <w:tcW w:w="785"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1次/五年</w:t>
            </w:r>
          </w:p>
        </w:tc>
        <w:tc>
          <w:tcPr>
            <w:tcW w:w="618"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229" w:type="pct"/>
            <w:vMerge w:val="continue"/>
            <w:vAlign w:val="center"/>
          </w:tcPr>
          <w:p>
            <w:pPr>
              <w:pStyle w:val="232"/>
              <w:rPr>
                <w:color w:val="000000" w:themeColor="text1"/>
                <w14:textFill>
                  <w14:solidFill>
                    <w14:schemeClr w14:val="tx1"/>
                  </w14:solidFill>
                </w14:textFill>
              </w:rPr>
            </w:pPr>
          </w:p>
        </w:tc>
        <w:tc>
          <w:tcPr>
            <w:tcW w:w="90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信息公开指标</w:t>
            </w:r>
          </w:p>
        </w:tc>
        <w:tc>
          <w:tcPr>
            <w:tcW w:w="3250" w:type="pct"/>
            <w:gridSpan w:val="5"/>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项目土壤监测计划</w:t>
            </w:r>
          </w:p>
        </w:tc>
        <w:tc>
          <w:tcPr>
            <w:tcW w:w="618"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132"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评价结论</w:t>
            </w:r>
          </w:p>
        </w:tc>
        <w:tc>
          <w:tcPr>
            <w:tcW w:w="3250" w:type="pct"/>
            <w:gridSpan w:val="5"/>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本项目对土壤环境影响较小，在可接受范围内，建设可行</w:t>
            </w:r>
          </w:p>
        </w:tc>
        <w:tc>
          <w:tcPr>
            <w:tcW w:w="618" w:type="pct"/>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5000" w:type="pct"/>
            <w:gridSpan w:val="8"/>
            <w:vAlign w:val="center"/>
          </w:tcPr>
          <w:p>
            <w:pPr>
              <w:pStyle w:val="232"/>
              <w:jc w:val="both"/>
              <w:rPr>
                <w:color w:val="000000" w:themeColor="text1"/>
                <w14:textFill>
                  <w14:solidFill>
                    <w14:schemeClr w14:val="tx1"/>
                  </w14:solidFill>
                </w14:textFill>
              </w:rPr>
            </w:pPr>
            <w:r>
              <w:rPr>
                <w:color w:val="000000" w:themeColor="text1"/>
                <w14:textFill>
                  <w14:solidFill>
                    <w14:schemeClr w14:val="tx1"/>
                  </w14:solidFill>
                </w14:textFill>
              </w:rPr>
              <w:t>注</w:t>
            </w:r>
            <w:r>
              <w:rPr>
                <w:rFonts w:eastAsia="Times New Roman"/>
                <w:color w:val="000000" w:themeColor="text1"/>
                <w14:textFill>
                  <w14:solidFill>
                    <w14:schemeClr w14:val="tx1"/>
                  </w14:solidFill>
                </w14:textFill>
              </w:rPr>
              <w:t>1</w:t>
            </w:r>
            <w:r>
              <w:rPr>
                <w:color w:val="000000" w:themeColor="text1"/>
                <w14:textFill>
                  <w14:solidFill>
                    <w14:schemeClr w14:val="tx1"/>
                  </w14:solidFill>
                </w14:textFill>
              </w:rPr>
              <w:t>：“</w:t>
            </w:r>
            <w:r>
              <w:rPr>
                <w:color w:val="000000" w:themeColor="text1"/>
                <w:sz w:val="28"/>
                <w:szCs w:val="28"/>
                <w14:textFill>
                  <w14:solidFill>
                    <w14:schemeClr w14:val="tx1"/>
                  </w14:solidFill>
                </w14:textFill>
              </w:rPr>
              <w:t>□</w:t>
            </w:r>
            <w:r>
              <w:rPr>
                <w:color w:val="000000" w:themeColor="text1"/>
                <w14:textFill>
                  <w14:solidFill>
                    <w14:schemeClr w14:val="tx1"/>
                  </w14:solidFill>
                </w14:textFill>
              </w:rPr>
              <w:t>”为勾选项，可√；“（）”为内容填写项；“备注”为其他补充内容。</w:t>
            </w:r>
          </w:p>
          <w:p>
            <w:pPr>
              <w:pStyle w:val="232"/>
              <w:jc w:val="both"/>
              <w:rPr>
                <w:color w:val="000000" w:themeColor="text1"/>
                <w14:textFill>
                  <w14:solidFill>
                    <w14:schemeClr w14:val="tx1"/>
                  </w14:solidFill>
                </w14:textFill>
              </w:rPr>
            </w:pPr>
            <w:r>
              <w:rPr>
                <w:color w:val="000000" w:themeColor="text1"/>
                <w14:textFill>
                  <w14:solidFill>
                    <w14:schemeClr w14:val="tx1"/>
                  </w14:solidFill>
                </w14:textFill>
              </w:rPr>
              <w:t>注</w:t>
            </w:r>
            <w:r>
              <w:rPr>
                <w:rFonts w:eastAsia="Times New Roman"/>
                <w:color w:val="000000" w:themeColor="text1"/>
                <w14:textFill>
                  <w14:solidFill>
                    <w14:schemeClr w14:val="tx1"/>
                  </w14:solidFill>
                </w14:textFill>
              </w:rPr>
              <w:t>2</w:t>
            </w:r>
            <w:r>
              <w:rPr>
                <w:color w:val="000000" w:themeColor="text1"/>
                <w14:textFill>
                  <w14:solidFill>
                    <w14:schemeClr w14:val="tx1"/>
                  </w14:solidFill>
                </w14:textFill>
              </w:rPr>
              <w:t>：需要分别开展土壤环境影响评级工作的，分别填写自查表。</w:t>
            </w:r>
          </w:p>
        </w:tc>
      </w:tr>
    </w:tbl>
    <w:p>
      <w:pPr>
        <w:ind w:firstLine="480"/>
      </w:pPr>
    </w:p>
    <w:p>
      <w:pPr>
        <w:pStyle w:val="4"/>
      </w:pPr>
      <w:r>
        <w:rPr>
          <w:rFonts w:hint="eastAsia"/>
        </w:rPr>
        <w:t>运营期生态环境影响预测与分析</w:t>
      </w:r>
    </w:p>
    <w:p>
      <w:pPr>
        <w:ind w:firstLine="480"/>
      </w:pPr>
      <w:r>
        <w:rPr>
          <w:rFonts w:hint="eastAsia"/>
        </w:rPr>
        <w:t>运营期对生态环境产生的影响主要表现为对土地利用格局的改变，对动植物的影响，对土壤污染影响。</w:t>
      </w:r>
    </w:p>
    <w:p>
      <w:pPr>
        <w:pStyle w:val="5"/>
      </w:pPr>
      <w:r>
        <w:rPr>
          <w:rFonts w:hint="eastAsia"/>
        </w:rPr>
        <w:t>土地利用影响评价</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项目的建设使土地利用格局发生了变化，这一变化将使区域内局部地块的功能彻底发生改变。项目建设</w:t>
      </w:r>
      <w:r>
        <w:rPr>
          <w:rFonts w:hint="eastAsia"/>
          <w:color w:val="000000" w:themeColor="text1"/>
          <w14:textFill>
            <w14:solidFill>
              <w14:schemeClr w14:val="tx1"/>
            </w14:solidFill>
          </w14:textFill>
        </w:rPr>
        <w:t>用地性质为设施农业用地</w:t>
      </w:r>
      <w:r>
        <w:rPr>
          <w:color w:val="000000" w:themeColor="text1"/>
          <w14:textFill>
            <w14:solidFill>
              <w14:schemeClr w14:val="tx1"/>
            </w14:solidFill>
          </w14:textFill>
        </w:rPr>
        <w:t>，使得生态景观更加破碎化，项目区域内生态环境生产能力下降。</w:t>
      </w:r>
    </w:p>
    <w:p>
      <w:pPr>
        <w:pStyle w:val="5"/>
      </w:pPr>
      <w:r>
        <w:rPr>
          <w:rFonts w:hint="eastAsia"/>
        </w:rPr>
        <w:t>对动植物的影响分析</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本项目的</w:t>
      </w:r>
      <w:r>
        <w:rPr>
          <w:rFonts w:hint="eastAsia"/>
          <w:color w:val="000000" w:themeColor="text1"/>
          <w14:textFill>
            <w14:solidFill>
              <w14:schemeClr w14:val="tx1"/>
            </w14:solidFill>
          </w14:textFill>
        </w:rPr>
        <w:t>建设</w:t>
      </w:r>
      <w:r>
        <w:rPr>
          <w:color w:val="000000" w:themeColor="text1"/>
          <w14:textFill>
            <w14:solidFill>
              <w14:schemeClr w14:val="tx1"/>
            </w14:solidFill>
          </w14:textFill>
        </w:rPr>
        <w:t>对部分陆生动物的活动区域、迁移途径、栖息区域、觅食范围等受到一定的限制。但</w:t>
      </w:r>
      <w:r>
        <w:rPr>
          <w:rFonts w:hint="eastAsia"/>
          <w:color w:val="000000" w:themeColor="text1"/>
          <w14:textFill>
            <w14:solidFill>
              <w14:schemeClr w14:val="tx1"/>
            </w14:solidFill>
          </w14:textFill>
        </w:rPr>
        <w:t>评价区</w:t>
      </w:r>
      <w:r>
        <w:rPr>
          <w:color w:val="000000" w:themeColor="text1"/>
          <w14:textFill>
            <w14:solidFill>
              <w14:schemeClr w14:val="tx1"/>
            </w14:solidFill>
          </w14:textFill>
        </w:rPr>
        <w:t>内</w:t>
      </w:r>
      <w:r>
        <w:rPr>
          <w:rFonts w:hint="eastAsia"/>
          <w:color w:val="000000" w:themeColor="text1"/>
          <w14:textFill>
            <w14:solidFill>
              <w14:schemeClr w14:val="tx1"/>
            </w14:solidFill>
          </w14:textFill>
        </w:rPr>
        <w:t>无</w:t>
      </w:r>
      <w:r>
        <w:rPr>
          <w:color w:val="000000" w:themeColor="text1"/>
          <w14:textFill>
            <w14:solidFill>
              <w14:schemeClr w14:val="tx1"/>
            </w14:solidFill>
          </w14:textFill>
        </w:rPr>
        <w:t>野生动物保护区、无国家级、省级保护动物，也不是动物迁徙地带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本</w:t>
      </w:r>
      <w:r>
        <w:rPr>
          <w:rFonts w:hint="eastAsia"/>
          <w:color w:val="000000" w:themeColor="text1"/>
          <w14:textFill>
            <w14:solidFill>
              <w14:schemeClr w14:val="tx1"/>
            </w14:solidFill>
          </w14:textFill>
        </w:rPr>
        <w:t>项目的</w:t>
      </w:r>
      <w:r>
        <w:rPr>
          <w:color w:val="000000" w:themeColor="text1"/>
          <w14:textFill>
            <w14:solidFill>
              <w14:schemeClr w14:val="tx1"/>
            </w14:solidFill>
          </w14:textFill>
        </w:rPr>
        <w:t>建设不会对连通性造成影响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基本不会对动物的生存、迁徙、生育、繁殖产生影响</w:t>
      </w:r>
      <w:r>
        <w:rPr>
          <w:rFonts w:hint="eastAsia"/>
          <w:color w:val="000000" w:themeColor="text1"/>
          <w14:textFill>
            <w14:solidFill>
              <w14:schemeClr w14:val="tx1"/>
            </w14:solidFill>
          </w14:textFill>
        </w:rPr>
        <w:t>。</w:t>
      </w:r>
    </w:p>
    <w:p>
      <w:pPr>
        <w:pStyle w:val="5"/>
      </w:pPr>
      <w:r>
        <w:rPr>
          <w:rFonts w:hint="eastAsia"/>
        </w:rPr>
        <w:t>对土壤的污染影响分析</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本项目为</w:t>
      </w:r>
      <w:r>
        <w:rPr>
          <w:rFonts w:hint="eastAsia"/>
        </w:rPr>
        <w:t>肉羊养殖园区建设项目</w:t>
      </w:r>
      <w:r>
        <w:rPr>
          <w:rFonts w:hint="eastAsia"/>
          <w:color w:val="000000" w:themeColor="text1"/>
          <w14:textFill>
            <w14:solidFill>
              <w14:schemeClr w14:val="tx1"/>
            </w14:solidFill>
          </w14:textFill>
        </w:rPr>
        <w:t>，其畜禽粪便、尿液等产生的固液废物，全部以肥料的方式处理。羊粪尿经好氧发酵制作有机肥还田使用在提高当地农灌区土壤有机养分之外，会对当地土壤的理化性质机构发生变化，若有机肥制作工艺管理不当会使残留的重金属，抗生素类等污染物进入土壤，进而被农作物吸收，间接对人体产生影响。</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本项目对生态环境可能造成的影响分析，建设单位主要采取</w:t>
      </w:r>
      <w:r>
        <w:rPr>
          <w:color w:val="000000" w:themeColor="text1"/>
          <w14:textFill>
            <w14:solidFill>
              <w14:schemeClr w14:val="tx1"/>
            </w14:solidFill>
          </w14:textFill>
        </w:rPr>
        <w:t>在养殖场周围及场内道路两侧种植对</w:t>
      </w:r>
      <w:r>
        <w:rPr>
          <w:rFonts w:hint="eastAsia"/>
          <w:color w:val="000000" w:themeColor="text1"/>
          <w14:textFill>
            <w14:solidFill>
              <w14:schemeClr w14:val="tx1"/>
            </w14:solidFill>
          </w14:textFill>
        </w:rPr>
        <w:t>硫化氢</w:t>
      </w:r>
      <w:r>
        <w:rPr>
          <w:color w:val="000000" w:themeColor="text1"/>
          <w14:textFill>
            <w14:solidFill>
              <w14:schemeClr w14:val="tx1"/>
            </w14:solidFill>
          </w14:textFill>
        </w:rPr>
        <w:t>等有害气体吸收能力较强的树木，如：杨树等乔木树种，以吸收有害气体，杀灭细菌，降低其在周围环境中的浓度。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随着工程投入生产，项目提出的绿化工程实施，通过对各区域绿化和植被恢复工作，项目区植被覆盖率明显增加，这将改善区域生态环境和局地小气候，减少风力，提高土壤蓄水保肥能力，有利于自然植被恢复和防止水土流失及土地沙漠化加剧，对区域生态环境产生一定的有利影响。项目排放污染物类型较少，同时均采取相应的防治措施，能够达标排放，对周边农作物影响较小。</w:t>
      </w:r>
    </w:p>
    <w:p>
      <w:pPr>
        <w:ind w:firstLine="480"/>
      </w:pPr>
      <w:r>
        <w:rPr>
          <w:rFonts w:hint="eastAsia"/>
          <w:color w:val="000000" w:themeColor="text1"/>
          <w14:textFill>
            <w14:solidFill>
              <w14:schemeClr w14:val="tx1"/>
            </w14:solidFill>
          </w14:textFill>
        </w:rPr>
        <w:t>项目通过对</w:t>
      </w:r>
      <w:r>
        <w:rPr>
          <w:rFonts w:hint="eastAsia"/>
        </w:rPr>
        <w:t>肉羊</w:t>
      </w:r>
      <w:r>
        <w:rPr>
          <w:rFonts w:hint="eastAsia"/>
          <w:color w:val="000000" w:themeColor="text1"/>
          <w14:textFill>
            <w14:solidFill>
              <w14:schemeClr w14:val="tx1"/>
            </w14:solidFill>
          </w14:textFill>
        </w:rPr>
        <w:t>实施集约化管理，并对肉羊养殖产生的粪污进行减量化、无害化、资源化综合利用，构建肉羊养殖→肥料→还田，对改善项目区域农业生态环境将产生积极作用。</w:t>
      </w:r>
    </w:p>
    <w:p>
      <w:pPr>
        <w:pStyle w:val="2"/>
        <w:spacing w:before="120" w:after="120"/>
      </w:pPr>
      <w:bookmarkStart w:id="162" w:name="_Toc27438"/>
      <w:r>
        <w:rPr>
          <w:rFonts w:hint="eastAsia"/>
        </w:rPr>
        <w:t>环境风险评价</w:t>
      </w:r>
      <w:bookmarkEnd w:id="162"/>
    </w:p>
    <w:p>
      <w:pPr>
        <w:pStyle w:val="3"/>
        <w:spacing w:before="120" w:after="120"/>
      </w:pPr>
      <w:bookmarkStart w:id="163" w:name="_Toc20010"/>
      <w:r>
        <w:rPr>
          <w:rFonts w:hint="eastAsia"/>
        </w:rPr>
        <w:t>风险评价目的</w:t>
      </w:r>
      <w:bookmarkEnd w:id="163"/>
    </w:p>
    <w:p>
      <w:pPr>
        <w:ind w:firstLine="480"/>
      </w:pPr>
      <w:r>
        <w:rPr>
          <w:rFonts w:hint="eastAsia"/>
        </w:rPr>
        <w:t>环境风险评价目的是分析和预测建设项目存在的潜在危险、有害因素，建设项目建设和营运期间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pPr>
        <w:ind w:firstLine="480"/>
      </w:pPr>
      <w:bookmarkStart w:id="164" w:name="_Toc4787456"/>
      <w:bookmarkStart w:id="165" w:name="_Toc530642963"/>
      <w:r>
        <w:t>根据《建设项目环境风险评价技术导则》</w:t>
      </w:r>
      <w:r>
        <w:rPr>
          <w:rFonts w:hint="eastAsia"/>
        </w:rPr>
        <w:t>（</w:t>
      </w:r>
      <w:r>
        <w:t>HJ169-2018</w:t>
      </w:r>
      <w:r>
        <w:rPr>
          <w:rFonts w:hint="eastAsia"/>
        </w:rPr>
        <w:t>）</w:t>
      </w:r>
      <w:r>
        <w:t>，</w:t>
      </w:r>
      <w:r>
        <w:rPr>
          <w:rFonts w:hint="eastAsia"/>
        </w:rPr>
        <w:t>该导则</w:t>
      </w:r>
      <w:r>
        <w:t>适用于涉及有毒有害和易燃易爆物质的生产、使用、贮运</w:t>
      </w:r>
      <w:r>
        <w:rPr>
          <w:rFonts w:hint="eastAsia"/>
        </w:rPr>
        <w:t>的</w:t>
      </w:r>
      <w:r>
        <w:t>建设项目可能发生的突发性事故</w:t>
      </w:r>
      <w:r>
        <w:rPr>
          <w:rFonts w:hint="eastAsia"/>
        </w:rPr>
        <w:t>（不包括</w:t>
      </w:r>
      <w:r>
        <w:t>认为破坏及自然灾害</w:t>
      </w:r>
      <w:r>
        <w:rPr>
          <w:rFonts w:hint="eastAsia"/>
        </w:rPr>
        <w:t>引发</w:t>
      </w:r>
      <w:r>
        <w:t>的事故</w:t>
      </w:r>
      <w:r>
        <w:rPr>
          <w:rFonts w:hint="eastAsia"/>
        </w:rPr>
        <w:t>）</w:t>
      </w:r>
      <w:r>
        <w:t>的环境风险评价。</w:t>
      </w:r>
      <w:r>
        <w:rPr>
          <w:rFonts w:hint="eastAsia"/>
        </w:rPr>
        <w:t>通过分析本工程主要物料的危险特性、毒理毒性及生产设施的特点进行风险识别，分析事故源项和发生概率，提出有针对性的、操作性较强的防范措施，为工程设计和环境管理提供资料和依据，以期达到规避风险，减少危害的目的。</w:t>
      </w:r>
    </w:p>
    <w:p>
      <w:pPr>
        <w:pStyle w:val="3"/>
        <w:spacing w:before="120" w:after="120"/>
      </w:pPr>
      <w:bookmarkStart w:id="166" w:name="_Toc101428497"/>
      <w:bookmarkStart w:id="167" w:name="_Toc6398"/>
      <w:r>
        <w:rPr>
          <w:rFonts w:hint="eastAsia"/>
        </w:rPr>
        <w:t>风险调查</w:t>
      </w:r>
      <w:bookmarkEnd w:id="166"/>
      <w:bookmarkEnd w:id="167"/>
    </w:p>
    <w:p>
      <w:pPr>
        <w:pStyle w:val="4"/>
        <w:rPr>
          <w:color w:val="000000" w:themeColor="text1"/>
          <w14:textFill>
            <w14:solidFill>
              <w14:schemeClr w14:val="tx1"/>
            </w14:solidFill>
          </w14:textFill>
        </w:rPr>
      </w:pPr>
      <w:bookmarkStart w:id="168" w:name="_Toc32201"/>
      <w:bookmarkStart w:id="169" w:name="_Toc17106557"/>
      <w:bookmarkStart w:id="170" w:name="_Toc101428498"/>
      <w:r>
        <w:rPr>
          <w:rFonts w:hint="eastAsia"/>
          <w:color w:val="000000" w:themeColor="text1"/>
          <w14:textFill>
            <w14:solidFill>
              <w14:schemeClr w14:val="tx1"/>
            </w14:solidFill>
          </w14:textFill>
        </w:rPr>
        <w:t>建设项目风险源调查</w:t>
      </w:r>
      <w:bookmarkEnd w:id="168"/>
      <w:bookmarkEnd w:id="169"/>
      <w:bookmarkEnd w:id="170"/>
    </w:p>
    <w:p>
      <w:pPr>
        <w:ind w:firstLine="480"/>
      </w:pPr>
      <w:r>
        <w:rPr>
          <w:rFonts w:hint="eastAsia"/>
        </w:rPr>
        <w:t>建设项目风险源调查内容主要包括：调查建设项目危险物质数量和分布情况、生产工艺特点，收集危险物质安全技术说明书（MSDS）等基础资料。本项目危险物质数量、分布情况和生产工艺特点见表6.</w:t>
      </w:r>
      <w:r>
        <w:t>2</w:t>
      </w:r>
      <w:r>
        <w:rPr>
          <w:rFonts w:hint="eastAsia"/>
        </w:rPr>
        <w:t>.1-1。主要风险物质的安全技术说明书（MSDS）见表6.</w:t>
      </w:r>
      <w:r>
        <w:t>2</w:t>
      </w:r>
      <w:r>
        <w:rPr>
          <w:rFonts w:hint="eastAsia"/>
        </w:rPr>
        <w:t>.1-2。</w:t>
      </w:r>
    </w:p>
    <w:p>
      <w:pPr>
        <w:pStyle w:val="6"/>
      </w:pPr>
      <w:r>
        <w:rPr>
          <w:rFonts w:hint="eastAsia"/>
        </w:rPr>
        <w:t>表6.</w:t>
      </w:r>
      <w:r>
        <w:t>2</w:t>
      </w:r>
      <w:r>
        <w:rPr>
          <w:rFonts w:hint="eastAsia"/>
        </w:rPr>
        <w:t>.1-1  本项目危险物质数量、分布情况和生产工艺特点一览表</w:t>
      </w:r>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664"/>
        <w:gridCol w:w="1005"/>
        <w:gridCol w:w="1005"/>
        <w:gridCol w:w="2000"/>
        <w:gridCol w:w="232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92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风险物质</w:t>
            </w:r>
          </w:p>
        </w:tc>
        <w:tc>
          <w:tcPr>
            <w:tcW w:w="5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规格</w:t>
            </w:r>
          </w:p>
        </w:tc>
        <w:tc>
          <w:tcPr>
            <w:tcW w:w="5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相态</w:t>
            </w:r>
          </w:p>
        </w:tc>
        <w:tc>
          <w:tcPr>
            <w:tcW w:w="111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存在（存储）场所</w:t>
            </w:r>
          </w:p>
        </w:tc>
        <w:tc>
          <w:tcPr>
            <w:tcW w:w="129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生产工艺特点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7"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92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氨气</w:t>
            </w:r>
          </w:p>
        </w:tc>
        <w:tc>
          <w:tcPr>
            <w:tcW w:w="5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气态</w:t>
            </w:r>
          </w:p>
        </w:tc>
        <w:tc>
          <w:tcPr>
            <w:tcW w:w="1110"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养殖区</w:t>
            </w:r>
          </w:p>
          <w:p>
            <w:pPr>
              <w:pStyle w:val="232"/>
              <w:rPr>
                <w:rFonts w:hint="eastAsia" w:eastAsia="宋体"/>
                <w:color w:val="000000" w:themeColor="text1"/>
                <w:lang w:eastAsia="zh-CN"/>
                <w14:textFill>
                  <w14:solidFill>
                    <w14:schemeClr w14:val="tx1"/>
                  </w14:solidFill>
                </w14:textFill>
              </w:rPr>
            </w:pPr>
            <w:r>
              <w:rPr>
                <w:rFonts w:hint="eastAsia"/>
                <w:color w:val="92D050"/>
                <w:lang w:eastAsia="zh-CN"/>
              </w:rPr>
              <w:t>有机肥堆场</w:t>
            </w:r>
          </w:p>
        </w:tc>
        <w:tc>
          <w:tcPr>
            <w:tcW w:w="129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畜禽养殖</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7"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2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硫化氢</w:t>
            </w:r>
          </w:p>
        </w:tc>
        <w:tc>
          <w:tcPr>
            <w:tcW w:w="5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55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气态</w:t>
            </w:r>
          </w:p>
        </w:tc>
        <w:tc>
          <w:tcPr>
            <w:tcW w:w="1110" w:type="pct"/>
            <w:vMerge w:val="continue"/>
            <w:vAlign w:val="center"/>
          </w:tcPr>
          <w:p>
            <w:pPr>
              <w:pStyle w:val="232"/>
              <w:rPr>
                <w:color w:val="000000" w:themeColor="text1"/>
                <w14:textFill>
                  <w14:solidFill>
                    <w14:schemeClr w14:val="tx1"/>
                  </w14:solidFill>
                </w14:textFill>
              </w:rPr>
            </w:pPr>
          </w:p>
        </w:tc>
        <w:tc>
          <w:tcPr>
            <w:tcW w:w="1291" w:type="pct"/>
            <w:vMerge w:val="continue"/>
            <w:vAlign w:val="center"/>
          </w:tcPr>
          <w:p>
            <w:pPr>
              <w:pStyle w:val="232"/>
              <w:rPr>
                <w:color w:val="000000" w:themeColor="text1"/>
                <w14:textFill>
                  <w14:solidFill>
                    <w14:schemeClr w14:val="tx1"/>
                  </w14:solidFill>
                </w14:textFill>
              </w:rPr>
            </w:pPr>
          </w:p>
        </w:tc>
      </w:tr>
    </w:tbl>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本项目所排放氨气、硫化氢的M</w:t>
      </w:r>
      <w:r>
        <w:rPr>
          <w:color w:val="000000" w:themeColor="text1"/>
          <w14:textFill>
            <w14:solidFill>
              <w14:schemeClr w14:val="tx1"/>
            </w14:solidFill>
          </w14:textFill>
        </w:rPr>
        <w:t>SDS</w:t>
      </w:r>
      <w:r>
        <w:rPr>
          <w:rFonts w:hint="eastAsia"/>
          <w:color w:val="000000" w:themeColor="text1"/>
          <w14:textFill>
            <w14:solidFill>
              <w14:schemeClr w14:val="tx1"/>
            </w14:solidFill>
          </w14:textFill>
        </w:rPr>
        <w:t>下表。</w:t>
      </w: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sectPr>
          <w:pgSz w:w="11906" w:h="16838"/>
          <w:pgMar w:top="1418" w:right="1418" w:bottom="1247" w:left="1701" w:header="851" w:footer="680" w:gutter="0"/>
          <w:pgNumType w:fmt="decimal"/>
          <w:cols w:space="720" w:num="1"/>
          <w:docGrid w:linePitch="326" w:charSpace="0"/>
        </w:sectPr>
      </w:pPr>
    </w:p>
    <w:p>
      <w:pPr>
        <w:pStyle w:val="6"/>
      </w:pPr>
      <w:r>
        <w:rPr>
          <w:rFonts w:hint="eastAsia"/>
        </w:rPr>
        <w:t>表6.2.1-</w:t>
      </w:r>
      <w:r>
        <w:t>2</w:t>
      </w:r>
      <w:r>
        <w:rPr>
          <w:rFonts w:hint="eastAsia"/>
        </w:rPr>
        <w:t>（</w:t>
      </w:r>
      <w:r>
        <w:rPr>
          <w:rFonts w:hint="eastAsia"/>
          <w:lang w:val="en-US" w:eastAsia="zh-CN"/>
        </w:rPr>
        <w:t>1</w:t>
      </w:r>
      <w:r>
        <w:rPr>
          <w:rFonts w:hint="eastAsia"/>
        </w:rPr>
        <w:t>）    氨气安全技术说明书</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1149"/>
        <w:gridCol w:w="663"/>
        <w:gridCol w:w="811"/>
        <w:gridCol w:w="1454"/>
        <w:gridCol w:w="75"/>
        <w:gridCol w:w="935"/>
        <w:gridCol w:w="889"/>
        <w:gridCol w:w="608"/>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化学品</w:t>
            </w:r>
            <w:r>
              <w:rPr>
                <w:color w:val="000000" w:themeColor="text1"/>
                <w:sz w:val="21"/>
                <w:szCs w:val="21"/>
                <w14:textFill>
                  <w14:solidFill>
                    <w14:schemeClr w14:val="tx1"/>
                  </w14:solidFill>
                </w14:textFill>
              </w:rPr>
              <w:t>标识</w:t>
            </w:r>
          </w:p>
        </w:tc>
        <w:tc>
          <w:tcPr>
            <w:tcW w:w="681" w:type="pct"/>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中文名</w:t>
            </w:r>
          </w:p>
        </w:tc>
        <w:tc>
          <w:tcPr>
            <w:tcW w:w="1739" w:type="pct"/>
            <w:gridSpan w:val="3"/>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ascii="宋体" w:hAnsi="宋体" w:cs="宋体"/>
                <w:color w:val="000000" w:themeColor="text1"/>
                <w:sz w:val="21"/>
                <w:szCs w:val="21"/>
                <w14:textFill>
                  <w14:solidFill>
                    <w14:schemeClr w14:val="tx1"/>
                  </w14:solidFill>
                </w14:textFill>
              </w:rPr>
              <w:t>氨气</w:t>
            </w:r>
          </w:p>
        </w:tc>
        <w:tc>
          <w:tcPr>
            <w:tcW w:w="606"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英文名</w:t>
            </w:r>
          </w:p>
        </w:tc>
        <w:tc>
          <w:tcPr>
            <w:tcW w:w="1741" w:type="pct"/>
            <w:gridSpan w:val="3"/>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Ammonia</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ammonialiquefied</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ammoniagas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681" w:type="pct"/>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分子式</w:t>
            </w:r>
          </w:p>
        </w:tc>
        <w:tc>
          <w:tcPr>
            <w:tcW w:w="879"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NH</w:t>
            </w:r>
            <w:r>
              <w:rPr>
                <w:color w:val="000000" w:themeColor="text1"/>
                <w:sz w:val="21"/>
                <w:szCs w:val="21"/>
                <w:vertAlign w:val="subscript"/>
                <w14:textFill>
                  <w14:solidFill>
                    <w14:schemeClr w14:val="tx1"/>
                  </w14:solidFill>
                </w14:textFill>
              </w:rPr>
              <w:t>3</w:t>
            </w:r>
          </w:p>
        </w:tc>
        <w:tc>
          <w:tcPr>
            <w:tcW w:w="859" w:type="pct"/>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asciiTheme="minorHAnsi" w:hAnsiTheme="minorHAnsi" w:eastAsiaTheme="minorEastAsia" w:cstheme="minorBidi"/>
                <w:color w:val="000000" w:themeColor="text1"/>
                <w:sz w:val="21"/>
                <w:szCs w:val="21"/>
                <w14:textFill>
                  <w14:solidFill>
                    <w14:schemeClr w14:val="tx1"/>
                  </w14:solidFill>
                </w14:textFill>
              </w:rPr>
              <w:t>分子量</w:t>
            </w:r>
          </w:p>
        </w:tc>
        <w:tc>
          <w:tcPr>
            <w:tcW w:w="606"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17.03</w:t>
            </w:r>
          </w:p>
        </w:tc>
        <w:tc>
          <w:tcPr>
            <w:tcW w:w="891"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C</w:t>
            </w:r>
            <w:r>
              <w:rPr>
                <w:color w:val="000000" w:themeColor="text1"/>
                <w:sz w:val="21"/>
                <w:szCs w:val="21"/>
                <w14:textFill>
                  <w14:solidFill>
                    <w14:schemeClr w14:val="tx1"/>
                  </w14:solidFill>
                </w14:textFill>
              </w:rPr>
              <w:t>AS</w:t>
            </w:r>
            <w:r>
              <w:rPr>
                <w:rFonts w:hint="eastAsia"/>
                <w:color w:val="000000" w:themeColor="text1"/>
                <w:sz w:val="21"/>
                <w:szCs w:val="21"/>
                <w14:textFill>
                  <w14:solidFill>
                    <w14:schemeClr w14:val="tx1"/>
                  </w14:solidFill>
                </w14:textFill>
              </w:rPr>
              <w:t>号</w:t>
            </w:r>
          </w:p>
        </w:tc>
        <w:tc>
          <w:tcPr>
            <w:tcW w:w="850" w:type="pct"/>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7664-41-7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危险性概述</w:t>
            </w: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紧急情况概述：易燃气体，内装加压气体：遇热可能爆炸，吸入会中毒，造成严重的皮肤灼伤和眼损伤。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681" w:type="pct"/>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GHS</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危险性类别</w:t>
            </w:r>
          </w:p>
        </w:tc>
        <w:tc>
          <w:tcPr>
            <w:tcW w:w="1739" w:type="pct"/>
            <w:gridSpan w:val="3"/>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易燃气体，类别2；</w:t>
            </w:r>
          </w:p>
          <w:p>
            <w:pPr>
              <w:pageBreakBefore w:val="0"/>
              <w:widowControl w:val="0"/>
              <w:kinsoku/>
              <w:wordWrap/>
              <w:overflowPunct/>
              <w:topLinePunct w:val="0"/>
              <w:autoSpaceDE/>
              <w:autoSpaceDN/>
              <w:bidi w:val="0"/>
              <w:adjustRightInd/>
              <w:snapToGrid/>
              <w:spacing w:line="240" w:lineRule="auto"/>
              <w:ind w:firstLine="0" w:firstLineChars="0"/>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加压气体；急性毒性-吸入，类别3；</w:t>
            </w:r>
          </w:p>
          <w:p>
            <w:pPr>
              <w:pageBreakBefore w:val="0"/>
              <w:widowControl w:val="0"/>
              <w:kinsoku/>
              <w:wordWrap/>
              <w:overflowPunct/>
              <w:topLinePunct w:val="0"/>
              <w:autoSpaceDE/>
              <w:autoSpaceDN/>
              <w:bidi w:val="0"/>
              <w:adjustRightInd/>
              <w:snapToGrid/>
              <w:spacing w:line="240" w:lineRule="auto"/>
              <w:ind w:firstLine="0" w:firstLineChars="0"/>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皮肤腐蚀/刺激，类别1B；</w:t>
            </w:r>
          </w:p>
          <w:p>
            <w:pPr>
              <w:pageBreakBefore w:val="0"/>
              <w:widowControl w:val="0"/>
              <w:kinsoku/>
              <w:wordWrap/>
              <w:overflowPunct/>
              <w:topLinePunct w:val="0"/>
              <w:autoSpaceDE/>
              <w:autoSpaceDN/>
              <w:bidi w:val="0"/>
              <w:adjustRightInd/>
              <w:snapToGrid/>
              <w:spacing w:line="240" w:lineRule="auto"/>
              <w:ind w:firstLine="0" w:firstLineChars="0"/>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严重眼损伤/眼刺激，类别1；</w:t>
            </w:r>
          </w:p>
          <w:p>
            <w:pPr>
              <w:pageBreakBefore w:val="0"/>
              <w:widowControl w:val="0"/>
              <w:kinsoku/>
              <w:wordWrap/>
              <w:overflowPunct/>
              <w:topLinePunct w:val="0"/>
              <w:autoSpaceDE/>
              <w:autoSpaceDN/>
              <w:bidi w:val="0"/>
              <w:adjustRightInd/>
              <w:snapToGrid/>
              <w:spacing w:line="240" w:lineRule="auto"/>
              <w:ind w:firstLine="0" w:firstLineChars="0"/>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危害水生环境-急性危害，类别1。</w:t>
            </w:r>
          </w:p>
        </w:tc>
        <w:tc>
          <w:tcPr>
            <w:tcW w:w="606"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危险性</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说明</w:t>
            </w:r>
          </w:p>
        </w:tc>
        <w:tc>
          <w:tcPr>
            <w:tcW w:w="1741" w:type="pct"/>
            <w:gridSpan w:val="3"/>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易燃气体，内装加压气体：遇热可能爆炸，吸入会中毒，造成严重的皮肤灼伤和眼损伤，对水生生物毒性非常大。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物理和化学危险：易燃，与空气混合能形成爆炸性混合物。</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健康危害：低浓度氨对黏膜有刺激作用，高浓度可造成组织溶解坏死。</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轻度中毒者出现流泪、咽痛、声音嘶哑、咳嗽、咯痰等；眼结膜、鼻黏膜、咽部充血、水肿；胸部 X线征象符合支气管炎或支气管周围炎。中度中毒上述症状加剧，出现呼吸困难、紫绀；胸部X线征象符合肺炎或间质性肺炎。重度中毒发生中毒性肺水肿，或有呼吸窘迫综合征， 患者剧烈咳嗽、咯大量粉红色泡沫痰、呼吸窘迫、谵妄、昏迷、休克等。可发生喉头水肿或支气管黏膜坏死脱落窒息。可并发气胸或纵隔气肿。高浓度氨可引起反射性呼吸停止。液氨或高浓度氨气可致眼灼伤；液氨可致皮肤灼伤。</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环境危害：对水生生物毒性非常大。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急救措施</w:t>
            </w: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吸</w:t>
            </w:r>
            <w:r>
              <w:rPr>
                <w:sz w:val="21"/>
                <w:szCs w:val="21"/>
              </w:rPr>
              <w:t>入：</w:t>
            </w:r>
            <w:r>
              <w:rPr>
                <w:rFonts w:hint="eastAsia"/>
                <w:sz w:val="21"/>
                <w:szCs w:val="21"/>
              </w:rPr>
              <w:t>迅速脱离现场至空气新鲜处。保持呼吸道通畅。如呼吸困难，给输氧。呼吸、心跳停止，立即进行心肺复苏术。就医。</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皮肤接触：立即脱去污染的衣着，用大量流动清水彻底冲洗至少15min。就医</w:t>
            </w:r>
            <w:r>
              <w:rPr>
                <w:sz w:val="21"/>
                <w:szCs w:val="21"/>
              </w:rPr>
              <w:t>。</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眼晴接触：立即分开眼睑，用流动清水或生理盐水彻底冲洗5~10min。就医</w:t>
            </w:r>
            <w:r>
              <w:rPr>
                <w:sz w:val="21"/>
                <w:szCs w:val="21"/>
              </w:rPr>
              <w:t>。</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对保护施救者的忠告：根据需要使用个人防护设备</w:t>
            </w:r>
            <w:r>
              <w:rPr>
                <w:sz w:val="21"/>
                <w:szCs w:val="21"/>
              </w:rPr>
              <w:t>。</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对医生的特别提示：对症处理。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消防措施</w:t>
            </w: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灭火剂：用雾状水、抗溶性泡沫、二氧化碳、砂土灭火。</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特别危险性：与氟、氯等接触会发生剧烈的化学反应。燃烧生成有害的氮氧化物。</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灭火注意事项及防护措施：切断气源。若不能切断气源，则不允许熄灭泄漏处的火焰。消防人员必须佩戴空气呼吸器、穿全身防火防毒服，在上风向灭火。尽可能将容器从火场移至空旷处。喷水保持火场容器冷却，直至灭火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泄露应急处理</w:t>
            </w: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作业人员防护措施、防护装备和应急处置程序：消除所有点火源。根据气体的影响区域划定警戒区，无关人员从侧风、上风向撤离至安全区。建议应急处理人员穿内置正压自给式呼吸器的隔绝式防护服。如果是液化气体泄漏，还应注意防冻伤。尽可能切断泄漏源</w:t>
            </w:r>
            <w:r>
              <w:rPr>
                <w:sz w:val="21"/>
                <w:szCs w:val="21"/>
              </w:rPr>
              <w:t>。</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泄漏化学品的收容、清除方法及所使用的处置材料：若可能翻转容器，使之逸出气体而非液体。喷雾状水稀释、溶解，同时构筑围堤或挖坑收容产生的大量废水。如果钢瓶发生泄漏，无法关闭时可浸入水中。储罐区最好设稀酸喷洒设施。隔离泄漏区直至气体散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操作处置与储存</w:t>
            </w: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操作注意事项：严加密闭，提供充分的局部排风和全面通风。操作人员必须经过专门培训，严格遵守操作规程。建议操作人员佩戴过滤式防毒面具(半面罩)，戴化学安全防护眼镜，穿防静电工作服，戴橡胶手套。远离火种、热源。工作场所严禁吸烟。使用防爆型的通风系统和设备。防止气体泄漏到工作场所空气中。避免与氧化剂、酸类、卤素接触。搬运时轻装轻卸，防止钢瓶及附件破损。配备相应品种和数量的消防器材及泄漏应急处理设备。</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储存注意事项：储存于阴凉、干燥、通风的有毒气体专用库房。远离火种、热源。库温不宜超过30℃。应与氧化剂、酸类、卤素、食用化学品分开存放，切忌混储。采用防爆型照明、通风设施。禁止使用易产生火花的机械设备和工具。储区应备有泄漏应急处理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理化特性</w:t>
            </w: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外观与性状</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无色气体</w:t>
            </w:r>
            <w:r>
              <w:rPr>
                <w:sz w:val="21"/>
                <w:szCs w:val="21"/>
              </w:rPr>
              <w:t xml:space="preserve"> </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气味</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有刺激性恶臭气味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pH值</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11.7 (1%溶液)</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熔点</w:t>
            </w:r>
            <w:r>
              <w:rPr>
                <w:sz w:val="21"/>
                <w:szCs w:val="21"/>
              </w:rPr>
              <w:t>/凝固点（°C）</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沸点、初沸点和沸程（℃</w:t>
            </w:r>
            <w:r>
              <w:rPr>
                <w:color w:val="000000" w:themeColor="text1"/>
                <w:sz w:val="21"/>
                <w:szCs w:val="21"/>
                <w14:textFill>
                  <w14:solidFill>
                    <w14:schemeClr w14:val="tx1"/>
                  </w14:solidFill>
                </w14:textFill>
              </w:rPr>
              <w:t>）</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w:t>
            </w:r>
            <w:r>
              <w:rPr>
                <w:rFonts w:hint="eastAsia"/>
                <w:sz w:val="21"/>
                <w:szCs w:val="21"/>
              </w:rPr>
              <w:t>33.5</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自燃温度（℃</w:t>
            </w:r>
            <w:r>
              <w:rPr>
                <w:sz w:val="21"/>
                <w:szCs w:val="21"/>
              </w:rPr>
              <w:t>）</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闪点（℃</w:t>
            </w:r>
            <w:r>
              <w:rPr>
                <w:color w:val="000000" w:themeColor="text1"/>
                <w:sz w:val="21"/>
                <w:szCs w:val="21"/>
                <w14:textFill>
                  <w14:solidFill>
                    <w14:schemeClr w14:val="tx1"/>
                  </w14:solidFill>
                </w14:textFill>
              </w:rPr>
              <w:t>）：</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-54 (CC)</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分解温度（℃</w:t>
            </w:r>
            <w:r>
              <w:rPr>
                <w:sz w:val="21"/>
                <w:szCs w:val="21"/>
              </w:rPr>
              <w:t>）：</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爆炸极限［％（体积分数）］</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爆炸下限(%) 15</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爆炸上限(%) 28</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蒸发速率［乙酸（正）丁酯以</w:t>
            </w:r>
            <w:r>
              <w:rPr>
                <w:sz w:val="21"/>
                <w:szCs w:val="21"/>
              </w:rPr>
              <w:t>1计］</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饱和蒸气压（</w:t>
            </w:r>
            <w:r>
              <w:rPr>
                <w:color w:val="000000" w:themeColor="text1"/>
                <w:sz w:val="21"/>
                <w:szCs w:val="21"/>
                <w14:textFill>
                  <w14:solidFill>
                    <w14:schemeClr w14:val="tx1"/>
                  </w14:solidFill>
                </w14:textFill>
              </w:rPr>
              <w:t>kPa）</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506.62 (4.7℃)</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易燃性（固体、气体）</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相对密度</w:t>
            </w:r>
            <w:r>
              <w:rPr>
                <w:color w:val="000000" w:themeColor="text1"/>
                <w:sz w:val="21"/>
                <w:szCs w:val="21"/>
                <w14:textFill>
                  <w14:solidFill>
                    <w14:schemeClr w14:val="tx1"/>
                  </w14:solidFill>
                </w14:textFill>
              </w:rPr>
              <w:t>(水以1计)</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0.7 (-33℃)</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蒸气密度（空气以</w:t>
            </w:r>
            <w:r>
              <w:rPr>
                <w:sz w:val="21"/>
                <w:szCs w:val="21"/>
              </w:rPr>
              <w:t>1计）</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气味阈值（</w:t>
            </w:r>
            <w:r>
              <w:rPr>
                <w:color w:val="000000" w:themeColor="text1"/>
                <w:sz w:val="21"/>
                <w:szCs w:val="21"/>
                <w14:textFill>
                  <w14:solidFill>
                    <w14:schemeClr w14:val="tx1"/>
                  </w14:solidFill>
                </w14:textFill>
              </w:rPr>
              <w:t>mg/m³）</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无资料</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n-辛醇/水分配系数（lgP）</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溶解性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溶于水、乙醇、乙醚</w:t>
            </w:r>
          </w:p>
          <w:p>
            <w:pPr>
              <w:pStyle w:val="6"/>
              <w:pageBreakBefore w:val="0"/>
              <w:widowControl w:val="0"/>
              <w:kinsoku/>
              <w:wordWrap/>
              <w:overflowPunct/>
              <w:topLinePunct w:val="0"/>
              <w:autoSpaceDE/>
              <w:autoSpaceDN/>
              <w:bidi w:val="0"/>
              <w:adjustRightInd/>
              <w:snapToGrid/>
              <w:rPr>
                <w:sz w:val="21"/>
                <w:szCs w:val="21"/>
              </w:rPr>
            </w:pP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黏度（</w:t>
            </w:r>
            <w:r>
              <w:rPr>
                <w:sz w:val="21"/>
                <w:szCs w:val="21"/>
              </w:rPr>
              <w:t>mPa·s</w:t>
            </w:r>
            <w:r>
              <w:rPr>
                <w:rFonts w:hint="eastAsia"/>
                <w:sz w:val="21"/>
                <w:szCs w:val="21"/>
              </w:rPr>
              <w:t>）</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稳定性和反应性</w:t>
            </w: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稳定性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稳定</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避免接触的条件</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危险反应</w:t>
            </w:r>
          </w:p>
        </w:tc>
        <w:tc>
          <w:tcPr>
            <w:tcW w:w="3690" w:type="pct"/>
            <w:gridSpan w:val="7"/>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与强氧化剂、卤素、酸类等禁配物接触发生剧烈反应。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禁配物</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卤素、酰基氯、氯仿、强氧化剂。</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危险的分解产物</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毒理学信息</w:t>
            </w: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急性毒性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LC50 4230ppm (小鼠吸入，1h)；2000ppm (大鼠吸入，4h)</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LCLo 5000ppm (人吸入，5min)。</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吸入危害</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皮肤刺激或腐蚀</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家兔经眼：100mg，重度刺激。</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眼睛刺激或腐蚀</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呼吸或皮肤过敏</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无资料</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生殖细胞突变性</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微生物致突变性：大肠杆菌1500ppm</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(3h)。细胞遗传学分析：大鼠吸入19800</w:t>
            </w:r>
            <w:r>
              <w:rPr>
                <w:color w:val="000000" w:themeColor="text1"/>
                <w:sz w:val="21"/>
                <w:szCs w:val="21"/>
                <w14:textFill>
                  <w14:solidFill>
                    <w14:schemeClr w14:val="tx1"/>
                  </w14:solidFill>
                </w14:textFill>
              </w:rPr>
              <w:t>μ</w:t>
            </w:r>
            <w:r>
              <w:rPr>
                <w:rFonts w:hint="eastAsia"/>
                <w:color w:val="000000" w:themeColor="text1"/>
                <w:sz w:val="21"/>
                <w:szCs w:val="21"/>
                <w14:textFill>
                  <w14:solidFill>
                    <w14:schemeClr w14:val="tx1"/>
                  </w14:solidFill>
                </w14:textFill>
              </w:rPr>
              <w:t>g/m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(16周)。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致癌性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无资料</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生殖毒性</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特异性靶器官系统毒性—一次接触</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无资料</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特异性靶器官系统毒性——反复接触</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大鼠，20mg/m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，每</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天24h，84d，或每天5~6h，7个月，出现神经系统功能紊乱。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吸入危害</w:t>
            </w:r>
          </w:p>
        </w:tc>
        <w:tc>
          <w:tcPr>
            <w:tcW w:w="3690" w:type="pct"/>
            <w:gridSpan w:val="7"/>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生态学信息</w:t>
            </w: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生态毒性</w:t>
            </w:r>
          </w:p>
        </w:tc>
        <w:tc>
          <w:tcPr>
            <w:tcW w:w="3690" w:type="pct"/>
            <w:gridSpan w:val="7"/>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LC50：&gt;3.58mg/L (24h)(彩鲑，已受精的)；&gt;3.58mg/L (24h) (彩鲑，幼年的)；0.068mg/L(24h)(彩鲑，85d的鱼苗)；0.097mg/L (24h) (彩鲑，成年的)；24mg/L (48h)(水蚤)。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生物富集或生物积累性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无资料</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持久性和降解性</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生物降解性：无资料；</w:t>
            </w:r>
          </w:p>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非生物降解性：能被臭氧氧化，反应速度与氨的浓度成正比例关系，当pH值为7~9时，OH</w:t>
            </w:r>
            <w:r>
              <w:rPr>
                <w:rFonts w:hint="eastAsia"/>
                <w:color w:val="000000" w:themeColor="text1"/>
                <w:sz w:val="21"/>
                <w:szCs w:val="21"/>
                <w:vertAlign w:val="superscript"/>
                <w14:textFill>
                  <w14:solidFill>
                    <w14:schemeClr w14:val="tx1"/>
                  </w14:solidFill>
                </w14:textFill>
              </w:rPr>
              <w:t>-</w:t>
            </w:r>
            <w:r>
              <w:rPr>
                <w:rFonts w:hint="eastAsia"/>
                <w:color w:val="000000" w:themeColor="text1"/>
                <w:sz w:val="21"/>
                <w:szCs w:val="21"/>
                <w14:textFill>
                  <w14:solidFill>
                    <w14:schemeClr w14:val="tx1"/>
                  </w14:solidFill>
                </w14:textFill>
              </w:rPr>
              <w:t xml:space="preserve"> 对反应有催化作用。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土壤中的迁移性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易被土壤吸附，迁移性较低</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废弃处置</w:t>
            </w: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废弃化学品：先用水稀释，再加盐酸中和，然后放入废水系统。</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污染包装物：将容器返还生产商或按照国家和地方法规处置。</w:t>
            </w:r>
          </w:p>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废弃注意事项：处置前应参阅国家和地方有关法规。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运输信息</w:t>
            </w: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联合国运输名称</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无水氨</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UN编号</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联合国危险性</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sz w:val="21"/>
                <w:szCs w:val="21"/>
              </w:rPr>
              <w:t>2.3</w:t>
            </w:r>
            <w:r>
              <w:rPr>
                <w:rFonts w:hint="eastAsia"/>
                <w:sz w:val="21"/>
                <w:szCs w:val="21"/>
              </w:rPr>
              <w:t>，</w:t>
            </w:r>
            <w:r>
              <w:rPr>
                <w:sz w:val="21"/>
                <w:szCs w:val="21"/>
              </w:rPr>
              <w:t>8</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包装类别</w:t>
            </w: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77" w:type="pct"/>
            <w:gridSpan w:val="2"/>
            <w:shd w:val="clear" w:color="auto" w:fill="auto"/>
            <w:tcMar>
              <w:top w:w="57" w:type="dxa"/>
              <w:bottom w:w="57" w:type="dxa"/>
            </w:tcMar>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海洋污染物</w:t>
            </w:r>
            <w:r>
              <w:rPr>
                <w:color w:val="000000" w:themeColor="text1"/>
                <w:sz w:val="21"/>
                <w:szCs w:val="21"/>
                <w14:textFill>
                  <w14:solidFill>
                    <w14:schemeClr w14:val="tx1"/>
                  </w14:solidFill>
                </w14:textFill>
              </w:rPr>
              <w:t>(是/否)：</w:t>
            </w:r>
          </w:p>
        </w:tc>
        <w:tc>
          <w:tcPr>
            <w:tcW w:w="1394" w:type="pct"/>
            <w:gridSpan w:val="3"/>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是</w:t>
            </w:r>
          </w:p>
        </w:tc>
        <w:tc>
          <w:tcPr>
            <w:tcW w:w="1083" w:type="pct"/>
            <w:gridSpan w:val="2"/>
            <w:shd w:val="clear" w:color="auto" w:fill="auto"/>
            <w:vAlign w:val="center"/>
          </w:tcPr>
          <w:p>
            <w:pPr>
              <w:pStyle w:val="6"/>
              <w:pageBreakBefore w:val="0"/>
              <w:widowControl w:val="0"/>
              <w:kinsoku/>
              <w:wordWrap/>
              <w:overflowPunct/>
              <w:topLinePunct w:val="0"/>
              <w:autoSpaceDE/>
              <w:autoSpaceDN/>
              <w:bidi w:val="0"/>
              <w:adjustRightInd/>
              <w:snapToGrid/>
              <w:rPr>
                <w:sz w:val="21"/>
                <w:szCs w:val="21"/>
              </w:rPr>
            </w:pPr>
          </w:p>
        </w:tc>
        <w:tc>
          <w:tcPr>
            <w:tcW w:w="1212" w:type="pct"/>
            <w:gridSpan w:val="2"/>
            <w:shd w:val="clear" w:color="auto" w:fill="auto"/>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shd w:val="clear" w:color="auto" w:fill="auto"/>
            <w:tcMar>
              <w:top w:w="57" w:type="dxa"/>
              <w:bottom w:w="57" w:type="dxa"/>
            </w:tcMar>
            <w:textDirection w:val="tbRlV"/>
            <w:vAlign w:val="center"/>
          </w:tcPr>
          <w:p>
            <w:pPr>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p>
        </w:tc>
        <w:tc>
          <w:tcPr>
            <w:tcW w:w="4768" w:type="pct"/>
            <w:gridSpan w:val="9"/>
            <w:shd w:val="clear" w:color="auto" w:fill="auto"/>
            <w:tcMar>
              <w:top w:w="57" w:type="dxa"/>
              <w:bottom w:w="57" w:type="dxa"/>
            </w:tcMar>
            <w:vAlign w:val="center"/>
          </w:tcPr>
          <w:p>
            <w:pPr>
              <w:pStyle w:val="6"/>
              <w:pageBreakBefore w:val="0"/>
              <w:widowControl w:val="0"/>
              <w:kinsoku/>
              <w:wordWrap/>
              <w:overflowPunct/>
              <w:topLinePunct w:val="0"/>
              <w:autoSpaceDE/>
              <w:autoSpaceDN/>
              <w:bidi w:val="0"/>
              <w:adjustRightInd/>
              <w:snapToGrid/>
              <w:rPr>
                <w:sz w:val="21"/>
                <w:szCs w:val="21"/>
              </w:rPr>
            </w:pPr>
            <w:r>
              <w:rPr>
                <w:rFonts w:hint="eastAsia"/>
                <w:sz w:val="21"/>
                <w:szCs w:val="21"/>
              </w:rPr>
              <w:t>运输注意事项：本品铁路运输时限使用耐压液化气企业自备罐车装运，装运前需报有关部门批准。采用钢瓶运输时必须戴好钢瓶上的安全帽。钢瓶一般平放，并应将瓶口朝同一方向，不可交叉；高度不得超过车辆的防护栏板，并用三角木垫卡牢，防止滚动。运输时运输车辆应配备相应品种和数量的消防器材及泄漏应急处理设备。装运该物品的车辆排气管必须配备阻火装置，禁止使用易产生火花的机械设备和工具装卸。严禁与氧化剂、酸类、卤素、食用化学品等混装混运。夏季应早晚运输，防止日光曝晒。中途停留时应远离火种、热源。公路运输时要按规定路线行驶，禁止在居民区和人口稠密区停留。铁路运输时要禁止溜放。</w:t>
            </w:r>
          </w:p>
        </w:tc>
      </w:tr>
    </w:tbl>
    <w:p>
      <w:pPr>
        <w:pStyle w:val="6"/>
      </w:pPr>
      <w:r>
        <w:rPr>
          <w:rFonts w:hint="eastAsia"/>
        </w:rPr>
        <w:t>表6.2.1-2（</w:t>
      </w:r>
      <w:r>
        <w:rPr>
          <w:rFonts w:hint="eastAsia"/>
          <w:lang w:val="en-US" w:eastAsia="zh-CN"/>
        </w:rPr>
        <w:t>2</w:t>
      </w:r>
      <w:r>
        <w:rPr>
          <w:rFonts w:hint="eastAsia"/>
        </w:rPr>
        <w:t>）    硫化氢安全技术说明书</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1405"/>
        <w:gridCol w:w="413"/>
        <w:gridCol w:w="811"/>
        <w:gridCol w:w="1331"/>
        <w:gridCol w:w="203"/>
        <w:gridCol w:w="917"/>
        <w:gridCol w:w="188"/>
        <w:gridCol w:w="713"/>
        <w:gridCol w:w="602"/>
        <w:gridCol w:w="1440"/>
      </w:tblGrid>
      <w:tr>
        <w:trPr>
          <w:cantSplit/>
          <w:trHeight w:val="480" w:hRule="atLeas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化学品</w:t>
            </w:r>
            <w:r>
              <w:rPr>
                <w:color w:val="000000" w:themeColor="text1"/>
                <w:sz w:val="21"/>
                <w:szCs w:val="21"/>
                <w14:textFill>
                  <w14:solidFill>
                    <w14:schemeClr w14:val="tx1"/>
                  </w14:solidFill>
                </w14:textFill>
              </w:rPr>
              <w:t>标识</w:t>
            </w:r>
          </w:p>
        </w:tc>
        <w:tc>
          <w:tcPr>
            <w:tcW w:w="831" w:type="pct"/>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中文名</w:t>
            </w:r>
          </w:p>
        </w:tc>
        <w:tc>
          <w:tcPr>
            <w:tcW w:w="1518"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硫化氢</w:t>
            </w:r>
          </w:p>
        </w:tc>
        <w:tc>
          <w:tcPr>
            <w:tcW w:w="669"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英文名</w:t>
            </w:r>
          </w:p>
        </w:tc>
        <w:tc>
          <w:tcPr>
            <w:tcW w:w="1749" w:type="pct"/>
            <w:gridSpan w:val="4"/>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y</w:t>
            </w:r>
            <w:r>
              <w:rPr>
                <w:color w:val="000000" w:themeColor="text1"/>
                <w:sz w:val="21"/>
                <w:szCs w:val="21"/>
                <w14:textFill>
                  <w14:solidFill>
                    <w14:schemeClr w14:val="tx1"/>
                  </w14:solidFill>
                </w14:textFill>
              </w:rPr>
              <w:t>drogensulfide</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ulfurhydride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31" w:type="pct"/>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分子式</w:t>
            </w:r>
          </w:p>
        </w:tc>
        <w:tc>
          <w:tcPr>
            <w:tcW w:w="731"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H</w:t>
            </w:r>
            <w:r>
              <w:rPr>
                <w:color w:val="000000" w:themeColor="text1"/>
                <w:sz w:val="21"/>
                <w:szCs w:val="21"/>
                <w:vertAlign w:val="subscript"/>
                <w14:textFill>
                  <w14:solidFill>
                    <w14:schemeClr w14:val="tx1"/>
                  </w14:solidFill>
                </w14:textFill>
              </w:rPr>
              <w:t>2</w:t>
            </w:r>
            <w:r>
              <w:rPr>
                <w:color w:val="000000" w:themeColor="text1"/>
                <w:sz w:val="21"/>
                <w:szCs w:val="21"/>
                <w14:textFill>
                  <w14:solidFill>
                    <w14:schemeClr w14:val="tx1"/>
                  </w14:solidFill>
                </w14:textFill>
              </w:rPr>
              <w:t>S</w:t>
            </w:r>
          </w:p>
        </w:tc>
        <w:tc>
          <w:tcPr>
            <w:tcW w:w="787" w:type="pct"/>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分子量</w:t>
            </w:r>
          </w:p>
        </w:tc>
        <w:tc>
          <w:tcPr>
            <w:tcW w:w="785"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r>
              <w:rPr>
                <w:color w:val="000000" w:themeColor="text1"/>
                <w:sz w:val="21"/>
                <w:szCs w:val="21"/>
                <w14:textFill>
                  <w14:solidFill>
                    <w14:schemeClr w14:val="tx1"/>
                  </w14:solidFill>
                </w14:textFill>
              </w:rPr>
              <w:t>4.08</w:t>
            </w:r>
          </w:p>
        </w:tc>
        <w:tc>
          <w:tcPr>
            <w:tcW w:w="783"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C</w:t>
            </w:r>
            <w:r>
              <w:rPr>
                <w:color w:val="000000" w:themeColor="text1"/>
                <w:sz w:val="21"/>
                <w:szCs w:val="21"/>
                <w14:textFill>
                  <w14:solidFill>
                    <w14:schemeClr w14:val="tx1"/>
                  </w14:solidFill>
                </w14:textFill>
              </w:rPr>
              <w:t>AS</w:t>
            </w:r>
            <w:r>
              <w:rPr>
                <w:rFonts w:hint="eastAsia"/>
                <w:color w:val="000000" w:themeColor="text1"/>
                <w:sz w:val="21"/>
                <w:szCs w:val="21"/>
                <w14:textFill>
                  <w14:solidFill>
                    <w14:schemeClr w14:val="tx1"/>
                  </w14:solidFill>
                </w14:textFill>
              </w:rPr>
              <w:t>号</w:t>
            </w:r>
          </w:p>
        </w:tc>
        <w:tc>
          <w:tcPr>
            <w:tcW w:w="849" w:type="pct"/>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7783-06-4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危险性概述</w:t>
            </w: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紧急情况概述：极易燃气体，内装加压气体：遇热可能爆炸，吸入致命。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831" w:type="pct"/>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GHS</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危险性类别</w:t>
            </w:r>
          </w:p>
        </w:tc>
        <w:tc>
          <w:tcPr>
            <w:tcW w:w="1518"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易燃气体，类别1；</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加压气体；急性毒性-吸入，类别2；</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危害水生环境-急性危害，类别1。</w:t>
            </w:r>
          </w:p>
        </w:tc>
        <w:tc>
          <w:tcPr>
            <w:tcW w:w="669"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危险性</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说明</w:t>
            </w:r>
          </w:p>
        </w:tc>
        <w:tc>
          <w:tcPr>
            <w:tcW w:w="1749" w:type="pct"/>
            <w:gridSpan w:val="4"/>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极易燃气体，内装加压气体：遇热可能爆炸，吸入致命，对水生生物毒性非常大。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物理和化学危险：极易燃，与空气混合能形成爆炸性混合物。</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健康危害：本品是强烈的神经毒物，对黏膜有强烈刺激作用。</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急性中毒：接触反应表现为接触后出现眼刺痛、羞明、流泪、结膜充血、咽部灼热感、咳嗽等眼和上呼吸道刺激表现，或有头痛、头晕、乏力、恶心等神经系统症状，脱离接触后在短时间内消失。具有下列情况之一者为急性轻度中毒：出现明显的头痛、头晕、乏力等症状，并出现轻度至中度意识障碍；出现急性气管-支气管炎或支气管周围炎。具有下列情况之一者为中度中毒:意识障碍表现为浅至中度昏迷；出现急性支气管肺炎。具有下列情况之一者为重度中毒：意识障碍程度达深昏迷或呈植物状态;肺水肿；多脏器衰竭；猝死。高浓度(1000mg/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 xml:space="preserve"> 以上)接触硫化氢时可在数秒钟内突然昏迷，呼吸和心跳骤停，发生闪电型死亡。严重中毒可留有神经、精神后遗症。</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环境危害：对水生生物毒性非常大。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急救措施</w:t>
            </w: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吸</w:t>
            </w:r>
            <w:r>
              <w:rPr>
                <w:color w:val="000000" w:themeColor="text1"/>
                <w:sz w:val="21"/>
                <w:szCs w:val="21"/>
                <w14:textFill>
                  <w14:solidFill>
                    <w14:schemeClr w14:val="tx1"/>
                  </w14:solidFill>
                </w14:textFill>
              </w:rPr>
              <w:t>入：</w:t>
            </w:r>
            <w:r>
              <w:rPr>
                <w:rFonts w:hint="eastAsia"/>
                <w:color w:val="000000" w:themeColor="text1"/>
                <w:sz w:val="21"/>
                <w:szCs w:val="21"/>
                <w14:textFill>
                  <w14:solidFill>
                    <w14:schemeClr w14:val="tx1"/>
                  </w14:solidFill>
                </w14:textFill>
              </w:rPr>
              <w:t>迅速脱离现场至空气新鲜处。保持呼吸道通畅。如呼吸困难，给输氧。如呼吸、心跳停止，立即进行心肺复苏术(避免口对口人工呼吸)。就医。</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皮肤接触：立即脱去污染的衣着，用流动清水彻底冲洗。就医</w:t>
            </w:r>
            <w:r>
              <w:rPr>
                <w:color w:val="000000" w:themeColor="text1"/>
                <w:sz w:val="21"/>
                <w:szCs w:val="21"/>
                <w14:textFill>
                  <w14:solidFill>
                    <w14:schemeClr w14:val="tx1"/>
                  </w14:solidFill>
                </w14:textFill>
              </w:rPr>
              <w:t>。</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眼晴接触：立即分开眼睑，用流动清水或生理盐水彻底冲洗5~10min。就医</w:t>
            </w:r>
            <w:r>
              <w:rPr>
                <w:color w:val="000000" w:themeColor="text1"/>
                <w:sz w:val="21"/>
                <w:szCs w:val="21"/>
                <w14:textFill>
                  <w14:solidFill>
                    <w14:schemeClr w14:val="tx1"/>
                  </w14:solidFill>
                </w14:textFill>
              </w:rPr>
              <w:t>。</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对保护施救者的忠告：根据需要使用个人防护设备</w:t>
            </w:r>
            <w:r>
              <w:rPr>
                <w:color w:val="000000" w:themeColor="text1"/>
                <w:sz w:val="21"/>
                <w:szCs w:val="21"/>
                <w14:textFill>
                  <w14:solidFill>
                    <w14:schemeClr w14:val="tx1"/>
                  </w14:solidFill>
                </w14:textFill>
              </w:rPr>
              <w:t>。</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对医生的特别提示：对症处理。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消防措施</w:t>
            </w: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灭火剂：用雾状水、抗溶性泡沫、干粉灭火。</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特别危险性：与浓硝酸、发烟硝酸或其他强氧化剂发生剧烈反应，引起爆炸。气体比空气重，沿地面扩散并易积存于低洼处，遇火源会着火回燃。燃烧生成有害的氧化硫。</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灭火注意事项及防护措施：切断气源。若不能切断气源，则不允许熄灭泄漏处的火焰。消防人员必须佩戴空气呼吸器、穿全身防火防毒服，在上风向灭火。尽可能将容器从火场移至空旷处。喷水保持火场容器冷却，直至灭火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泄露应急处理</w:t>
            </w: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作业人员防护措施、防护装备和应急处置程序：消除所有点火源。根据气体扩散的影响区域划定警戒区，无关人员从侧风、上风向撤离至安全区。建议应急处理人员戴正压自给式呼吸器，穿内置正压自给式呼吸器的全封闭防化服，戴防化学品手套。如果是液化气体泄漏，还应注意防冻伤。作业时使用的所有设备应接地。尽可能切断泄漏源。若可能翻转容器，使之逸出气体而非液体。喷雾状水抑制蒸气或改变蒸气云流向，避免水流接触泄漏物。禁止用水直接冲击泄漏物或泄漏源</w:t>
            </w:r>
            <w:r>
              <w:rPr>
                <w:color w:val="000000" w:themeColor="text1"/>
                <w:sz w:val="21"/>
                <w:szCs w:val="21"/>
                <w14:textFill>
                  <w14:solidFill>
                    <w14:schemeClr w14:val="tx1"/>
                  </w14:solidFill>
                </w14:textFill>
              </w:rPr>
              <w:t>。</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泄漏化学品的收容、清除方法及所使用的处置材料：隔离泄漏区直至气体散尽。可考虑引燃漏出气，以消除有毒气体的影响。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操作处置与储存</w:t>
            </w: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操作注意事项：严加密闭，提供充分的局部排风和全面通风。操作人员必须经过专门培训，严格遵守操作规程。建议操作人员佩戴过滤式防毒面具(半面罩)，戴化学安全防护眼镜，穿防静电工作服，戴防化学品手套。远离火种、热源。工作场所严禁吸烟。使用防爆型的通风系统和设备。防止气体泄漏到工作场所空气中。避免与氧化剂、碱类接触。在传送过程中，钢瓶和容器必须接地和跨接，防止产生静电。搬运时轻装轻卸，防止钢瓶及附件破损。配备相应品种和数量的消防器材及泄漏应急处理设备。</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储存注意事项：储存于阴凉、通风的易燃气体专用库房。远离火种、热源。库温不宜超过30℃。保持容器密封。应与氧化剂、碱类分开存放，切忌混储。采用防爆型照明、通风设施。禁止使用易产生火花的机械设备和工具。储区应备有泄漏应急处理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理化特性</w:t>
            </w: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外观与性状</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无色气体</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气味</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有恶臭气味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pH值</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 (1%溶液)</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熔点</w:t>
            </w:r>
            <w:r>
              <w:rPr>
                <w:color w:val="000000" w:themeColor="text1"/>
                <w:sz w:val="21"/>
                <w:szCs w:val="21"/>
                <w14:textFill>
                  <w14:solidFill>
                    <w14:schemeClr w14:val="tx1"/>
                  </w14:solidFill>
                </w14:textFill>
              </w:rPr>
              <w:t>/凝固点（°C）</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沸点、初沸点和沸程（℃</w:t>
            </w:r>
            <w:r>
              <w:rPr>
                <w:color w:val="000000" w:themeColor="text1"/>
                <w:sz w:val="21"/>
                <w:szCs w:val="21"/>
                <w14:textFill>
                  <w14:solidFill>
                    <w14:schemeClr w14:val="tx1"/>
                  </w14:solidFill>
                </w14:textFill>
              </w:rPr>
              <w:t>）</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60.3</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自燃温度（℃</w:t>
            </w:r>
            <w:r>
              <w:rPr>
                <w:color w:val="000000" w:themeColor="text1"/>
                <w:sz w:val="21"/>
                <w:szCs w:val="21"/>
                <w14:textFill>
                  <w14:solidFill>
                    <w14:schemeClr w14:val="tx1"/>
                  </w14:solidFill>
                </w14:textFill>
              </w:rPr>
              <w:t>）</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闪点（℃</w:t>
            </w:r>
            <w:r>
              <w:rPr>
                <w:color w:val="000000" w:themeColor="text1"/>
                <w:sz w:val="21"/>
                <w:szCs w:val="21"/>
                <w14:textFill>
                  <w14:solidFill>
                    <w14:schemeClr w14:val="tx1"/>
                  </w14:solidFill>
                </w14:textFill>
              </w:rPr>
              <w:t>）：</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106</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分解温度（℃</w:t>
            </w:r>
            <w:r>
              <w:rPr>
                <w:color w:val="000000" w:themeColor="text1"/>
                <w:sz w:val="21"/>
                <w:szCs w:val="21"/>
                <w14:textFill>
                  <w14:solidFill>
                    <w14:schemeClr w14:val="tx1"/>
                  </w14:solidFill>
                </w14:textFill>
              </w:rPr>
              <w:t>）：</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爆炸极限［％（体积分数）］</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爆炸下限(%) 4.3</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爆炸上限(%) 46</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蒸发速率［乙酸（正）丁酯以</w:t>
            </w:r>
            <w:r>
              <w:rPr>
                <w:color w:val="000000" w:themeColor="text1"/>
                <w:sz w:val="21"/>
                <w:szCs w:val="21"/>
                <w14:textFill>
                  <w14:solidFill>
                    <w14:schemeClr w14:val="tx1"/>
                  </w14:solidFill>
                </w14:textFill>
              </w:rPr>
              <w:t>1计］</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饱和蒸气压（</w:t>
            </w:r>
            <w:r>
              <w:rPr>
                <w:color w:val="000000" w:themeColor="text1"/>
                <w:sz w:val="21"/>
                <w:szCs w:val="21"/>
                <w14:textFill>
                  <w14:solidFill>
                    <w14:schemeClr w14:val="tx1"/>
                  </w14:solidFill>
                </w14:textFill>
              </w:rPr>
              <w:t>kPa）</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2026.5 (25.5℃)</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易燃性（固体、气体）</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相对密度</w:t>
            </w:r>
            <w:r>
              <w:rPr>
                <w:color w:val="000000" w:themeColor="text1"/>
                <w:sz w:val="21"/>
                <w:szCs w:val="21"/>
                <w14:textFill>
                  <w14:solidFill>
                    <w14:schemeClr w14:val="tx1"/>
                  </w14:solidFill>
                </w14:textFill>
              </w:rPr>
              <w:t>(水以1计)</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1.54</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蒸气密度（空气以</w:t>
            </w:r>
            <w:r>
              <w:rPr>
                <w:color w:val="000000" w:themeColor="text1"/>
                <w:sz w:val="21"/>
                <w:szCs w:val="21"/>
                <w14:textFill>
                  <w14:solidFill>
                    <w14:schemeClr w14:val="tx1"/>
                  </w14:solidFill>
                </w14:textFill>
              </w:rPr>
              <w:t>1计）</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气味阈值（</w:t>
            </w:r>
            <w:r>
              <w:rPr>
                <w:color w:val="000000" w:themeColor="text1"/>
                <w:sz w:val="21"/>
                <w:szCs w:val="21"/>
                <w14:textFill>
                  <w14:solidFill>
                    <w14:schemeClr w14:val="tx1"/>
                  </w14:solidFill>
                </w14:textFill>
              </w:rPr>
              <w:t>mg/m³）</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n-辛醇/水分配系数（lgP）</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溶解性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溶于水、乙醇、二硫化碳、甘油、汽油、煤油等</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黏度（</w:t>
            </w:r>
            <w:r>
              <w:rPr>
                <w:color w:val="000000" w:themeColor="text1"/>
                <w:sz w:val="21"/>
                <w:szCs w:val="21"/>
                <w14:textFill>
                  <w14:solidFill>
                    <w14:schemeClr w14:val="tx1"/>
                  </w14:solidFill>
                </w14:textFill>
              </w:rPr>
              <w:t>mPa·s</w:t>
            </w:r>
            <w:r>
              <w:rPr>
                <w:rFonts w:hint="eastAsia"/>
                <w:color w:val="000000" w:themeColor="text1"/>
                <w:sz w:val="21"/>
                <w:szCs w:val="21"/>
                <w14:textFill>
                  <w14:solidFill>
                    <w14:schemeClr w14:val="tx1"/>
                  </w14:solidFill>
                </w14:textFill>
              </w:rPr>
              <w:t>）</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0.0128(25℃，101.3</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稳定性和反应性</w:t>
            </w: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稳定性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稳定</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避免接触的条件</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危险反应</w:t>
            </w:r>
          </w:p>
        </w:tc>
        <w:tc>
          <w:tcPr>
            <w:tcW w:w="3687" w:type="pct"/>
            <w:gridSpan w:val="8"/>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与强氧化剂等禁配物接触，有发生火灾和爆炸的危险。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禁配物</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强氧化剂、碱类。</w:t>
            </w:r>
          </w:p>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危险的分解产物</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毒理学信息</w:t>
            </w: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急性毒性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LC</w:t>
            </w:r>
            <w:r>
              <w:rPr>
                <w:rFonts w:hint="eastAsia"/>
                <w:color w:val="000000" w:themeColor="text1"/>
                <w:sz w:val="21"/>
                <w:szCs w:val="21"/>
                <w:vertAlign w:val="subscript"/>
                <w14:textFill>
                  <w14:solidFill>
                    <w14:schemeClr w14:val="tx1"/>
                  </w14:solidFill>
                </w14:textFill>
              </w:rPr>
              <w:t>50</w:t>
            </w:r>
            <w:r>
              <w:rPr>
                <w:rFonts w:hint="eastAsia"/>
                <w:color w:val="000000" w:themeColor="text1"/>
                <w:sz w:val="21"/>
                <w:szCs w:val="21"/>
                <w14:textFill>
                  <w14:solidFill>
                    <w14:schemeClr w14:val="tx1"/>
                  </w14:solidFill>
                </w14:textFill>
              </w:rPr>
              <w:t xml:space="preserve"> 618mg/m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 xml:space="preserve"> (444ppm)(大鼠吸入)</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LCLo 600ppm (人吸入30min)</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吸入危害</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皮肤刺激或腐蚀</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眼睛刺激或腐蚀</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呼吸或皮肤过敏</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生殖细胞突变性</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致癌性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生殖毒性</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特异性靶器官系统毒性—一次接触</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特异性靶器官系统毒性——反复接触</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家兔吸入0.01mg/L，</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每天2h，3个月，引起中枢神经系统的机能改变，气管、支气管黏膜刺激症状，大脑皮层出现病理改变。小鼠长期接触低浓度硫化氢，有小气道损害。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吸入危害</w:t>
            </w:r>
          </w:p>
        </w:tc>
        <w:tc>
          <w:tcPr>
            <w:tcW w:w="3687" w:type="pct"/>
            <w:gridSpan w:val="8"/>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生态学信息</w:t>
            </w: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生态毒性</w:t>
            </w:r>
          </w:p>
        </w:tc>
        <w:tc>
          <w:tcPr>
            <w:tcW w:w="3687" w:type="pct"/>
            <w:gridSpan w:val="8"/>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TLm：0.0071~0.55mg/L (96h)(黑头呆鱼)；0.0448~0.0478mg/L (96h)(蓝鳃太阳鱼)。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生物富集或生物积累性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持久性和降解性</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生物降解性 无资料；</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非生物降解性 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土壤中的迁移性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无资料</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废弃处置</w:t>
            </w: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废弃化学品：用焚烧法处置。焚烧炉排出的硫氧化物通过洗涤器除去。</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污染包装物：将容器返还生产商或按照国家和地方法规处置。</w:t>
            </w:r>
          </w:p>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废弃注意事项：处置前应参阅国家和地方有关法规。把倒空的容器归还厂商或在规定场所掩埋。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restart"/>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运输信息</w:t>
            </w: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联合国运输名称</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硫化氢</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UN编号</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w:t>
            </w:r>
            <w:r>
              <w:rPr>
                <w:rFonts w:hint="eastAsia"/>
                <w:color w:val="000000" w:themeColor="text1"/>
                <w:sz w:val="21"/>
                <w:szCs w:val="21"/>
                <w14:textFill>
                  <w14:solidFill>
                    <w14:schemeClr w14:val="tx1"/>
                  </w14:solidFill>
                </w14:textFill>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联合国危险性</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.3</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2.1</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包装类别</w:t>
            </w: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Ⅱ类包装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080" w:type="pct"/>
            <w:gridSpan w:val="2"/>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海洋污染物</w:t>
            </w:r>
            <w:r>
              <w:rPr>
                <w:color w:val="000000" w:themeColor="text1"/>
                <w:sz w:val="21"/>
                <w:szCs w:val="21"/>
                <w14:textFill>
                  <w14:solidFill>
                    <w14:schemeClr w14:val="tx1"/>
                  </w14:solidFill>
                </w14:textFill>
              </w:rPr>
              <w:t>(是/否)：</w:t>
            </w:r>
          </w:p>
        </w:tc>
        <w:tc>
          <w:tcPr>
            <w:tcW w:w="139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否</w:t>
            </w:r>
          </w:p>
        </w:tc>
        <w:tc>
          <w:tcPr>
            <w:tcW w:w="1084" w:type="pct"/>
            <w:gridSpan w:val="3"/>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1208" w:type="pct"/>
            <w:gridSpan w:val="2"/>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1" w:type="pct"/>
            <w:vMerge w:val="continue"/>
            <w:tcMar>
              <w:top w:w="57" w:type="dxa"/>
              <w:bottom w:w="57" w:type="dxa"/>
            </w:tcMar>
            <w:textDirection w:val="tbRlV"/>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p>
        </w:tc>
        <w:tc>
          <w:tcPr>
            <w:tcW w:w="4768" w:type="pct"/>
            <w:gridSpan w:val="10"/>
            <w:tcMar>
              <w:top w:w="57" w:type="dxa"/>
              <w:bottom w:w="57" w:type="dxa"/>
            </w:tcMar>
            <w:vAlign w:val="center"/>
          </w:tcPr>
          <w:p>
            <w:pPr>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运输注意事项：采用钢瓶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碱类、食用化学品等混装混运。夏季应早晚运输，防止日光曝晒。中途停留时应远离火种、热源。公路运输时要按规定路线行驶，禁止在居民区和人口稠密区停留。铁路运输时要禁止溜放。</w:t>
            </w:r>
          </w:p>
        </w:tc>
      </w:tr>
    </w:tbl>
    <w:p>
      <w:pPr>
        <w:pStyle w:val="4"/>
        <w:rPr>
          <w:color w:val="000000" w:themeColor="text1"/>
          <w14:textFill>
            <w14:solidFill>
              <w14:schemeClr w14:val="tx1"/>
            </w14:solidFill>
          </w14:textFill>
        </w:rPr>
      </w:pPr>
      <w:bookmarkStart w:id="171" w:name="_Toc101428499"/>
      <w:r>
        <w:rPr>
          <w:rFonts w:hint="eastAsia"/>
          <w:color w:val="000000" w:themeColor="text1"/>
          <w14:textFill>
            <w14:solidFill>
              <w14:schemeClr w14:val="tx1"/>
            </w14:solidFill>
          </w14:textFill>
        </w:rPr>
        <w:t>环境敏感目标调查</w:t>
      </w:r>
      <w:bookmarkEnd w:id="171"/>
    </w:p>
    <w:p>
      <w:pPr>
        <w:ind w:firstLine="480"/>
        <w:rPr>
          <w:color w:val="000000" w:themeColor="text1"/>
          <w14:textFill>
            <w14:solidFill>
              <w14:schemeClr w14:val="tx1"/>
            </w14:solidFill>
          </w14:textFill>
        </w:rPr>
      </w:pPr>
      <w:bookmarkStart w:id="172" w:name="_Toc19973"/>
      <w:bookmarkStart w:id="173" w:name="_Toc17106559"/>
      <w:r>
        <w:rPr>
          <w:rFonts w:hint="eastAsia"/>
          <w:color w:val="000000" w:themeColor="text1"/>
          <w14:textFill>
            <w14:solidFill>
              <w14:schemeClr w14:val="tx1"/>
            </w14:solidFill>
          </w14:textFill>
        </w:rPr>
        <w:t>按照</w:t>
      </w:r>
      <w:r>
        <w:rPr>
          <w:color w:val="000000" w:themeColor="text1"/>
          <w14:textFill>
            <w14:solidFill>
              <w14:schemeClr w14:val="tx1"/>
            </w14:solidFill>
          </w14:textFill>
        </w:rPr>
        <w:t>《建设项目环境风险评价技术导则》（HJ169-2018）附录D环境敏感程度（E）分级原则中要求调查5km范围内居住区、医疗卫生、文化教育、科研、行政办公等机构人口总数以及500m范围内人口总数。</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位</w:t>
      </w:r>
      <w:r>
        <w:rPr>
          <w:color w:val="000000" w:themeColor="text1"/>
          <w14:textFill>
            <w14:solidFill>
              <w14:schemeClr w14:val="tx1"/>
            </w14:solidFill>
          </w14:textFill>
        </w:rPr>
        <w:t>于</w:t>
      </w:r>
      <w:r>
        <w:rPr>
          <w:rFonts w:hint="eastAsia"/>
          <w:color w:val="000000" w:themeColor="text1"/>
          <w14:textFill>
            <w14:solidFill>
              <w14:schemeClr w14:val="tx1"/>
            </w14:solidFill>
          </w14:textFill>
        </w:rPr>
        <w:t>巴彦淖尔市五原县塔尔湖镇胜丰八社</w:t>
      </w:r>
      <w:r>
        <w:rPr>
          <w:color w:val="000000" w:themeColor="text1"/>
          <w14:textFill>
            <w14:solidFill>
              <w14:schemeClr w14:val="tx1"/>
            </w14:solidFill>
          </w14:textFill>
        </w:rPr>
        <w:t>，周边以</w:t>
      </w:r>
      <w:r>
        <w:rPr>
          <w:rFonts w:hint="eastAsia"/>
          <w:color w:val="000000" w:themeColor="text1"/>
          <w14:textFill>
            <w14:solidFill>
              <w14:schemeClr w14:val="tx1"/>
            </w14:solidFill>
          </w14:textFill>
        </w:rPr>
        <w:t>荒地、耕地</w:t>
      </w:r>
      <w:r>
        <w:rPr>
          <w:color w:val="000000" w:themeColor="text1"/>
          <w14:textFill>
            <w14:solidFill>
              <w14:schemeClr w14:val="tx1"/>
            </w14:solidFill>
          </w14:textFill>
        </w:rPr>
        <w:t>为主，5km范围内的环境敏感目标主要为</w:t>
      </w:r>
      <w:r>
        <w:rPr>
          <w:rFonts w:hint="eastAsia"/>
          <w:color w:val="000000" w:themeColor="text1"/>
          <w14:textFill>
            <w14:solidFill>
              <w14:schemeClr w14:val="tx1"/>
            </w14:solidFill>
          </w14:textFill>
        </w:rPr>
        <w:t>村庄及散户居民</w:t>
      </w:r>
      <w:r>
        <w:rPr>
          <w:color w:val="000000" w:themeColor="text1"/>
          <w14:textFill>
            <w14:solidFill>
              <w14:schemeClr w14:val="tx1"/>
            </w14:solidFill>
          </w14:textFill>
        </w:rPr>
        <w:t>，人口总数小于1万人；500m范围内</w:t>
      </w:r>
      <w:r>
        <w:rPr>
          <w:rFonts w:hint="eastAsia"/>
          <w:color w:val="000000" w:themeColor="text1"/>
          <w14:textFill>
            <w14:solidFill>
              <w14:schemeClr w14:val="tx1"/>
            </w14:solidFill>
          </w14:textFill>
        </w:rPr>
        <w:t>人口数</w:t>
      </w:r>
      <w:r>
        <w:rPr>
          <w:color w:val="000000" w:themeColor="text1"/>
          <w14:textFill>
            <w14:solidFill>
              <w14:schemeClr w14:val="tx1"/>
            </w14:solidFill>
          </w14:textFill>
        </w:rPr>
        <w:t>小于500人。</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根据《建设项目环境风险评价技术导则》（HJ 169-2018）附录D表D.6地下水功能敏感性分区，本项目</w:t>
      </w:r>
      <w:r>
        <w:rPr>
          <w:rFonts w:hint="eastAsia"/>
          <w:color w:val="000000" w:themeColor="text1"/>
          <w14:textFill>
            <w14:solidFill>
              <w14:schemeClr w14:val="tx1"/>
            </w14:solidFill>
          </w14:textFill>
        </w:rPr>
        <w:t>2.5km范围内无</w:t>
      </w:r>
      <w:r>
        <w:rPr>
          <w:color w:val="000000" w:themeColor="text1"/>
          <w14:textFill>
            <w14:solidFill>
              <w14:schemeClr w14:val="tx1"/>
            </w14:solidFill>
          </w14:textFill>
        </w:rPr>
        <w:t>集中式饮用水水源准保护区及补给径流区；未划定准保护区的集中式饮用水水源，其保护区以外的补给径流区；</w:t>
      </w:r>
      <w:r>
        <w:rPr>
          <w:rFonts w:hint="eastAsia"/>
          <w:color w:val="000000" w:themeColor="text1"/>
          <w14:textFill>
            <w14:solidFill>
              <w14:schemeClr w14:val="tx1"/>
            </w14:solidFill>
          </w14:textFill>
        </w:rPr>
        <w:t>6km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范围内分布有居民饮用水井，</w:t>
      </w:r>
      <w:r>
        <w:rPr>
          <w:color w:val="000000" w:themeColor="text1"/>
          <w14:textFill>
            <w14:solidFill>
              <w14:schemeClr w14:val="tx1"/>
            </w14:solidFill>
          </w14:textFill>
        </w:rPr>
        <w:t>因此项目地下水环境敏感程度为</w:t>
      </w:r>
      <w:r>
        <w:rPr>
          <w:rFonts w:hint="eastAsia"/>
          <w:color w:val="000000" w:themeColor="text1"/>
          <w14:textFill>
            <w14:solidFill>
              <w14:schemeClr w14:val="tx1"/>
            </w14:solidFill>
          </w14:textFill>
        </w:rPr>
        <w:t>较</w:t>
      </w:r>
      <w:r>
        <w:rPr>
          <w:color w:val="000000" w:themeColor="text1"/>
          <w14:textFill>
            <w14:solidFill>
              <w14:schemeClr w14:val="tx1"/>
            </w14:solidFill>
          </w14:textFill>
        </w:rPr>
        <w:t>敏感区域。</w:t>
      </w:r>
    </w:p>
    <w:bookmarkEnd w:id="172"/>
    <w:bookmarkEnd w:id="173"/>
    <w:p>
      <w:pPr>
        <w:pStyle w:val="3"/>
        <w:spacing w:before="120" w:after="120"/>
        <w:rPr>
          <w:color w:val="000000" w:themeColor="text1"/>
          <w14:textFill>
            <w14:solidFill>
              <w14:schemeClr w14:val="tx1"/>
            </w14:solidFill>
          </w14:textFill>
        </w:rPr>
      </w:pPr>
      <w:bookmarkStart w:id="174" w:name="_Toc14623"/>
      <w:bookmarkStart w:id="175" w:name="_Toc101428500"/>
      <w:bookmarkStart w:id="176" w:name="_Toc16112"/>
      <w:bookmarkStart w:id="177" w:name="_Toc17106560"/>
      <w:r>
        <w:rPr>
          <w:rFonts w:hint="eastAsia"/>
          <w:color w:val="000000" w:themeColor="text1"/>
          <w14:textFill>
            <w14:solidFill>
              <w14:schemeClr w14:val="tx1"/>
            </w14:solidFill>
          </w14:textFill>
        </w:rPr>
        <w:t>评价等级划分及评价范围</w:t>
      </w:r>
      <w:bookmarkEnd w:id="174"/>
      <w:bookmarkEnd w:id="175"/>
    </w:p>
    <w:p>
      <w:pPr>
        <w:pStyle w:val="4"/>
      </w:pPr>
      <w:bookmarkStart w:id="178" w:name="_Toc101428501"/>
      <w:r>
        <w:rPr>
          <w:rFonts w:hint="eastAsia"/>
        </w:rPr>
        <w:t>危险物质及工艺系统危险性（P）的分级确定</w:t>
      </w:r>
      <w:bookmarkEnd w:id="176"/>
      <w:bookmarkEnd w:id="177"/>
      <w:bookmarkEnd w:id="178"/>
    </w:p>
    <w:p>
      <w:pPr>
        <w:pStyle w:val="5"/>
      </w:pPr>
      <w:r>
        <w:rPr>
          <w:rFonts w:hint="eastAsia"/>
        </w:rPr>
        <w:t>危险物质数量与临界量比值（Q）</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根据《建设项目环境风险评价技术导则》（HJ169-2018）附录B，本项目涉及的危险物质在厂界内的最大存在总量与附录B 中对应临界量的比值情况。</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涉及多种危险物质，按下式计算物质总量与其临界量比值（Q）。</w:t>
      </w:r>
    </w:p>
    <w:p>
      <w:pPr>
        <w:overflowPunct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440815" cy="43116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440815" cy="431165"/>
                    </a:xfrm>
                    <a:prstGeom prst="rect">
                      <a:avLst/>
                    </a:prstGeom>
                    <a:noFill/>
                    <a:ln>
                      <a:noFill/>
                    </a:ln>
                  </pic:spPr>
                </pic:pic>
              </a:graphicData>
            </a:graphic>
          </wp:inline>
        </w:drawing>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式中：</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q</w:t>
      </w:r>
      <w:r>
        <w:rPr>
          <w:rFonts w:hint="eastAsia"/>
          <w:color w:val="000000" w:themeColor="text1"/>
          <w:vertAlign w:val="subscript"/>
          <w14:textFill>
            <w14:solidFill>
              <w14:schemeClr w14:val="tx1"/>
            </w14:solidFill>
          </w14:textFill>
        </w:rPr>
        <w:t>1</w:t>
      </w:r>
      <w:r>
        <w:rPr>
          <w:rFonts w:hint="eastAsia"/>
          <w:color w:val="000000" w:themeColor="text1"/>
          <w14:textFill>
            <w14:solidFill>
              <w14:schemeClr w14:val="tx1"/>
            </w14:solidFill>
          </w14:textFill>
        </w:rPr>
        <w:t>、q</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、q</w:t>
      </w:r>
      <w:r>
        <w:rPr>
          <w:rFonts w:hint="eastAsia"/>
          <w:color w:val="000000" w:themeColor="text1"/>
          <w:vertAlign w:val="subscript"/>
          <w14:textFill>
            <w14:solidFill>
              <w14:schemeClr w14:val="tx1"/>
            </w14:solidFill>
          </w14:textFill>
        </w:rPr>
        <w:t>n</w:t>
      </w:r>
      <w:r>
        <w:rPr>
          <w:rFonts w:hint="eastAsia"/>
          <w:color w:val="000000" w:themeColor="text1"/>
          <w14:textFill>
            <w14:solidFill>
              <w14:schemeClr w14:val="tx1"/>
            </w14:solidFill>
          </w14:textFill>
        </w:rPr>
        <w:t>——每种危险物质的最大存在总量，t；</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Q</w:t>
      </w:r>
      <w:r>
        <w:rPr>
          <w:rFonts w:hint="eastAsia"/>
          <w:color w:val="000000" w:themeColor="text1"/>
          <w:vertAlign w:val="subscript"/>
          <w14:textFill>
            <w14:solidFill>
              <w14:schemeClr w14:val="tx1"/>
            </w14:solidFill>
          </w14:textFill>
        </w:rPr>
        <w:t>1</w:t>
      </w:r>
      <w:r>
        <w:rPr>
          <w:rFonts w:hint="eastAsia"/>
          <w:color w:val="000000" w:themeColor="text1"/>
          <w14:textFill>
            <w14:solidFill>
              <w14:schemeClr w14:val="tx1"/>
            </w14:solidFill>
          </w14:textFill>
        </w:rPr>
        <w:t>、Q</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、Q</w:t>
      </w:r>
      <w:r>
        <w:rPr>
          <w:rFonts w:hint="eastAsia"/>
          <w:color w:val="000000" w:themeColor="text1"/>
          <w:vertAlign w:val="subscript"/>
          <w14:textFill>
            <w14:solidFill>
              <w14:schemeClr w14:val="tx1"/>
            </w14:solidFill>
          </w14:textFill>
        </w:rPr>
        <w:t>n</w:t>
      </w:r>
      <w:r>
        <w:rPr>
          <w:rFonts w:hint="eastAsia"/>
          <w:color w:val="000000" w:themeColor="text1"/>
          <w14:textFill>
            <w14:solidFill>
              <w14:schemeClr w14:val="tx1"/>
            </w14:solidFill>
          </w14:textFill>
        </w:rPr>
        <w:t>——每种危险物质的临界量，t。</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当Q＜1时，该项目环境风险潜势为I。</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当Q≥1时，将Q值划分为：（1）1≤Q＜10；（2）10≤Q＜100；（3）Q≥100。</w:t>
      </w:r>
    </w:p>
    <w:p>
      <w:pPr>
        <w:overflowPunct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根据工程分析，经计算本项目Q值见下表。</w:t>
      </w:r>
    </w:p>
    <w:p>
      <w:pPr>
        <w:bidi w:val="0"/>
      </w:pPr>
    </w:p>
    <w:p>
      <w:pPr>
        <w:pStyle w:val="6"/>
      </w:pPr>
      <w:r>
        <w:t>表</w:t>
      </w:r>
      <w:r>
        <w:rPr>
          <w:rFonts w:hint="eastAsia"/>
        </w:rPr>
        <w:t>6.</w:t>
      </w:r>
      <w:r>
        <w:t>3</w:t>
      </w:r>
      <w:r>
        <w:rPr>
          <w:rFonts w:hint="eastAsia"/>
        </w:rPr>
        <w:t>.1</w:t>
      </w:r>
      <w:r>
        <w:t>-</w:t>
      </w:r>
      <w:r>
        <w:rPr>
          <w:rFonts w:hint="eastAsia"/>
        </w:rPr>
        <w:t>1</w:t>
      </w:r>
      <w:r>
        <w:t xml:space="preserve">  </w:t>
      </w:r>
      <w:r>
        <w:rPr>
          <w:rFonts w:hint="eastAsia"/>
        </w:rPr>
        <w:t xml:space="preserve">  本项目Q值确定表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3220"/>
        <w:gridCol w:w="1877"/>
        <w:gridCol w:w="1478"/>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889"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危险物质</w:t>
            </w:r>
          </w:p>
        </w:tc>
        <w:tc>
          <w:tcPr>
            <w:tcW w:w="1101"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最大</w:t>
            </w:r>
            <w:r>
              <w:rPr>
                <w:rFonts w:hint="eastAsia"/>
                <w:color w:val="000000" w:themeColor="text1"/>
                <w14:textFill>
                  <w14:solidFill>
                    <w14:schemeClr w14:val="tx1"/>
                  </w14:solidFill>
                </w14:textFill>
              </w:rPr>
              <w:t>存在</w:t>
            </w:r>
            <w:r>
              <w:rPr>
                <w:color w:val="000000" w:themeColor="text1"/>
                <w14:textFill>
                  <w14:solidFill>
                    <w14:schemeClr w14:val="tx1"/>
                  </w14:solidFill>
                </w14:textFill>
              </w:rPr>
              <w:t>总量</w:t>
            </w:r>
            <w:r>
              <w:rPr>
                <w:rFonts w:hint="eastAsia"/>
                <w:color w:val="000000" w:themeColor="text1"/>
                <w14:textFill>
                  <w14:solidFill>
                    <w14:schemeClr w14:val="tx1"/>
                  </w14:solidFill>
                </w14:textFill>
              </w:rPr>
              <w:t>（t）</w:t>
            </w:r>
          </w:p>
        </w:tc>
        <w:tc>
          <w:tcPr>
            <w:tcW w:w="86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临界量</w:t>
            </w:r>
            <w:r>
              <w:rPr>
                <w:rFonts w:hint="eastAsia"/>
                <w:color w:val="000000" w:themeColor="text1"/>
                <w14:textFill>
                  <w14:solidFill>
                    <w14:schemeClr w14:val="tx1"/>
                  </w14:solidFill>
                </w14:textFill>
              </w:rPr>
              <w:t>（t）</w:t>
            </w:r>
          </w:p>
        </w:tc>
        <w:tc>
          <w:tcPr>
            <w:tcW w:w="689"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Q值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shd w:val="clear" w:color="auto" w:fill="auto"/>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1889"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氨气</w:t>
            </w:r>
          </w:p>
        </w:tc>
        <w:tc>
          <w:tcPr>
            <w:tcW w:w="1101" w:type="pct"/>
            <w:shd w:val="clear" w:color="auto" w:fill="auto"/>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0.00008</w:t>
            </w:r>
          </w:p>
        </w:tc>
        <w:tc>
          <w:tcPr>
            <w:tcW w:w="86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w:t>
            </w:r>
          </w:p>
        </w:tc>
        <w:tc>
          <w:tcPr>
            <w:tcW w:w="689"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0.0000</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shd w:val="clear" w:color="auto" w:fill="auto"/>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1889"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硫化氢</w:t>
            </w:r>
          </w:p>
        </w:tc>
        <w:tc>
          <w:tcPr>
            <w:tcW w:w="1101" w:type="pct"/>
            <w:shd w:val="clear" w:color="auto" w:fill="auto"/>
          </w:tcPr>
          <w:p>
            <w:pPr>
              <w:pStyle w:val="232"/>
              <w:rPr>
                <w:color w:val="000000" w:themeColor="text1"/>
                <w14:textFill>
                  <w14:solidFill>
                    <w14:schemeClr w14:val="tx1"/>
                  </w14:solidFill>
                </w14:textFill>
              </w:rPr>
            </w:pPr>
            <w:r>
              <w:rPr>
                <w:color w:val="000000" w:themeColor="text1"/>
                <w14:textFill>
                  <w14:solidFill>
                    <w14:schemeClr w14:val="tx1"/>
                  </w14:solidFill>
                </w14:textFill>
              </w:rPr>
              <w:t>0.00</w:t>
            </w:r>
            <w:r>
              <w:rPr>
                <w:rFonts w:hint="eastAsia"/>
                <w:color w:val="000000" w:themeColor="text1"/>
                <w14:textFill>
                  <w14:solidFill>
                    <w14:schemeClr w14:val="tx1"/>
                  </w14:solidFill>
                </w14:textFill>
              </w:rPr>
              <w:t>00031</w:t>
            </w:r>
          </w:p>
        </w:tc>
        <w:tc>
          <w:tcPr>
            <w:tcW w:w="86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5</w:t>
            </w:r>
          </w:p>
        </w:tc>
        <w:tc>
          <w:tcPr>
            <w:tcW w:w="689"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0.00000</w:t>
            </w:r>
            <w:r>
              <w:rPr>
                <w:rFonts w:hint="eastAsia"/>
                <w:color w:val="000000" w:themeColor="text1"/>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0" w:type="pct"/>
            <w:gridSpan w:val="4"/>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9" w:type="pct"/>
            <w:shd w:val="clear" w:color="auto" w:fill="auto"/>
            <w:vAlign w:val="center"/>
          </w:tcPr>
          <w:p>
            <w:pPr>
              <w:pStyle w:val="232"/>
              <w:rPr>
                <w:rFonts w:hint="default" w:eastAsia="等线"/>
                <w:color w:val="000000" w:themeColor="text1"/>
                <w:lang w:val="en-US" w:eastAsia="zh-CN"/>
                <w14:textFill>
                  <w14:solidFill>
                    <w14:schemeClr w14:val="tx1"/>
                  </w14:solidFill>
                </w14:textFill>
              </w:rPr>
            </w:pPr>
            <w:r>
              <w:rPr>
                <w:rFonts w:hint="eastAsia" w:eastAsia="等线"/>
                <w:color w:val="000000" w:themeColor="text1"/>
                <w:lang w:val="en-US" w:eastAsia="zh-CN"/>
                <w14:textFill>
                  <w14:solidFill>
                    <w14:schemeClr w14:val="tx1"/>
                  </w14:solidFill>
                </w14:textFill>
              </w:rPr>
              <w:t>0.0000172</w:t>
            </w:r>
          </w:p>
        </w:tc>
      </w:tr>
    </w:tbl>
    <w:p>
      <w:pPr>
        <w:overflowPunct w:val="0"/>
        <w:ind w:firstLine="480"/>
        <w:rPr>
          <w:color w:val="000000" w:themeColor="text1"/>
          <w:shd w:val="clear" w:color="auto" w:fill="FFFFFF"/>
          <w14:textFill>
            <w14:solidFill>
              <w14:schemeClr w14:val="tx1"/>
            </w14:solidFill>
          </w14:textFill>
        </w:rPr>
      </w:pPr>
      <w:r>
        <w:rPr>
          <w:color w:val="000000" w:themeColor="text1"/>
          <w14:textFill>
            <w14:solidFill>
              <w14:schemeClr w14:val="tx1"/>
            </w14:solidFill>
          </w14:textFill>
        </w:rPr>
        <w:t>经上表计算，</w:t>
      </w:r>
      <w:r>
        <w:rPr>
          <w:rFonts w:hint="eastAsia"/>
          <w:color w:val="000000" w:themeColor="text1"/>
          <w14:textFill>
            <w14:solidFill>
              <w14:schemeClr w14:val="tx1"/>
            </w14:solidFill>
          </w14:textFill>
        </w:rPr>
        <w:t>Q值为</w:t>
      </w:r>
      <w:r>
        <w:rPr>
          <w:rFonts w:hint="eastAsia"/>
          <w:color w:val="000000" w:themeColor="text1"/>
          <w:lang w:val="en-US" w:eastAsia="zh-CN"/>
          <w14:textFill>
            <w14:solidFill>
              <w14:schemeClr w14:val="tx1"/>
            </w14:solidFill>
          </w14:textFill>
        </w:rPr>
        <w:t>0.0000172</w:t>
      </w:r>
      <w:r>
        <w:rPr>
          <w:rFonts w:hint="eastAsia"/>
          <w:color w:val="000000" w:themeColor="text1"/>
          <w14:textFill>
            <w14:solidFill>
              <w14:schemeClr w14:val="tx1"/>
            </w14:solidFill>
          </w14:textFill>
        </w:rPr>
        <w:t>，根据</w:t>
      </w:r>
      <w:r>
        <w:rPr>
          <w:color w:val="000000" w:themeColor="text1"/>
          <w14:textFill>
            <w14:solidFill>
              <w14:schemeClr w14:val="tx1"/>
            </w14:solidFill>
          </w14:textFill>
        </w:rPr>
        <w:t>《建设项目环境风险评价技术导则》（HJ169-2018）</w:t>
      </w:r>
      <w:r>
        <w:rPr>
          <w:rFonts w:hint="eastAsia"/>
          <w:color w:val="000000" w:themeColor="text1"/>
          <w14:textFill>
            <w14:solidFill>
              <w14:schemeClr w14:val="tx1"/>
            </w14:solidFill>
          </w14:textFill>
        </w:rPr>
        <w:t>，Q＜1时，该项目环境风险潜势为I</w:t>
      </w:r>
      <w:r>
        <w:rPr>
          <w:color w:val="000000" w:themeColor="text1"/>
          <w14:textFill>
            <w14:solidFill>
              <w14:schemeClr w14:val="tx1"/>
            </w14:solidFill>
          </w14:textFill>
        </w:rPr>
        <w:t>。</w:t>
      </w:r>
    </w:p>
    <w:p>
      <w:pPr>
        <w:pStyle w:val="5"/>
      </w:pPr>
      <w:bookmarkStart w:id="179" w:name="_Toc489892353"/>
      <w:bookmarkStart w:id="180" w:name="_Toc6648"/>
      <w:bookmarkStart w:id="181" w:name="_Toc405365980"/>
      <w:bookmarkStart w:id="182" w:name="_Toc17106563"/>
      <w:bookmarkStart w:id="183" w:name="_Toc492626842"/>
      <w:bookmarkStart w:id="184" w:name="_Toc101428502"/>
      <w:r>
        <w:t>环境影响评价等级</w:t>
      </w:r>
      <w:bookmarkEnd w:id="179"/>
      <w:bookmarkEnd w:id="180"/>
      <w:bookmarkEnd w:id="181"/>
      <w:bookmarkEnd w:id="182"/>
      <w:bookmarkEnd w:id="183"/>
      <w:r>
        <w:rPr>
          <w:rFonts w:hint="eastAsia"/>
        </w:rPr>
        <w:t>及评价范围</w:t>
      </w:r>
      <w:bookmarkEnd w:id="184"/>
    </w:p>
    <w:p>
      <w:pPr>
        <w:overflowPunct w:val="0"/>
        <w:ind w:firstLine="480"/>
        <w:rPr>
          <w:color w:val="000000" w:themeColor="text1"/>
          <w14:textFill>
            <w14:solidFill>
              <w14:schemeClr w14:val="tx1"/>
            </w14:solidFill>
          </w14:textFill>
        </w:rPr>
      </w:pPr>
      <w:r>
        <w:rPr>
          <w:color w:val="000000" w:themeColor="text1"/>
          <w14:textFill>
            <w14:solidFill>
              <w14:schemeClr w14:val="tx1"/>
            </w14:solidFill>
          </w14:textFill>
        </w:rPr>
        <w:t>根据《建设项目环境风险评价技术导则》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HJ169-2018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，环境风险评价工作等级划分为一级、二级、三级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简单分析。根据建设项目涉及的物质及工艺系统危险性和所在地的环境敏感性确定环境风险潜势，按照下表确定评价工作等级。</w:t>
      </w:r>
    </w:p>
    <w:p>
      <w:pPr>
        <w:pStyle w:val="6"/>
      </w:pPr>
      <w:r>
        <w:t>表</w:t>
      </w:r>
      <w:r>
        <w:rPr>
          <w:rFonts w:hint="eastAsia"/>
        </w:rPr>
        <w:t xml:space="preserve">6.3.1-2  </w:t>
      </w:r>
      <w:r>
        <w:t>环境风险评价工作等级划分表</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523"/>
        <w:gridCol w:w="1801"/>
        <w:gridCol w:w="2077"/>
        <w:gridCol w:w="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833"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环境风险潜势</w:t>
            </w:r>
          </w:p>
        </w:tc>
        <w:tc>
          <w:tcPr>
            <w:tcW w:w="916"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4 \* ROMAN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IV</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4 \* ROMAN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IV</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p>
        </w:tc>
        <w:tc>
          <w:tcPr>
            <w:tcW w:w="1083"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3 \* ROMAN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III</w:t>
            </w:r>
            <w:r>
              <w:rPr>
                <w:color w:val="000000" w:themeColor="text1"/>
                <w14:textFill>
                  <w14:solidFill>
                    <w14:schemeClr w14:val="tx1"/>
                  </w14:solidFill>
                </w14:textFill>
              </w:rPr>
              <w:fldChar w:fldCharType="end"/>
            </w:r>
          </w:p>
        </w:tc>
        <w:tc>
          <w:tcPr>
            <w:tcW w:w="1249"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ROMAN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p>
        </w:tc>
        <w:tc>
          <w:tcPr>
            <w:tcW w:w="916"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ROMAN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w:t>
            </w:r>
            <w:r>
              <w:rPr>
                <w:color w:val="000000" w:themeColor="text1"/>
                <w14:textFill>
                  <w14:solidFill>
                    <w14:schemeClr w14:val="tx1"/>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33"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评价工作等级</w:t>
            </w:r>
          </w:p>
        </w:tc>
        <w:tc>
          <w:tcPr>
            <w:tcW w:w="916"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一</w:t>
            </w:r>
          </w:p>
        </w:tc>
        <w:tc>
          <w:tcPr>
            <w:tcW w:w="1083"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二</w:t>
            </w:r>
          </w:p>
        </w:tc>
        <w:tc>
          <w:tcPr>
            <w:tcW w:w="1249"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三</w:t>
            </w:r>
          </w:p>
        </w:tc>
        <w:tc>
          <w:tcPr>
            <w:tcW w:w="916" w:type="pct"/>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简单分析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5"/>
            <w:tcMar>
              <w:left w:w="0" w:type="dxa"/>
              <w:right w:w="0" w:type="dxa"/>
            </w:tcMar>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简单分析是相对于详细评价工作内容而言，在描述危险物质、环境影响途径、环境危害后果、风险防范措施等方面给出定性的说明</w:t>
            </w:r>
          </w:p>
        </w:tc>
      </w:tr>
      <w:bookmarkEnd w:id="164"/>
    </w:tbl>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由上表可知，本项目环境风险潜势I级，本次环境风险评价等级为简单分析，不设评价范围。根据《建设项目环境风险评价技术导则》（HJ169-2018）“简单分析是相对于详细评价工作内容而言，在描述危险物质、环境影响途径、环境危害后果、风险防范措施等方面给出定性的说明。</w:t>
      </w:r>
    </w:p>
    <w:p>
      <w:pPr>
        <w:pStyle w:val="3"/>
        <w:spacing w:before="120" w:after="120"/>
        <w:rPr>
          <w:color w:val="000000" w:themeColor="text1"/>
          <w14:textFill>
            <w14:solidFill>
              <w14:schemeClr w14:val="tx1"/>
            </w14:solidFill>
          </w14:textFill>
        </w:rPr>
      </w:pPr>
      <w:bookmarkStart w:id="185" w:name="_Toc788"/>
      <w:bookmarkStart w:id="186" w:name="_Toc101428503"/>
      <w:r>
        <w:rPr>
          <w:rFonts w:hint="eastAsia"/>
          <w:color w:val="000000" w:themeColor="text1"/>
          <w14:textFill>
            <w14:solidFill>
              <w14:schemeClr w14:val="tx1"/>
            </w14:solidFill>
          </w14:textFill>
        </w:rPr>
        <w:t>环境风险分析</w:t>
      </w:r>
      <w:bookmarkEnd w:id="185"/>
      <w:bookmarkEnd w:id="186"/>
    </w:p>
    <w:p>
      <w:pPr>
        <w:pStyle w:val="4"/>
        <w:rPr>
          <w:color w:val="000000" w:themeColor="text1"/>
          <w14:textFill>
            <w14:solidFill>
              <w14:schemeClr w14:val="tx1"/>
            </w14:solidFill>
          </w14:textFill>
        </w:rPr>
      </w:pPr>
      <w:bookmarkStart w:id="187" w:name="_Toc101428504"/>
      <w:bookmarkStart w:id="188" w:name="_Toc80387328"/>
      <w:bookmarkStart w:id="189" w:name="_Toc17106568"/>
      <w:bookmarkStart w:id="190" w:name="_Toc19642"/>
      <w:r>
        <w:rPr>
          <w:color w:val="000000" w:themeColor="text1"/>
          <w14:textFill>
            <w14:solidFill>
              <w14:schemeClr w14:val="tx1"/>
            </w14:solidFill>
          </w14:textFill>
        </w:rPr>
        <w:t>影响途径</w:t>
      </w:r>
      <w:bookmarkEnd w:id="187"/>
      <w:bookmarkEnd w:id="188"/>
    </w:p>
    <w:p>
      <w:pPr>
        <w:ind w:firstLine="480"/>
      </w:pPr>
      <w:r>
        <w:rPr>
          <w:rFonts w:hint="eastAsia"/>
        </w:rPr>
        <w:t>污染单元</w:t>
      </w:r>
      <w:r>
        <w:rPr>
          <w:rFonts w:hint="eastAsia"/>
          <w:lang w:eastAsia="zh-CN"/>
        </w:rPr>
        <w:t>有机肥堆场</w:t>
      </w:r>
      <w:r>
        <w:rPr>
          <w:rFonts w:hint="eastAsia"/>
        </w:rPr>
        <w:t>的硬化地面、防渗设置出现破损，出现污水渗漏的情况。</w:t>
      </w:r>
    </w:p>
    <w:p>
      <w:pPr>
        <w:ind w:firstLine="480"/>
      </w:pPr>
      <w:r>
        <w:rPr>
          <w:rFonts w:hint="eastAsia"/>
        </w:rPr>
        <w:t>针对本项目的养殖区、</w:t>
      </w:r>
      <w:r>
        <w:rPr>
          <w:rFonts w:hint="eastAsia"/>
          <w:lang w:eastAsia="zh-CN"/>
        </w:rPr>
        <w:t>有机肥堆场</w:t>
      </w:r>
      <w:r>
        <w:rPr>
          <w:rFonts w:hint="eastAsia"/>
        </w:rPr>
        <w:t>等场地发生硬化面破损，即使物料或污水等泄漏，对地下水造成潜在危害这一现象，按照目前的管理规范，必须及时采取措施，防止物料或污水漫流渗漏，且在建设中，应针对不同区域采取相应防渗措施。对于泄漏初期短时间物料暴露而污染的少量土壤，则会通过挖出进行处置，以免其渗入地下水。</w:t>
      </w:r>
    </w:p>
    <w:p>
      <w:pPr>
        <w:ind w:firstLine="480"/>
      </w:pPr>
      <w:r>
        <w:rPr>
          <w:rFonts w:hint="eastAsia"/>
        </w:rPr>
        <w:t>在</w:t>
      </w:r>
      <w:r>
        <w:rPr>
          <w:rFonts w:hint="eastAsia"/>
          <w:lang w:eastAsia="zh-CN"/>
        </w:rPr>
        <w:t>有机肥堆场</w:t>
      </w:r>
      <w:r>
        <w:rPr>
          <w:rFonts w:hint="eastAsia"/>
        </w:rPr>
        <w:t>等污染单元等这些半地下水非可视部位发生渗漏时，才可能有污染物通过漏点，逐步渗入包气带并可能进入地下水。</w:t>
      </w:r>
    </w:p>
    <w:p>
      <w:pPr>
        <w:ind w:firstLine="480"/>
        <w:rPr>
          <w:color w:val="000000" w:themeColor="text1"/>
          <w14:textFill>
            <w14:solidFill>
              <w14:schemeClr w14:val="tx1"/>
            </w14:solidFill>
          </w14:textFill>
        </w:rPr>
      </w:pPr>
      <w:r>
        <w:rPr>
          <w:rFonts w:hint="eastAsia"/>
        </w:rPr>
        <w:t>由地下水预测结果可知，在发生意外泄漏事故的情况下，在非正常情况下，污染物泄漏量增加，但只要防渗措施不出现问题，对地下水造成污染的风险较低，如果叠加出现防渗层破损情况，则对</w:t>
      </w:r>
      <w:r>
        <w:rPr>
          <w:rFonts w:hint="eastAsia"/>
          <w:lang w:eastAsia="zh-CN"/>
        </w:rPr>
        <w:t>有机肥堆场</w:t>
      </w:r>
      <w:r>
        <w:rPr>
          <w:rFonts w:hint="eastAsia"/>
        </w:rPr>
        <w:t>附近地下水造成影响，污染风险较大。由预测结果可知，增加防渗设施后能有效地降低对地下水环境的影响。因此，应对厂区内实施严格的防渗、建立完善的地下水监测系统，强化地下水应急排水措施。当发生污染物泄露事故后，必须立即启动应急预案，参照预测结果，分析污染事故的发展趋势，并提出下一步预防和防治措施，迅速控制或切断事件灾害链，对污水进行封闭、截流，抽出污水送污水处理场集中处理，使污染地下水扩散得到有效抑制，最大限度地保护下游地下水水质安全，将损失降到最低限度。根据建设项目的生产特征，结合物质危险性识别，对项目功能系统划分功能单元，确定潜在的危险单元及重点风</w:t>
      </w:r>
      <w:r>
        <w:rPr>
          <w:rFonts w:hint="eastAsia"/>
          <w:color w:val="000000" w:themeColor="text1"/>
          <w14:textFill>
            <w14:solidFill>
              <w14:schemeClr w14:val="tx1"/>
            </w14:solidFill>
          </w14:textFill>
        </w:rPr>
        <w:t>险源。</w:t>
      </w:r>
    </w:p>
    <w:p>
      <w:pPr>
        <w:pStyle w:val="3"/>
        <w:spacing w:before="120" w:after="120"/>
        <w:rPr>
          <w:color w:val="000000" w:themeColor="text1"/>
          <w14:textFill>
            <w14:solidFill>
              <w14:schemeClr w14:val="tx1"/>
            </w14:solidFill>
          </w14:textFill>
        </w:rPr>
      </w:pPr>
      <w:bookmarkStart w:id="191" w:name="_Toc101428505"/>
      <w:bookmarkStart w:id="192" w:name="_Toc24989"/>
      <w:r>
        <w:rPr>
          <w:rFonts w:hint="eastAsia"/>
          <w:color w:val="000000" w:themeColor="text1"/>
          <w14:textFill>
            <w14:solidFill>
              <w14:schemeClr w14:val="tx1"/>
            </w14:solidFill>
          </w14:textFill>
        </w:rPr>
        <w:t>风险事故情形分析</w:t>
      </w:r>
      <w:bookmarkEnd w:id="191"/>
      <w:bookmarkEnd w:id="192"/>
    </w:p>
    <w:p>
      <w:pPr>
        <w:ind w:firstLine="480"/>
      </w:pPr>
      <w:r>
        <w:rPr>
          <w:rFonts w:hint="eastAsia"/>
        </w:rPr>
        <w:t>本项目污水事故排放是指粪污水未经处理，直接排放的情况。废水直接外排会对地表水、地下水、土壤、大气环境等产生不利影响。</w:t>
      </w:r>
    </w:p>
    <w:p>
      <w:pPr>
        <w:ind w:firstLine="480"/>
      </w:pPr>
      <w:r>
        <w:rPr>
          <w:rFonts w:hint="eastAsia"/>
        </w:rPr>
        <w:t>（1）土壤</w:t>
      </w:r>
    </w:p>
    <w:p>
      <w:pPr>
        <w:ind w:firstLine="480"/>
      </w:pPr>
      <w:r>
        <w:rPr>
          <w:rFonts w:hint="eastAsia"/>
        </w:rPr>
        <w:t>废水中高浓度的有机物和氨氮会使土壤环境质量恶化。当粪污水直接外排量超过了土壤的自净能力，便会出现降解不完成和厌氧腐化，产生恶臭物质和亚硝酸盐等有害物质，引起土壤的组成和性状发生改变，破坏其原有的基本功能，作物徒长、倒伏、晚熟或不熟，造成减产，甚至毒害作物，大面积地腐坏。此外，土壤对病原微生物的自净能力下降，不仅增加了净化难度，而且容易造成生物污染和疫病传播。</w:t>
      </w:r>
    </w:p>
    <w:p>
      <w:pPr>
        <w:ind w:firstLine="480"/>
      </w:pPr>
      <w:r>
        <w:rPr>
          <w:rFonts w:hint="eastAsia"/>
        </w:rPr>
        <w:t>（2）大气</w:t>
      </w:r>
    </w:p>
    <w:p>
      <w:pPr>
        <w:ind w:firstLine="480"/>
      </w:pPr>
      <w:r>
        <w:rPr>
          <w:rFonts w:hint="eastAsia"/>
        </w:rPr>
        <w:t>废水会散发出高浓度的恶臭气体，造成空气中含氧量下降，污浊度上升，轻则降低空气质量，产生异味妨碍人畜健康生长，重则引起呼吸系统疾病，造成人畜死亡。未经任何处理的养殖废水含有大量的微生物，在风的作用下，极易扩散在空气中，可能引起口蹄疫和大肠埃希菌、炭疽、布氏杆菌、真菌孢子等引起的疫病传播，危害人畜健康。</w:t>
      </w:r>
    </w:p>
    <w:p>
      <w:pPr>
        <w:ind w:firstLine="480"/>
      </w:pPr>
      <w:r>
        <w:rPr>
          <w:rFonts w:hint="eastAsia"/>
        </w:rPr>
        <w:t>（</w:t>
      </w:r>
      <w:r>
        <w:t>3</w:t>
      </w:r>
      <w:r>
        <w:rPr>
          <w:rFonts w:hint="eastAsia"/>
        </w:rPr>
        <w:t>）地表水</w:t>
      </w:r>
    </w:p>
    <w:p>
      <w:pPr>
        <w:ind w:firstLine="480"/>
      </w:pPr>
      <w:r>
        <w:rPr>
          <w:rFonts w:hint="eastAsia"/>
        </w:rPr>
        <w:t>养殖场高浓度污水通过泄洪渠进入自然水体后，使水中有机物、固体悬浮物和微生物等含量增高，改变水体的物理、化学和生物组成群落，使水质变差。粪污中含有大量的病原微生物将通过水体或水生动植物进行扩散传播，危害人畜健康。此外，粪污中大量的有机物生物降解和水生生物的大量繁殖，消耗水体中的溶解氧，使水体变黑发臭，最终造成水生生物大量死亡，产生水体富营养化，失去水体原有功能。</w:t>
      </w:r>
    </w:p>
    <w:p>
      <w:pPr>
        <w:ind w:firstLine="480"/>
      </w:pPr>
      <w:r>
        <w:rPr>
          <w:rFonts w:hint="eastAsia"/>
        </w:rPr>
        <w:t>（</w:t>
      </w:r>
      <w:r>
        <w:t>4</w:t>
      </w:r>
      <w:r>
        <w:rPr>
          <w:rFonts w:hint="eastAsia"/>
        </w:rPr>
        <w:t>）地下水</w:t>
      </w:r>
    </w:p>
    <w:p>
      <w:pPr>
        <w:ind w:firstLine="480"/>
      </w:pPr>
      <w:r>
        <w:rPr>
          <w:rFonts w:hint="eastAsia"/>
        </w:rPr>
        <w:t>养殖场高浓度污水直接排入土壤，废水中的氮、磷以及其他有毒有害成分渗入地下污染地下水，导致地下水水质下降，严重时，造成地下水发黑发臭，一旦造成地下水污染，极难治理恢复，从而造成持久性污染。</w:t>
      </w:r>
    </w:p>
    <w:bookmarkEnd w:id="189"/>
    <w:bookmarkEnd w:id="190"/>
    <w:p>
      <w:pPr>
        <w:pStyle w:val="3"/>
        <w:spacing w:before="120" w:after="120"/>
        <w:rPr>
          <w:color w:val="000000" w:themeColor="text1"/>
          <w14:textFill>
            <w14:solidFill>
              <w14:schemeClr w14:val="tx1"/>
            </w14:solidFill>
          </w14:textFill>
        </w:rPr>
      </w:pPr>
      <w:bookmarkStart w:id="193" w:name="_Toc7802"/>
      <w:bookmarkStart w:id="194" w:name="_Toc101428506"/>
      <w:r>
        <w:rPr>
          <w:rFonts w:hint="eastAsia"/>
          <w:color w:val="000000" w:themeColor="text1"/>
          <w14:textFill>
            <w14:solidFill>
              <w14:schemeClr w14:val="tx1"/>
            </w14:solidFill>
          </w14:textFill>
        </w:rPr>
        <w:t>环境风险管理</w:t>
      </w:r>
      <w:bookmarkEnd w:id="193"/>
      <w:bookmarkEnd w:id="194"/>
    </w:p>
    <w:p>
      <w:pPr>
        <w:pStyle w:val="4"/>
        <w:rPr>
          <w:color w:val="000000" w:themeColor="text1"/>
          <w14:textFill>
            <w14:solidFill>
              <w14:schemeClr w14:val="tx1"/>
            </w14:solidFill>
          </w14:textFill>
        </w:rPr>
      </w:pPr>
      <w:bookmarkStart w:id="195" w:name="_Toc101428507"/>
      <w:r>
        <w:rPr>
          <w:rFonts w:hint="eastAsia"/>
          <w:color w:val="000000" w:themeColor="text1"/>
          <w14:textFill>
            <w14:solidFill>
              <w14:schemeClr w14:val="tx1"/>
            </w14:solidFill>
          </w14:textFill>
        </w:rPr>
        <w:t>环境风险防范措施</w:t>
      </w:r>
      <w:bookmarkEnd w:id="195"/>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废水风险防范措施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（1）设备、管道设计按有关规定留有满足要求的安全系数，均按规范进行强度实验、严密性测试和防腐措施检验；工程抗震设防烈度8度。采取符合要求的静电、雷击防护措施；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）养殖场的排水系统应实行雨水和污水收集输送系统分离，避免雨水进入废水收集系统中；羊舍设置合适坡度，以利雨水的排出，羊舍屋面雨水、道路雨水采用自流式排水，经过雨水管道排入场区排水沟排出。</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）本项目</w:t>
      </w: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按照《畜禽养殖业污染治理工程技术规范》要求应取防渗措施。具体防渗措施要求如下：</w:t>
      </w:r>
    </w:p>
    <w:p>
      <w:pPr>
        <w:ind w:firstLine="480"/>
        <w:rPr>
          <w:color w:val="000000"/>
          <w:kern w:val="0"/>
          <w:lang w:bidi="ar"/>
        </w:rPr>
      </w:pPr>
      <w:r>
        <w:rPr>
          <w:rFonts w:hint="eastAsia"/>
        </w:rPr>
        <w:t>因本项目</w:t>
      </w:r>
      <w:r>
        <w:rPr>
          <w:rFonts w:hint="eastAsia" w:ascii="宋体" w:hAnsi="宋体" w:cs="宋体"/>
          <w:color w:val="000000"/>
          <w:kern w:val="0"/>
          <w:lang w:bidi="ar"/>
        </w:rPr>
        <w:t>土地现状主要为盐碱地，含盐量在</w:t>
      </w:r>
      <w:r>
        <w:rPr>
          <w:color w:val="000000"/>
          <w:kern w:val="0"/>
          <w:lang w:bidi="ar"/>
        </w:rPr>
        <w:t>0.3%</w:t>
      </w:r>
      <w:r>
        <w:rPr>
          <w:rFonts w:hint="eastAsia" w:ascii="宋体" w:hAnsi="宋体" w:cs="宋体"/>
          <w:color w:val="000000"/>
          <w:kern w:val="0"/>
          <w:lang w:bidi="ar"/>
        </w:rPr>
        <w:t>～</w:t>
      </w:r>
      <w:r>
        <w:rPr>
          <w:color w:val="000000"/>
          <w:kern w:val="0"/>
          <w:lang w:bidi="ar"/>
        </w:rPr>
        <w:t>1.0%</w:t>
      </w:r>
      <w:r>
        <w:rPr>
          <w:rFonts w:hint="eastAsia" w:ascii="宋体" w:hAnsi="宋体" w:cs="宋体"/>
          <w:color w:val="000000"/>
          <w:kern w:val="0"/>
          <w:lang w:bidi="ar"/>
        </w:rPr>
        <w:t>，并达到中重度碱化程度，地下水水位埋深</w:t>
      </w:r>
      <w:r>
        <w:rPr>
          <w:color w:val="000000"/>
          <w:kern w:val="0"/>
          <w:lang w:bidi="ar"/>
        </w:rPr>
        <w:t>2.52</w:t>
      </w:r>
      <w:r>
        <w:rPr>
          <w:rFonts w:hint="eastAsia"/>
          <w:color w:val="000000"/>
          <w:kern w:val="0"/>
          <w:lang w:bidi="ar"/>
        </w:rPr>
        <w:t>~</w:t>
      </w:r>
      <w:r>
        <w:rPr>
          <w:color w:val="000000"/>
          <w:kern w:val="0"/>
          <w:lang w:bidi="ar"/>
        </w:rPr>
        <w:t>3.14m</w:t>
      </w:r>
      <w:r>
        <w:rPr>
          <w:rFonts w:hint="eastAsia" w:ascii="宋体" w:hAnsi="宋体" w:cs="宋体"/>
          <w:color w:val="000000"/>
          <w:kern w:val="0"/>
          <w:lang w:bidi="ar"/>
        </w:rPr>
        <w:t>不等，盐碱地块与周围地表存在</w:t>
      </w:r>
      <w:r>
        <w:rPr>
          <w:color w:val="000000"/>
          <w:kern w:val="0"/>
          <w:lang w:bidi="ar"/>
        </w:rPr>
        <w:t>0.8~1.0m</w:t>
      </w:r>
      <w:r>
        <w:rPr>
          <w:rFonts w:hint="eastAsia" w:ascii="宋体" w:hAnsi="宋体" w:cs="宋体"/>
          <w:color w:val="000000"/>
          <w:kern w:val="0"/>
          <w:lang w:bidi="ar"/>
        </w:rPr>
        <w:t>高差，将对其基础工程进行换土，利用粉煤灰作建筑地基垫层，主要方法为以粉煤灰为主，掺合少量石灰和粉土制成混合料，每层铺厚</w:t>
      </w:r>
      <w:r>
        <w:rPr>
          <w:color w:val="000000"/>
          <w:kern w:val="0"/>
          <w:lang w:bidi="ar"/>
        </w:rPr>
        <w:t>40~60cm</w:t>
      </w:r>
      <w:r>
        <w:rPr>
          <w:rFonts w:hint="eastAsia" w:ascii="宋体" w:hAnsi="宋体" w:cs="宋体"/>
          <w:color w:val="000000"/>
          <w:kern w:val="0"/>
          <w:lang w:bidi="ar"/>
        </w:rPr>
        <w:t>后振动碾压，压实密度不小于</w:t>
      </w:r>
      <w:r>
        <w:rPr>
          <w:color w:val="000000"/>
          <w:kern w:val="0"/>
          <w:lang w:bidi="ar"/>
        </w:rPr>
        <w:t>0.93</w:t>
      </w:r>
      <w:r>
        <w:rPr>
          <w:rFonts w:hint="eastAsia"/>
          <w:color w:val="000000"/>
          <w:kern w:val="0"/>
          <w:lang w:bidi="ar"/>
        </w:rPr>
        <w:t>。</w:t>
      </w:r>
    </w:p>
    <w:p>
      <w:pPr>
        <w:ind w:firstLine="480"/>
        <w:rPr>
          <w:color w:val="000000"/>
          <w:kern w:val="0"/>
          <w:lang w:bidi="ar"/>
        </w:rPr>
      </w:pPr>
      <w:r>
        <w:rPr>
          <w:rFonts w:hint="eastAsia"/>
          <w:color w:val="000000"/>
          <w:kern w:val="0"/>
          <w:lang w:bidi="ar"/>
        </w:rPr>
        <w:t>同时，项目严格按照有关要求根据功能区划对场内进行分区防渗。</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①重点防渗区</w:t>
      </w:r>
    </w:p>
    <w:p>
      <w:pPr>
        <w:ind w:firstLine="480"/>
        <w:rPr>
          <w:color w:val="000000" w:themeColor="text1"/>
          <w14:textFill>
            <w14:solidFill>
              <w14:schemeClr w14:val="tx1"/>
            </w14:solidFill>
          </w14:textFill>
        </w:rPr>
      </w:pP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等重点防渗区铺设2mm厚HDPE土工膜进行防渗，或可参照</w:t>
      </w:r>
      <w:r>
        <w:rPr>
          <w:rFonts w:hint="eastAsia"/>
          <w:color w:val="FF0000"/>
        </w:rPr>
        <w:t>《危险废物贮存污染控制标准》（GB18597-20</w:t>
      </w:r>
      <w:r>
        <w:rPr>
          <w:rFonts w:hint="eastAsia"/>
          <w:color w:val="FF0000"/>
          <w:lang w:val="en-US" w:eastAsia="zh-CN"/>
        </w:rPr>
        <w:t>23</w:t>
      </w:r>
      <w:r>
        <w:rPr>
          <w:rFonts w:hint="eastAsia"/>
          <w:color w:val="FF0000"/>
        </w:rPr>
        <w:t>）</w:t>
      </w:r>
      <w:r>
        <w:rPr>
          <w:rFonts w:hint="eastAsia"/>
          <w:color w:val="000000" w:themeColor="text1"/>
          <w14:textFill>
            <w14:solidFill>
              <w14:schemeClr w14:val="tx1"/>
            </w14:solidFill>
          </w14:textFill>
        </w:rPr>
        <w:t>中的相关要求进行防渗，渗透系数不大于1.0×10</w:t>
      </w:r>
      <w:r>
        <w:rPr>
          <w:rFonts w:hint="eastAsia"/>
          <w:color w:val="000000" w:themeColor="text1"/>
          <w:vertAlign w:val="superscript"/>
          <w14:textFill>
            <w14:solidFill>
              <w14:schemeClr w14:val="tx1"/>
            </w14:solidFill>
          </w14:textFill>
        </w:rPr>
        <w:t>-10</w:t>
      </w:r>
      <w:r>
        <w:rPr>
          <w:rFonts w:hint="eastAsia"/>
          <w:color w:val="000000" w:themeColor="text1"/>
          <w14:textFill>
            <w14:solidFill>
              <w14:schemeClr w14:val="tx1"/>
            </w14:solidFill>
          </w14:textFill>
        </w:rPr>
        <w:t>cm/s。</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②一般防渗区</w:t>
      </w:r>
    </w:p>
    <w:p>
      <w:pPr>
        <w:ind w:firstLine="480"/>
        <w:rPr>
          <w:color w:val="000000" w:themeColor="text1"/>
          <w14:textFill>
            <w14:solidFill>
              <w14:schemeClr w14:val="tx1"/>
            </w14:solidFill>
          </w14:textFill>
        </w:rPr>
      </w:pPr>
      <w:r>
        <w:rPr>
          <w:rFonts w:hint="eastAsia"/>
          <w:color w:val="92D050"/>
          <w:lang w:eastAsia="zh-CN"/>
        </w:rPr>
        <w:t>有机肥堆场</w:t>
      </w:r>
      <w:r>
        <w:rPr>
          <w:rFonts w:hint="eastAsia"/>
          <w:color w:val="000000" w:themeColor="text1"/>
          <w14:textFill>
            <w14:solidFill>
              <w14:schemeClr w14:val="tx1"/>
            </w14:solidFill>
          </w14:textFill>
        </w:rPr>
        <w:t>、羊舍粪污通道等构筑物，均参照《一般工业固体废物贮存和填埋污染控制标准》（GB18599-2020）中的相关要求进行防渗，渗透系数≤1.0×10</w:t>
      </w:r>
      <w:r>
        <w:rPr>
          <w:rFonts w:hint="eastAsia"/>
          <w:color w:val="000000" w:themeColor="text1"/>
          <w:vertAlign w:val="superscript"/>
          <w14:textFill>
            <w14:solidFill>
              <w14:schemeClr w14:val="tx1"/>
            </w14:solidFill>
          </w14:textFill>
        </w:rPr>
        <w:t xml:space="preserve"> -7</w:t>
      </w:r>
      <w:r>
        <w:rPr>
          <w:rFonts w:hint="eastAsia"/>
          <w:color w:val="000000" w:themeColor="text1"/>
          <w14:textFill>
            <w14:solidFill>
              <w14:schemeClr w14:val="tx1"/>
            </w14:solidFill>
          </w14:textFill>
        </w:rPr>
        <w:t>cm/s；</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③简单防渗区</w:t>
      </w:r>
    </w:p>
    <w:p>
      <w:pPr>
        <w:ind w:firstLine="480"/>
        <w:rPr>
          <w:rFonts w:ascii="宋体" w:hAnsi="宋体"/>
          <w:color w:val="000000" w:themeColor="text1"/>
          <w14:textFill>
            <w14:solidFill>
              <w14:schemeClr w14:val="tx1"/>
            </w14:solidFill>
          </w14:textFill>
        </w:rPr>
      </w:pPr>
      <w:r>
        <w:rPr>
          <w:rFonts w:hint="eastAsia"/>
          <w:color w:val="000000" w:themeColor="text1"/>
          <w14:textFill>
            <w14:solidFill>
              <w14:schemeClr w14:val="tx1"/>
            </w14:solidFill>
          </w14:textFill>
        </w:rPr>
        <w:t>主要为青贮池、场区道路、饲料混合加工区、</w:t>
      </w:r>
      <w:r>
        <w:rPr>
          <w:rFonts w:hint="eastAsia"/>
          <w:color w:val="000000" w:themeColor="text1"/>
          <w:lang w:val="en-US" w:eastAsia="zh-CN"/>
          <w14:textFill>
            <w14:solidFill>
              <w14:schemeClr w14:val="tx1"/>
            </w14:solidFill>
          </w14:textFill>
        </w:rPr>
        <w:t>实验室、</w:t>
      </w:r>
      <w:r>
        <w:rPr>
          <w:rFonts w:hint="eastAsia"/>
          <w:color w:val="000000" w:themeColor="text1"/>
          <w14:textFill>
            <w14:solidFill>
              <w14:schemeClr w14:val="tx1"/>
            </w14:solidFill>
          </w14:textFill>
        </w:rPr>
        <w:t>运输道路单元等，采取水泥硬化处理要求建设。</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）根据《环境影响评价技术导则 地下水环境》（HJ610-2016），本项目地下水为三级评价，根据当地水文地质资料，项目所在地地下水流向为西北向东南，本项目在</w:t>
      </w:r>
      <w:r>
        <w:rPr>
          <w:rFonts w:hint="eastAsia"/>
          <w:color w:val="92D050"/>
          <w:lang w:eastAsia="zh-CN"/>
        </w:rPr>
        <w:t>有机肥堆场</w:t>
      </w:r>
      <w:r>
        <w:rPr>
          <w:rFonts w:hint="eastAsia"/>
          <w:color w:val="000000" w:themeColor="text1"/>
          <w14:textFill>
            <w14:solidFill>
              <w14:schemeClr w14:val="tx1"/>
            </w14:solidFill>
          </w14:textFill>
        </w:rPr>
        <w:t>东南方向设置1口地下水监测井。</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）加强事故监控。企业内部人员应定期巡检，对于</w:t>
      </w:r>
      <w:r>
        <w:rPr>
          <w:rFonts w:hint="eastAsia"/>
          <w:color w:val="92D050"/>
          <w:lang w:eastAsia="zh-CN"/>
        </w:rPr>
        <w:t>有机肥堆场</w:t>
      </w:r>
      <w:r>
        <w:rPr>
          <w:rFonts w:hint="eastAsia"/>
          <w:color w:val="000000" w:themeColor="text1"/>
          <w14:textFill>
            <w14:solidFill>
              <w14:schemeClr w14:val="tx1"/>
            </w14:solidFill>
          </w14:textFill>
        </w:rPr>
        <w:t>要定期进行维护。及时发现各种可能引起养殖废水事故排放的异常情形，并在相关人员的配合下消除事故隐患。</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管理措施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（1）制定安全管理制度及建立有效的安全管理组织，确保各种有关的安全管理规定能在各个环节上得到充分落实，并能有所改进与提高；</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（2）在投产运行前，应制定出正常、异常或紧急状态下的操作手册和维修手册，并对操作、维修人员进行培训，避免因严重操作失误而造成的事故；</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（3）加强对工作人员安全素质方面的教育及训练，包括安全知识、安全技术、安全心理、职业卫生及排险与消防活动等，而且要时常演练与考核；</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（4）制定应急操作规程，在规程中应说明发生事故时应采取的操作步骤，规定抢修进度，限制事故的影响；</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（5）对重要的仪器设备有完善的检查项目、维护方法；按计划进行定期维护；有专门档案（包括维护记录档案），文件齐全；</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（6）项目养殖区内干草棚等易燃区，应设有醒目的“严禁烟火”标志和并建立安全防火制度。</w:t>
      </w:r>
    </w:p>
    <w:p>
      <w:pPr>
        <w:pStyle w:val="4"/>
        <w:rPr>
          <w:color w:val="000000" w:themeColor="text1"/>
          <w14:textFill>
            <w14:solidFill>
              <w14:schemeClr w14:val="tx1"/>
            </w14:solidFill>
          </w14:textFill>
        </w:rPr>
      </w:pPr>
      <w:bookmarkStart w:id="196" w:name="_Toc101428508"/>
      <w:r>
        <w:rPr>
          <w:rFonts w:hint="eastAsia"/>
          <w:color w:val="000000" w:themeColor="text1"/>
          <w14:textFill>
            <w14:solidFill>
              <w14:schemeClr w14:val="tx1"/>
            </w14:solidFill>
          </w14:textFill>
        </w:rPr>
        <w:t>突发环境事件应急预案编制要求</w:t>
      </w:r>
      <w:bookmarkEnd w:id="196"/>
    </w:p>
    <w:p>
      <w:pPr>
        <w:ind w:firstLine="480"/>
      </w:pPr>
      <w:r>
        <w:rPr>
          <w:rFonts w:hint="eastAsia"/>
        </w:rPr>
        <w:t>根据《建设项目环境风险评价技术导则》（HJ169-2018），按照国家、地方和相关部门要求，本次评价提出企业突发环境事件应急预案编制的原则要求：</w:t>
      </w:r>
    </w:p>
    <w:p>
      <w:pPr>
        <w:ind w:firstLine="480"/>
      </w:pPr>
      <w:r>
        <w:rPr>
          <w:rFonts w:hint="eastAsia"/>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pPr>
        <w:ind w:firstLine="480"/>
      </w:pPr>
      <w:r>
        <w:rPr>
          <w:rFonts w:hint="eastAsia"/>
        </w:rPr>
        <w:t>应急预案明确企业、园区/区域、地方政府环境风险应急体系。企业突发环境事件应急预案应体现分级响应、区域联动的原则，与地方政府突发环境事件应急预案相衔接，明确分级响应程序。</w:t>
      </w:r>
    </w:p>
    <w:p>
      <w:pPr>
        <w:pStyle w:val="3"/>
        <w:spacing w:before="120" w:after="120"/>
        <w:rPr>
          <w:color w:val="000000" w:themeColor="text1"/>
          <w14:textFill>
            <w14:solidFill>
              <w14:schemeClr w14:val="tx1"/>
            </w14:solidFill>
          </w14:textFill>
        </w:rPr>
      </w:pPr>
      <w:bookmarkStart w:id="197" w:name="_Toc30057"/>
      <w:bookmarkStart w:id="198" w:name="_Toc101428509"/>
      <w:r>
        <w:rPr>
          <w:rFonts w:hint="eastAsia"/>
          <w:color w:val="000000" w:themeColor="text1"/>
          <w14:textFill>
            <w14:solidFill>
              <w14:schemeClr w14:val="tx1"/>
            </w14:solidFill>
          </w14:textFill>
        </w:rPr>
        <w:t>结论</w:t>
      </w:r>
      <w:bookmarkEnd w:id="197"/>
      <w:bookmarkEnd w:id="198"/>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根据2.5.6风险评价等级判定，本项目环境风险潜势为</w:t>
      </w:r>
      <w:r>
        <w:rPr>
          <w:color w:val="000000" w:themeColor="text1"/>
          <w14:textFill>
            <w14:solidFill>
              <w14:schemeClr w14:val="tx1"/>
            </w14:solidFill>
          </w14:textFill>
        </w:rPr>
        <w:t>Ⅰ</w:t>
      </w:r>
      <w:r>
        <w:rPr>
          <w:rFonts w:hint="eastAsia"/>
          <w:color w:val="000000" w:themeColor="text1"/>
          <w14:textFill>
            <w14:solidFill>
              <w14:schemeClr w14:val="tx1"/>
            </w14:solidFill>
          </w14:textFill>
        </w:rPr>
        <w:t>级，评价等级为简单分析。项目环境风险简单分析内容见表6</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-1。</w:t>
      </w:r>
    </w:p>
    <w:p>
      <w:pPr>
        <w:pStyle w:val="6"/>
      </w:pPr>
      <w:r>
        <w:t>表</w:t>
      </w:r>
      <w:r>
        <w:rPr>
          <w:rFonts w:hint="eastAsia"/>
        </w:rPr>
        <w:t>6</w:t>
      </w:r>
      <w:r>
        <w:t>.7</w:t>
      </w:r>
      <w:r>
        <w:rPr>
          <w:rFonts w:hint="eastAsia"/>
        </w:rPr>
        <w:t>-1    建设项目环境风险简单分析内容表</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2190"/>
        <w:gridCol w:w="1348"/>
        <w:gridCol w:w="1704"/>
        <w:gridCol w:w="1440"/>
        <w:gridCol w:w="1837"/>
      </w:tblGrid>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39" w:hRule="atLeast"/>
        </w:trPr>
        <w:tc>
          <w:tcPr>
            <w:tcW w:w="12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建设项目名称</w:t>
            </w:r>
          </w:p>
        </w:tc>
        <w:tc>
          <w:tcPr>
            <w:tcW w:w="3714" w:type="pct"/>
            <w:gridSpan w:val="4"/>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内蒙古春园满循环农业科技有限公司肉羊养殖园区项目</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39" w:hRule="atLeast"/>
        </w:trPr>
        <w:tc>
          <w:tcPr>
            <w:tcW w:w="12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建设地点</w:t>
            </w:r>
          </w:p>
        </w:tc>
        <w:tc>
          <w:tcPr>
            <w:tcW w:w="79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（内蒙古）</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自治区</w:t>
            </w:r>
          </w:p>
        </w:tc>
        <w:tc>
          <w:tcPr>
            <w:tcW w:w="100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（巴彦淖尔）市</w:t>
            </w:r>
          </w:p>
        </w:tc>
        <w:tc>
          <w:tcPr>
            <w:tcW w:w="84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（五原）旗县</w:t>
            </w:r>
          </w:p>
        </w:tc>
        <w:tc>
          <w:tcPr>
            <w:tcW w:w="10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塔尔湖镇</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39" w:hRule="atLeast"/>
        </w:trPr>
        <w:tc>
          <w:tcPr>
            <w:tcW w:w="12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地理坐标</w:t>
            </w:r>
          </w:p>
        </w:tc>
        <w:tc>
          <w:tcPr>
            <w:tcW w:w="79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经度</w:t>
            </w:r>
          </w:p>
        </w:tc>
        <w:tc>
          <w:tcPr>
            <w:tcW w:w="100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E107°47</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9.50</w:t>
            </w:r>
            <w:r>
              <w:rPr>
                <w:color w:val="000000" w:themeColor="text1"/>
                <w14:textFill>
                  <w14:solidFill>
                    <w14:schemeClr w14:val="tx1"/>
                  </w14:solidFill>
                </w14:textFill>
              </w:rPr>
              <w:t>”</w:t>
            </w:r>
          </w:p>
        </w:tc>
        <w:tc>
          <w:tcPr>
            <w:tcW w:w="84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纬度</w:t>
            </w:r>
          </w:p>
        </w:tc>
        <w:tc>
          <w:tcPr>
            <w:tcW w:w="10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N41°6′14.55"</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2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主要危险物质及分布</w:t>
            </w:r>
          </w:p>
        </w:tc>
        <w:tc>
          <w:tcPr>
            <w:tcW w:w="3714" w:type="pct"/>
            <w:gridSpan w:val="4"/>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12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环境影响途径及危害后果（大气、地表水、地下水等）</w:t>
            </w:r>
          </w:p>
        </w:tc>
        <w:tc>
          <w:tcPr>
            <w:tcW w:w="3714" w:type="pct"/>
            <w:gridSpan w:val="4"/>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本项目环境风险主要为</w:t>
            </w:r>
            <w:r>
              <w:rPr>
                <w:rFonts w:hint="eastAsia"/>
                <w:color w:val="92D050"/>
                <w:lang w:eastAsia="zh-CN"/>
              </w:rPr>
              <w:t>有机肥堆场</w:t>
            </w:r>
            <w:r>
              <w:rPr>
                <w:rFonts w:hint="eastAsia"/>
                <w:color w:val="000000" w:themeColor="text1"/>
                <w14:textFill>
                  <w14:solidFill>
                    <w14:schemeClr w14:val="tx1"/>
                  </w14:solidFill>
                </w14:textFill>
              </w:rPr>
              <w:t>的硬化地面、防渗设置出现破损，出现污水渗漏的情况</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286" w:hRule="atLeast"/>
        </w:trPr>
        <w:tc>
          <w:tcPr>
            <w:tcW w:w="12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风险防范措施要求</w:t>
            </w:r>
          </w:p>
        </w:tc>
        <w:tc>
          <w:tcPr>
            <w:tcW w:w="3714" w:type="pct"/>
            <w:gridSpan w:val="4"/>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从技术、工艺和管理三个方面入手，采取综合措施，预防泄漏事故，详见6.</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环境风险防范措施及应急要求。</w:t>
            </w:r>
          </w:p>
        </w:tc>
      </w:tr>
      <w:bookmarkEnd w:id="165"/>
    </w:tbl>
    <w:p>
      <w:pPr>
        <w:pStyle w:val="2"/>
        <w:spacing w:before="120" w:after="120"/>
      </w:pPr>
      <w:bookmarkStart w:id="199" w:name="_Toc17212"/>
      <w:r>
        <w:rPr>
          <w:rFonts w:hint="eastAsia"/>
        </w:rPr>
        <w:t>环境保护措施及其可行性论证</w:t>
      </w:r>
      <w:bookmarkEnd w:id="199"/>
    </w:p>
    <w:p>
      <w:pPr>
        <w:pStyle w:val="3"/>
        <w:spacing w:before="120" w:after="120"/>
        <w:rPr>
          <w:color w:val="000000" w:themeColor="text1"/>
          <w14:textFill>
            <w14:solidFill>
              <w14:schemeClr w14:val="tx1"/>
            </w14:solidFill>
          </w14:textFill>
        </w:rPr>
      </w:pPr>
      <w:bookmarkStart w:id="200" w:name="_Toc12367"/>
      <w:r>
        <w:rPr>
          <w:color w:val="000000" w:themeColor="text1"/>
          <w14:textFill>
            <w14:solidFill>
              <w14:schemeClr w14:val="tx1"/>
            </w14:solidFill>
          </w14:textFill>
        </w:rPr>
        <w:t>施工期环境保护措施</w:t>
      </w:r>
      <w:bookmarkEnd w:id="200"/>
    </w:p>
    <w:p>
      <w:pPr>
        <w:pStyle w:val="4"/>
        <w:rPr>
          <w:color w:val="000000" w:themeColor="text1"/>
          <w14:textFill>
            <w14:solidFill>
              <w14:schemeClr w14:val="tx1"/>
            </w14:solidFill>
          </w14:textFill>
        </w:rPr>
      </w:pPr>
      <w:bookmarkStart w:id="201" w:name="_Toc523322370"/>
      <w:bookmarkStart w:id="202" w:name="_Toc7299"/>
      <w:bookmarkStart w:id="203" w:name="_Toc101428514"/>
      <w:r>
        <w:rPr>
          <w:color w:val="000000" w:themeColor="text1"/>
          <w14:textFill>
            <w14:solidFill>
              <w14:schemeClr w14:val="tx1"/>
            </w14:solidFill>
          </w14:textFill>
        </w:rPr>
        <w:t>大气环境保护措施</w:t>
      </w:r>
      <w:bookmarkEnd w:id="201"/>
      <w:bookmarkEnd w:id="202"/>
      <w:bookmarkEnd w:id="203"/>
    </w:p>
    <w:p>
      <w:pPr>
        <w:ind w:firstLine="480"/>
      </w:pPr>
      <w:bookmarkStart w:id="204" w:name="_Toc6972"/>
      <w:bookmarkStart w:id="205" w:name="_Toc523322371"/>
      <w:r>
        <w:t>根据施工期大气环境影响分析结果、</w:t>
      </w:r>
      <w:r>
        <w:rPr>
          <w:rFonts w:hint="eastAsia"/>
        </w:rPr>
        <w:t>根据</w:t>
      </w:r>
      <w:r>
        <w:t>相关法律法规确定本项目施工期大气环境保护措施，建设单位应当将防治扬尘污染的费用列入工程造价，并在施工承包合同中明确施工单位扬尘污染防治责任</w:t>
      </w:r>
      <w:r>
        <w:rPr>
          <w:rFonts w:hint="eastAsia"/>
        </w:rPr>
        <w:t>；</w:t>
      </w:r>
      <w:r>
        <w:t>施工单位应当制定具体的施工扬尘污染防治实施方案。</w:t>
      </w:r>
      <w:r>
        <w:rPr>
          <w:rFonts w:hint="eastAsia"/>
        </w:rPr>
        <w:t>本次评价提出以下扬尘防治</w:t>
      </w:r>
      <w:r>
        <w:t>措施：</w:t>
      </w:r>
    </w:p>
    <w:p>
      <w:pPr>
        <w:ind w:firstLine="480"/>
      </w:pPr>
      <w:r>
        <w:rPr>
          <w:rFonts w:hint="eastAsia"/>
        </w:rPr>
        <w:t>（1）施工现场封闭管理：施工现场采取临时封闭措施及洒水抑尘并在施工结束后拆除。</w:t>
      </w:r>
    </w:p>
    <w:p>
      <w:pPr>
        <w:ind w:firstLine="480"/>
      </w:pPr>
      <w:r>
        <w:rPr>
          <w:rFonts w:hint="eastAsia"/>
        </w:rPr>
        <w:t>（2）施工现场渣土物料覆盖：裸露的场地和堆放的土方必须采取覆盖、绿化或固化等防尘措施。建筑工地内裸露场地、渣土堆可采用密目式防尘网覆盖、植被种植或新型固封工艺等防尘措施。空置区域应根据使用周期和使用功能，采取密目式防尘网覆盖或植被种植等措施。对易产生扬尘污染的建材或物料实施堆放、装卸、运输的，应采取遮盖、封闭等防扬尘措施。防尘网如出现破损应及时更换。风速四级以上天气时，现场应停止土石方开挖、建筑垃圾清理和倒运等易产生扬尘的作业。</w:t>
      </w:r>
    </w:p>
    <w:p>
      <w:pPr>
        <w:ind w:firstLine="480"/>
      </w:pPr>
      <w:r>
        <w:rPr>
          <w:rFonts w:hint="eastAsia"/>
        </w:rPr>
        <w:t>（3）施工现场</w:t>
      </w:r>
      <w:r>
        <w:rPr>
          <w:rFonts w:hint="eastAsia"/>
          <w:lang w:val="en-US" w:eastAsia="zh-CN"/>
        </w:rPr>
        <w:t>拌合、填筑作业起尘防治措施：①严格控制粉煤灰含水率在5%以上。②对集中装卸、平整、碾压作业点设洒水降尘车辆，降低落料高度、并定期洒水降尘。③通过降低物料落差并对工作人员采取佩戴面罩等防护措施来减轻作业时粉煤灰扬尘对作业人员产生的影响。④尽量避免大风天气下进行平整、碾压作业。</w:t>
      </w:r>
    </w:p>
    <w:p>
      <w:pPr>
        <w:ind w:firstLine="480"/>
      </w:pPr>
      <w:r>
        <w:rPr>
          <w:rFonts w:hint="eastAsia"/>
        </w:rPr>
        <w:t>（4）出入车辆清洗：工地主入口及工地所有拟通行工程车辆的辅出入口均需配备冲洗设备，且应设置在车辆通行线路上，以方便冲洗；同时落实专人对冲洗设备管理使用，确保建筑垃圾、混凝土运输等工程车辆驶离工地前应冲洗干净。沉淀池污水不得直接排入市政管网和河、湖等水体。</w:t>
      </w:r>
    </w:p>
    <w:p>
      <w:pPr>
        <w:ind w:firstLine="480"/>
      </w:pPr>
      <w:r>
        <w:rPr>
          <w:rFonts w:hint="eastAsia"/>
        </w:rPr>
        <w:t>（5）施工现场洒水清扫：现场应配备洒水车等设施，每天对道路、场区进行洒水降尘，保持路面、场区清洁不起尘。</w:t>
      </w:r>
    </w:p>
    <w:p>
      <w:pPr>
        <w:ind w:firstLine="480"/>
      </w:pPr>
      <w:r>
        <w:rPr>
          <w:rFonts w:hint="eastAsia"/>
        </w:rPr>
        <w:t>（6）物料密闭运输：施工现场应设建筑废料集中堆放点，分类堆放，及时清运。生活垃圾应采用密闭式容器装存，</w:t>
      </w:r>
      <w:r>
        <w:rPr>
          <w:rFonts w:hint="eastAsia"/>
          <w:lang w:eastAsia="zh-CN"/>
        </w:rPr>
        <w:t>及时清理</w:t>
      </w:r>
      <w:r>
        <w:rPr>
          <w:rFonts w:hint="eastAsia"/>
        </w:rPr>
        <w:t>，清运到指定地点集中处理。室内建筑垃圾应采用容器或搭设专用密闭式垃圾道的方式收集，严禁凌空抛掷。施工现场渣土车辆必须采用符合要求的密闭车辆，车辆离场时保证密闭措施到位，防止运输中产生道路遗撒对市容环境造成影响。</w:t>
      </w:r>
    </w:p>
    <w:p>
      <w:pPr>
        <w:ind w:firstLine="480"/>
      </w:pPr>
      <w:r>
        <w:rPr>
          <w:rFonts w:hint="eastAsia"/>
        </w:rPr>
        <w:t>施工现场通过设置围挡封闭管理、渣土物料覆盖、现场地面硬化、出入车辆清洗、现场洒水清扫、物料密闭运输等上述扬尘污染防治措施，可基本控制施工期扬尘的产生，降低扬尘对周围环境的影响。</w:t>
      </w:r>
    </w:p>
    <w:p>
      <w:pPr>
        <w:ind w:firstLine="480"/>
      </w:pPr>
      <w:r>
        <w:rPr>
          <w:rFonts w:hint="eastAsia"/>
        </w:rPr>
        <w:t>施工期间大气污染防治措施目前较成熟，实践表明只要管理和工程措施到位，完全能够满足环保要求。</w:t>
      </w:r>
    </w:p>
    <w:p>
      <w:pPr>
        <w:pStyle w:val="4"/>
        <w:rPr>
          <w:color w:val="000000" w:themeColor="text1"/>
          <w14:textFill>
            <w14:solidFill>
              <w14:schemeClr w14:val="tx1"/>
            </w14:solidFill>
          </w14:textFill>
        </w:rPr>
      </w:pPr>
      <w:bookmarkStart w:id="206" w:name="_Toc101428515"/>
      <w:r>
        <w:rPr>
          <w:color w:val="000000" w:themeColor="text1"/>
          <w14:textFill>
            <w14:solidFill>
              <w14:schemeClr w14:val="tx1"/>
            </w14:solidFill>
          </w14:textFill>
        </w:rPr>
        <w:t>水环境保护措施</w:t>
      </w:r>
      <w:bookmarkEnd w:id="204"/>
      <w:bookmarkEnd w:id="205"/>
      <w:bookmarkEnd w:id="206"/>
    </w:p>
    <w:p>
      <w:pPr>
        <w:bidi w:val="0"/>
      </w:pPr>
      <w:r>
        <w:t>施工期产生的废水主要为施工废水。为了防止建筑施工对周围地下水体产生的石油类污染，建设单位与施工单位密切配合，采取以下措施：</w:t>
      </w:r>
    </w:p>
    <w:p>
      <w:pPr>
        <w:bidi w:val="0"/>
      </w:pPr>
      <w:r>
        <w:rPr>
          <w:rFonts w:hint="eastAsia"/>
          <w:lang w:eastAsia="zh-CN"/>
        </w:rPr>
        <w:t>（</w:t>
      </w:r>
      <w:r>
        <w:rPr>
          <w:rFonts w:hint="eastAsia"/>
          <w:lang w:val="en-US" w:eastAsia="zh-CN"/>
        </w:rPr>
        <w:t>1</w:t>
      </w:r>
      <w:r>
        <w:rPr>
          <w:rFonts w:hint="eastAsia"/>
          <w:lang w:eastAsia="zh-CN"/>
        </w:rPr>
        <w:t>）</w:t>
      </w:r>
      <w:r>
        <w:t>定期清洁建筑施工机械表面不必要的润滑油及其它油废，对废油应妥善处置；</w:t>
      </w:r>
    </w:p>
    <w:p>
      <w:pPr>
        <w:bidi w:val="0"/>
      </w:pPr>
      <w:r>
        <w:rPr>
          <w:rFonts w:hint="eastAsia"/>
          <w:lang w:eastAsia="zh-CN"/>
        </w:rPr>
        <w:t>（</w:t>
      </w:r>
      <w:r>
        <w:rPr>
          <w:rFonts w:hint="eastAsia"/>
          <w:lang w:val="en-US" w:eastAsia="zh-CN"/>
        </w:rPr>
        <w:t>2</w:t>
      </w:r>
      <w:r>
        <w:rPr>
          <w:rFonts w:hint="eastAsia"/>
          <w:lang w:eastAsia="zh-CN"/>
        </w:rPr>
        <w:t>）</w:t>
      </w:r>
      <w:r>
        <w:t>加强施工机械设备的维修保养，避免在施工过程中燃料油的跑、冒、滴、漏；</w:t>
      </w:r>
    </w:p>
    <w:p>
      <w:pPr>
        <w:bidi w:val="0"/>
      </w:pPr>
      <w:r>
        <w:rPr>
          <w:rFonts w:hint="eastAsia"/>
          <w:lang w:eastAsia="zh-CN"/>
        </w:rPr>
        <w:t>（</w:t>
      </w:r>
      <w:r>
        <w:rPr>
          <w:rFonts w:hint="eastAsia"/>
          <w:lang w:val="en-US" w:eastAsia="zh-CN"/>
        </w:rPr>
        <w:t>3</w:t>
      </w:r>
      <w:r>
        <w:rPr>
          <w:rFonts w:hint="eastAsia"/>
          <w:lang w:eastAsia="zh-CN"/>
        </w:rPr>
        <w:t>）</w:t>
      </w:r>
      <w:r>
        <w:t>施工时产生的泥浆水未经处理不得随意排放，不得污染现场及周围环境；</w:t>
      </w:r>
    </w:p>
    <w:p>
      <w:pPr>
        <w:bidi w:val="0"/>
      </w:pPr>
      <w:r>
        <w:rPr>
          <w:rFonts w:hint="eastAsia"/>
          <w:lang w:eastAsia="zh-CN"/>
        </w:rPr>
        <w:t>（</w:t>
      </w:r>
      <w:r>
        <w:rPr>
          <w:rFonts w:hint="eastAsia"/>
          <w:lang w:val="en-US" w:eastAsia="zh-CN"/>
        </w:rPr>
        <w:t>4</w:t>
      </w:r>
      <w:r>
        <w:rPr>
          <w:rFonts w:hint="eastAsia"/>
          <w:lang w:eastAsia="zh-CN"/>
        </w:rPr>
        <w:t>）</w:t>
      </w:r>
      <w:r>
        <w:t>不得随意在施工区域内冲洗汽车，对施工机械进行检修和清洗时必须定点，检修和清洗场地必须经水泥硬化。</w:t>
      </w:r>
    </w:p>
    <w:p>
      <w:pPr>
        <w:bidi w:val="0"/>
      </w:pPr>
      <w:r>
        <w:rPr>
          <w:rFonts w:hint="eastAsia"/>
          <w:lang w:eastAsia="zh-CN"/>
        </w:rPr>
        <w:t>（</w:t>
      </w:r>
      <w:r>
        <w:rPr>
          <w:rFonts w:hint="eastAsia"/>
          <w:lang w:val="en-US" w:eastAsia="zh-CN"/>
        </w:rPr>
        <w:t>5</w:t>
      </w:r>
      <w:r>
        <w:rPr>
          <w:rFonts w:hint="eastAsia"/>
          <w:lang w:eastAsia="zh-CN"/>
        </w:rPr>
        <w:t>）</w:t>
      </w:r>
      <w:r>
        <w:t>严禁施工废水排入项目中心区农田，农田周边挖排雨沟，严禁施工区域雨水径流进入中心区农田。</w:t>
      </w:r>
    </w:p>
    <w:p>
      <w:pPr>
        <w:bidi w:val="0"/>
      </w:pPr>
      <w:r>
        <w:t>采取以上措施后，施工期废水对环境影响较小</w:t>
      </w:r>
      <w:r>
        <w:rPr>
          <w:rFonts w:hint="eastAsia"/>
        </w:rPr>
        <w:t>。</w:t>
      </w:r>
    </w:p>
    <w:p>
      <w:pPr>
        <w:pStyle w:val="4"/>
        <w:rPr>
          <w:color w:val="000000" w:themeColor="text1"/>
          <w14:textFill>
            <w14:solidFill>
              <w14:schemeClr w14:val="tx1"/>
            </w14:solidFill>
          </w14:textFill>
        </w:rPr>
      </w:pPr>
      <w:bookmarkStart w:id="207" w:name="_Toc29520"/>
      <w:bookmarkStart w:id="208" w:name="_Toc101428516"/>
      <w:bookmarkStart w:id="209" w:name="_Toc523322372"/>
      <w:r>
        <w:rPr>
          <w:color w:val="000000" w:themeColor="text1"/>
          <w14:textFill>
            <w14:solidFill>
              <w14:schemeClr w14:val="tx1"/>
            </w14:solidFill>
          </w14:textFill>
        </w:rPr>
        <w:t>声环境保护措施</w:t>
      </w:r>
      <w:bookmarkEnd w:id="207"/>
      <w:bookmarkEnd w:id="208"/>
      <w:bookmarkEnd w:id="209"/>
    </w:p>
    <w:p>
      <w:pPr>
        <w:bidi w:val="0"/>
      </w:pPr>
      <w:bookmarkStart w:id="210" w:name="_Toc14156"/>
      <w:r>
        <w:t>为了使场界噪声达标排放，环评要求采取以下措施：</w:t>
      </w:r>
    </w:p>
    <w:p>
      <w:pPr>
        <w:bidi w:val="0"/>
      </w:pPr>
      <w:r>
        <w:rPr>
          <w:rFonts w:hint="eastAsia"/>
          <w:lang w:eastAsia="zh-CN"/>
        </w:rPr>
        <w:t>（</w:t>
      </w:r>
      <w:r>
        <w:rPr>
          <w:rFonts w:hint="eastAsia"/>
          <w:lang w:val="en-US" w:eastAsia="zh-CN"/>
        </w:rPr>
        <w:t>1</w:t>
      </w:r>
      <w:r>
        <w:rPr>
          <w:rFonts w:hint="eastAsia"/>
          <w:lang w:eastAsia="zh-CN"/>
        </w:rPr>
        <w:t>）</w:t>
      </w:r>
      <w:r>
        <w:t>对固定高噪声设备采取搭建临时隔声设施，并尽量设置在远离居民安放， 避免施工噪声扰民。</w:t>
      </w:r>
    </w:p>
    <w:p>
      <w:pPr>
        <w:bidi w:val="0"/>
      </w:pPr>
      <w:r>
        <w:rPr>
          <w:rFonts w:hint="eastAsia"/>
          <w:lang w:eastAsia="zh-CN"/>
        </w:rPr>
        <w:t>（</w:t>
      </w:r>
      <w:r>
        <w:rPr>
          <w:rFonts w:hint="eastAsia"/>
          <w:lang w:val="en-US" w:eastAsia="zh-CN"/>
        </w:rPr>
        <w:t>2</w:t>
      </w:r>
      <w:r>
        <w:rPr>
          <w:rFonts w:hint="eastAsia"/>
          <w:lang w:eastAsia="zh-CN"/>
        </w:rPr>
        <w:t>）</w:t>
      </w:r>
      <w:r>
        <w:t>要求建设单位使用商品混凝土，不得在施工工地搅拌混凝土，混凝土需要连续浇注的必须办理夜间施工证。</w:t>
      </w:r>
    </w:p>
    <w:p>
      <w:pPr>
        <w:bidi w:val="0"/>
      </w:pPr>
      <w:r>
        <w:rPr>
          <w:rFonts w:hint="eastAsia"/>
          <w:lang w:eastAsia="zh-CN"/>
        </w:rPr>
        <w:t>（</w:t>
      </w:r>
      <w:r>
        <w:rPr>
          <w:rFonts w:hint="eastAsia"/>
          <w:lang w:val="en-US" w:eastAsia="zh-CN"/>
        </w:rPr>
        <w:t>3</w:t>
      </w:r>
      <w:r>
        <w:rPr>
          <w:rFonts w:hint="eastAsia"/>
          <w:lang w:eastAsia="zh-CN"/>
        </w:rPr>
        <w:t>）</w:t>
      </w:r>
      <w:r>
        <w:t>合理安排施工计划，避免产生噪声大的设备同时开启；要选用较先进的， 噪声较小的施工设备，采取设置临时标准围挡，缩短一次开机时间、避免集中作业等减少噪声污染的必要防护措施，将施工噪声的影响减小到最低限度。</w:t>
      </w:r>
    </w:p>
    <w:p>
      <w:pPr>
        <w:bidi w:val="0"/>
      </w:pPr>
      <w:r>
        <w:rPr>
          <w:rFonts w:hint="eastAsia"/>
          <w:lang w:eastAsia="zh-CN"/>
        </w:rPr>
        <w:t>（</w:t>
      </w:r>
      <w:r>
        <w:rPr>
          <w:rFonts w:hint="eastAsia"/>
          <w:lang w:val="en-US" w:eastAsia="zh-CN"/>
        </w:rPr>
        <w:t>4</w:t>
      </w:r>
      <w:r>
        <w:rPr>
          <w:rFonts w:hint="eastAsia"/>
          <w:lang w:eastAsia="zh-CN"/>
        </w:rPr>
        <w:t>）</w:t>
      </w:r>
      <w:r>
        <w:t>严禁在22时至次日6时之间进行各种施工作业，需连续施工作业的必须</w:t>
      </w:r>
      <w:bookmarkStart w:id="211" w:name="6.1.4施工期固体废物防治措施"/>
      <w:bookmarkEnd w:id="211"/>
      <w:r>
        <w:t>在开工前到环保行政主管部门办理夜间施工审批，施工前应提前3天对周围居民进行公示。加强施工管理，减少人为噪声产生。</w:t>
      </w:r>
    </w:p>
    <w:p>
      <w:pPr>
        <w:bidi w:val="0"/>
      </w:pPr>
      <w:r>
        <w:rPr>
          <w:rFonts w:hint="eastAsia"/>
          <w:lang w:eastAsia="zh-CN"/>
        </w:rPr>
        <w:t>（</w:t>
      </w:r>
      <w:r>
        <w:rPr>
          <w:rFonts w:hint="eastAsia"/>
          <w:lang w:val="en-US" w:eastAsia="zh-CN"/>
        </w:rPr>
        <w:t>5</w:t>
      </w:r>
      <w:r>
        <w:rPr>
          <w:rFonts w:hint="eastAsia"/>
          <w:lang w:eastAsia="zh-CN"/>
        </w:rPr>
        <w:t>）</w:t>
      </w:r>
      <w:r>
        <w:t>尽量采用低噪声的施工工具，如以液压工具代替气压工具，同时尽可能采用施工噪声低的施工方法。</w:t>
      </w:r>
    </w:p>
    <w:p>
      <w:pPr>
        <w:bidi w:val="0"/>
      </w:pPr>
      <w:r>
        <w:rPr>
          <w:rFonts w:hint="eastAsia"/>
          <w:lang w:eastAsia="zh-CN"/>
        </w:rPr>
        <w:t>（</w:t>
      </w:r>
      <w:r>
        <w:rPr>
          <w:rFonts w:hint="eastAsia"/>
          <w:lang w:val="en-US" w:eastAsia="zh-CN"/>
        </w:rPr>
        <w:t>6</w:t>
      </w:r>
      <w:r>
        <w:rPr>
          <w:rFonts w:hint="eastAsia"/>
          <w:lang w:eastAsia="zh-CN"/>
        </w:rPr>
        <w:t>）</w:t>
      </w:r>
      <w:r>
        <w:t>运输车辆经过附近居民住宅时要慢行减速，严格禁止进、出项目的所有运输车辆鸣喇叭，尽量压缩工区的车流量和行车密度，避免施工噪声影响附近居民休息。</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采取以上措施后，可有效降低施工期噪声对周围敏感目标，</w:t>
      </w:r>
      <w:r>
        <w:rPr>
          <w:rFonts w:hint="eastAsia"/>
          <w:color w:val="000000" w:themeColor="text1"/>
          <w:lang w:val="en-US" w:eastAsia="zh-CN"/>
          <w14:textFill>
            <w14:solidFill>
              <w14:schemeClr w14:val="tx1"/>
            </w14:solidFill>
          </w14:textFill>
        </w:rPr>
        <w:t>且</w:t>
      </w:r>
      <w:r>
        <w:rPr>
          <w:rFonts w:hint="eastAsia"/>
          <w:color w:val="000000" w:themeColor="text1"/>
          <w14:textFill>
            <w14:solidFill>
              <w14:schemeClr w14:val="tx1"/>
            </w14:solidFill>
          </w14:textFill>
        </w:rPr>
        <w:t>工程施工期噪声污染防治措施较为成熟，技术经济可行。</w:t>
      </w:r>
    </w:p>
    <w:p>
      <w:pPr>
        <w:pStyle w:val="4"/>
        <w:rPr>
          <w:color w:val="000000" w:themeColor="text1"/>
          <w14:textFill>
            <w14:solidFill>
              <w14:schemeClr w14:val="tx1"/>
            </w14:solidFill>
          </w14:textFill>
        </w:rPr>
      </w:pPr>
      <w:bookmarkStart w:id="212" w:name="_Toc523322373"/>
      <w:bookmarkStart w:id="213" w:name="_Toc101428517"/>
      <w:r>
        <w:rPr>
          <w:color w:val="000000" w:themeColor="text1"/>
          <w14:textFill>
            <w14:solidFill>
              <w14:schemeClr w14:val="tx1"/>
            </w14:solidFill>
          </w14:textFill>
        </w:rPr>
        <w:t>固体废物处理措施</w:t>
      </w:r>
      <w:bookmarkEnd w:id="210"/>
      <w:bookmarkEnd w:id="212"/>
      <w:bookmarkEnd w:id="213"/>
    </w:p>
    <w:p>
      <w:pPr>
        <w:spacing w:line="360" w:lineRule="auto"/>
        <w:ind w:firstLine="480" w:firstLineChars="200"/>
        <w:rPr>
          <w:color w:val="auto"/>
          <w:sz w:val="24"/>
        </w:rPr>
      </w:pPr>
      <w:r>
        <w:rPr>
          <w:color w:val="auto"/>
          <w:sz w:val="24"/>
          <w:szCs w:val="22"/>
        </w:rPr>
        <w:t>施工期固体废物主要包括工程弃土、施工垃圾。全部按照执法局指定路线拉运至指定倾倒地点倾倒，为了降低施工期固体废弃物对环境产生的影响，项目拟采取下列措施：</w:t>
      </w:r>
    </w:p>
    <w:p>
      <w:pPr>
        <w:spacing w:line="360" w:lineRule="auto"/>
        <w:ind w:firstLine="480" w:firstLineChars="200"/>
        <w:rPr>
          <w:color w:val="auto"/>
          <w:sz w:val="24"/>
        </w:rPr>
      </w:pPr>
      <w:r>
        <w:rPr>
          <w:rFonts w:hint="eastAsia"/>
          <w:color w:val="auto"/>
          <w:sz w:val="24"/>
          <w:lang w:eastAsia="zh-CN"/>
        </w:rPr>
        <w:t>（</w:t>
      </w:r>
      <w:r>
        <w:rPr>
          <w:rFonts w:hint="eastAsia"/>
          <w:color w:val="auto"/>
          <w:sz w:val="24"/>
          <w:lang w:val="en-US" w:eastAsia="zh-CN"/>
        </w:rPr>
        <w:t>1</w:t>
      </w:r>
      <w:r>
        <w:rPr>
          <w:rFonts w:hint="eastAsia"/>
          <w:color w:val="auto"/>
          <w:sz w:val="24"/>
          <w:lang w:eastAsia="zh-CN"/>
        </w:rPr>
        <w:t>）</w:t>
      </w:r>
      <w:r>
        <w:rPr>
          <w:rFonts w:hint="eastAsia" w:ascii="宋体" w:hAnsi="宋体" w:eastAsia="宋体" w:cs="宋体"/>
          <w:color w:val="FF0000"/>
          <w:kern w:val="0"/>
          <w:sz w:val="24"/>
          <w:szCs w:val="24"/>
          <w:lang w:val="en-US" w:eastAsia="zh-CN" w:bidi="ar"/>
        </w:rPr>
        <w:t>对地块基槽消除松土，清理地表土壤，清基的粉土可用于地基填料或筑造坝体，多余土方可用于后期场区种植覆土绿化。需对剥离的表土运至拌合场地进行苫盖防护措施。基底要求打两遍底夯，并平整干净</w:t>
      </w:r>
      <w:r>
        <w:rPr>
          <w:color w:val="auto"/>
          <w:sz w:val="24"/>
        </w:rPr>
        <w:t>；</w:t>
      </w:r>
    </w:p>
    <w:p>
      <w:pPr>
        <w:bidi w:val="0"/>
      </w:pPr>
      <w:r>
        <w:rPr>
          <w:rFonts w:hint="eastAsia"/>
          <w:lang w:eastAsia="zh-CN"/>
        </w:rPr>
        <w:t>（</w:t>
      </w:r>
      <w:r>
        <w:rPr>
          <w:rFonts w:hint="eastAsia"/>
          <w:lang w:val="en-US" w:eastAsia="zh-CN"/>
        </w:rPr>
        <w:t>2</w:t>
      </w:r>
      <w:r>
        <w:rPr>
          <w:rFonts w:hint="eastAsia"/>
          <w:lang w:eastAsia="zh-CN"/>
        </w:rPr>
        <w:t>）</w:t>
      </w:r>
      <w:r>
        <w:t>车辆运输散体物料和废弃物时，必须密闭、包扎、覆盖，不得沿途漏撒；运载土方的车辆必须在规定时间内，按指定路段行驶；</w:t>
      </w:r>
    </w:p>
    <w:p>
      <w:pPr>
        <w:bidi w:val="0"/>
      </w:pPr>
      <w:r>
        <w:rPr>
          <w:rFonts w:hint="eastAsia"/>
          <w:lang w:eastAsia="zh-CN"/>
        </w:rPr>
        <w:t>（</w:t>
      </w:r>
      <w:r>
        <w:rPr>
          <w:rFonts w:hint="eastAsia"/>
          <w:lang w:val="en-US" w:eastAsia="zh-CN"/>
        </w:rPr>
        <w:t>3</w:t>
      </w:r>
      <w:r>
        <w:rPr>
          <w:rFonts w:hint="eastAsia"/>
          <w:lang w:eastAsia="zh-CN"/>
        </w:rPr>
        <w:t>）</w:t>
      </w:r>
      <w:r>
        <w:t>在工程竣工以后，及时将工地的剩余建筑垃圾、工程渣土处理干净。</w:t>
      </w:r>
    </w:p>
    <w:p>
      <w:pPr>
        <w:bidi w:val="0"/>
      </w:pPr>
      <w:r>
        <w:rPr>
          <w:rFonts w:hint="eastAsia"/>
          <w:lang w:eastAsia="zh-CN"/>
        </w:rPr>
        <w:t>（</w:t>
      </w:r>
      <w:r>
        <w:rPr>
          <w:rFonts w:hint="eastAsia"/>
          <w:lang w:val="en-US" w:eastAsia="zh-CN"/>
        </w:rPr>
        <w:t>4</w:t>
      </w:r>
      <w:r>
        <w:rPr>
          <w:rFonts w:hint="eastAsia"/>
          <w:lang w:eastAsia="zh-CN"/>
        </w:rPr>
        <w:t>）</w:t>
      </w:r>
      <w:r>
        <w:t>划定建筑垃圾、弃土堆放位置，严禁建筑垃圾、弃土堆放于中心区域农田。</w:t>
      </w:r>
    </w:p>
    <w:p>
      <w:pPr>
        <w:bidi w:val="0"/>
      </w:pPr>
      <w:r>
        <w:t>施工期固体废弃物全部妥善处置，对环境影响较小。</w:t>
      </w:r>
    </w:p>
    <w:p>
      <w:pPr>
        <w:pStyle w:val="4"/>
        <w:rPr>
          <w:color w:val="000000" w:themeColor="text1"/>
          <w14:textFill>
            <w14:solidFill>
              <w14:schemeClr w14:val="tx1"/>
            </w14:solidFill>
          </w14:textFill>
        </w:rPr>
      </w:pPr>
      <w:bookmarkStart w:id="214" w:name="_Toc101428518"/>
      <w:r>
        <w:rPr>
          <w:rFonts w:hint="eastAsia"/>
          <w:color w:val="000000" w:themeColor="text1"/>
          <w14:textFill>
            <w14:solidFill>
              <w14:schemeClr w14:val="tx1"/>
            </w14:solidFill>
          </w14:textFill>
        </w:rPr>
        <w:t>生态环境保护措施</w:t>
      </w:r>
      <w:bookmarkEnd w:id="214"/>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主体工程施工期生态保护措施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本项目施工期对生态环境的影响较小，但仍需采取如下措施：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（1）为消减施工队伍对植被的影响，在工程施工区设置警示牌，标明施工活动区，严令禁止到非施工区域活动，非施工区严禁烟火等破坏性活动。</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（2）在施工期间对施工人员加强施工区生态保护的宣传教育，以公告、宣传册发放等形式，教育施工人员，通过制度化禁止施工人员捕食蛙类、鸟类、兽类，以减轻施工对当地陆生动植物的影响。</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（3）工程施工结束后，场区内施工临时占地应采取绿化措施，进行植被恢复；同时对养殖场也尽可能进行绿化。</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加强场区的绿化工作、对改善场区内小环境有重要意义。绿化可以吸尘灭菌、降低噪声、净化空气、防疫隔离、防暑防寒。如按冬季主风的上风向设防风林、在养殖场的周围设隔离林、养殖场之间、道路两旁进行遮荫绿化、场区裸露地面上种植花草。同时还应科学的选择园艺花卉品种，充分利用植物的环境修复功能。经研究发现，绿色植物对空气污染具有很好的净化作用，不光是叶子，植物的根以及土壤里的细菌都能有效清除有害气体。建议在养殖场周围栽种当地常见的较高大绿色植物，形成绿色屏障。</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水土流失保护措施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的建设对项目涉及区域水土保持的影响主要发生在施工期，由于表土的开挖、植被的破坏，使抵抗流失力强的表层土壤受到影响；遇到下雨天，将造成严重的水土流失。环评要求建设单位采取以下措施控制水土流失情况：</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①进一步优化主体工程设计，在既保证主体工程顺利施工的条件下，同时兼顾水土保持的要求。</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规范施工程序，优化施工组织和施工工艺。合理安排施工时序，尽量缩短施工工期，减少疏松地面的裸露时间；尽量避开雨季施工，适时开挖，减轻施工期造成的水土流失。增加土石方移动过程中临时处理措施，完善边坡挡土工程、护坡工程。修建临时性围墙封闭施工，将水土流失尽量控制在项目区内进行防治。既有利于阻挡水、土外流，防止对四周造成危害，又有利于施工管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③增加临时排水措施和沉沙池工程。本工程全面扰动地表，施工建设期土体裸露面积大、裸露时间较长，雨季易产生严重水土流失，因此在采取永久性防治措施之前，应采取临时性措施，控制施工期水土流失。</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划定表土临时堆置区。为了保护和充分利用不可再生的表土资源，提高工程绿化时的造林成活率，减少工程绿化的造林成本，须设置表土临时堆置区，并对其采取临时性水土保持措施防止水土流失。在项目场地平整前，剥离场内部分表层腐殖土并集中堆置，并采取必要的防护，待工程基本建成后将腐殖土覆盖在绿化区域。</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⑤工程各处开挖裸露被建筑物、道路占用外，尽可能全部恢复植被，减少水土流失，做到水土流失治理与景观保护相互统一，通过采用乔、灌、草立体绿化、美化等措施防治水土流失，美化项目区环境，使景观得到优化，环境得到改善。</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⑥项目建设应满足消防及交通要求，项目道路及给排水管网一次敷设到位，避免改沟改路，尤其应防止沟渠受截而使水流冲刷改道，造成水土流失。</w:t>
      </w:r>
    </w:p>
    <w:p>
      <w:pPr>
        <w:pStyle w:val="4"/>
        <w:rPr>
          <w:color w:val="000000" w:themeColor="text1"/>
          <w14:textFill>
            <w14:solidFill>
              <w14:schemeClr w14:val="tx1"/>
            </w14:solidFill>
          </w14:textFill>
        </w:rPr>
      </w:pPr>
      <w:bookmarkStart w:id="215" w:name="_Toc101428519"/>
      <w:bookmarkStart w:id="216" w:name="_Toc523322375"/>
      <w:r>
        <w:rPr>
          <w:rFonts w:hint="eastAsia"/>
          <w:color w:val="000000" w:themeColor="text1"/>
          <w14:textFill>
            <w14:solidFill>
              <w14:schemeClr w14:val="tx1"/>
            </w14:solidFill>
          </w14:textFill>
        </w:rPr>
        <w:t>小结</w:t>
      </w:r>
      <w:bookmarkEnd w:id="215"/>
      <w:bookmarkEnd w:id="216"/>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施工期的环境影响是随着施工活动而产生的，因此施工期环境影响具有暂时性的特点，施工活动结束影响逐渐消失，不会对区域产生长远的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pPr>
        <w:pStyle w:val="3"/>
        <w:spacing w:before="120" w:after="120"/>
        <w:rPr>
          <w:color w:val="000000" w:themeColor="text1"/>
          <w14:textFill>
            <w14:solidFill>
              <w14:schemeClr w14:val="tx1"/>
            </w14:solidFill>
          </w14:textFill>
        </w:rPr>
      </w:pPr>
      <w:bookmarkStart w:id="217" w:name="_Toc101428520"/>
      <w:bookmarkStart w:id="218" w:name="_Toc530642990"/>
      <w:bookmarkStart w:id="219" w:name="_Toc14878"/>
      <w:r>
        <w:rPr>
          <w:rFonts w:hint="eastAsia"/>
          <w:color w:val="000000" w:themeColor="text1"/>
          <w14:textFill>
            <w14:solidFill>
              <w14:schemeClr w14:val="tx1"/>
            </w14:solidFill>
          </w14:textFill>
        </w:rPr>
        <w:t>运营期</w:t>
      </w:r>
      <w:r>
        <w:rPr>
          <w:color w:val="000000" w:themeColor="text1"/>
          <w14:textFill>
            <w14:solidFill>
              <w14:schemeClr w14:val="tx1"/>
            </w14:solidFill>
          </w14:textFill>
        </w:rPr>
        <w:t>大气污染防治措施及可行性</w:t>
      </w:r>
      <w:bookmarkEnd w:id="217"/>
      <w:bookmarkEnd w:id="218"/>
      <w:bookmarkEnd w:id="219"/>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本项目运营后产生的废气主要有饲料混合废气（TSP）、栏舍养殖废气（</w:t>
      </w: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w:t>
      </w:r>
      <w:r>
        <w:rPr>
          <w:rFonts w:hint="eastAsia"/>
          <w:color w:val="92D050"/>
          <w:lang w:eastAsia="zh-CN"/>
        </w:rPr>
        <w:t>有机肥堆场</w:t>
      </w:r>
      <w:r>
        <w:rPr>
          <w:rFonts w:hint="eastAsia"/>
          <w:color w:val="000000" w:themeColor="text1"/>
          <w14:textFill>
            <w14:solidFill>
              <w14:schemeClr w14:val="tx1"/>
            </w14:solidFill>
          </w14:textFill>
        </w:rPr>
        <w:t>臭气（</w:t>
      </w: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）、动物尸体无害化车间（</w:t>
      </w: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）等污染源，为了减少废气对周围环境的影响，需采取如下措施。</w:t>
      </w:r>
    </w:p>
    <w:p>
      <w:pPr>
        <w:pStyle w:val="4"/>
      </w:pPr>
      <w:r>
        <w:rPr>
          <w:rFonts w:hint="eastAsia"/>
        </w:rPr>
        <w:t>饲料混合废气防治措施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精饲料主要为外购的成品袋装饲料，为按照一定比例将豆粕、棉籽、玉米粉、以及各种添加剂混合而成的预混料。项目每日将精饲料以及项目储存的青储料、青干草投入饲料搅拌机搅拌成种羊口粮，由于精饲料主要成分豆粕、棉籽、玉米粉等具有一定的粒度，而青储、苜蓿等均为短段，各物料一般都有一定的湿度，不会是绝干的，</w:t>
      </w:r>
      <w:r>
        <w:t>且</w:t>
      </w:r>
      <w:r>
        <w:rPr>
          <w:rFonts w:hint="eastAsia"/>
        </w:rPr>
        <w:t>TMR操作间</w:t>
      </w:r>
      <w:r>
        <w:t>全密闭无通风口饲料配制期间门窗紧闭</w:t>
      </w:r>
      <w:r>
        <w:rPr>
          <w:rFonts w:hint="eastAsia"/>
          <w:lang w:eastAsia="zh-CN"/>
        </w:rPr>
        <w:t>，</w:t>
      </w:r>
      <w:r>
        <w:rPr>
          <w:rFonts w:hint="eastAsia"/>
        </w:rPr>
        <w:t>搅拌过程产生的粉尘通过搅拌机配备的布袋除尘器处理后无组织排放</w:t>
      </w:r>
      <w:r>
        <w:t>，</w:t>
      </w:r>
      <w:r>
        <w:rPr>
          <w:rFonts w:hint="eastAsia"/>
        </w:rPr>
        <w:t>排放粉尘99%</w:t>
      </w:r>
      <w:r>
        <w:rPr>
          <w:rFonts w:hint="eastAsia"/>
          <w:lang w:val="en-US" w:eastAsia="zh-CN"/>
        </w:rPr>
        <w:t>被布袋除尘器收集后送至有机肥堆场生产有机肥</w:t>
      </w:r>
      <w:r>
        <w:rPr>
          <w:rFonts w:hint="eastAsia"/>
        </w:rPr>
        <w:t>，</w:t>
      </w:r>
      <w:r>
        <w:rPr>
          <w:rFonts w:hint="eastAsia"/>
          <w:lang w:val="en-US" w:eastAsia="zh-CN"/>
        </w:rPr>
        <w:t>未拦截的</w:t>
      </w:r>
      <w:r>
        <w:rPr>
          <w:rFonts w:hint="eastAsia"/>
        </w:rPr>
        <w:t>1%排放于大气环境</w:t>
      </w:r>
      <w:r>
        <w:rPr>
          <w:rFonts w:hint="eastAsia"/>
          <w:color w:val="000000" w:themeColor="text1"/>
          <w14:textFill>
            <w14:solidFill>
              <w14:schemeClr w14:val="tx1"/>
            </w14:solidFill>
          </w14:textFill>
        </w:rPr>
        <w:t>，及时清扫至</w:t>
      </w:r>
      <w:r>
        <w:rPr>
          <w:rFonts w:hint="eastAsia"/>
          <w:color w:val="92D050"/>
          <w:lang w:eastAsia="zh-CN"/>
        </w:rPr>
        <w:t>有机肥堆场</w:t>
      </w:r>
      <w:r>
        <w:rPr>
          <w:rFonts w:hint="eastAsia"/>
          <w:color w:val="000000" w:themeColor="text1"/>
          <w14:textFill>
            <w14:solidFill>
              <w14:schemeClr w14:val="tx1"/>
            </w14:solidFill>
          </w14:textFill>
        </w:rPr>
        <w:t>用作有机肥生产。因此粉尘产生量非常少，对环境影响也较小</w:t>
      </w:r>
      <w:r>
        <w:rPr>
          <w:rFonts w:hint="eastAsia"/>
          <w:color w:val="000000" w:themeColor="text1"/>
          <w:lang w:eastAsia="zh-CN"/>
          <w14:textFill>
            <w14:solidFill>
              <w14:schemeClr w14:val="tx1"/>
            </w14:solidFill>
          </w14:textFill>
        </w:rPr>
        <w:t>。</w:t>
      </w:r>
    </w:p>
    <w:p>
      <w:pPr>
        <w:pStyle w:val="4"/>
      </w:pPr>
      <w:r>
        <w:rPr>
          <w:rFonts w:hint="eastAsia"/>
        </w:rPr>
        <w:t>养殖废气防治措施</w:t>
      </w:r>
    </w:p>
    <w:p>
      <w:pPr>
        <w:pStyle w:val="5"/>
        <w:bidi w:val="0"/>
      </w:pPr>
      <w:r>
        <w:rPr>
          <w:rFonts w:hint="eastAsia"/>
          <w:lang w:val="en-US" w:eastAsia="zh-CN"/>
        </w:rPr>
        <w:t>养殖废气来源</w:t>
      </w:r>
    </w:p>
    <w:p>
      <w:pPr>
        <w:spacing w:line="360" w:lineRule="auto"/>
        <w:ind w:firstLine="480" w:firstLineChars="200"/>
        <w:rPr>
          <w:color w:val="auto"/>
          <w:sz w:val="24"/>
        </w:rPr>
      </w:pPr>
      <w:r>
        <w:rPr>
          <w:color w:val="auto"/>
          <w:sz w:val="24"/>
        </w:rPr>
        <w:t>养殖场有味气体来源于多个方面，例如动物呼吸、饲料、动物粪便及粪污处理系统等，其中以羊粪便的味道为主，会挥发出氨、硫化氢、等恶臭物质。在国际上，通常根据嗅觉判别标准，将臭气强度划分为6级，恶臭强度分级见表</w:t>
      </w:r>
      <w:r>
        <w:rPr>
          <w:rFonts w:hint="eastAsia"/>
          <w:color w:val="auto"/>
          <w:sz w:val="24"/>
          <w:lang w:val="en-US" w:eastAsia="zh-CN"/>
        </w:rPr>
        <w:t>7.2.2-1</w:t>
      </w:r>
      <w:r>
        <w:rPr>
          <w:color w:val="auto"/>
          <w:sz w:val="24"/>
        </w:rPr>
        <w:t>。</w:t>
      </w:r>
    </w:p>
    <w:p>
      <w:pPr>
        <w:pStyle w:val="6"/>
        <w:bidi w:val="0"/>
        <w:rPr>
          <w:rFonts w:hint="eastAsia"/>
          <w:lang w:val="en-US" w:eastAsia="zh-CN"/>
        </w:rPr>
      </w:pPr>
      <w:r>
        <w:rPr>
          <w:rFonts w:hint="eastAsia"/>
          <w:lang w:val="en-US" w:eastAsia="zh-CN"/>
        </w:rPr>
        <w:t>表7.2.2-1   恶臭强度分级法</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38"/>
        <w:gridCol w:w="67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020" w:type="pct"/>
            <w:tcBorders>
              <w:top w:val="single" w:color="auto" w:sz="4" w:space="0"/>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强度</w:t>
            </w:r>
          </w:p>
        </w:tc>
        <w:tc>
          <w:tcPr>
            <w:tcW w:w="3979" w:type="pct"/>
            <w:tcBorders>
              <w:top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指标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02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w:t>
            </w:r>
          </w:p>
        </w:tc>
        <w:tc>
          <w:tcPr>
            <w:tcW w:w="397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无味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02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w:t>
            </w:r>
          </w:p>
        </w:tc>
        <w:tc>
          <w:tcPr>
            <w:tcW w:w="397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勉强能感觉到气味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02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w:t>
            </w:r>
          </w:p>
        </w:tc>
        <w:tc>
          <w:tcPr>
            <w:tcW w:w="397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气味很弱但能分辨其性质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02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w:t>
            </w:r>
          </w:p>
        </w:tc>
        <w:tc>
          <w:tcPr>
            <w:tcW w:w="397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很容易感觉到气味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02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w:t>
            </w:r>
          </w:p>
        </w:tc>
        <w:tc>
          <w:tcPr>
            <w:tcW w:w="397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强烈的气味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20" w:type="pct"/>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5</w:t>
            </w:r>
          </w:p>
        </w:tc>
        <w:tc>
          <w:tcPr>
            <w:tcW w:w="3979" w:type="pct"/>
            <w:tcBorders>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无法忍受的极强气味</w:t>
            </w:r>
          </w:p>
        </w:tc>
      </w:tr>
    </w:tbl>
    <w:p>
      <w:pPr>
        <w:spacing w:line="360" w:lineRule="auto"/>
        <w:ind w:firstLine="480" w:firstLineChars="200"/>
        <w:rPr>
          <w:color w:val="auto"/>
          <w:sz w:val="24"/>
        </w:rPr>
      </w:pPr>
      <w:r>
        <w:rPr>
          <w:color w:val="auto"/>
          <w:sz w:val="24"/>
        </w:rPr>
        <w:t>据初步统计，与养殖场有关的恶臭物质多达23种，大多为氨、硫化氢、硫醇类、酮类、胺类、吲哚类和醛类，国外研究出七种主要与养殖场有关的恶臭物质的浓度与臭气强度之间的关系，见表</w:t>
      </w:r>
      <w:r>
        <w:rPr>
          <w:rFonts w:hint="eastAsia"/>
          <w:color w:val="auto"/>
          <w:sz w:val="24"/>
          <w:lang w:val="en-US" w:eastAsia="zh-CN"/>
        </w:rPr>
        <w:t>7.2.2-2</w:t>
      </w:r>
      <w:r>
        <w:rPr>
          <w:color w:val="auto"/>
          <w:sz w:val="24"/>
        </w:rPr>
        <w:t>。</w:t>
      </w:r>
    </w:p>
    <w:p>
      <w:pPr>
        <w:pStyle w:val="6"/>
        <w:bidi w:val="0"/>
      </w:pPr>
      <w:r>
        <w:t>表</w:t>
      </w:r>
      <w:r>
        <w:rPr>
          <w:rFonts w:hint="eastAsia"/>
          <w:lang w:val="en-US" w:eastAsia="zh-CN"/>
        </w:rPr>
        <w:t xml:space="preserve">7.2.2-2   </w:t>
      </w:r>
      <w:r>
        <w:t>恶臭物质浓度与臭气强度的关系</w:t>
      </w:r>
      <w:r>
        <w:rPr>
          <w:rFonts w:hint="eastAsia"/>
          <w:lang w:val="en-US" w:eastAsia="zh-CN"/>
        </w:rPr>
        <w:t xml:space="preserve">   </w:t>
      </w:r>
      <w:r>
        <w:t>单位：mg/m³</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32"/>
        <w:gridCol w:w="989"/>
        <w:gridCol w:w="1067"/>
        <w:gridCol w:w="1065"/>
        <w:gridCol w:w="1067"/>
        <w:gridCol w:w="1067"/>
        <w:gridCol w:w="1065"/>
        <w:gridCol w:w="106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lang w:eastAsia="zh-CN"/>
              </w:rPr>
            </w:pPr>
            <w:r>
              <w:rPr>
                <w:sz w:val="21"/>
                <w:szCs w:val="21"/>
              </w:rPr>
              <w:t>臭气</w:t>
            </w:r>
            <w:r>
              <w:rPr>
                <w:rFonts w:hint="eastAsia"/>
                <w:sz w:val="21"/>
                <w:szCs w:val="21"/>
                <w:lang w:eastAsia="zh-CN"/>
              </w:rPr>
              <w:t>浓度</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氨</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硫醇</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硫化氢</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甲基硫</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二甲硫</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三甲胺</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乙醛</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0.1</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0.0001</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0.0005</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0.0001</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0.0003</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0.0001</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0.5</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0.0007</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0.006</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0.003</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0.001</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2.5</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0.002</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0.01</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0.009</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0.005</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0.004</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0.06</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0.05</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0.03</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3.5</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5</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0.01</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0.1</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0.07</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0.03</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0.7</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0.8</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0.3</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5</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40</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0.2</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8</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2</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3</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6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臭气特征</w:t>
            </w:r>
          </w:p>
        </w:tc>
        <w:tc>
          <w:tcPr>
            <w:tcW w:w="5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刺激臭</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刺激臭</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蛋味</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刺激臭</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刺激臭</w:t>
            </w:r>
          </w:p>
        </w:tc>
        <w:tc>
          <w:tcPr>
            <w:tcW w:w="6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臭鱼味</w:t>
            </w:r>
          </w:p>
        </w:tc>
        <w:tc>
          <w:tcPr>
            <w:tcW w:w="62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rPr>
            </w:pPr>
            <w:r>
              <w:rPr>
                <w:sz w:val="21"/>
                <w:szCs w:val="21"/>
              </w:rPr>
              <w:t>刺激臭</w:t>
            </w:r>
          </w:p>
        </w:tc>
      </w:tr>
    </w:tbl>
    <w:p>
      <w:pPr>
        <w:spacing w:line="360" w:lineRule="auto"/>
        <w:ind w:firstLine="480" w:firstLineChars="200"/>
        <w:rPr>
          <w:color w:val="auto"/>
          <w:sz w:val="24"/>
        </w:rPr>
      </w:pPr>
      <w:r>
        <w:rPr>
          <w:color w:val="auto"/>
          <w:sz w:val="24"/>
        </w:rPr>
        <w:t>在不采用任何措施的情况下，大型养殖场的恶臭气体氨的浓度一般在15</w:t>
      </w:r>
      <w:r>
        <w:rPr>
          <w:rFonts w:hint="eastAsia"/>
          <w:color w:val="auto"/>
          <w:sz w:val="24"/>
          <w:lang w:val="en-US" w:eastAsia="zh-CN"/>
        </w:rPr>
        <w:t>~</w:t>
      </w:r>
      <w:r>
        <w:rPr>
          <w:color w:val="auto"/>
          <w:sz w:val="24"/>
        </w:rPr>
        <w:t>30mg/m³之间，H</w:t>
      </w:r>
      <w:r>
        <w:rPr>
          <w:color w:val="auto"/>
          <w:sz w:val="24"/>
          <w:vertAlign w:val="subscript"/>
        </w:rPr>
        <w:t>2</w:t>
      </w:r>
      <w:r>
        <w:rPr>
          <w:color w:val="auto"/>
          <w:sz w:val="24"/>
        </w:rPr>
        <w:t>S的浓度在1.0-8.0mg/m³之间。由表上表可知，其臭气</w:t>
      </w:r>
      <w:r>
        <w:rPr>
          <w:rFonts w:hint="eastAsia"/>
          <w:color w:val="auto"/>
          <w:sz w:val="24"/>
        </w:rPr>
        <w:t>浓度</w:t>
      </w:r>
      <w:r>
        <w:rPr>
          <w:color w:val="auto"/>
          <w:sz w:val="24"/>
        </w:rPr>
        <w:t>为4</w:t>
      </w:r>
      <w:r>
        <w:rPr>
          <w:rFonts w:hint="eastAsia"/>
          <w:color w:val="auto"/>
          <w:sz w:val="24"/>
          <w:lang w:val="en-US" w:eastAsia="zh-CN"/>
        </w:rPr>
        <w:t>~</w:t>
      </w:r>
      <w:r>
        <w:rPr>
          <w:color w:val="auto"/>
          <w:sz w:val="24"/>
        </w:rPr>
        <w:t>5级，属于无法忍受的强烈臭味。</w:t>
      </w:r>
    </w:p>
    <w:p>
      <w:pPr>
        <w:pStyle w:val="5"/>
        <w:bidi w:val="0"/>
      </w:pPr>
      <w:r>
        <w:rPr>
          <w:rFonts w:hint="eastAsia"/>
          <w:lang w:val="en-US" w:eastAsia="zh-CN"/>
        </w:rPr>
        <w:t>养殖废气治理措施</w:t>
      </w:r>
    </w:p>
    <w:p>
      <w:pPr>
        <w:ind w:firstLine="480"/>
        <w:rPr>
          <w:bCs/>
        </w:rPr>
      </w:pPr>
      <w:r>
        <w:rPr>
          <w:bCs/>
        </w:rPr>
        <w:t>项目拟严格按照</w:t>
      </w:r>
      <w:r>
        <w:t>《畜禽养殖业污染治理工程技术规范》（HJ 497－2009）进行设计管理，根据（HJ 497－2009）</w:t>
      </w:r>
      <w:r>
        <w:rPr>
          <w:rFonts w:hint="eastAsia"/>
        </w:rPr>
        <w:t>“</w:t>
      </w:r>
      <w:r>
        <w:t>恶臭控制10.1一般规定</w:t>
      </w:r>
      <w:r>
        <w:rPr>
          <w:rFonts w:hint="eastAsia"/>
        </w:rPr>
        <w:t>”</w:t>
      </w:r>
      <w:r>
        <w:t>，</w:t>
      </w:r>
      <w:r>
        <w:rPr>
          <w:szCs w:val="22"/>
        </w:rPr>
        <w:t>根据《畜禽养殖污染防治最佳可行技术指南》（编制说明）</w:t>
      </w:r>
      <w:r>
        <w:rPr>
          <w:rFonts w:hint="eastAsia"/>
          <w:szCs w:val="22"/>
        </w:rPr>
        <w:t>“</w:t>
      </w:r>
      <w:r>
        <w:rPr>
          <w:szCs w:val="22"/>
        </w:rPr>
        <w:t>合理设计的猪舍可对67%的氨产生影响，清除粪便可影响另外25%的氨，调整饲料对氨的影响占15%～20%</w:t>
      </w:r>
      <w:r>
        <w:rPr>
          <w:rFonts w:hint="eastAsia"/>
          <w:szCs w:val="22"/>
        </w:rPr>
        <w:t>”，本</w:t>
      </w:r>
      <w:r>
        <w:rPr>
          <w:szCs w:val="22"/>
        </w:rPr>
        <w:t>项目</w:t>
      </w:r>
      <w:r>
        <w:rPr>
          <w:rFonts w:hint="eastAsia"/>
          <w:szCs w:val="22"/>
        </w:rPr>
        <w:t>从饲料中添加EM菌群，能够从源头上减少氨气和硫化氢的产生</w:t>
      </w:r>
      <w:r>
        <w:t>，</w:t>
      </w:r>
      <w:r>
        <w:rPr>
          <w:rFonts w:hint="eastAsia"/>
        </w:rPr>
        <w:t>并及时对粪便进行清理，同时在栏舍范围内采用生物除臭技术，利用微生物菌群的分解、固化作用对已产生的臭气进行去除，在</w:t>
      </w:r>
      <w:r>
        <w:t>加强管理的前提下可有效减少恶臭污染物的排放</w:t>
      </w:r>
      <w:r>
        <w:rPr>
          <w:rFonts w:hint="eastAsia"/>
        </w:rPr>
        <w:t>具体措施如下</w:t>
      </w:r>
      <w: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（1）合理设计羊舍</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有资料表明，温度高时恶臭气体浓度高，羊粪在1~2周后发酵较快，粪便暴露面积大的发酵率高。项目夏季加强了羊舍的通风，加速粪便干燥，可减少臭气产生。</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（2）合理选用羊饲料</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羊排泄物中的恶臭组分复杂，但基本上可分为含硫化合物、酚类化合物、挥发性脂肪酸、氨和胺等四类。通过控制或使用饲料（添加添加EM菌群），粪便中粗蛋白的含量可显著地降低，有效减少未消化蛋白质的分解物排放，提高日粮消化率、减少干物质（蛋白质）排出量是减少恶臭来源的有效措施。</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本项目的所有饲料采用某些添加剂，除可以提高畜禽生产性能外，还可以控制恶臭。</w:t>
      </w: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酶制剂，加入饲料中可以提高营养利用率；</w:t>
      </w: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EM液，是由光合细菌、乳酸菌群、酵母菌群等多种微生物组成的，</w:t>
      </w:r>
      <w:r>
        <w:rPr>
          <w:color w:val="000000" w:themeColor="text1"/>
          <w:shd w:val="clear" w:color="auto" w:fill="FFFFFF"/>
          <w14:textFill>
            <w14:solidFill>
              <w14:schemeClr w14:val="tx1"/>
            </w14:solidFill>
          </w14:textFill>
        </w:rPr>
        <w:t>饲料中长期添加益生菌原液或益生菌原液发酵料，有益微生物在大肠中产生氨基酸、氧化酶及硫化物分解酶，将产生臭气的吲哚类化合物完全氧化，将硫化氢氧化成无臭无毒的物质，可使养殖臭气、氨气含量显著下降</w:t>
      </w:r>
      <w:r>
        <w:rPr>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酸化剂，低pH值可以使畜禽排泄的粪便中的氨处于非挥发性的NH</w:t>
      </w:r>
      <w:r>
        <w:rPr>
          <w:color w:val="000000" w:themeColor="text1"/>
          <w:vertAlign w:val="subscript"/>
          <w14:textFill>
            <w14:solidFill>
              <w14:schemeClr w14:val="tx1"/>
            </w14:solidFill>
          </w14:textFill>
        </w:rPr>
        <w:t>4</w:t>
      </w:r>
      <w:r>
        <w:rPr>
          <w:color w:val="000000" w:themeColor="text1"/>
          <w:vertAlign w:val="superscript"/>
          <w14:textFill>
            <w14:solidFill>
              <w14:schemeClr w14:val="tx1"/>
            </w14:solidFill>
          </w14:textFill>
        </w:rPr>
        <w:t>+</w:t>
      </w:r>
      <w:r>
        <w:rPr>
          <w:color w:val="000000" w:themeColor="text1"/>
          <w14:textFill>
            <w14:solidFill>
              <w14:schemeClr w14:val="tx1"/>
            </w14:solidFill>
          </w14:textFill>
        </w:rPr>
        <w:t>状态，这样就减少了空气中的氨。饲料在消化过程中，未消化吸收的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的富余而使羊排泄的粪尿量增加，同时也会使粪便中的氨有效降低，从源头减少恶臭的产生。</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EM微生物是有效微生物群的英文缩写，它是光合细菌、乳酸菌群、酵母菌群、放线菌群、丝状菌群等5种10属80余种微生物组成的。向饲料中添加EM微生物菌群，不仅可以提高羊的免疫力，促进羊的生长，而且可以减少羊舍粪便恶臭。有关资料显示，使用EM微生物后，圈舍臭味明显减少，夏天苍蝇数量减少60%以上，氨气浓度降低了69.7%。根据北京环境监测中心对EM微生物除臭效果进行检测的结果，在生猪的饲料中添加EM微生物1个月后，恶臭浓度下降了90%，臭气强度下降到2.5级以下。</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rPr>
        <w:t>生物除臭技术</w:t>
      </w:r>
    </w:p>
    <w:p>
      <w:pPr>
        <w:ind w:firstLine="480"/>
        <w:rPr>
          <w:rFonts w:hint="eastAsia"/>
          <w:lang w:eastAsia="zh-CN"/>
        </w:rPr>
      </w:pPr>
      <w:r>
        <w:rPr>
          <w:rFonts w:hint="eastAsia"/>
          <w:szCs w:val="22"/>
        </w:rPr>
        <w:t>本</w:t>
      </w:r>
      <w:r>
        <w:rPr>
          <w:szCs w:val="22"/>
        </w:rPr>
        <w:t>项目</w:t>
      </w:r>
      <w:r>
        <w:rPr>
          <w:rFonts w:hint="eastAsia"/>
          <w:szCs w:val="22"/>
          <w:lang w:val="en-US" w:eastAsia="zh-CN"/>
        </w:rPr>
        <w:t>除在</w:t>
      </w:r>
      <w:r>
        <w:rPr>
          <w:rFonts w:hint="eastAsia"/>
          <w:szCs w:val="22"/>
        </w:rPr>
        <w:t>饲料中添加EM菌群</w:t>
      </w:r>
      <w:r>
        <w:rPr>
          <w:rFonts w:hint="eastAsia"/>
          <w:szCs w:val="22"/>
          <w:lang w:eastAsia="zh-CN"/>
        </w:rPr>
        <w:t>，</w:t>
      </w:r>
      <w:r>
        <w:rPr>
          <w:rFonts w:hint="eastAsia"/>
          <w:szCs w:val="22"/>
        </w:rPr>
        <w:t>从源头上减少氨气和硫化氢的产生</w:t>
      </w:r>
      <w:r>
        <w:rPr>
          <w:rFonts w:hint="eastAsia"/>
          <w:szCs w:val="22"/>
          <w:lang w:val="en-US" w:eastAsia="zh-CN"/>
        </w:rPr>
        <w:t>外</w:t>
      </w:r>
      <w:r>
        <w:t>，</w:t>
      </w:r>
      <w:r>
        <w:rPr>
          <w:rFonts w:hint="eastAsia"/>
        </w:rPr>
        <w:t>并及时对粪便进行清理，同时在栏舍范围内采用生物除臭技术，利用微生物菌群的分解、固化作用对已产生的臭气进行去除</w:t>
      </w:r>
      <w:r>
        <w:rPr>
          <w:rFonts w:hint="eastAsia"/>
          <w:lang w:eastAsia="zh-CN"/>
        </w:rPr>
        <w:t>。</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添加目前新研发的生物除臭菌（北京中水华峰生物技术有限公司研发的产品洁宝）进行臭气治理，北京中水华峰生物技术有限公司研发的产品洁宝为目前较为有效的治理养殖场臭气的产品，主要原理为通过微生物菌群的分解、固化作用达到去除臭气的目的，</w:t>
      </w:r>
      <w:r>
        <w:rPr>
          <w:rFonts w:hint="eastAsia"/>
          <w:color w:val="000000" w:themeColor="text1"/>
          <w14:textFill>
            <w14:solidFill>
              <w14:schemeClr w14:val="tx1"/>
            </w14:solidFill>
          </w14:textFill>
        </w:rPr>
        <w:t>如</w:t>
      </w:r>
      <w:r>
        <w:rPr>
          <w:color w:val="000000" w:themeColor="text1"/>
          <w14:textFill>
            <w14:solidFill>
              <w14:schemeClr w14:val="tx1"/>
            </w14:solidFill>
          </w14:textFill>
        </w:rPr>
        <w:t>下图所示。</w:t>
      </w:r>
    </w:p>
    <w:p>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436235" cy="2149475"/>
            <wp:effectExtent l="0" t="0" r="12065" b="3175"/>
            <wp:docPr id="44" name="图片 23" descr="QQ截图2019031022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descr="QQ截图20190310222156"/>
                    <pic:cNvPicPr>
                      <a:picLocks noChangeAspect="1"/>
                    </pic:cNvPicPr>
                  </pic:nvPicPr>
                  <pic:blipFill>
                    <a:blip r:embed="rId80"/>
                    <a:stretch>
                      <a:fillRect/>
                    </a:stretch>
                  </pic:blipFill>
                  <pic:spPr>
                    <a:xfrm>
                      <a:off x="0" y="0"/>
                      <a:ext cx="5436235" cy="2149475"/>
                    </a:xfrm>
                    <a:prstGeom prst="rect">
                      <a:avLst/>
                    </a:prstGeom>
                    <a:noFill/>
                    <a:ln>
                      <a:noFill/>
                    </a:ln>
                  </pic:spPr>
                </pic:pic>
              </a:graphicData>
            </a:graphic>
          </wp:inline>
        </w:drawing>
      </w:r>
    </w:p>
    <w:p>
      <w:pPr>
        <w:pStyle w:val="6"/>
      </w:pPr>
      <w:r>
        <w:t>图</w:t>
      </w:r>
      <w:r>
        <w:rPr>
          <w:rFonts w:hint="eastAsia"/>
        </w:rPr>
        <w:t>7.2.2</w:t>
      </w:r>
      <w:r>
        <w:t>-1    除臭菌（洁宝）除臭原理</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GB3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color w:val="000000" w:themeColor="text1"/>
          <w14:textFill>
            <w14:solidFill>
              <w14:schemeClr w14:val="tx1"/>
            </w14:solidFill>
          </w14:textFill>
        </w:rPr>
        <w:t>氨气的去除</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w:t>
      </w:r>
      <w:r>
        <w:rPr>
          <w:color w:val="000000" w:themeColor="text1"/>
          <w14:textFill>
            <w14:solidFill>
              <w14:schemeClr w14:val="tx1"/>
            </w14:solidFill>
          </w14:textFill>
        </w:rPr>
        <w:t>粪污中有机质在生物菌的作用下直接转化为氮气。</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II</w:t>
      </w:r>
      <w:r>
        <w:rPr>
          <w:color w:val="000000" w:themeColor="text1"/>
          <w14:textFill>
            <w14:solidFill>
              <w14:schemeClr w14:val="tx1"/>
            </w14:solidFill>
          </w14:textFill>
        </w:rPr>
        <w:t>粪污中的有机质被分解成氨基酸、生化黄腐酸及其它小分子物质，这些小分子物质一方面溶于水后，被生物菌群作为营养物质利用，生物菌死亡后，沉淀和固化氮元素，最后作为肥料进入田地资源化利用。</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III</w:t>
      </w:r>
      <w:r>
        <w:rPr>
          <w:color w:val="000000" w:themeColor="text1"/>
          <w14:textFill>
            <w14:solidFill>
              <w14:schemeClr w14:val="tx1"/>
            </w14:solidFill>
          </w14:textFill>
        </w:rPr>
        <w:t>部分氮元素为氨气，被菌群中的固氨菌和其它菌群直接利用，达到了固化和去除氨气的目的。</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IV</w:t>
      </w:r>
      <w:r>
        <w:rPr>
          <w:color w:val="000000" w:themeColor="text1"/>
          <w14:textFill>
            <w14:solidFill>
              <w14:schemeClr w14:val="tx1"/>
            </w14:solidFill>
          </w14:textFill>
        </w:rPr>
        <w:t>氨气在水体上层表层消化细菌和氧气的共同作用下，转化为亚硝酸盐和硝酸盐，这两种物质可以被大多数菌群作为自身营养利用从而达到了固化沉淀，最终实现资源化利用。</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GB3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fldChar w:fldCharType="end"/>
      </w:r>
      <w:r>
        <w:rPr>
          <w:color w:val="000000" w:themeColor="text1"/>
          <w14:textFill>
            <w14:solidFill>
              <w14:schemeClr w14:val="tx1"/>
            </w14:solidFill>
          </w14:textFill>
        </w:rPr>
        <w:t>硫化氢的去除和硫循环</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w:t>
      </w:r>
      <w:r>
        <w:rPr>
          <w:color w:val="000000" w:themeColor="text1"/>
          <w14:textFill>
            <w14:solidFill>
              <w14:schemeClr w14:val="tx1"/>
            </w14:solidFill>
          </w14:textFill>
        </w:rPr>
        <w:t>有机质被分解成小分子物质（如氨基酸、硫醇、硫醚）后能被生物菌作为自身营养利用，生物菌死亡后沉淀，沉淀物最后实现了资源化利用，再次分解的部分沉淀物，又再次进入上个循环。</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II</w:t>
      </w:r>
      <w:r>
        <w:rPr>
          <w:color w:val="000000" w:themeColor="text1"/>
          <w14:textFill>
            <w14:solidFill>
              <w14:schemeClr w14:val="tx1"/>
            </w14:solidFill>
          </w14:textFill>
        </w:rPr>
        <w:t>部分硫元素转化为硫化氢，被生物菌中嗜硫菌作为自身营养利用，实现了固化。</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3 \* GB3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fldChar w:fldCharType="end"/>
      </w:r>
      <w:r>
        <w:rPr>
          <w:color w:val="000000" w:themeColor="text1"/>
          <w14:textFill>
            <w14:solidFill>
              <w14:schemeClr w14:val="tx1"/>
            </w14:solidFill>
          </w14:textFill>
        </w:rPr>
        <w:t>挥发性有机质的固化和循环挥发性有机质是远飘型臭气的主要成分，同时具有很强的粘附性，臭气刺激性强、持续时间久。</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w:t>
      </w:r>
      <w:r>
        <w:rPr>
          <w:color w:val="000000" w:themeColor="text1"/>
          <w14:textFill>
            <w14:solidFill>
              <w14:schemeClr w14:val="tx1"/>
            </w14:solidFill>
          </w14:textFill>
        </w:rPr>
        <w:t>、生物菌一旦大量增殖后，有很强有机质吸附能力，使挥发性有机质初步得到控制，挥发性臭气明显减少。</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II</w:t>
      </w:r>
      <w:r>
        <w:rPr>
          <w:color w:val="000000" w:themeColor="text1"/>
          <w14:textFill>
            <w14:solidFill>
              <w14:schemeClr w14:val="tx1"/>
            </w14:solidFill>
          </w14:textFill>
        </w:rPr>
        <w:t>挥发性有机质被生物菌吸附后，在细胞外酶作用下分解和被细胞利用，实现臭气的固化和循环利用。</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同时针对瞬时臭气浓度较高的情况，可辅助投入产品“洁爽”，该产品为一种强氧化剂，使用后能快速氧化空间中臭气物质，从而达到直接除臭的效果。</w:t>
      </w:r>
    </w:p>
    <w:p>
      <w:pPr>
        <w:ind w:firstLine="48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（4）羊粪</w:t>
      </w:r>
      <w:r>
        <w:rPr>
          <w:rFonts w:hint="eastAsia"/>
          <w:color w:val="000000" w:themeColor="text1"/>
          <w:lang w:eastAsia="zh-CN"/>
          <w14:textFill>
            <w14:solidFill>
              <w14:schemeClr w14:val="tx1"/>
            </w14:solidFill>
          </w14:textFill>
        </w:rPr>
        <w:t>及时清理</w:t>
      </w:r>
    </w:p>
    <w:p>
      <w:pPr>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有资料表明，羊粪在1~2周后发酵较快，粪便暴露面积越大，发酵率越高，因此应及时将粪便从羊舍中排出，并加强羊舍内的通风效果，减少臭气在羊舍的停留时间，降低臭气的排放浓度，能较好的减少臭气污染。</w:t>
      </w:r>
    </w:p>
    <w:p>
      <w:pPr>
        <w:pStyle w:val="5"/>
        <w:bidi w:val="0"/>
      </w:pPr>
      <w:r>
        <w:rPr>
          <w:rFonts w:hint="eastAsia"/>
          <w:lang w:val="en-US" w:eastAsia="zh-CN"/>
        </w:rPr>
        <w:t>养殖废气治理措施可行性分析</w:t>
      </w:r>
    </w:p>
    <w:p>
      <w:pPr>
        <w:bidi w:val="0"/>
      </w:pPr>
      <w:r>
        <w:t>本项目为畜禽养殖项目。根据《排污许可证申请与核发技术规范 畜禽养殖行业》</w:t>
      </w:r>
      <w:r>
        <w:rPr>
          <w:rFonts w:hint="eastAsia"/>
          <w:lang w:eastAsia="zh-CN"/>
        </w:rPr>
        <w:t>（</w:t>
      </w:r>
      <w:r>
        <w:t>HJ 1029—2019</w:t>
      </w:r>
      <w:r>
        <w:rPr>
          <w:rFonts w:hint="eastAsia"/>
          <w:lang w:eastAsia="zh-CN"/>
        </w:rPr>
        <w:t>）</w:t>
      </w:r>
      <w:r>
        <w:t>表7畜禽养殖行业排污单位恶臭无组织排放控制要求</w:t>
      </w:r>
      <w:r>
        <w:rPr>
          <w:rFonts w:hint="eastAsia"/>
          <w:lang w:val="en-US" w:eastAsia="zh-CN"/>
        </w:rPr>
        <w:t>分析本项目废气治理措施的可行性</w:t>
      </w:r>
      <w:r>
        <w:t>。</w:t>
      </w:r>
    </w:p>
    <w:p>
      <w:pPr>
        <w:bidi w:val="0"/>
      </w:pPr>
    </w:p>
    <w:p>
      <w:pPr>
        <w:bidi w:val="0"/>
      </w:pPr>
    </w:p>
    <w:p>
      <w:pPr>
        <w:pStyle w:val="6"/>
        <w:bidi w:val="0"/>
      </w:pPr>
      <w:r>
        <w:t>表</w:t>
      </w:r>
      <w:r>
        <w:rPr>
          <w:rFonts w:hint="eastAsia"/>
          <w:lang w:val="en-US" w:eastAsia="zh-CN"/>
        </w:rPr>
        <w:t xml:space="preserve">7.2.2-3   </w:t>
      </w:r>
      <w:r>
        <w:t>项目运营期大气环境保护措施可行技术对照表</w:t>
      </w:r>
    </w:p>
    <w:tbl>
      <w:tblPr>
        <w:tblStyle w:val="3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2658"/>
        <w:gridCol w:w="2869"/>
        <w:gridCol w:w="14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84" w:type="dxa"/>
            <w:tcBorders>
              <w:top w:val="single" w:color="auto" w:sz="4" w:space="0"/>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主要生产设施</w:t>
            </w:r>
          </w:p>
        </w:tc>
        <w:tc>
          <w:tcPr>
            <w:tcW w:w="265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无组织排放控制要求</w:t>
            </w:r>
          </w:p>
        </w:tc>
        <w:tc>
          <w:tcPr>
            <w:tcW w:w="286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本项目措施</w:t>
            </w:r>
          </w:p>
        </w:tc>
        <w:tc>
          <w:tcPr>
            <w:tcW w:w="1411" w:type="dxa"/>
            <w:tcBorders>
              <w:top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符合性分析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84" w:type="dxa"/>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养殖栏舍</w:t>
            </w:r>
          </w:p>
        </w:tc>
        <w:tc>
          <w:tcPr>
            <w:tcW w:w="265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1、选用益生菌配方饲料；</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2、及时清运粪污；</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3、投加或喷洒除臭剂</w:t>
            </w:r>
          </w:p>
        </w:tc>
        <w:tc>
          <w:tcPr>
            <w:tcW w:w="2869"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1、</w:t>
            </w:r>
            <w:r>
              <w:rPr>
                <w:rFonts w:hint="eastAsia"/>
                <w:sz w:val="21"/>
                <w:szCs w:val="21"/>
                <w:lang w:val="en-US" w:eastAsia="zh-CN"/>
              </w:rPr>
              <w:t>在饲料中添加</w:t>
            </w:r>
            <w:r>
              <w:rPr>
                <w:rFonts w:hint="eastAsia"/>
                <w:sz w:val="21"/>
                <w:szCs w:val="21"/>
              </w:rPr>
              <w:t>EM菌群</w:t>
            </w:r>
            <w:r>
              <w:rPr>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2、粪污</w:t>
            </w:r>
            <w:r>
              <w:rPr>
                <w:rFonts w:hint="eastAsia"/>
                <w:sz w:val="21"/>
                <w:szCs w:val="21"/>
                <w:lang w:eastAsia="zh-CN"/>
              </w:rPr>
              <w:t>定期清理</w:t>
            </w:r>
            <w:r>
              <w:rPr>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3、</w:t>
            </w:r>
            <w:r>
              <w:rPr>
                <w:rFonts w:hint="eastAsia"/>
                <w:sz w:val="21"/>
                <w:szCs w:val="21"/>
                <w:lang w:eastAsia="zh-CN"/>
              </w:rPr>
              <w:t>添加生物除臭菌</w:t>
            </w:r>
          </w:p>
        </w:tc>
        <w:tc>
          <w:tcPr>
            <w:tcW w:w="1411" w:type="dxa"/>
            <w:tcBorders>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lang w:eastAsia="zh-CN"/>
              </w:rPr>
            </w:pPr>
            <w:r>
              <w:rPr>
                <w:sz w:val="21"/>
                <w:szCs w:val="21"/>
                <w:lang w:eastAsia="zh-CN"/>
              </w:rPr>
              <w:t>符合</w:t>
            </w:r>
          </w:p>
        </w:tc>
      </w:tr>
    </w:tbl>
    <w:p/>
    <w:p>
      <w:pPr>
        <w:bidi w:val="0"/>
        <w:rPr>
          <w:rFonts w:hint="default"/>
          <w:lang w:val="en-US" w:eastAsia="zh-CN"/>
        </w:rPr>
      </w:pPr>
      <w:r>
        <w:rPr>
          <w:rFonts w:hint="eastAsia"/>
          <w:lang w:val="en-US" w:eastAsia="zh-CN"/>
        </w:rPr>
        <w:t>故本项目养殖废气治理措施可行。</w:t>
      </w:r>
    </w:p>
    <w:p>
      <w:pPr>
        <w:pStyle w:val="4"/>
        <w:rPr>
          <w:color w:val="000000" w:themeColor="text1"/>
          <w14:textFill>
            <w14:solidFill>
              <w14:schemeClr w14:val="tx1"/>
            </w14:solidFill>
          </w14:textFill>
        </w:rPr>
      </w:pPr>
      <w:bookmarkStart w:id="220" w:name="_Toc101428523"/>
      <w:r>
        <w:rPr>
          <w:rFonts w:hint="eastAsia"/>
          <w:color w:val="92D050"/>
          <w:lang w:eastAsia="zh-CN"/>
        </w:rPr>
        <w:t>有机肥堆场</w:t>
      </w:r>
      <w:r>
        <w:rPr>
          <w:rFonts w:hint="eastAsia"/>
          <w:color w:val="000000" w:themeColor="text1"/>
          <w14:textFill>
            <w14:solidFill>
              <w14:schemeClr w14:val="tx1"/>
            </w14:solidFill>
          </w14:textFill>
        </w:rPr>
        <w:t>废气防治措施</w:t>
      </w:r>
      <w:bookmarkEnd w:id="220"/>
    </w:p>
    <w:p>
      <w:pPr>
        <w:pStyle w:val="5"/>
        <w:bidi w:val="0"/>
      </w:pPr>
      <w:r>
        <w:rPr>
          <w:rFonts w:hint="eastAsia"/>
          <w:lang w:val="en-US" w:eastAsia="zh-CN"/>
        </w:rPr>
        <w:t>有机肥堆场废气来源</w:t>
      </w:r>
    </w:p>
    <w:p>
      <w:pPr>
        <w:ind w:firstLine="480"/>
        <w:rPr>
          <w:color w:val="FF0000"/>
        </w:rPr>
      </w:pPr>
      <w:r>
        <w:rPr>
          <w:color w:val="FF0000"/>
        </w:rPr>
        <w:t>本项目粪污处理区的晾粪平台以及氧化塘的恶臭主要来自粪便及尿液产生的NH</w:t>
      </w:r>
      <w:r>
        <w:rPr>
          <w:color w:val="FF0000"/>
          <w:vertAlign w:val="subscript"/>
        </w:rPr>
        <w:t>3</w:t>
      </w:r>
      <w:r>
        <w:rPr>
          <w:color w:val="FF0000"/>
        </w:rPr>
        <w:t>、H</w:t>
      </w:r>
      <w:r>
        <w:rPr>
          <w:color w:val="FF0000"/>
          <w:vertAlign w:val="subscript"/>
        </w:rPr>
        <w:t>2</w:t>
      </w:r>
      <w:r>
        <w:rPr>
          <w:color w:val="FF0000"/>
        </w:rPr>
        <w:t>S等恶臭有害气体。</w:t>
      </w:r>
    </w:p>
    <w:p>
      <w:pPr>
        <w:pStyle w:val="5"/>
        <w:bidi w:val="0"/>
        <w:rPr>
          <w:rFonts w:hint="eastAsia"/>
          <w:color w:val="FF0000"/>
        </w:rPr>
      </w:pPr>
      <w:r>
        <w:rPr>
          <w:rFonts w:hint="eastAsia"/>
          <w:color w:val="FF0000"/>
          <w:lang w:val="en-US" w:eastAsia="zh-CN"/>
        </w:rPr>
        <w:t>有机肥堆场废气治理措施</w:t>
      </w:r>
    </w:p>
    <w:p>
      <w:pPr>
        <w:bidi w:val="0"/>
        <w:rPr>
          <w:color w:val="FF0000"/>
        </w:rPr>
      </w:pPr>
      <w:r>
        <w:rPr>
          <w:color w:val="FF0000"/>
        </w:rPr>
        <w:t>首先是在饲喂过程中合理配制日粮，减少恶臭物质的产生，即从源头减少；及时将粪便进行好氧堆肥，避免长时间放置，可有效减少臭气的产生量；堆肥采用好氧堆肥方式，并投加减少氨释放和保氮的复合发酵剂，可以有效减少氨气等臭气的排放</w:t>
      </w:r>
      <w:r>
        <w:rPr>
          <w:rFonts w:hint="eastAsia"/>
          <w:color w:val="FF0000"/>
          <w:lang w:eastAsia="zh-CN"/>
        </w:rPr>
        <w:t>，</w:t>
      </w:r>
      <w:r>
        <w:rPr>
          <w:rFonts w:hint="eastAsia"/>
          <w:color w:val="FF0000"/>
          <w:lang w:val="en-US" w:eastAsia="zh-CN"/>
        </w:rPr>
        <w:t>除此之外，在堆肥发酵场内定期喷洒生物除臭剂</w:t>
      </w:r>
      <w:r>
        <w:rPr>
          <w:color w:val="FF0000"/>
        </w:rPr>
        <w:t>。</w:t>
      </w:r>
    </w:p>
    <w:p>
      <w:pPr>
        <w:pStyle w:val="5"/>
        <w:bidi w:val="0"/>
        <w:rPr>
          <w:color w:val="FF0000"/>
        </w:rPr>
      </w:pPr>
      <w:r>
        <w:rPr>
          <w:rFonts w:hint="eastAsia"/>
          <w:color w:val="FF0000"/>
          <w:lang w:val="en-US" w:eastAsia="zh-CN"/>
        </w:rPr>
        <w:t>有机肥堆场废气治理措施可行性分析</w:t>
      </w:r>
    </w:p>
    <w:p>
      <w:pPr>
        <w:bidi w:val="0"/>
        <w:rPr>
          <w:color w:val="FF0000"/>
        </w:rPr>
      </w:pPr>
      <w:r>
        <w:rPr>
          <w:color w:val="FF0000"/>
        </w:rPr>
        <w:t>本项目为畜禽养殖项目。根据《排污许可证申请与核发技术规范 畜禽养殖行业》</w:t>
      </w:r>
      <w:r>
        <w:rPr>
          <w:rFonts w:hint="eastAsia"/>
          <w:color w:val="FF0000"/>
          <w:lang w:eastAsia="zh-CN"/>
        </w:rPr>
        <w:t>（</w:t>
      </w:r>
      <w:r>
        <w:rPr>
          <w:color w:val="FF0000"/>
        </w:rPr>
        <w:t>HJ 1029—2019</w:t>
      </w:r>
      <w:r>
        <w:rPr>
          <w:rFonts w:hint="eastAsia"/>
          <w:color w:val="FF0000"/>
          <w:lang w:eastAsia="zh-CN"/>
        </w:rPr>
        <w:t>）</w:t>
      </w:r>
      <w:r>
        <w:rPr>
          <w:color w:val="FF0000"/>
        </w:rPr>
        <w:t>表7畜禽养殖行业排污单位恶臭无组织排放控制要求</w:t>
      </w:r>
      <w:r>
        <w:rPr>
          <w:rFonts w:hint="eastAsia"/>
          <w:color w:val="FF0000"/>
          <w:lang w:val="en-US" w:eastAsia="zh-CN"/>
        </w:rPr>
        <w:t>分析本项目废气治理措施的可行性</w:t>
      </w:r>
      <w:r>
        <w:rPr>
          <w:color w:val="FF0000"/>
        </w:rPr>
        <w:t>。</w:t>
      </w:r>
    </w:p>
    <w:p>
      <w:pPr>
        <w:pStyle w:val="6"/>
        <w:bidi w:val="0"/>
        <w:rPr>
          <w:color w:val="FF0000"/>
        </w:rPr>
      </w:pPr>
      <w:r>
        <w:rPr>
          <w:color w:val="FF0000"/>
        </w:rPr>
        <w:t>表</w:t>
      </w:r>
      <w:r>
        <w:rPr>
          <w:rFonts w:hint="eastAsia"/>
          <w:color w:val="FF0000"/>
          <w:lang w:val="en-US" w:eastAsia="zh-CN"/>
        </w:rPr>
        <w:t xml:space="preserve">7.2.2-4   </w:t>
      </w:r>
      <w:r>
        <w:rPr>
          <w:color w:val="FF0000"/>
        </w:rPr>
        <w:t>项目运营期大气环境保护措施可行技术对照表</w:t>
      </w:r>
    </w:p>
    <w:tbl>
      <w:tblPr>
        <w:tblStyle w:val="3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2842"/>
        <w:gridCol w:w="2760"/>
        <w:gridCol w:w="14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09" w:type="dxa"/>
            <w:tcBorders>
              <w:top w:val="single" w:color="auto" w:sz="4" w:space="0"/>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主要生产设施</w:t>
            </w:r>
          </w:p>
        </w:tc>
        <w:tc>
          <w:tcPr>
            <w:tcW w:w="2842"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无组织排放控制要求</w:t>
            </w:r>
          </w:p>
        </w:tc>
        <w:tc>
          <w:tcPr>
            <w:tcW w:w="276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本项目措施</w:t>
            </w:r>
          </w:p>
        </w:tc>
        <w:tc>
          <w:tcPr>
            <w:tcW w:w="1411" w:type="dxa"/>
            <w:tcBorders>
              <w:top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符合性分析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09" w:type="dxa"/>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固体粪污处理工程</w:t>
            </w:r>
          </w:p>
        </w:tc>
        <w:tc>
          <w:tcPr>
            <w:tcW w:w="2842"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1、</w:t>
            </w:r>
            <w:r>
              <w:rPr>
                <w:rFonts w:hint="eastAsia"/>
                <w:color w:val="FF0000"/>
                <w:sz w:val="21"/>
                <w:szCs w:val="21"/>
                <w:lang w:val="en-US" w:eastAsia="zh-CN"/>
              </w:rPr>
              <w:t>定期喷洒除臭剂</w:t>
            </w:r>
            <w:r>
              <w:rPr>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2、及时</w:t>
            </w:r>
            <w:r>
              <w:rPr>
                <w:rFonts w:hint="eastAsia"/>
                <w:color w:val="FF0000"/>
                <w:sz w:val="21"/>
                <w:szCs w:val="21"/>
                <w:lang w:val="en-US" w:eastAsia="zh-CN"/>
              </w:rPr>
              <w:t>清运固体粪污</w:t>
            </w:r>
            <w:r>
              <w:rPr>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color w:val="FF0000"/>
                <w:sz w:val="21"/>
                <w:szCs w:val="21"/>
                <w:lang w:eastAsia="zh-CN"/>
              </w:rPr>
              <w:t>3、</w:t>
            </w:r>
            <w:r>
              <w:rPr>
                <w:rFonts w:hint="eastAsia"/>
                <w:color w:val="FF0000"/>
                <w:sz w:val="21"/>
                <w:szCs w:val="21"/>
                <w:lang w:val="en-US" w:eastAsia="zh-CN"/>
              </w:rPr>
              <w:t>采用厌氧或好氧堆肥方式</w:t>
            </w:r>
          </w:p>
        </w:tc>
        <w:tc>
          <w:tcPr>
            <w:tcW w:w="276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1、</w:t>
            </w:r>
            <w:r>
              <w:rPr>
                <w:rFonts w:hint="eastAsia"/>
                <w:color w:val="FF0000"/>
                <w:sz w:val="21"/>
                <w:szCs w:val="21"/>
                <w:lang w:eastAsia="zh-CN"/>
              </w:rPr>
              <w:t>定期喷洒生物除臭剂</w:t>
            </w:r>
            <w:r>
              <w:rPr>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2、粪污</w:t>
            </w:r>
            <w:r>
              <w:rPr>
                <w:rFonts w:hint="eastAsia"/>
                <w:color w:val="FF0000"/>
                <w:sz w:val="21"/>
                <w:szCs w:val="21"/>
                <w:lang w:eastAsia="zh-CN"/>
              </w:rPr>
              <w:t>定期清理</w:t>
            </w:r>
            <w:r>
              <w:rPr>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color w:val="FF0000"/>
                <w:sz w:val="21"/>
                <w:szCs w:val="21"/>
                <w:lang w:eastAsia="zh-CN"/>
              </w:rPr>
              <w:t>3、</w:t>
            </w:r>
            <w:r>
              <w:rPr>
                <w:rFonts w:hint="eastAsia"/>
                <w:color w:val="FF0000"/>
                <w:sz w:val="21"/>
                <w:szCs w:val="21"/>
                <w:lang w:val="en-US" w:eastAsia="zh-CN"/>
              </w:rPr>
              <w:t>采用好氧堆肥方式进行处理</w:t>
            </w:r>
          </w:p>
        </w:tc>
        <w:tc>
          <w:tcPr>
            <w:tcW w:w="1411" w:type="dxa"/>
            <w:tcBorders>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lang w:eastAsia="zh-CN"/>
              </w:rPr>
            </w:pPr>
            <w:r>
              <w:rPr>
                <w:color w:val="FF0000"/>
                <w:sz w:val="21"/>
                <w:szCs w:val="21"/>
                <w:lang w:eastAsia="zh-CN"/>
              </w:rPr>
              <w:t>符合</w:t>
            </w:r>
          </w:p>
        </w:tc>
      </w:tr>
    </w:tbl>
    <w:p>
      <w:pPr>
        <w:bidi w:val="0"/>
        <w:rPr>
          <w:rFonts w:hint="default"/>
          <w:color w:val="FF0000"/>
          <w:lang w:val="en-US" w:eastAsia="zh-CN"/>
        </w:rPr>
      </w:pPr>
      <w:r>
        <w:rPr>
          <w:rFonts w:hint="eastAsia"/>
          <w:color w:val="FF0000"/>
          <w:lang w:val="en-US" w:eastAsia="zh-CN"/>
        </w:rPr>
        <w:t>故本项目有机肥堆场废气治理措施可行。</w:t>
      </w:r>
    </w:p>
    <w:p>
      <w:pPr>
        <w:pStyle w:val="4"/>
      </w:pPr>
      <w:r>
        <w:rPr>
          <w:rFonts w:hint="eastAsia"/>
        </w:rPr>
        <w:t>动物尸体无害化车间废气防治措施</w:t>
      </w:r>
    </w:p>
    <w:p>
      <w:pPr>
        <w:pStyle w:val="5"/>
        <w:bidi w:val="0"/>
      </w:pPr>
      <w:r>
        <w:rPr>
          <w:rFonts w:hint="eastAsia"/>
          <w:lang w:val="en-US" w:eastAsia="zh-CN"/>
        </w:rPr>
        <w:t>动物无害化车间废气来源</w:t>
      </w:r>
    </w:p>
    <w:p>
      <w:pPr>
        <w:bidi w:val="0"/>
      </w:pPr>
      <w:r>
        <w:rPr>
          <w:rFonts w:hint="eastAsia"/>
          <w:lang w:val="en-US" w:eastAsia="zh-CN"/>
        </w:rPr>
        <w:t>生产过程中产生的恶臭气体主要为破碎、化制工序产生的废气，采取管道收集措施进行集中收集处理，进料过程产生的恶臭气体产生量较小，以无组织形式排放。根据《疫病动物无害化处置过程恶臭气体生物除臭实验研究》（华南理工大学环境与能源学院张俊威硕士论文，</w:t>
      </w:r>
      <w:r>
        <w:rPr>
          <w:rFonts w:hint="default"/>
          <w:lang w:val="en-US" w:eastAsia="zh-CN"/>
        </w:rPr>
        <w:t xml:space="preserve">2013 </w:t>
      </w:r>
      <w:r>
        <w:rPr>
          <w:rFonts w:hint="eastAsia"/>
          <w:lang w:val="en-US" w:eastAsia="zh-CN"/>
        </w:rPr>
        <w:t xml:space="preserve">年 </w:t>
      </w:r>
      <w:r>
        <w:rPr>
          <w:rFonts w:hint="default"/>
          <w:lang w:val="en-US" w:eastAsia="zh-CN"/>
        </w:rPr>
        <w:t xml:space="preserve">12 </w:t>
      </w:r>
      <w:r>
        <w:rPr>
          <w:rFonts w:hint="eastAsia"/>
          <w:lang w:val="en-US" w:eastAsia="zh-CN"/>
        </w:rPr>
        <w:t xml:space="preserve">月）中针对广州市某卫生处理中心动物尸骸及变质肉类无害化处置过程中产生的恶臭气体的采样分析数据，项目恶臭废气主要污染物为 </w:t>
      </w:r>
      <w:r>
        <w:rPr>
          <w:rFonts w:hint="default"/>
          <w:lang w:val="en-US" w:eastAsia="zh-CN"/>
        </w:rPr>
        <w:t>NH</w:t>
      </w:r>
      <w:r>
        <w:rPr>
          <w:rFonts w:hint="default"/>
          <w:vertAlign w:val="subscript"/>
          <w:lang w:val="en-US" w:eastAsia="zh-CN"/>
        </w:rPr>
        <w:t>3</w:t>
      </w:r>
      <w:r>
        <w:rPr>
          <w:rFonts w:hint="eastAsia"/>
          <w:lang w:val="en-US" w:eastAsia="zh-CN"/>
        </w:rPr>
        <w:t>、</w:t>
      </w:r>
      <w:r>
        <w:rPr>
          <w:rFonts w:hint="default"/>
          <w:lang w:val="en-US" w:eastAsia="zh-CN"/>
        </w:rPr>
        <w:t>H</w:t>
      </w:r>
      <w:r>
        <w:rPr>
          <w:rFonts w:hint="default"/>
          <w:vertAlign w:val="subscript"/>
          <w:lang w:val="en-US" w:eastAsia="zh-CN"/>
        </w:rPr>
        <w:t>2</w:t>
      </w:r>
      <w:r>
        <w:rPr>
          <w:rFonts w:hint="default"/>
          <w:lang w:val="en-US" w:eastAsia="zh-CN"/>
        </w:rPr>
        <w:t>S</w:t>
      </w:r>
      <w:r>
        <w:rPr>
          <w:rFonts w:hint="eastAsia"/>
          <w:lang w:val="en-US" w:eastAsia="zh-CN"/>
        </w:rPr>
        <w:t>。</w:t>
      </w:r>
    </w:p>
    <w:p>
      <w:pPr>
        <w:pStyle w:val="5"/>
        <w:bidi w:val="0"/>
      </w:pPr>
      <w:r>
        <w:rPr>
          <w:rFonts w:hint="eastAsia"/>
          <w:lang w:val="en-US" w:eastAsia="zh-CN"/>
        </w:rPr>
        <w:t>动物无害化车间废气治理措施</w:t>
      </w:r>
    </w:p>
    <w:p>
      <w:pPr>
        <w:ind w:firstLine="480"/>
        <w:rPr>
          <w:rFonts w:hint="eastAsia"/>
          <w:color w:val="FF0000"/>
        </w:rPr>
      </w:pPr>
      <w:r>
        <w:rPr>
          <w:color w:val="FF0000"/>
        </w:rPr>
        <w:t>根据建设单位提供资料，一体式无害化处理设置密闭车间，做顶部集气装置，</w:t>
      </w:r>
      <w:r>
        <w:rPr>
          <w:rFonts w:hint="eastAsia"/>
          <w:color w:val="FF0000"/>
          <w:lang w:val="en-US" w:eastAsia="zh-CN"/>
        </w:rPr>
        <w:t>通过</w:t>
      </w:r>
      <w:r>
        <w:rPr>
          <w:rFonts w:hint="eastAsia"/>
          <w:color w:val="FF0000"/>
        </w:rPr>
        <w:t>一套生物除臭塔进行处理</w:t>
      </w:r>
      <w:r>
        <w:rPr>
          <w:color w:val="FF0000"/>
        </w:rPr>
        <w:t>，采用生物处理工艺除臭，处理效率90%，</w:t>
      </w:r>
      <w:r>
        <w:rPr>
          <w:rFonts w:hint="eastAsia" w:ascii="宋体" w:hAnsi="宋体" w:eastAsia="宋体" w:cs="宋体"/>
          <w:color w:val="FF0000"/>
          <w:kern w:val="0"/>
          <w:sz w:val="24"/>
          <w:szCs w:val="24"/>
          <w:lang w:val="en-US" w:eastAsia="zh-CN" w:bidi="ar"/>
        </w:rPr>
        <w:t>当废气通过生物填料层时，填料上的微生物能将废气中的污染物降解成为无毒无害无刺激性气味的气体，如</w:t>
      </w:r>
      <w:r>
        <w:rPr>
          <w:rFonts w:hint="default" w:ascii="Times New Roman" w:hAnsi="Times New Roman" w:eastAsia="宋体" w:cs="Times New Roman"/>
          <w:color w:val="FF0000"/>
          <w:kern w:val="0"/>
          <w:sz w:val="24"/>
          <w:szCs w:val="24"/>
          <w:lang w:val="en-US" w:eastAsia="zh-CN" w:bidi="ar"/>
        </w:rPr>
        <w:t>CO</w:t>
      </w:r>
      <w:r>
        <w:rPr>
          <w:rFonts w:hint="default" w:ascii="Times New Roman" w:hAnsi="Times New Roman" w:eastAsia="宋体" w:cs="Times New Roman"/>
          <w:color w:val="FF0000"/>
          <w:kern w:val="0"/>
          <w:sz w:val="24"/>
          <w:szCs w:val="24"/>
          <w:vertAlign w:val="subscript"/>
          <w:lang w:val="en-US" w:eastAsia="zh-CN" w:bidi="ar"/>
        </w:rPr>
        <w:t>2</w:t>
      </w:r>
      <w:r>
        <w:rPr>
          <w:rFonts w:hint="eastAsia" w:ascii="宋体" w:hAnsi="宋体" w:eastAsia="宋体" w:cs="宋体"/>
          <w:color w:val="FF0000"/>
          <w:kern w:val="0"/>
          <w:sz w:val="24"/>
          <w:szCs w:val="24"/>
          <w:lang w:val="en-US" w:eastAsia="zh-CN" w:bidi="ar"/>
        </w:rPr>
        <w:t>和水等，同时微生物以转化过程中产生的能量作为自身生长与繁殖的能源，使恶臭气体物质的转化持续进行。经生物除臭塔净化后的气体经</w:t>
      </w:r>
      <w:r>
        <w:rPr>
          <w:rFonts w:hint="eastAsia"/>
          <w:color w:val="FF0000"/>
        </w:rPr>
        <w:t>1台风量为1000m</w:t>
      </w:r>
      <w:r>
        <w:rPr>
          <w:rFonts w:hint="eastAsia"/>
          <w:color w:val="FF0000"/>
          <w:vertAlign w:val="superscript"/>
        </w:rPr>
        <w:t>3</w:t>
      </w:r>
      <w:r>
        <w:rPr>
          <w:rFonts w:hint="eastAsia"/>
          <w:color w:val="FF0000"/>
        </w:rPr>
        <w:t>/h</w:t>
      </w:r>
      <w:r>
        <w:rPr>
          <w:rFonts w:hint="eastAsia" w:ascii="宋体" w:hAnsi="宋体" w:eastAsia="宋体" w:cs="宋体"/>
          <w:color w:val="FF0000"/>
          <w:kern w:val="0"/>
          <w:sz w:val="24"/>
          <w:szCs w:val="24"/>
          <w:lang w:val="en-US" w:eastAsia="zh-CN" w:bidi="ar"/>
        </w:rPr>
        <w:t>离心风机引至</w:t>
      </w:r>
      <w:r>
        <w:rPr>
          <w:rFonts w:hint="eastAsia"/>
          <w:color w:val="FF0000"/>
        </w:rPr>
        <w:t>车间排气筒DA001（15m）</w:t>
      </w:r>
      <w:r>
        <w:rPr>
          <w:rFonts w:hint="eastAsia" w:ascii="宋体" w:hAnsi="宋体" w:eastAsia="宋体" w:cs="宋体"/>
          <w:color w:val="FF0000"/>
          <w:kern w:val="0"/>
          <w:sz w:val="24"/>
          <w:szCs w:val="24"/>
          <w:lang w:val="en-US" w:eastAsia="zh-CN" w:bidi="ar"/>
        </w:rPr>
        <w:t>排气筒</w:t>
      </w:r>
      <w:r>
        <w:rPr>
          <w:rFonts w:hint="eastAsia"/>
          <w:color w:val="FF0000"/>
        </w:rPr>
        <w:t>达标排放。</w:t>
      </w:r>
    </w:p>
    <w:p>
      <w:pPr>
        <w:bidi w:val="0"/>
        <w:rPr>
          <w:rFonts w:hint="eastAsia"/>
          <w:color w:val="FF0000"/>
          <w:lang w:val="en-US" w:eastAsia="zh-CN"/>
        </w:rPr>
      </w:pPr>
      <w:r>
        <w:rPr>
          <w:rFonts w:hint="eastAsia"/>
          <w:color w:val="FF0000"/>
        </w:rPr>
        <w:t>生物除臭塔主要利用生物填料及新鲜水循环喷淋</w:t>
      </w:r>
      <w:r>
        <w:rPr>
          <w:rFonts w:hint="eastAsia"/>
          <w:color w:val="FF0000"/>
          <w:lang w:val="en-US" w:eastAsia="zh-CN"/>
        </w:rPr>
        <w:t>为系统进行除臭、除异味。除臭装置内填充填料球，填料球疏松多孔，排列无规则，能与臭气充分接触，实现高效拦截。废气通过滤层时恶臭物质从气相转移至水</w:t>
      </w:r>
      <w:r>
        <w:rPr>
          <w:rFonts w:hint="default"/>
          <w:color w:val="FF0000"/>
          <w:lang w:val="en-US" w:eastAsia="zh-CN"/>
        </w:rPr>
        <w:t>-</w:t>
      </w:r>
      <w:r>
        <w:rPr>
          <w:rFonts w:hint="eastAsia"/>
          <w:color w:val="FF0000"/>
          <w:lang w:val="en-US" w:eastAsia="zh-CN"/>
        </w:rPr>
        <w:t>微生物混合相（生物层），由附着生长在填料上的微生物的代谢作用而被分解掉。</w:t>
      </w:r>
    </w:p>
    <w:p>
      <w:pPr>
        <w:bidi w:val="0"/>
        <w:rPr>
          <w:color w:val="FF0000"/>
        </w:rPr>
      </w:pPr>
      <w:r>
        <w:rPr>
          <w:rFonts w:hint="eastAsia"/>
          <w:color w:val="FF0000"/>
          <w:lang w:val="en-US" w:eastAsia="zh-CN"/>
        </w:rPr>
        <w:t xml:space="preserve">生物除臭装置是目前研究最多、技术成熟，在实际中也最常用的一种处理恶臭气体的方法。微生物利用有机物作为其生长繁殖所需的基质，通过不同的转化途径将大分子或结构复杂的有机物经异化作用最终氧化分解为简单的水、二氧化碳等无机物，同时经同化作用并利用异化作用过程中所产生的能量，使微生物的生物体得到增长繁殖，为进一步发挥其对有机物的处理能力创造有利的条件。污染物去除的实质是有机物作为营养物质被微生物吸收、代谢及利用。这一过程是物理、化学、物理化学以及生物化学所组成的一个复杂过程。 </w:t>
      </w:r>
    </w:p>
    <w:p>
      <w:pPr>
        <w:bidi w:val="0"/>
        <w:rPr>
          <w:rFonts w:hint="eastAsia"/>
          <w:color w:val="FF0000"/>
          <w:lang w:val="en-US" w:eastAsia="zh-CN"/>
        </w:rPr>
      </w:pPr>
      <w:r>
        <w:rPr>
          <w:rFonts w:hint="eastAsia"/>
          <w:color w:val="FF0000"/>
          <w:lang w:val="en-US" w:eastAsia="zh-CN"/>
        </w:rPr>
        <w:t>微生物处理技术基本原理如下公式所示：</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FF0000"/>
        </w:rPr>
      </w:pPr>
      <w:r>
        <w:rPr>
          <w:color w:val="FF0000"/>
        </w:rPr>
        <w:drawing>
          <wp:inline distT="0" distB="0" distL="114300" distR="114300">
            <wp:extent cx="3714750" cy="447675"/>
            <wp:effectExtent l="0" t="0" r="0" b="9525"/>
            <wp:docPr id="6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
                    <pic:cNvPicPr>
                      <a:picLocks noChangeAspect="1"/>
                    </pic:cNvPicPr>
                  </pic:nvPicPr>
                  <pic:blipFill>
                    <a:blip r:embed="rId81"/>
                    <a:stretch>
                      <a:fillRect/>
                    </a:stretch>
                  </pic:blipFill>
                  <pic:spPr>
                    <a:xfrm>
                      <a:off x="0" y="0"/>
                      <a:ext cx="3714750" cy="447675"/>
                    </a:xfrm>
                    <a:prstGeom prst="rect">
                      <a:avLst/>
                    </a:prstGeom>
                    <a:noFill/>
                    <a:ln>
                      <a:noFill/>
                    </a:ln>
                  </pic:spPr>
                </pic:pic>
              </a:graphicData>
            </a:graphic>
          </wp:inline>
        </w:drawing>
      </w:r>
    </w:p>
    <w:p>
      <w:pPr>
        <w:bidi w:val="0"/>
        <w:rPr>
          <w:color w:val="FF0000"/>
        </w:rPr>
      </w:pPr>
      <w:r>
        <w:rPr>
          <w:rFonts w:hint="eastAsia"/>
          <w:color w:val="FF0000"/>
          <w:lang w:val="en-US" w:eastAsia="zh-CN"/>
        </w:rPr>
        <w:t>气体中的挥发性有机物或恶臭物质经过传质过程（气液接触表面或通过膜）进入微生物悬液或生物膜中，在好氧条件下挥发性有机物或异味物质大部分被微生物降解为水和二氧化碳，小部分转化为剩余菌体。生物降解工艺的结构示意图如图7.2.4-1所示。</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FF0000"/>
        </w:rPr>
      </w:pPr>
      <w:r>
        <w:rPr>
          <w:color w:val="FF0000"/>
        </w:rPr>
        <w:drawing>
          <wp:inline distT="0" distB="0" distL="114300" distR="114300">
            <wp:extent cx="3067050" cy="3638550"/>
            <wp:effectExtent l="0" t="0" r="0" b="0"/>
            <wp:docPr id="4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
                    <pic:cNvPicPr>
                      <a:picLocks noChangeAspect="1"/>
                    </pic:cNvPicPr>
                  </pic:nvPicPr>
                  <pic:blipFill>
                    <a:blip r:embed="rId82"/>
                    <a:stretch>
                      <a:fillRect/>
                    </a:stretch>
                  </pic:blipFill>
                  <pic:spPr>
                    <a:xfrm>
                      <a:off x="0" y="0"/>
                      <a:ext cx="3067050" cy="36385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olor w:val="FF0000"/>
          <w:lang w:val="en-US" w:eastAsia="zh-CN"/>
        </w:rPr>
      </w:pPr>
      <w:r>
        <w:rPr>
          <w:rFonts w:hint="eastAsia"/>
          <w:color w:val="FF0000"/>
          <w:lang w:val="en-US" w:eastAsia="zh-CN"/>
        </w:rPr>
        <w:t>图7.2.4-1  生物除臭塔工作原理</w:t>
      </w:r>
    </w:p>
    <w:p>
      <w:pPr>
        <w:pStyle w:val="5"/>
        <w:bidi w:val="0"/>
        <w:rPr>
          <w:color w:val="FF0000"/>
        </w:rPr>
      </w:pPr>
      <w:r>
        <w:rPr>
          <w:rFonts w:hint="eastAsia"/>
          <w:color w:val="FF0000"/>
          <w:lang w:val="en-US" w:eastAsia="zh-CN"/>
        </w:rPr>
        <w:t>动物无害化车间废气治理措施可行性分析</w:t>
      </w:r>
    </w:p>
    <w:p>
      <w:pPr>
        <w:rPr>
          <w:rFonts w:hint="default"/>
          <w:color w:val="FF0000"/>
          <w:lang w:val="en-US"/>
        </w:rPr>
      </w:pPr>
      <w:r>
        <w:rPr>
          <w:rFonts w:hint="eastAsia"/>
          <w:color w:val="FF0000"/>
          <w:lang w:val="en-US" w:eastAsia="zh-CN"/>
        </w:rPr>
        <w:t>根据项目工程分析及污染物核算，动物无害化车间产生废气经生物除臭塔处理后，NH</w:t>
      </w:r>
      <w:r>
        <w:rPr>
          <w:rFonts w:hint="eastAsia"/>
          <w:color w:val="FF0000"/>
          <w:vertAlign w:val="subscript"/>
          <w:lang w:val="en-US" w:eastAsia="zh-CN"/>
        </w:rPr>
        <w:t>3</w:t>
      </w:r>
      <w:r>
        <w:rPr>
          <w:rFonts w:hint="eastAsia"/>
          <w:color w:val="FF0000"/>
          <w:lang w:val="en-US" w:eastAsia="zh-CN"/>
        </w:rPr>
        <w:t>排放量为0.08×10</w:t>
      </w:r>
      <w:r>
        <w:rPr>
          <w:rFonts w:hint="eastAsia"/>
          <w:color w:val="FF0000"/>
          <w:vertAlign w:val="superscript"/>
          <w:lang w:val="en-US" w:eastAsia="zh-CN"/>
        </w:rPr>
        <w:t>-3</w:t>
      </w:r>
      <w:r>
        <w:rPr>
          <w:rFonts w:hint="eastAsia"/>
          <w:color w:val="FF0000"/>
          <w:lang w:val="en-US" w:eastAsia="zh-CN"/>
        </w:rPr>
        <w:t>kg/h、H</w:t>
      </w:r>
      <w:r>
        <w:rPr>
          <w:rFonts w:hint="eastAsia"/>
          <w:color w:val="FF0000"/>
          <w:vertAlign w:val="subscript"/>
          <w:lang w:val="en-US" w:eastAsia="zh-CN"/>
        </w:rPr>
        <w:t>2</w:t>
      </w:r>
      <w:r>
        <w:rPr>
          <w:rFonts w:hint="eastAsia"/>
          <w:color w:val="FF0000"/>
          <w:lang w:val="en-US" w:eastAsia="zh-CN"/>
        </w:rPr>
        <w:t>S排放量为0.03×10</w:t>
      </w:r>
      <w:r>
        <w:rPr>
          <w:rFonts w:hint="eastAsia"/>
          <w:color w:val="FF0000"/>
          <w:vertAlign w:val="superscript"/>
          <w:lang w:val="en-US" w:eastAsia="zh-CN"/>
        </w:rPr>
        <w:t>-3</w:t>
      </w:r>
      <w:r>
        <w:rPr>
          <w:rFonts w:hint="eastAsia"/>
          <w:color w:val="FF0000"/>
          <w:lang w:val="en-US" w:eastAsia="zh-CN"/>
        </w:rPr>
        <w:t>kg/h，能够满足《恶臭污染物排放标准》（GB14554-1993）表2对应污染物排放标准值的要求，同时再加上场区内加强绿化等减缓措施，动物无害化车间废气治理措施可行。</w:t>
      </w:r>
    </w:p>
    <w:p>
      <w:pPr>
        <w:pStyle w:val="3"/>
        <w:spacing w:before="120" w:after="120"/>
        <w:rPr>
          <w:color w:val="000000" w:themeColor="text1"/>
          <w14:textFill>
            <w14:solidFill>
              <w14:schemeClr w14:val="tx1"/>
            </w14:solidFill>
          </w14:textFill>
        </w:rPr>
      </w:pPr>
      <w:bookmarkStart w:id="221" w:name="_Toc27529"/>
      <w:bookmarkStart w:id="222" w:name="_Toc101428524"/>
      <w:r>
        <w:rPr>
          <w:rFonts w:hint="eastAsia"/>
          <w:color w:val="000000" w:themeColor="text1"/>
          <w14:textFill>
            <w14:solidFill>
              <w14:schemeClr w14:val="tx1"/>
            </w14:solidFill>
          </w14:textFill>
        </w:rPr>
        <w:t>运营期水污染防治措施及可行性</w:t>
      </w:r>
      <w:bookmarkEnd w:id="221"/>
      <w:bookmarkEnd w:id="222"/>
    </w:p>
    <w:p>
      <w:pPr>
        <w:bidi w:val="0"/>
        <w:rPr>
          <w:rFonts w:hint="eastAsia"/>
          <w:lang w:eastAsia="zh-CN"/>
        </w:rPr>
      </w:pPr>
      <w:bookmarkStart w:id="223" w:name="_Toc46421190"/>
      <w:r>
        <w:rPr>
          <w:rFonts w:hint="eastAsia"/>
        </w:rPr>
        <w:t>本项目不对羊舍进行清洗</w:t>
      </w:r>
      <w:r>
        <w:rPr>
          <w:rFonts w:hint="eastAsia"/>
          <w:lang w:eastAsia="zh-CN"/>
        </w:rPr>
        <w:t>，</w:t>
      </w:r>
      <w:r>
        <w:t>本项目用水主要为羊饮用水、消毒用水、职工生活用水等</w:t>
      </w:r>
      <w:r>
        <w:rPr>
          <w:rFonts w:hint="eastAsia"/>
          <w:lang w:eastAsia="zh-CN"/>
        </w:rPr>
        <w:t>，</w:t>
      </w:r>
      <w:r>
        <w:rPr>
          <w:rFonts w:hint="eastAsia"/>
        </w:rPr>
        <w:t>对应产生的废水为</w:t>
      </w:r>
      <w:r>
        <w:rPr>
          <w:rFonts w:hint="eastAsia"/>
          <w:highlight w:val="green"/>
          <w:lang w:val="en-US" w:eastAsia="zh-CN"/>
        </w:rPr>
        <w:t>羊</w:t>
      </w:r>
      <w:r>
        <w:rPr>
          <w:rFonts w:hint="eastAsia"/>
        </w:rPr>
        <w:t>尿、生活污水</w:t>
      </w:r>
      <w:r>
        <w:t>。</w:t>
      </w:r>
    </w:p>
    <w:p>
      <w:pPr>
        <w:bidi w:val="0"/>
        <w:rPr>
          <w:rFonts w:hint="eastAsia"/>
          <w:lang w:eastAsia="zh-CN"/>
        </w:rPr>
      </w:pPr>
      <w:r>
        <w:rPr>
          <w:rFonts w:hint="eastAsia"/>
          <w:lang w:val="en-US" w:eastAsia="zh-CN"/>
        </w:rPr>
        <w:t>项目不单独对羊尿进行收集，随粪便漏入羊舍下层粪污通道后，采用干清粪法将其一同清入堆肥平台进行发酵</w:t>
      </w:r>
      <w:r>
        <w:rPr>
          <w:rFonts w:hint="eastAsia"/>
          <w:lang w:eastAsia="zh-CN"/>
        </w:rPr>
        <w:t>。</w:t>
      </w:r>
    </w:p>
    <w:p>
      <w:pPr>
        <w:bidi w:val="0"/>
      </w:pPr>
      <w:r>
        <w:rPr>
          <w:rFonts w:hint="eastAsia"/>
        </w:rPr>
        <w:t>生活污水经管道排入化粪池</w:t>
      </w:r>
      <w:r>
        <w:rPr>
          <w:rFonts w:hint="eastAsia"/>
          <w:lang w:val="en-US" w:eastAsia="zh-CN"/>
        </w:rPr>
        <w:t>后定期委托五原县塔尔湖污水处理厂采用罐车清运处理</w:t>
      </w:r>
      <w:r>
        <w:rPr>
          <w:rFonts w:hint="eastAsia"/>
        </w:rPr>
        <w:t>。</w:t>
      </w:r>
    </w:p>
    <w:p>
      <w:pPr>
        <w:bidi w:val="0"/>
      </w:pPr>
      <w:r>
        <w:rPr>
          <w:rFonts w:hint="eastAsia"/>
        </w:rPr>
        <w:t>项目采用雨污分流排水。</w:t>
      </w:r>
    </w:p>
    <w:p>
      <w:pPr>
        <w:bidi w:val="0"/>
        <w:rPr>
          <w:color w:val="000000" w:themeColor="text1"/>
          <w14:textFill>
            <w14:solidFill>
              <w14:schemeClr w14:val="tx1"/>
            </w14:solidFill>
          </w14:textFill>
        </w:rPr>
      </w:pPr>
      <w:r>
        <w:rPr>
          <w:rFonts w:hint="eastAsia"/>
        </w:rPr>
        <w:t>羊舍设置合适坡度，以利雨水的排出，羊舍屋面雨水、道路</w:t>
      </w:r>
      <w:r>
        <w:rPr>
          <w:rFonts w:hint="eastAsia"/>
          <w:color w:val="000000" w:themeColor="text1"/>
          <w14:textFill>
            <w14:solidFill>
              <w14:schemeClr w14:val="tx1"/>
            </w14:solidFill>
          </w14:textFill>
        </w:rPr>
        <w:t>雨水采用自流式排水，采用地面与明沟相结合方式统筹安排，雨水直接排入排水沟，最终排入周边沟渠。</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综上所述，本项目废水采取有效的处理处置措施后，废水不外排，同时采用雨污分流，肉羊养殖园区清净雨水通过雨水管道自流式排出，项目对粪污及初期雨水控制减缓措施是有效的，</w:t>
      </w:r>
      <w:bookmarkEnd w:id="223"/>
      <w:r>
        <w:rPr>
          <w:rFonts w:hint="eastAsia"/>
          <w:color w:val="000000" w:themeColor="text1"/>
          <w14:textFill>
            <w14:solidFill>
              <w14:schemeClr w14:val="tx1"/>
            </w14:solidFill>
          </w14:textFill>
        </w:rPr>
        <w:t>采取</w:t>
      </w:r>
      <w:r>
        <w:rPr>
          <w:color w:val="000000" w:themeColor="text1"/>
          <w14:textFill>
            <w14:solidFill>
              <w14:schemeClr w14:val="tx1"/>
            </w14:solidFill>
          </w14:textFill>
        </w:rPr>
        <w:t>上述措施是可行的。</w:t>
      </w:r>
    </w:p>
    <w:p>
      <w:pPr>
        <w:pStyle w:val="3"/>
        <w:spacing w:before="120" w:after="120"/>
        <w:rPr>
          <w:color w:val="000000" w:themeColor="text1"/>
          <w14:textFill>
            <w14:solidFill>
              <w14:schemeClr w14:val="tx1"/>
            </w14:solidFill>
          </w14:textFill>
        </w:rPr>
      </w:pPr>
      <w:bookmarkStart w:id="224" w:name="_Toc25839"/>
      <w:bookmarkStart w:id="225" w:name="_Toc530642992"/>
      <w:bookmarkStart w:id="226" w:name="_Toc101428525"/>
      <w:r>
        <w:rPr>
          <w:rFonts w:hint="eastAsia"/>
          <w:color w:val="000000" w:themeColor="text1"/>
          <w14:textFill>
            <w14:solidFill>
              <w14:schemeClr w14:val="tx1"/>
            </w14:solidFill>
          </w14:textFill>
        </w:rPr>
        <w:t>运营期地下水防治</w:t>
      </w:r>
      <w:r>
        <w:rPr>
          <w:color w:val="000000" w:themeColor="text1"/>
          <w14:textFill>
            <w14:solidFill>
              <w14:schemeClr w14:val="tx1"/>
            </w14:solidFill>
          </w14:textFill>
        </w:rPr>
        <w:t>措施可行性</w:t>
      </w:r>
      <w:bookmarkEnd w:id="224"/>
      <w:bookmarkEnd w:id="225"/>
      <w:bookmarkEnd w:id="226"/>
    </w:p>
    <w:p>
      <w:pPr>
        <w:pStyle w:val="4"/>
        <w:rPr>
          <w:color w:val="000000" w:themeColor="text1"/>
          <w14:textFill>
            <w14:solidFill>
              <w14:schemeClr w14:val="tx1"/>
            </w14:solidFill>
          </w14:textFill>
        </w:rPr>
      </w:pPr>
      <w:bookmarkStart w:id="227" w:name="_Toc41476842"/>
      <w:bookmarkStart w:id="228" w:name="_Toc101428526"/>
      <w:r>
        <w:rPr>
          <w:rFonts w:hint="eastAsia"/>
          <w:color w:val="000000" w:themeColor="text1"/>
          <w14:textFill>
            <w14:solidFill>
              <w14:schemeClr w14:val="tx1"/>
            </w14:solidFill>
          </w14:textFill>
        </w:rPr>
        <w:t>防治原则</w:t>
      </w:r>
      <w:bookmarkEnd w:id="227"/>
      <w:bookmarkEnd w:id="228"/>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地下水及土壤污染防治措施坚持“源头控制、末端防治、污染监控、应急响应相结合”的原则，即采取主动控制和被动控制相结合的措施。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（1）主动控制，即从源头控制措施，主要包括在</w:t>
      </w: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、羊舍粪污通道及集粪池、</w:t>
      </w:r>
      <w:r>
        <w:rPr>
          <w:rFonts w:hint="eastAsia"/>
          <w:color w:val="92D050"/>
          <w:lang w:eastAsia="zh-CN"/>
        </w:rPr>
        <w:t>有机肥堆场</w:t>
      </w:r>
      <w:r>
        <w:rPr>
          <w:rFonts w:hint="eastAsia"/>
          <w:color w:val="000000" w:themeColor="text1"/>
          <w14:textFill>
            <w14:solidFill>
              <w14:schemeClr w14:val="tx1"/>
            </w14:solidFill>
          </w14:textFill>
        </w:rPr>
        <w:t>采取相应措施，防止和降低污染物跑、冒、滴、漏，将污染物泄漏的环境风险事故降到最低程度。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被动控制，即末端控制措施，主要包括场内污染区地面的防渗措施和泄漏、渗漏污染物收集措施，即在污染区地面进行防渗处理，防止洒落地面的污染物渗入地下，并把滞留在地面的污染物收集起来，按规范妥善处置。</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（3）实施重点区域地下水污染监控系统，包括建立完善的监测制度，科学、合理设置地下水污染监控井，及时发现污染、及时控制。</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（4）应急响应措施，包括一旦发现地下水污、土壤染事故，立即启动应急预案、采取应急措施控制地下水、土壤污染，并使污染得到治理。</w:t>
      </w:r>
    </w:p>
    <w:p>
      <w:pPr>
        <w:pStyle w:val="4"/>
        <w:rPr>
          <w:color w:val="000000" w:themeColor="text1"/>
          <w14:textFill>
            <w14:solidFill>
              <w14:schemeClr w14:val="tx1"/>
            </w14:solidFill>
          </w14:textFill>
        </w:rPr>
      </w:pPr>
      <w:bookmarkStart w:id="229" w:name="_Toc101428527"/>
      <w:bookmarkStart w:id="230" w:name="_Toc41476843"/>
      <w:r>
        <w:rPr>
          <w:rFonts w:hint="eastAsia"/>
          <w:color w:val="000000" w:themeColor="text1"/>
          <w14:textFill>
            <w14:solidFill>
              <w14:schemeClr w14:val="tx1"/>
            </w14:solidFill>
          </w14:textFill>
        </w:rPr>
        <w:t>污染物控制对策</w:t>
      </w:r>
      <w:bookmarkEnd w:id="229"/>
      <w:bookmarkEnd w:id="230"/>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按照“源头控制、分区防控、污染监控、应急响应”原则，按照分区防控原则，拟建项目所在地分重点防渗区、一般防渗区和简单防渗区。为了防止地下水和土壤受到污染，采取的主要地下水防治措施如下：</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源头控制措施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项目运营后应加强管理，主要包括在危险废物暂存间、羊舍粪污通道及</w:t>
      </w:r>
      <w:r>
        <w:rPr>
          <w:rFonts w:hint="eastAsia"/>
          <w:color w:val="92D050"/>
          <w:lang w:eastAsia="zh-CN"/>
        </w:rPr>
        <w:t>有机肥堆场</w:t>
      </w:r>
      <w:r>
        <w:rPr>
          <w:rFonts w:hint="eastAsia"/>
          <w:color w:val="000000" w:themeColor="text1"/>
          <w14:textFill>
            <w14:solidFill>
              <w14:schemeClr w14:val="tx1"/>
            </w14:solidFill>
          </w14:textFill>
        </w:rPr>
        <w:t>等区域，降低和防止污染物跑、冒、滴、漏，将污染物泄漏的环境风险事故降到最低程度，把工程分析中提到的各项废水利用措施落实到位，避免事故排放对地下水造成污染。</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本次评价提出如下要求：</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（1）场区任何废水皆禁止排入地下水中。</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（2）将拟建场区采取分区防渗，全厂根据不同区域潜在地下水污染风险性大小划分为：重点防渗区、一般防渗区和简单防渗区。</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（3）在拟建场区可能发生泄漏的装置下游布置</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口地下水跟踪监测井，进行地下水污染监测，发现泄漏及时切断泄漏源，减小向地下水中的泄漏量。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（4）采用雨污分流自流式排水，道路雨水采用自流式排水，经过雨水管道排入养殖场排水沟，沿道路排水沟排出，最终排放至场区外。</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分区防渗措施</w:t>
      </w:r>
    </w:p>
    <w:p>
      <w:pPr>
        <w:ind w:firstLine="480"/>
        <w:rPr>
          <w:rFonts w:hint="eastAsia"/>
          <w:color w:val="000000"/>
          <w:kern w:val="0"/>
          <w:lang w:bidi="ar"/>
        </w:rPr>
      </w:pPr>
      <w:r>
        <w:rPr>
          <w:rFonts w:hint="eastAsia"/>
        </w:rPr>
        <w:t>因本项目</w:t>
      </w:r>
      <w:r>
        <w:rPr>
          <w:rFonts w:hint="eastAsia" w:ascii="宋体" w:hAnsi="宋体" w:cs="宋体"/>
          <w:color w:val="000000"/>
          <w:kern w:val="0"/>
          <w:lang w:bidi="ar"/>
        </w:rPr>
        <w:t>土地现状主要为盐碱地，含盐量在</w:t>
      </w:r>
      <w:r>
        <w:rPr>
          <w:color w:val="000000"/>
          <w:kern w:val="0"/>
          <w:lang w:bidi="ar"/>
        </w:rPr>
        <w:t>0.3%</w:t>
      </w:r>
      <w:r>
        <w:rPr>
          <w:rFonts w:hint="eastAsia" w:ascii="宋体" w:hAnsi="宋体" w:cs="宋体"/>
          <w:color w:val="000000"/>
          <w:kern w:val="0"/>
          <w:lang w:bidi="ar"/>
        </w:rPr>
        <w:t>～</w:t>
      </w:r>
      <w:r>
        <w:rPr>
          <w:color w:val="000000"/>
          <w:kern w:val="0"/>
          <w:lang w:bidi="ar"/>
        </w:rPr>
        <w:t>1.0%</w:t>
      </w:r>
      <w:r>
        <w:rPr>
          <w:rFonts w:hint="eastAsia" w:ascii="宋体" w:hAnsi="宋体" w:cs="宋体"/>
          <w:color w:val="000000"/>
          <w:kern w:val="0"/>
          <w:lang w:bidi="ar"/>
        </w:rPr>
        <w:t>，并达到中重度碱化程度，地下水水位埋深</w:t>
      </w:r>
      <w:r>
        <w:rPr>
          <w:color w:val="000000"/>
          <w:kern w:val="0"/>
          <w:lang w:bidi="ar"/>
        </w:rPr>
        <w:t>2.52</w:t>
      </w:r>
      <w:r>
        <w:rPr>
          <w:rFonts w:hint="eastAsia"/>
          <w:color w:val="000000"/>
          <w:kern w:val="0"/>
          <w:lang w:bidi="ar"/>
        </w:rPr>
        <w:t>~</w:t>
      </w:r>
      <w:r>
        <w:rPr>
          <w:color w:val="000000"/>
          <w:kern w:val="0"/>
          <w:lang w:bidi="ar"/>
        </w:rPr>
        <w:t>3.14m</w:t>
      </w:r>
      <w:r>
        <w:rPr>
          <w:rFonts w:hint="eastAsia" w:ascii="宋体" w:hAnsi="宋体" w:cs="宋体"/>
          <w:color w:val="000000"/>
          <w:kern w:val="0"/>
          <w:lang w:bidi="ar"/>
        </w:rPr>
        <w:t>不等，盐碱地块与周围地表存在</w:t>
      </w:r>
      <w:r>
        <w:rPr>
          <w:color w:val="000000"/>
          <w:kern w:val="0"/>
          <w:lang w:bidi="ar"/>
        </w:rPr>
        <w:t>0.8~1.0m</w:t>
      </w:r>
      <w:r>
        <w:rPr>
          <w:rFonts w:hint="eastAsia" w:ascii="宋体" w:hAnsi="宋体" w:cs="宋体"/>
          <w:color w:val="000000"/>
          <w:kern w:val="0"/>
          <w:lang w:bidi="ar"/>
        </w:rPr>
        <w:t>高差，将对其基础工程进行换土，利用粉煤灰作建筑地基垫层，主要方法为以粉煤灰为主，掺合少量石灰和粉土制成混合料，每层铺厚</w:t>
      </w:r>
      <w:r>
        <w:rPr>
          <w:color w:val="000000"/>
          <w:kern w:val="0"/>
          <w:lang w:bidi="ar"/>
        </w:rPr>
        <w:t>40~60cm</w:t>
      </w:r>
      <w:r>
        <w:rPr>
          <w:rFonts w:hint="eastAsia" w:ascii="宋体" w:hAnsi="宋体" w:cs="宋体"/>
          <w:color w:val="000000"/>
          <w:kern w:val="0"/>
          <w:lang w:bidi="ar"/>
        </w:rPr>
        <w:t>后振动碾压，压实密度不小于</w:t>
      </w:r>
      <w:r>
        <w:rPr>
          <w:color w:val="000000"/>
          <w:kern w:val="0"/>
          <w:lang w:bidi="ar"/>
        </w:rPr>
        <w:t>0.93</w:t>
      </w:r>
      <w:r>
        <w:rPr>
          <w:rFonts w:hint="eastAsia"/>
          <w:color w:val="000000"/>
          <w:kern w:val="0"/>
          <w:lang w:bidi="ar"/>
        </w:rPr>
        <w:t>。</w:t>
      </w:r>
    </w:p>
    <w:p>
      <w:pPr>
        <w:bidi w:val="0"/>
      </w:pPr>
      <w:r>
        <w:rPr>
          <w:rFonts w:hint="eastAsia"/>
          <w:lang w:val="en-US" w:eastAsia="zh-CN"/>
        </w:rPr>
        <w:t>地块场址所在区域地基土的原始渗透系数约为</w:t>
      </w:r>
      <w:r>
        <w:rPr>
          <w:rFonts w:hint="default"/>
          <w:lang w:val="en-US" w:eastAsia="zh-CN"/>
        </w:rPr>
        <w:t>0.9-1.1×10</w:t>
      </w:r>
      <w:r>
        <w:rPr>
          <w:rFonts w:hint="default"/>
          <w:vertAlign w:val="superscript"/>
          <w:lang w:val="en-US" w:eastAsia="zh-CN"/>
        </w:rPr>
        <w:t xml:space="preserve"> -5</w:t>
      </w:r>
      <w:r>
        <w:rPr>
          <w:rFonts w:hint="default"/>
          <w:lang w:val="en-US" w:eastAsia="zh-CN"/>
        </w:rPr>
        <w:t>cm/s</w:t>
      </w:r>
      <w:r>
        <w:rPr>
          <w:rFonts w:hint="eastAsia"/>
          <w:lang w:val="en-US" w:eastAsia="zh-CN"/>
        </w:rPr>
        <w:t>，为满足标准的要求，在整个地块底部采用高密度聚乙烯的复合土工膜（</w:t>
      </w:r>
      <w:r>
        <w:rPr>
          <w:rFonts w:hint="default"/>
          <w:lang w:val="en-US" w:eastAsia="zh-CN"/>
        </w:rPr>
        <w:t>600g/m</w:t>
      </w:r>
      <w:r>
        <w:rPr>
          <w:rFonts w:hint="default"/>
          <w:vertAlign w:val="superscript"/>
          <w:lang w:val="en-US" w:eastAsia="zh-CN"/>
        </w:rPr>
        <w:t>2</w:t>
      </w:r>
      <w:r>
        <w:rPr>
          <w:rFonts w:hint="eastAsia"/>
          <w:lang w:val="en-US" w:eastAsia="zh-CN"/>
        </w:rPr>
        <w:t>长丝土工布＋</w:t>
      </w:r>
      <w:r>
        <w:rPr>
          <w:rFonts w:hint="default"/>
          <w:lang w:val="en-US" w:eastAsia="zh-CN"/>
        </w:rPr>
        <w:t xml:space="preserve">1.5mm </w:t>
      </w:r>
      <w:r>
        <w:rPr>
          <w:rFonts w:hint="eastAsia"/>
          <w:lang w:val="en-US" w:eastAsia="zh-CN"/>
        </w:rPr>
        <w:t>厚</w:t>
      </w:r>
      <w:r>
        <w:rPr>
          <w:rFonts w:hint="default"/>
          <w:lang w:val="en-US" w:eastAsia="zh-CN"/>
        </w:rPr>
        <w:t>HDPE</w:t>
      </w:r>
      <w:r>
        <w:rPr>
          <w:rFonts w:hint="eastAsia"/>
          <w:lang w:val="en-US" w:eastAsia="zh-CN"/>
        </w:rPr>
        <w:t>土工膜</w:t>
      </w:r>
      <w:r>
        <w:rPr>
          <w:rFonts w:hint="default"/>
          <w:lang w:val="en-US" w:eastAsia="zh-CN"/>
        </w:rPr>
        <w:t>+600g/m</w:t>
      </w:r>
      <w:r>
        <w:rPr>
          <w:rFonts w:hint="default"/>
          <w:vertAlign w:val="superscript"/>
          <w:lang w:val="en-US" w:eastAsia="zh-CN"/>
        </w:rPr>
        <w:t>2</w:t>
      </w:r>
      <w:r>
        <w:rPr>
          <w:rFonts w:hint="eastAsia"/>
          <w:lang w:val="en-US" w:eastAsia="zh-CN"/>
        </w:rPr>
        <w:t xml:space="preserve">长丝土工布）水平防渗工艺，防止污染地下水及周围环境。 </w:t>
      </w:r>
    </w:p>
    <w:p>
      <w:pPr>
        <w:bidi w:val="0"/>
        <w:rPr>
          <w:color w:val="FF0000"/>
        </w:rPr>
      </w:pPr>
      <w:r>
        <w:rPr>
          <w:rFonts w:hint="eastAsia"/>
          <w:color w:val="FF0000"/>
          <w:lang w:val="en-US" w:eastAsia="zh-CN"/>
        </w:rPr>
        <w:t>（</w:t>
      </w:r>
      <w:r>
        <w:rPr>
          <w:rFonts w:hint="default"/>
          <w:color w:val="FF0000"/>
          <w:lang w:val="en-US" w:eastAsia="zh-CN"/>
        </w:rPr>
        <w:t>1</w:t>
      </w:r>
      <w:r>
        <w:rPr>
          <w:rFonts w:hint="eastAsia"/>
          <w:color w:val="FF0000"/>
          <w:lang w:val="en-US" w:eastAsia="zh-CN"/>
        </w:rPr>
        <w:t xml:space="preserve">）场地防渗结构 </w:t>
      </w:r>
    </w:p>
    <w:p>
      <w:pPr>
        <w:bidi w:val="0"/>
        <w:rPr>
          <w:color w:val="FF0000"/>
        </w:rPr>
      </w:pPr>
      <w:r>
        <w:rPr>
          <w:rFonts w:hint="eastAsia"/>
          <w:color w:val="FF0000"/>
          <w:lang w:val="en-US" w:eastAsia="zh-CN"/>
        </w:rPr>
        <w:t xml:space="preserve">场底防渗结构从下至上依次为： </w:t>
      </w:r>
    </w:p>
    <w:p>
      <w:pPr>
        <w:bidi w:val="0"/>
        <w:rPr>
          <w:color w:val="FF0000"/>
        </w:rPr>
      </w:pPr>
      <w:r>
        <w:rPr>
          <w:rFonts w:hint="eastAsia"/>
          <w:color w:val="FF0000"/>
          <w:lang w:val="en-US" w:eastAsia="zh-CN"/>
        </w:rPr>
        <w:t xml:space="preserve">基础层：去除植物根系等表层土，并按照设计进行整平。对粉土及残积土层进行夯实处理。 </w:t>
      </w:r>
    </w:p>
    <w:p>
      <w:pPr>
        <w:bidi w:val="0"/>
        <w:rPr>
          <w:color w:val="FF0000"/>
        </w:rPr>
      </w:pPr>
      <w:r>
        <w:rPr>
          <w:rFonts w:hint="eastAsia"/>
          <w:color w:val="FF0000"/>
          <w:lang w:val="en-US" w:eastAsia="zh-CN"/>
        </w:rPr>
        <w:t>铺设无纺长丝土工布（</w:t>
      </w:r>
      <w:r>
        <w:rPr>
          <w:rFonts w:hint="default"/>
          <w:color w:val="FF0000"/>
          <w:lang w:val="en-US" w:eastAsia="zh-CN"/>
        </w:rPr>
        <w:t>600/m</w:t>
      </w:r>
      <w:r>
        <w:rPr>
          <w:rFonts w:hint="default"/>
          <w:color w:val="FF0000"/>
          <w:vertAlign w:val="superscript"/>
          <w:lang w:val="en-US" w:eastAsia="zh-CN"/>
        </w:rPr>
        <w:t>2</w:t>
      </w:r>
      <w:r>
        <w:rPr>
          <w:rFonts w:hint="eastAsia"/>
          <w:color w:val="FF0000"/>
          <w:lang w:val="en-US" w:eastAsia="zh-CN"/>
        </w:rPr>
        <w:t xml:space="preserve">）； </w:t>
      </w:r>
    </w:p>
    <w:p>
      <w:pPr>
        <w:bidi w:val="0"/>
        <w:rPr>
          <w:color w:val="FF0000"/>
        </w:rPr>
      </w:pPr>
      <w:r>
        <w:rPr>
          <w:rFonts w:hint="eastAsia"/>
          <w:color w:val="FF0000"/>
          <w:lang w:val="en-US" w:eastAsia="zh-CN"/>
        </w:rPr>
        <w:t xml:space="preserve">铺设 </w:t>
      </w:r>
      <w:r>
        <w:rPr>
          <w:rFonts w:hint="default"/>
          <w:color w:val="FF0000"/>
          <w:lang w:val="en-US" w:eastAsia="zh-CN"/>
        </w:rPr>
        <w:t xml:space="preserve">HDPE </w:t>
      </w:r>
      <w:r>
        <w:rPr>
          <w:rFonts w:hint="eastAsia"/>
          <w:color w:val="FF0000"/>
          <w:lang w:val="en-US" w:eastAsia="zh-CN"/>
        </w:rPr>
        <w:t xml:space="preserve">土工膜 </w:t>
      </w:r>
      <w:r>
        <w:rPr>
          <w:rFonts w:hint="default"/>
          <w:color w:val="FF0000"/>
          <w:lang w:val="en-US" w:eastAsia="zh-CN"/>
        </w:rPr>
        <w:t>1.5mm</w:t>
      </w:r>
      <w:r>
        <w:rPr>
          <w:rFonts w:hint="eastAsia"/>
          <w:color w:val="FF0000"/>
          <w:lang w:val="en-US" w:eastAsia="zh-CN"/>
        </w:rPr>
        <w:t xml:space="preserve">； </w:t>
      </w:r>
    </w:p>
    <w:p>
      <w:pPr>
        <w:bidi w:val="0"/>
        <w:rPr>
          <w:color w:val="FF0000"/>
        </w:rPr>
      </w:pPr>
      <w:r>
        <w:rPr>
          <w:rFonts w:hint="eastAsia"/>
          <w:color w:val="FF0000"/>
          <w:lang w:val="en-US" w:eastAsia="zh-CN"/>
        </w:rPr>
        <w:t>铺设无纺长丝土工布（</w:t>
      </w:r>
      <w:r>
        <w:rPr>
          <w:rFonts w:hint="default"/>
          <w:color w:val="FF0000"/>
          <w:lang w:val="en-US" w:eastAsia="zh-CN"/>
        </w:rPr>
        <w:t>600/m</w:t>
      </w:r>
      <w:r>
        <w:rPr>
          <w:rFonts w:hint="default"/>
          <w:color w:val="FF0000"/>
          <w:vertAlign w:val="superscript"/>
          <w:lang w:val="en-US" w:eastAsia="zh-CN"/>
        </w:rPr>
        <w:t>2</w:t>
      </w:r>
      <w:r>
        <w:rPr>
          <w:rFonts w:hint="eastAsia"/>
          <w:color w:val="FF0000"/>
          <w:lang w:val="en-US" w:eastAsia="zh-CN"/>
        </w:rPr>
        <w:t>）。</w:t>
      </w:r>
      <w:r>
        <w:rPr>
          <w:rFonts w:hint="eastAsia" w:ascii="宋体" w:hAnsi="宋体" w:eastAsia="宋体" w:cs="宋体"/>
          <w:color w:val="FF0000"/>
          <w:kern w:val="0"/>
          <w:szCs w:val="24"/>
          <w:lang w:val="en-US" w:eastAsia="zh-CN" w:bidi="ar"/>
        </w:rPr>
        <w:t xml:space="preserve"> </w:t>
      </w:r>
    </w:p>
    <w:p>
      <w:pPr>
        <w:bidi w:val="0"/>
        <w:rPr>
          <w:color w:val="FF0000"/>
        </w:rPr>
      </w:pPr>
      <w:r>
        <w:rPr>
          <w:rFonts w:hint="eastAsia"/>
          <w:color w:val="FF0000"/>
          <w:lang w:val="en-US" w:eastAsia="zh-CN"/>
        </w:rPr>
        <w:t>（</w:t>
      </w:r>
      <w:r>
        <w:rPr>
          <w:rFonts w:hint="default"/>
          <w:color w:val="FF0000"/>
          <w:lang w:val="en-US" w:eastAsia="zh-CN"/>
        </w:rPr>
        <w:t>2</w:t>
      </w:r>
      <w:r>
        <w:rPr>
          <w:rFonts w:hint="eastAsia"/>
          <w:color w:val="FF0000"/>
          <w:lang w:val="en-US" w:eastAsia="zh-CN"/>
        </w:rPr>
        <w:t xml:space="preserve">）坝体边坡防渗结构 </w:t>
      </w:r>
    </w:p>
    <w:p>
      <w:pPr>
        <w:bidi w:val="0"/>
        <w:rPr>
          <w:rFonts w:hint="eastAsia"/>
          <w:color w:val="FF0000"/>
          <w:lang w:val="en-US" w:eastAsia="zh-CN"/>
        </w:rPr>
      </w:pPr>
      <w:r>
        <w:rPr>
          <w:rFonts w:hint="eastAsia"/>
          <w:color w:val="FF0000"/>
          <w:lang w:val="en-US" w:eastAsia="zh-CN"/>
        </w:rPr>
        <w:t>边坡防渗结构从下至上依次为：</w:t>
      </w:r>
    </w:p>
    <w:p>
      <w:pPr>
        <w:bidi w:val="0"/>
        <w:rPr>
          <w:color w:val="FF0000"/>
        </w:rPr>
      </w:pPr>
      <w:r>
        <w:rPr>
          <w:rFonts w:hint="eastAsia"/>
          <w:color w:val="FF0000"/>
          <w:lang w:val="en-US" w:eastAsia="zh-CN"/>
        </w:rPr>
        <w:t xml:space="preserve">坝体边坡压实基础层； </w:t>
      </w:r>
    </w:p>
    <w:p>
      <w:pPr>
        <w:bidi w:val="0"/>
        <w:rPr>
          <w:color w:val="FF0000"/>
        </w:rPr>
      </w:pPr>
      <w:r>
        <w:rPr>
          <w:rFonts w:hint="eastAsia"/>
          <w:color w:val="FF0000"/>
          <w:lang w:val="en-US" w:eastAsia="zh-CN"/>
        </w:rPr>
        <w:t>铺设无纺长丝土工布（</w:t>
      </w:r>
      <w:r>
        <w:rPr>
          <w:rFonts w:hint="default"/>
          <w:color w:val="FF0000"/>
          <w:lang w:val="en-US" w:eastAsia="zh-CN"/>
        </w:rPr>
        <w:t>600/m</w:t>
      </w:r>
      <w:r>
        <w:rPr>
          <w:rFonts w:hint="default"/>
          <w:color w:val="FF0000"/>
          <w:vertAlign w:val="superscript"/>
          <w:lang w:val="en-US" w:eastAsia="zh-CN"/>
        </w:rPr>
        <w:t>2</w:t>
      </w:r>
      <w:r>
        <w:rPr>
          <w:rFonts w:hint="eastAsia"/>
          <w:color w:val="FF0000"/>
          <w:lang w:val="en-US" w:eastAsia="zh-CN"/>
        </w:rPr>
        <w:t xml:space="preserve">）； </w:t>
      </w:r>
    </w:p>
    <w:p>
      <w:pPr>
        <w:bidi w:val="0"/>
        <w:rPr>
          <w:color w:val="FF0000"/>
        </w:rPr>
      </w:pPr>
      <w:r>
        <w:rPr>
          <w:rFonts w:hint="eastAsia"/>
          <w:color w:val="FF0000"/>
          <w:lang w:val="en-US" w:eastAsia="zh-CN"/>
        </w:rPr>
        <w:t xml:space="preserve">铺设 </w:t>
      </w:r>
      <w:r>
        <w:rPr>
          <w:rFonts w:hint="default"/>
          <w:color w:val="FF0000"/>
          <w:lang w:val="en-US" w:eastAsia="zh-CN"/>
        </w:rPr>
        <w:t xml:space="preserve">HDPE </w:t>
      </w:r>
      <w:r>
        <w:rPr>
          <w:rFonts w:hint="eastAsia"/>
          <w:color w:val="FF0000"/>
          <w:lang w:val="en-US" w:eastAsia="zh-CN"/>
        </w:rPr>
        <w:t xml:space="preserve">土工膜 </w:t>
      </w:r>
      <w:r>
        <w:rPr>
          <w:rFonts w:hint="default"/>
          <w:color w:val="FF0000"/>
          <w:lang w:val="en-US" w:eastAsia="zh-CN"/>
        </w:rPr>
        <w:t>1.5mm</w:t>
      </w:r>
      <w:r>
        <w:rPr>
          <w:rFonts w:hint="eastAsia"/>
          <w:color w:val="FF0000"/>
          <w:lang w:val="en-US" w:eastAsia="zh-CN"/>
        </w:rPr>
        <w:t xml:space="preserve">； </w:t>
      </w:r>
    </w:p>
    <w:p>
      <w:pPr>
        <w:bidi w:val="0"/>
        <w:rPr>
          <w:color w:val="FF0000"/>
        </w:rPr>
      </w:pPr>
      <w:r>
        <w:rPr>
          <w:rFonts w:hint="eastAsia"/>
          <w:color w:val="FF0000"/>
          <w:lang w:val="en-US" w:eastAsia="zh-CN"/>
        </w:rPr>
        <w:t>铺设无纺长丝土工布（</w:t>
      </w:r>
      <w:r>
        <w:rPr>
          <w:rFonts w:hint="default"/>
          <w:color w:val="FF0000"/>
          <w:lang w:val="en-US" w:eastAsia="zh-CN"/>
        </w:rPr>
        <w:t>600/m</w:t>
      </w:r>
      <w:r>
        <w:rPr>
          <w:rFonts w:hint="default"/>
          <w:color w:val="FF0000"/>
          <w:vertAlign w:val="superscript"/>
          <w:lang w:val="en-US" w:eastAsia="zh-CN"/>
        </w:rPr>
        <w:t>2</w:t>
      </w:r>
      <w:r>
        <w:rPr>
          <w:rFonts w:hint="eastAsia"/>
          <w:color w:val="FF0000"/>
          <w:lang w:val="en-US" w:eastAsia="zh-CN"/>
        </w:rPr>
        <w:t>）。</w:t>
      </w:r>
    </w:p>
    <w:p>
      <w:pPr>
        <w:bidi w:val="0"/>
        <w:rPr>
          <w:color w:val="FF0000"/>
        </w:rPr>
      </w:pPr>
      <w:r>
        <w:rPr>
          <w:rFonts w:hint="eastAsia"/>
          <w:color w:val="FF0000"/>
          <w:lang w:val="en-US" w:eastAsia="zh-CN"/>
        </w:rPr>
        <w:t>防渗结构图见下图：</w:t>
      </w:r>
    </w:p>
    <w:p>
      <w:pPr>
        <w:keepNext w:val="0"/>
        <w:keepLines w:val="0"/>
        <w:pageBreakBefore w:val="0"/>
        <w:widowControl w:val="0"/>
        <w:kinsoku/>
        <w:wordWrap/>
        <w:overflowPunct/>
        <w:topLinePunct w:val="0"/>
        <w:autoSpaceDE/>
        <w:autoSpaceDN/>
        <w:bidi w:val="0"/>
        <w:adjustRightInd/>
        <w:snapToGrid/>
        <w:ind w:firstLine="0" w:firstLineChars="0"/>
        <w:textAlignment w:val="auto"/>
        <w:rPr>
          <w:color w:val="FF0000"/>
        </w:rPr>
      </w:pPr>
      <w:r>
        <w:rPr>
          <w:color w:val="FF0000"/>
        </w:rPr>
        <w:drawing>
          <wp:inline distT="0" distB="0" distL="114300" distR="114300">
            <wp:extent cx="5485765" cy="4500245"/>
            <wp:effectExtent l="0" t="0" r="635" b="14605"/>
            <wp:docPr id="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
                    <pic:cNvPicPr>
                      <a:picLocks noChangeAspect="1"/>
                    </pic:cNvPicPr>
                  </pic:nvPicPr>
                  <pic:blipFill>
                    <a:blip r:embed="rId83"/>
                    <a:stretch>
                      <a:fillRect/>
                    </a:stretch>
                  </pic:blipFill>
                  <pic:spPr>
                    <a:xfrm>
                      <a:off x="0" y="0"/>
                      <a:ext cx="5485765" cy="4500245"/>
                    </a:xfrm>
                    <a:prstGeom prst="rect">
                      <a:avLst/>
                    </a:prstGeom>
                    <a:noFill/>
                    <a:ln>
                      <a:noFill/>
                    </a:ln>
                  </pic:spPr>
                </pic:pic>
              </a:graphicData>
            </a:graphic>
          </wp:inline>
        </w:drawing>
      </w:r>
    </w:p>
    <w:p>
      <w:pPr>
        <w:pStyle w:val="6"/>
        <w:bidi w:val="0"/>
        <w:rPr>
          <w:rFonts w:hint="default"/>
          <w:color w:val="FF0000"/>
          <w:lang w:val="en-US" w:eastAsia="zh-CN"/>
        </w:rPr>
      </w:pPr>
      <w:r>
        <w:rPr>
          <w:rFonts w:hint="eastAsia"/>
          <w:color w:val="FF0000"/>
          <w:lang w:val="en-US" w:eastAsia="zh-CN"/>
        </w:rPr>
        <w:t>图7.4.2-1  地基工程防渗结构图</w:t>
      </w:r>
    </w:p>
    <w:p>
      <w:pPr>
        <w:bidi w:val="0"/>
        <w:rPr>
          <w:rFonts w:hint="eastAsia"/>
          <w:color w:val="FF0000"/>
          <w:lang w:eastAsia="zh-CN"/>
        </w:rPr>
      </w:pPr>
      <w:r>
        <w:rPr>
          <w:rFonts w:hint="eastAsia"/>
          <w:color w:val="FF0000"/>
        </w:rPr>
        <w:t>同时，项目将根据生产装置、辅助设施及公用工程可能泄漏特殊的性质将项目区分为重点污染防治区、一般污染防治区和非污染防治区。为防止运营过程对地下水造成污染，在工程设计中，将分区对场区内防渗漏设施进行建设。主要考虑重点污染防治区和一般污染防治区，</w:t>
      </w:r>
      <w:r>
        <w:rPr>
          <w:rFonts w:hint="eastAsia"/>
          <w:color w:val="FF0000"/>
          <w:lang w:val="en-US" w:eastAsia="zh-CN"/>
        </w:rPr>
        <w:t>根据</w:t>
      </w:r>
      <w:r>
        <w:rPr>
          <w:color w:val="FF0000"/>
        </w:rPr>
        <w:t>《环境影响评价技术导则 地下水环境》（HJ610 2016）、</w:t>
      </w:r>
      <w:r>
        <w:rPr>
          <w:rFonts w:hint="eastAsia"/>
          <w:color w:val="FF0000"/>
        </w:rPr>
        <w:t>《一般工业固体废物贮存和填埋污染控制标准》（GB 18599-2020）</w:t>
      </w:r>
      <w:r>
        <w:rPr>
          <w:color w:val="FF0000"/>
        </w:rPr>
        <w:t>、《危险废物贮存污染控制标准》（GB18597-20</w:t>
      </w:r>
      <w:r>
        <w:rPr>
          <w:rFonts w:hint="eastAsia"/>
          <w:color w:val="FF0000"/>
          <w:lang w:val="en-US" w:eastAsia="zh-CN"/>
        </w:rPr>
        <w:t>23</w:t>
      </w:r>
      <w:r>
        <w:rPr>
          <w:rFonts w:hint="eastAsia"/>
          <w:color w:val="FF0000"/>
          <w:lang w:eastAsia="zh-CN"/>
        </w:rPr>
        <w:t>）</w:t>
      </w:r>
      <w:r>
        <w:rPr>
          <w:color w:val="FF0000"/>
        </w:rPr>
        <w:t>等相关规范标准</w:t>
      </w:r>
      <w:r>
        <w:rPr>
          <w:rFonts w:hint="eastAsia"/>
          <w:color w:val="FF0000"/>
        </w:rPr>
        <w:t>分别采取不同等级防渗方案</w:t>
      </w:r>
      <w:r>
        <w:rPr>
          <w:rFonts w:hint="eastAsia"/>
          <w:color w:val="FF0000"/>
          <w:lang w:eastAsia="zh-CN"/>
        </w:rPr>
        <w:t>。</w:t>
      </w:r>
    </w:p>
    <w:p>
      <w:pPr>
        <w:numPr>
          <w:ilvl w:val="0"/>
          <w:numId w:val="16"/>
        </w:numPr>
        <w:bidi w:val="0"/>
        <w:rPr>
          <w:rFonts w:hint="eastAsia"/>
          <w:color w:val="FF0000"/>
          <w:lang w:val="en-US" w:eastAsia="zh-CN"/>
        </w:rPr>
      </w:pPr>
      <w:r>
        <w:rPr>
          <w:rFonts w:hint="eastAsia"/>
          <w:color w:val="FF0000"/>
          <w:lang w:val="en-US" w:eastAsia="zh-CN"/>
        </w:rPr>
        <w:t>防渗要求</w:t>
      </w:r>
    </w:p>
    <w:p>
      <w:pPr>
        <w:bidi w:val="0"/>
        <w:rPr>
          <w:color w:val="FF0000"/>
        </w:rPr>
      </w:pPr>
      <w:r>
        <w:rPr>
          <w:rFonts w:hint="eastAsia"/>
          <w:color w:val="FF0000"/>
          <w:lang w:val="en-US" w:eastAsia="zh-CN"/>
        </w:rPr>
        <w:t>医疗废物暂存间</w:t>
      </w:r>
      <w:r>
        <w:rPr>
          <w:color w:val="FF0000"/>
        </w:rPr>
        <w:t>参照《危险废物贮存污染控制标准》（GB18597-20</w:t>
      </w:r>
      <w:r>
        <w:rPr>
          <w:rFonts w:hint="eastAsia"/>
          <w:color w:val="FF0000"/>
          <w:lang w:val="en-US" w:eastAsia="zh-CN"/>
        </w:rPr>
        <w:t>23</w:t>
      </w:r>
      <w:r>
        <w:rPr>
          <w:rFonts w:hint="eastAsia"/>
          <w:color w:val="FF0000"/>
          <w:lang w:eastAsia="zh-CN"/>
        </w:rPr>
        <w:t>）</w:t>
      </w:r>
      <w:r>
        <w:rPr>
          <w:color w:val="FF0000"/>
        </w:rPr>
        <w:t>的要求设置防渗，一般固废暂存库参照</w:t>
      </w:r>
      <w:r>
        <w:rPr>
          <w:rFonts w:hint="eastAsia"/>
          <w:color w:val="FF0000"/>
        </w:rPr>
        <w:t>《一般工业固体废物贮存和填埋污染控制标准》（GB 18599-2020）</w:t>
      </w:r>
      <w:r>
        <w:rPr>
          <w:color w:val="FF0000"/>
        </w:rPr>
        <w:t>设置防渗，还应该参照《环境影响评价技术导则 地下水环境》（HJ610 2016）的要求，并从严考虑。</w:t>
      </w:r>
    </w:p>
    <w:p>
      <w:pPr>
        <w:bidi w:val="0"/>
        <w:rPr>
          <w:color w:val="FF0000"/>
          <w:szCs w:val="24"/>
        </w:rPr>
      </w:pPr>
      <w:r>
        <w:rPr>
          <w:color w:val="FF0000"/>
        </w:rPr>
        <w:t>《环境影响评价技术导则 地下水环境》</w:t>
      </w:r>
      <w:r>
        <w:rPr>
          <w:color w:val="FF0000"/>
          <w:szCs w:val="24"/>
        </w:rPr>
        <w:t>（HJ610 2016）的防渗要求主要是根据建设项目场地天然包气带防污性能、污染控制难易程度和污染物特性，参照表7.4-3提出防渗技术要求。其中污染控制难易程度分级和天然包气带防污性能分级分别参照表</w:t>
      </w:r>
      <w:r>
        <w:rPr>
          <w:rFonts w:hint="eastAsia"/>
          <w:color w:val="FF0000"/>
          <w:szCs w:val="24"/>
          <w:lang w:val="en-US" w:eastAsia="zh-CN"/>
        </w:rPr>
        <w:t>7.4.2-1~</w:t>
      </w:r>
      <w:r>
        <w:rPr>
          <w:color w:val="FF0000"/>
          <w:szCs w:val="24"/>
        </w:rPr>
        <w:t>表</w:t>
      </w:r>
      <w:r>
        <w:rPr>
          <w:rFonts w:hint="eastAsia"/>
          <w:color w:val="FF0000"/>
          <w:szCs w:val="24"/>
          <w:lang w:val="en-US" w:eastAsia="zh-CN"/>
        </w:rPr>
        <w:t>7.4.2-3</w:t>
      </w:r>
      <w:r>
        <w:rPr>
          <w:color w:val="FF0000"/>
          <w:szCs w:val="24"/>
        </w:rPr>
        <w:t>进行相关等级的确定。</w:t>
      </w:r>
    </w:p>
    <w:p>
      <w:pPr>
        <w:pStyle w:val="6"/>
        <w:bidi w:val="0"/>
        <w:rPr>
          <w:color w:val="FF0000"/>
        </w:rPr>
      </w:pPr>
      <w:r>
        <w:rPr>
          <w:color w:val="FF0000"/>
        </w:rPr>
        <w:t>表</w:t>
      </w:r>
      <w:r>
        <w:rPr>
          <w:rFonts w:hint="eastAsia"/>
          <w:color w:val="FF0000"/>
          <w:lang w:val="en-US" w:eastAsia="zh-CN"/>
        </w:rPr>
        <w:t xml:space="preserve">7.4.2-1   </w:t>
      </w:r>
      <w:r>
        <w:rPr>
          <w:color w:val="FF0000"/>
        </w:rPr>
        <w:t>污染控制难易程度分级参照表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6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污染控制难易程度</w:t>
            </w:r>
          </w:p>
        </w:tc>
        <w:tc>
          <w:tcPr>
            <w:tcW w:w="382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主要特征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易</w:t>
            </w:r>
          </w:p>
        </w:tc>
        <w:tc>
          <w:tcPr>
            <w:tcW w:w="382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对地下水环境有污染的物料或污染物泄漏后，可及时发现和处理。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难</w:t>
            </w:r>
          </w:p>
        </w:tc>
        <w:tc>
          <w:tcPr>
            <w:tcW w:w="382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对地下水环境有污染的物料或污染物泄漏后，不能及时发现和处理。</w:t>
            </w:r>
          </w:p>
        </w:tc>
      </w:tr>
    </w:tbl>
    <w:p>
      <w:pPr>
        <w:pStyle w:val="6"/>
        <w:bidi w:val="0"/>
        <w:rPr>
          <w:color w:val="FF0000"/>
        </w:rPr>
      </w:pPr>
      <w:r>
        <w:rPr>
          <w:color w:val="FF0000"/>
        </w:rPr>
        <w:t>表</w:t>
      </w:r>
      <w:r>
        <w:rPr>
          <w:rFonts w:hint="eastAsia"/>
          <w:color w:val="FF0000"/>
          <w:lang w:val="en-US" w:eastAsia="zh-CN"/>
        </w:rPr>
        <w:t>7.4.2-2</w:t>
      </w:r>
      <w:r>
        <w:rPr>
          <w:color w:val="FF0000"/>
        </w:rPr>
        <w:t xml:space="preserve">   天然包气带防污性能分级参照表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7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8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分级</w:t>
            </w:r>
          </w:p>
        </w:tc>
        <w:tc>
          <w:tcPr>
            <w:tcW w:w="44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包气带岩土的渗透性能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弱</w:t>
            </w:r>
          </w:p>
        </w:tc>
        <w:tc>
          <w:tcPr>
            <w:tcW w:w="44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岩（土）层单层厚度Mb≥1.0m，渗透系数K≤1×10</w:t>
            </w:r>
            <w:r>
              <w:rPr>
                <w:color w:val="FF0000"/>
                <w:sz w:val="21"/>
                <w:szCs w:val="21"/>
                <w:vertAlign w:val="superscript"/>
              </w:rPr>
              <w:t>-6</w:t>
            </w:r>
            <w:r>
              <w:rPr>
                <w:color w:val="FF0000"/>
                <w:sz w:val="21"/>
                <w:szCs w:val="21"/>
              </w:rPr>
              <w:t>cm/s，且分布连续、稳定。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中</w:t>
            </w:r>
          </w:p>
        </w:tc>
        <w:tc>
          <w:tcPr>
            <w:tcW w:w="44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岩（土）层单层厚度0.5m≤Mb&lt;1.0m，渗透系数K≤1×10</w:t>
            </w:r>
            <w:r>
              <w:rPr>
                <w:color w:val="FF0000"/>
                <w:sz w:val="21"/>
                <w:szCs w:val="21"/>
                <w:vertAlign w:val="superscript"/>
              </w:rPr>
              <w:t>-6</w:t>
            </w:r>
            <w:r>
              <w:rPr>
                <w:color w:val="FF0000"/>
                <w:sz w:val="21"/>
                <w:szCs w:val="21"/>
              </w:rPr>
              <w:t>cm/s，且分布连续、稳定。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岩（土）层单层厚度Mb≥1.0m，渗透系数1×10</w:t>
            </w:r>
            <w:r>
              <w:rPr>
                <w:color w:val="FF0000"/>
                <w:sz w:val="21"/>
                <w:szCs w:val="21"/>
                <w:vertAlign w:val="superscript"/>
              </w:rPr>
              <w:t>-6</w:t>
            </w:r>
            <w:r>
              <w:rPr>
                <w:color w:val="FF0000"/>
                <w:sz w:val="21"/>
                <w:szCs w:val="21"/>
              </w:rPr>
              <w:t>cm/s&lt;K≤1×10</w:t>
            </w:r>
            <w:r>
              <w:rPr>
                <w:color w:val="FF0000"/>
                <w:sz w:val="21"/>
                <w:szCs w:val="21"/>
                <w:vertAlign w:val="superscript"/>
              </w:rPr>
              <w:t>-4</w:t>
            </w:r>
            <w:r>
              <w:rPr>
                <w:color w:val="FF0000"/>
                <w:sz w:val="21"/>
                <w:szCs w:val="21"/>
              </w:rPr>
              <w:t>cm/s，且分布连续、稳定。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强</w:t>
            </w:r>
          </w:p>
        </w:tc>
        <w:tc>
          <w:tcPr>
            <w:tcW w:w="44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岩（土）层不满足上述“强”和“中”条件。</w:t>
            </w:r>
          </w:p>
        </w:tc>
      </w:tr>
    </w:tbl>
    <w:p>
      <w:pPr>
        <w:pStyle w:val="6"/>
        <w:bidi w:val="0"/>
        <w:rPr>
          <w:color w:val="FF0000"/>
        </w:rPr>
      </w:pPr>
      <w:r>
        <w:rPr>
          <w:color w:val="FF0000"/>
        </w:rPr>
        <w:t>表</w:t>
      </w:r>
      <w:r>
        <w:rPr>
          <w:rFonts w:hint="eastAsia"/>
          <w:color w:val="FF0000"/>
          <w:lang w:val="en-US" w:eastAsia="zh-CN"/>
        </w:rPr>
        <w:t>7.4.2-3</w:t>
      </w:r>
      <w:r>
        <w:rPr>
          <w:color w:val="FF0000"/>
        </w:rPr>
        <w:t xml:space="preserve">    地下水污染防渗分区参照表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4"/>
        <w:gridCol w:w="1368"/>
        <w:gridCol w:w="1180"/>
        <w:gridCol w:w="1891"/>
        <w:gridCol w:w="2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防渗分区</w:t>
            </w: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天然包气带防污性能</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污染控制难易程度</w:t>
            </w:r>
          </w:p>
        </w:tc>
        <w:tc>
          <w:tcPr>
            <w:tcW w:w="1109"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污染物类型</w:t>
            </w:r>
          </w:p>
        </w:tc>
        <w:tc>
          <w:tcPr>
            <w:tcW w:w="16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防渗技术要求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重点防渗区</w:t>
            </w: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弱</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难</w:t>
            </w:r>
          </w:p>
        </w:tc>
        <w:tc>
          <w:tcPr>
            <w:tcW w:w="11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重金属、持久性有机物污染物</w:t>
            </w:r>
          </w:p>
        </w:tc>
        <w:tc>
          <w:tcPr>
            <w:tcW w:w="161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等效黏土防渗层Mb≥6.0m，K≤1×10</w:t>
            </w:r>
            <w:r>
              <w:rPr>
                <w:color w:val="FF0000"/>
                <w:sz w:val="21"/>
                <w:szCs w:val="21"/>
                <w:vertAlign w:val="superscript"/>
              </w:rPr>
              <w:t>-7</w:t>
            </w:r>
            <w:r>
              <w:rPr>
                <w:color w:val="FF0000"/>
                <w:sz w:val="21"/>
                <w:szCs w:val="21"/>
              </w:rPr>
              <w:t>cm/s；或参照GB18598 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中-强</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难</w:t>
            </w:r>
          </w:p>
        </w:tc>
        <w:tc>
          <w:tcPr>
            <w:tcW w:w="11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161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弱</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易</w:t>
            </w:r>
          </w:p>
        </w:tc>
        <w:tc>
          <w:tcPr>
            <w:tcW w:w="11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161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一般防渗区</w:t>
            </w: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弱</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易-难</w:t>
            </w:r>
          </w:p>
        </w:tc>
        <w:tc>
          <w:tcPr>
            <w:tcW w:w="11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其他类型</w:t>
            </w:r>
          </w:p>
        </w:tc>
        <w:tc>
          <w:tcPr>
            <w:tcW w:w="161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等效黏土防渗层Mb≥1.5m，K≤1×10</w:t>
            </w:r>
            <w:r>
              <w:rPr>
                <w:color w:val="FF0000"/>
                <w:sz w:val="21"/>
                <w:szCs w:val="21"/>
                <w:vertAlign w:val="superscript"/>
              </w:rPr>
              <w:t>-7</w:t>
            </w:r>
            <w:r>
              <w:rPr>
                <w:color w:val="FF0000"/>
                <w:sz w:val="21"/>
                <w:szCs w:val="21"/>
              </w:rPr>
              <w:t>cm/s；或参照GB16889 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中-强</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难</w:t>
            </w:r>
          </w:p>
        </w:tc>
        <w:tc>
          <w:tcPr>
            <w:tcW w:w="11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161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中</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易</w:t>
            </w:r>
          </w:p>
        </w:tc>
        <w:tc>
          <w:tcPr>
            <w:tcW w:w="11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重金属、持久性有机物污染物</w:t>
            </w:r>
          </w:p>
        </w:tc>
        <w:tc>
          <w:tcPr>
            <w:tcW w:w="161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强</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易</w:t>
            </w:r>
          </w:p>
        </w:tc>
        <w:tc>
          <w:tcPr>
            <w:tcW w:w="11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161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简单防渗区</w:t>
            </w:r>
          </w:p>
        </w:tc>
        <w:tc>
          <w:tcPr>
            <w:tcW w:w="80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中-强</w:t>
            </w:r>
          </w:p>
        </w:tc>
        <w:tc>
          <w:tcPr>
            <w:tcW w:w="6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易</w:t>
            </w:r>
          </w:p>
        </w:tc>
        <w:tc>
          <w:tcPr>
            <w:tcW w:w="1109"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其他类型</w:t>
            </w:r>
          </w:p>
        </w:tc>
        <w:tc>
          <w:tcPr>
            <w:tcW w:w="16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一般地面硬化</w:t>
            </w:r>
          </w:p>
        </w:tc>
      </w:tr>
    </w:tbl>
    <w:p>
      <w:pPr>
        <w:bidi w:val="0"/>
        <w:rPr>
          <w:color w:val="FF0000"/>
        </w:rPr>
      </w:pPr>
      <w:r>
        <w:rPr>
          <w:rFonts w:hint="eastAsia"/>
          <w:color w:val="FF0000"/>
          <w:lang w:eastAsia="zh-CN"/>
        </w:rPr>
        <w:t>（</w:t>
      </w:r>
      <w:r>
        <w:rPr>
          <w:rFonts w:hint="eastAsia"/>
          <w:color w:val="FF0000"/>
          <w:lang w:val="en-US" w:eastAsia="zh-CN"/>
        </w:rPr>
        <w:t>2</w:t>
      </w:r>
      <w:r>
        <w:rPr>
          <w:rFonts w:hint="eastAsia"/>
          <w:color w:val="FF0000"/>
          <w:lang w:eastAsia="zh-CN"/>
        </w:rPr>
        <w:t>）</w:t>
      </w:r>
      <w:r>
        <w:rPr>
          <w:color w:val="FF0000"/>
        </w:rPr>
        <w:t>防渗分区和防渗等级</w:t>
      </w:r>
    </w:p>
    <w:p>
      <w:pPr>
        <w:bidi w:val="0"/>
        <w:rPr>
          <w:color w:val="FF0000"/>
        </w:rPr>
      </w:pPr>
      <w:r>
        <w:rPr>
          <w:color w:val="FF0000"/>
        </w:rPr>
        <w:t>根据上述防渗原则，这对本项目厂区逐工程单元识别污染物类型、包气带防污性能、发生泄漏后污染物控制难易程度，然后确定各装置区的防渗分区和防渗等级见表</w:t>
      </w:r>
      <w:r>
        <w:rPr>
          <w:rFonts w:hint="eastAsia"/>
          <w:color w:val="FF0000"/>
          <w:lang w:val="en-US" w:eastAsia="zh-CN"/>
        </w:rPr>
        <w:t>7.4.2-4</w:t>
      </w:r>
      <w:r>
        <w:rPr>
          <w:rFonts w:hint="eastAsia"/>
          <w:color w:val="FF0000"/>
        </w:rPr>
        <w:t>、</w:t>
      </w:r>
      <w:r>
        <w:rPr>
          <w:color w:val="FF0000"/>
        </w:rPr>
        <w:t>表</w:t>
      </w:r>
      <w:r>
        <w:rPr>
          <w:rFonts w:hint="eastAsia"/>
          <w:color w:val="FF0000"/>
          <w:lang w:val="en-US" w:eastAsia="zh-CN"/>
        </w:rPr>
        <w:t>7.4.2-5</w:t>
      </w:r>
      <w:r>
        <w:rPr>
          <w:color w:val="FF0000"/>
        </w:rPr>
        <w:t>。</w:t>
      </w:r>
    </w:p>
    <w:p>
      <w:pPr>
        <w:pStyle w:val="6"/>
        <w:bidi w:val="0"/>
        <w:rPr>
          <w:color w:val="FF0000"/>
        </w:rPr>
      </w:pPr>
      <w:r>
        <w:rPr>
          <w:color w:val="FF0000"/>
        </w:rPr>
        <w:t>表</w:t>
      </w:r>
      <w:r>
        <w:rPr>
          <w:rFonts w:hint="eastAsia"/>
          <w:color w:val="FF0000"/>
          <w:lang w:val="en-US" w:eastAsia="zh-CN"/>
        </w:rPr>
        <w:t xml:space="preserve">7.4.2-4   </w:t>
      </w:r>
      <w:r>
        <w:rPr>
          <w:color w:val="FF0000"/>
        </w:rPr>
        <w:t>地下水污染防渗分区一览表</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296"/>
        <w:gridCol w:w="1326"/>
        <w:gridCol w:w="1159"/>
        <w:gridCol w:w="1120"/>
        <w:gridCol w:w="1018"/>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65"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r>
              <w:rPr>
                <w:b w:val="0"/>
                <w:bCs w:val="0"/>
                <w:color w:val="FF0000"/>
                <w:kern w:val="0"/>
                <w:sz w:val="21"/>
                <w:szCs w:val="21"/>
                <w:lang w:bidi="ar"/>
              </w:rPr>
              <w:t>项目组成</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污染源</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污染控制难易程度</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包气带防污性能</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污染物类型</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防渗分区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主体工程</w:t>
            </w: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sz w:val="21"/>
                <w:szCs w:val="21"/>
                <w:lang w:eastAsia="zh-CN"/>
              </w:rPr>
            </w:pPr>
            <w:r>
              <w:rPr>
                <w:b w:val="0"/>
                <w:bCs w:val="0"/>
                <w:color w:val="FF0000"/>
                <w:kern w:val="0"/>
                <w:sz w:val="21"/>
                <w:szCs w:val="21"/>
                <w:lang w:bidi="ar"/>
              </w:rPr>
              <w:t>现代化高标准</w:t>
            </w:r>
            <w:r>
              <w:rPr>
                <w:rFonts w:hint="eastAsia"/>
                <w:b w:val="0"/>
                <w:bCs w:val="0"/>
                <w:color w:val="FF0000"/>
                <w:kern w:val="0"/>
                <w:sz w:val="21"/>
                <w:szCs w:val="21"/>
                <w:lang w:val="en-US" w:eastAsia="zh-CN" w:bidi="ar"/>
              </w:rPr>
              <w:t>羊舍</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b w:val="0"/>
                <w:bCs w:val="0"/>
                <w:color w:val="FF0000"/>
                <w:sz w:val="21"/>
                <w:szCs w:val="21"/>
                <w:lang w:val="en-US" w:eastAsia="zh-CN"/>
              </w:rPr>
            </w:pPr>
            <w:r>
              <w:rPr>
                <w:b w:val="0"/>
                <w:bCs w:val="0"/>
                <w:color w:val="FF0000"/>
                <w:kern w:val="0"/>
                <w:sz w:val="21"/>
                <w:szCs w:val="21"/>
                <w:lang w:bidi="ar"/>
              </w:rPr>
              <w:t>羊舍</w:t>
            </w:r>
            <w:r>
              <w:rPr>
                <w:rFonts w:hint="eastAsia"/>
                <w:b w:val="0"/>
                <w:bCs w:val="0"/>
                <w:color w:val="FF0000"/>
                <w:kern w:val="0"/>
                <w:sz w:val="21"/>
                <w:szCs w:val="21"/>
                <w:lang w:val="en-US" w:eastAsia="zh-CN" w:bidi="ar"/>
              </w:rPr>
              <w:t>下层粪污通道</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sz w:val="21"/>
                <w:szCs w:val="21"/>
                <w:lang w:eastAsia="zh-CN"/>
              </w:rPr>
            </w:pPr>
            <w:r>
              <w:rPr>
                <w:rFonts w:ascii="Times New Roman" w:hAnsi="Times New Roman" w:eastAsia="宋体" w:cs="Times New Roman"/>
                <w:b w:val="0"/>
                <w:bCs w:val="0"/>
                <w:color w:val="FF0000"/>
                <w:kern w:val="0"/>
                <w:sz w:val="21"/>
                <w:szCs w:val="21"/>
                <w:lang w:bidi="ar"/>
              </w:rPr>
              <w:t>一般防渗区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辅助工程</w:t>
            </w: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sz w:val="21"/>
                <w:szCs w:val="21"/>
                <w:lang w:eastAsia="zh-CN"/>
              </w:rPr>
            </w:pPr>
            <w:r>
              <w:rPr>
                <w:b w:val="0"/>
                <w:bCs w:val="0"/>
                <w:color w:val="FF0000"/>
                <w:kern w:val="0"/>
                <w:sz w:val="21"/>
                <w:szCs w:val="21"/>
                <w:lang w:bidi="ar"/>
              </w:rPr>
              <w:t>有机</w:t>
            </w:r>
            <w:r>
              <w:rPr>
                <w:rFonts w:hint="eastAsia"/>
                <w:b w:val="0"/>
                <w:bCs w:val="0"/>
                <w:color w:val="FF0000"/>
                <w:kern w:val="0"/>
                <w:sz w:val="21"/>
                <w:szCs w:val="21"/>
                <w:lang w:eastAsia="zh-CN" w:bidi="ar"/>
              </w:rPr>
              <w:t>有机肥堆场</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sz w:val="21"/>
                <w:szCs w:val="21"/>
                <w:lang w:eastAsia="zh-CN"/>
              </w:rPr>
            </w:pPr>
            <w:r>
              <w:rPr>
                <w:rFonts w:hint="eastAsia"/>
                <w:b w:val="0"/>
                <w:bCs w:val="0"/>
                <w:color w:val="FF0000"/>
                <w:kern w:val="0"/>
                <w:sz w:val="21"/>
                <w:szCs w:val="21"/>
                <w:lang w:eastAsia="zh-CN" w:bidi="ar"/>
              </w:rPr>
              <w:t>有机肥堆场</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rFonts w:hint="eastAsia"/>
                <w:b w:val="0"/>
                <w:bCs w:val="0"/>
                <w:color w:val="FF0000"/>
                <w:sz w:val="21"/>
                <w:szCs w:val="21"/>
              </w:rPr>
              <w:t>《一般工业固体废物贮存和填埋污染控制标准》（GB 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p>
        </w:tc>
        <w:tc>
          <w:tcPr>
            <w:tcW w:w="760"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FF0000"/>
                <w:kern w:val="0"/>
                <w:sz w:val="21"/>
                <w:szCs w:val="21"/>
                <w:lang w:val="en-US" w:eastAsia="zh-CN" w:bidi="ar"/>
              </w:rPr>
            </w:pPr>
            <w:r>
              <w:rPr>
                <w:rFonts w:hint="eastAsia"/>
                <w:b w:val="0"/>
                <w:bCs w:val="0"/>
                <w:color w:val="FF0000"/>
                <w:kern w:val="0"/>
                <w:sz w:val="21"/>
                <w:szCs w:val="21"/>
                <w:lang w:val="en-US" w:eastAsia="zh-CN" w:bidi="ar"/>
              </w:rPr>
              <w:t>医疗废物</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r>
              <w:rPr>
                <w:b w:val="0"/>
                <w:bCs w:val="0"/>
                <w:color w:val="FF0000"/>
                <w:kern w:val="0"/>
                <w:sz w:val="21"/>
                <w:szCs w:val="21"/>
                <w:lang w:bidi="ar"/>
              </w:rPr>
              <w:t>暂存间</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sz w:val="21"/>
                <w:szCs w:val="21"/>
              </w:rPr>
              <w:t>无废水产生</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参照</w:t>
            </w:r>
            <w:r>
              <w:rPr>
                <w:rFonts w:hint="eastAsia"/>
                <w:b w:val="0"/>
                <w:bCs w:val="0"/>
                <w:color w:val="FF0000"/>
                <w:kern w:val="0"/>
                <w:sz w:val="21"/>
                <w:szCs w:val="21"/>
                <w:lang w:bidi="ar"/>
              </w:rPr>
              <w:t>《危险废物贮存污染物控制标准》（GB18597-2023）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办公生活</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生活污水收集设施</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难</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其他类型</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一般防渗区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贮存工程</w:t>
            </w: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sz w:val="21"/>
                <w:szCs w:val="21"/>
                <w:lang w:eastAsia="zh-CN"/>
              </w:rPr>
            </w:pPr>
            <w:r>
              <w:rPr>
                <w:b w:val="0"/>
                <w:bCs w:val="0"/>
                <w:color w:val="FF0000"/>
                <w:kern w:val="0"/>
                <w:sz w:val="21"/>
                <w:szCs w:val="21"/>
                <w:lang w:bidi="ar"/>
              </w:rPr>
              <w:t>青贮</w:t>
            </w:r>
            <w:r>
              <w:rPr>
                <w:rFonts w:hint="eastAsia"/>
                <w:b w:val="0"/>
                <w:bCs w:val="0"/>
                <w:color w:val="FF0000"/>
                <w:kern w:val="0"/>
                <w:sz w:val="21"/>
                <w:szCs w:val="21"/>
                <w:lang w:val="en-US" w:eastAsia="zh-CN" w:bidi="ar"/>
              </w:rPr>
              <w:t>池</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sz w:val="21"/>
                <w:szCs w:val="21"/>
                <w:lang w:val="en-US" w:eastAsia="zh-CN"/>
              </w:rPr>
            </w:pPr>
            <w:r>
              <w:rPr>
                <w:b w:val="0"/>
                <w:bCs w:val="0"/>
                <w:color w:val="FF0000"/>
                <w:kern w:val="0"/>
                <w:sz w:val="21"/>
                <w:szCs w:val="21"/>
                <w:lang w:bidi="ar"/>
              </w:rPr>
              <w:t>青贮</w:t>
            </w:r>
            <w:r>
              <w:rPr>
                <w:rFonts w:hint="eastAsia"/>
                <w:b w:val="0"/>
                <w:bCs w:val="0"/>
                <w:color w:val="FF0000"/>
                <w:kern w:val="0"/>
                <w:sz w:val="21"/>
                <w:szCs w:val="21"/>
                <w:lang w:val="en-US" w:eastAsia="zh-CN" w:bidi="ar"/>
              </w:rPr>
              <w:t>池</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其他类型</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一般防渗区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rFonts w:hint="eastAsia"/>
                <w:b w:val="0"/>
                <w:bCs w:val="0"/>
                <w:color w:val="FF0000"/>
                <w:sz w:val="21"/>
                <w:szCs w:val="21"/>
              </w:rPr>
              <w:t>饲草混合加工车间</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无废水产生</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简单防渗区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b w:val="0"/>
                <w:bCs w:val="0"/>
                <w:color w:val="FF0000"/>
                <w:sz w:val="21"/>
                <w:szCs w:val="21"/>
                <w:lang w:val="en-US" w:eastAsia="zh-CN"/>
              </w:rPr>
            </w:pPr>
            <w:r>
              <w:rPr>
                <w:rFonts w:hint="eastAsia"/>
                <w:b w:val="0"/>
                <w:bCs w:val="0"/>
                <w:color w:val="FF0000"/>
                <w:kern w:val="0"/>
                <w:sz w:val="21"/>
                <w:szCs w:val="21"/>
                <w:lang w:val="en-US" w:eastAsia="zh-CN" w:bidi="ar"/>
              </w:rPr>
              <w:t>草料库</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无废水产生</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简单防渗区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 w:val="0"/>
                <w:bCs w:val="0"/>
                <w:color w:val="FF0000"/>
                <w:sz w:val="21"/>
                <w:szCs w:val="21"/>
              </w:rPr>
            </w:pPr>
          </w:p>
        </w:tc>
        <w:tc>
          <w:tcPr>
            <w:tcW w:w="76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库房</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无废水产生</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无废水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sz w:val="21"/>
                <w:szCs w:val="21"/>
              </w:rPr>
            </w:pPr>
            <w:r>
              <w:rPr>
                <w:b w:val="0"/>
                <w:bCs w:val="0"/>
                <w:color w:val="FF0000"/>
                <w:kern w:val="0"/>
                <w:sz w:val="21"/>
                <w:szCs w:val="21"/>
                <w:lang w:bidi="ar"/>
              </w:rPr>
              <w:t>简单防渗区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5"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eastAsia="宋体"/>
                <w:b w:val="0"/>
                <w:bCs w:val="0"/>
                <w:color w:val="FF0000"/>
                <w:sz w:val="21"/>
                <w:szCs w:val="21"/>
                <w:lang w:eastAsia="zh-CN"/>
              </w:rPr>
            </w:pPr>
            <w:r>
              <w:rPr>
                <w:rFonts w:hint="eastAsia"/>
                <w:b w:val="0"/>
                <w:bCs w:val="0"/>
                <w:color w:val="FF0000"/>
                <w:sz w:val="21"/>
                <w:szCs w:val="21"/>
                <w:lang w:eastAsia="zh-CN"/>
              </w:rPr>
              <w:t>环保工程</w:t>
            </w:r>
          </w:p>
        </w:tc>
        <w:tc>
          <w:tcPr>
            <w:tcW w:w="760"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eastAsia="宋体"/>
                <w:b w:val="0"/>
                <w:bCs w:val="0"/>
                <w:color w:val="FF0000"/>
                <w:kern w:val="2"/>
                <w:sz w:val="21"/>
                <w:szCs w:val="21"/>
                <w:lang w:val="en-US" w:eastAsia="zh-CN" w:bidi="ar-SA"/>
              </w:rPr>
            </w:pPr>
            <w:r>
              <w:rPr>
                <w:rFonts w:hint="eastAsia"/>
                <w:b w:val="0"/>
                <w:bCs w:val="0"/>
                <w:color w:val="FF0000"/>
                <w:kern w:val="0"/>
                <w:sz w:val="21"/>
                <w:szCs w:val="21"/>
                <w:lang w:val="en-US" w:eastAsia="zh-CN" w:bidi="ar"/>
              </w:rPr>
              <w:t>无害化处理车间</w:t>
            </w:r>
          </w:p>
        </w:tc>
        <w:tc>
          <w:tcPr>
            <w:tcW w:w="778"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kern w:val="2"/>
                <w:sz w:val="21"/>
                <w:szCs w:val="21"/>
                <w:lang w:val="en-US" w:eastAsia="zh-CN" w:bidi="ar-SA"/>
              </w:rPr>
            </w:pPr>
            <w:r>
              <w:rPr>
                <w:b w:val="0"/>
                <w:bCs w:val="0"/>
                <w:color w:val="FF0000"/>
                <w:sz w:val="21"/>
                <w:szCs w:val="21"/>
              </w:rPr>
              <w:t>无废水产生</w:t>
            </w:r>
          </w:p>
        </w:tc>
        <w:tc>
          <w:tcPr>
            <w:tcW w:w="68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kern w:val="2"/>
                <w:sz w:val="21"/>
                <w:szCs w:val="21"/>
                <w:lang w:val="en-US" w:eastAsia="zh-CN" w:bidi="ar-SA"/>
              </w:rPr>
            </w:pPr>
            <w:r>
              <w:rPr>
                <w:b w:val="0"/>
                <w:bCs w:val="0"/>
                <w:color w:val="FF0000"/>
                <w:kern w:val="0"/>
                <w:sz w:val="21"/>
                <w:szCs w:val="21"/>
                <w:lang w:bidi="ar"/>
              </w:rPr>
              <w:t>易</w:t>
            </w:r>
          </w:p>
        </w:tc>
        <w:tc>
          <w:tcPr>
            <w:tcW w:w="65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kern w:val="2"/>
                <w:sz w:val="21"/>
                <w:szCs w:val="21"/>
                <w:lang w:val="en-US" w:eastAsia="zh-CN" w:bidi="ar-SA"/>
              </w:rPr>
            </w:pPr>
            <w:r>
              <w:rPr>
                <w:b w:val="0"/>
                <w:bCs w:val="0"/>
                <w:color w:val="FF0000"/>
                <w:kern w:val="0"/>
                <w:sz w:val="21"/>
                <w:szCs w:val="21"/>
                <w:lang w:bidi="ar"/>
              </w:rPr>
              <w:t>弱</w:t>
            </w:r>
          </w:p>
        </w:tc>
        <w:tc>
          <w:tcPr>
            <w:tcW w:w="59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宋体"/>
                <w:b w:val="0"/>
                <w:bCs w:val="0"/>
                <w:color w:val="FF0000"/>
                <w:kern w:val="2"/>
                <w:sz w:val="21"/>
                <w:szCs w:val="21"/>
                <w:lang w:val="en-US" w:eastAsia="zh-CN" w:bidi="ar-SA"/>
              </w:rPr>
            </w:pPr>
            <w:r>
              <w:rPr>
                <w:rFonts w:hint="eastAsia"/>
                <w:b w:val="0"/>
                <w:bCs w:val="0"/>
                <w:color w:val="FF0000"/>
                <w:kern w:val="0"/>
                <w:sz w:val="21"/>
                <w:szCs w:val="21"/>
                <w:lang w:val="en-US" w:eastAsia="zh-CN" w:bidi="ar"/>
              </w:rPr>
              <w:t>冷凝水</w:t>
            </w:r>
          </w:p>
        </w:tc>
        <w:tc>
          <w:tcPr>
            <w:tcW w:w="122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b w:val="0"/>
                <w:bCs w:val="0"/>
                <w:color w:val="FF0000"/>
                <w:kern w:val="2"/>
                <w:sz w:val="21"/>
                <w:szCs w:val="21"/>
                <w:lang w:val="en-US" w:eastAsia="zh-CN" w:bidi="ar-SA"/>
              </w:rPr>
            </w:pPr>
            <w:r>
              <w:rPr>
                <w:b w:val="0"/>
                <w:bCs w:val="0"/>
                <w:color w:val="FF0000"/>
                <w:kern w:val="0"/>
                <w:sz w:val="21"/>
                <w:szCs w:val="21"/>
                <w:lang w:bidi="ar"/>
              </w:rPr>
              <w:t>参照</w:t>
            </w:r>
            <w:r>
              <w:rPr>
                <w:rFonts w:hint="eastAsia"/>
                <w:b w:val="0"/>
                <w:bCs w:val="0"/>
                <w:color w:val="FF0000"/>
                <w:kern w:val="0"/>
                <w:sz w:val="21"/>
                <w:szCs w:val="21"/>
                <w:lang w:bidi="ar"/>
              </w:rPr>
              <w:t>《危险废物贮存污染物控制标准》（GB18597-2023）</w:t>
            </w:r>
          </w:p>
        </w:tc>
      </w:tr>
    </w:tbl>
    <w:p>
      <w:pPr>
        <w:pStyle w:val="6"/>
        <w:bidi w:val="0"/>
        <w:rPr>
          <w:color w:val="FF0000"/>
        </w:rPr>
      </w:pPr>
      <w:r>
        <w:rPr>
          <w:color w:val="FF0000"/>
        </w:rPr>
        <w:t>表</w:t>
      </w:r>
      <w:r>
        <w:rPr>
          <w:rFonts w:hint="eastAsia"/>
          <w:color w:val="FF0000"/>
          <w:lang w:val="en-US" w:eastAsia="zh-CN"/>
        </w:rPr>
        <w:t xml:space="preserve">7.4.2-5   </w:t>
      </w:r>
      <w:r>
        <w:rPr>
          <w:color w:val="FF0000"/>
        </w:rPr>
        <w:t>防渗等级要求一览表</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1"/>
        <w:gridCol w:w="3284"/>
        <w:gridCol w:w="4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防渗分区</w:t>
            </w:r>
          </w:p>
        </w:tc>
        <w:tc>
          <w:tcPr>
            <w:tcW w:w="192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防渗等级</w:t>
            </w:r>
          </w:p>
        </w:tc>
        <w:tc>
          <w:tcPr>
            <w:tcW w:w="23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val="0"/>
                <w:color w:val="FF0000"/>
                <w:sz w:val="21"/>
                <w:szCs w:val="21"/>
                <w:lang w:val="en-US" w:eastAsia="zh-CN"/>
              </w:rPr>
            </w:pPr>
            <w:r>
              <w:rPr>
                <w:rFonts w:hint="eastAsia"/>
                <w:b w:val="0"/>
                <w:bCs w:val="0"/>
                <w:color w:val="FF0000"/>
                <w:sz w:val="21"/>
                <w:szCs w:val="21"/>
                <w:lang w:val="en-US" w:eastAsia="zh-CN"/>
              </w:rPr>
              <w:t>具体工程内容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重点防渗区</w:t>
            </w:r>
          </w:p>
        </w:tc>
        <w:tc>
          <w:tcPr>
            <w:tcW w:w="192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等效黏土防渗层Mb≥6.0m，K≤1×10</w:t>
            </w:r>
            <w:r>
              <w:rPr>
                <w:b w:val="0"/>
                <w:bCs w:val="0"/>
                <w:color w:val="FF0000"/>
                <w:sz w:val="21"/>
                <w:szCs w:val="21"/>
                <w:vertAlign w:val="superscript"/>
              </w:rPr>
              <w:t>-7</w:t>
            </w:r>
            <w:r>
              <w:rPr>
                <w:b w:val="0"/>
                <w:bCs w:val="0"/>
                <w:color w:val="FF0000"/>
                <w:sz w:val="21"/>
                <w:szCs w:val="21"/>
              </w:rPr>
              <w:t>cm/s；</w:t>
            </w:r>
          </w:p>
        </w:tc>
        <w:tc>
          <w:tcPr>
            <w:tcW w:w="23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rFonts w:hint="eastAsia"/>
                <w:b w:val="0"/>
                <w:bCs w:val="0"/>
                <w:color w:val="FF0000"/>
                <w:sz w:val="21"/>
                <w:szCs w:val="21"/>
              </w:rPr>
              <w:t>敷设不小于</w:t>
            </w:r>
            <w:r>
              <w:rPr>
                <w:rFonts w:hint="eastAsia"/>
                <w:b w:val="0"/>
                <w:bCs w:val="0"/>
                <w:color w:val="FF0000"/>
                <w:sz w:val="21"/>
                <w:szCs w:val="21"/>
                <w:lang w:val="en-US" w:eastAsia="zh-CN"/>
              </w:rPr>
              <w:t>6</w:t>
            </w:r>
            <w:r>
              <w:rPr>
                <w:rFonts w:hint="eastAsia"/>
                <w:b w:val="0"/>
                <w:bCs w:val="0"/>
                <w:color w:val="FF0000"/>
                <w:sz w:val="21"/>
                <w:szCs w:val="21"/>
              </w:rPr>
              <w:t>mm的高密度聚氯乙烯（HDPE）人工防渗膜，膜上、膜下设置“长丝无纺土工布”保护层，并铺设不小于100mm的混凝土保护层，或其他材料可满足渗透系数小于1.0×10</w:t>
            </w:r>
            <w:r>
              <w:rPr>
                <w:rFonts w:hint="eastAsia"/>
                <w:b w:val="0"/>
                <w:bCs w:val="0"/>
                <w:color w:val="FF0000"/>
                <w:sz w:val="21"/>
                <w:szCs w:val="21"/>
                <w:vertAlign w:val="superscript"/>
              </w:rPr>
              <w:t>-7</w:t>
            </w:r>
            <w:r>
              <w:rPr>
                <w:rFonts w:hint="eastAsia"/>
                <w:b w:val="0"/>
                <w:bCs w:val="0"/>
                <w:color w:val="FF0000"/>
                <w:sz w:val="21"/>
                <w:szCs w:val="21"/>
              </w:rPr>
              <w:t>cm/s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kern w:val="2"/>
                <w:sz w:val="21"/>
                <w:szCs w:val="21"/>
                <w:lang w:val="en-US" w:eastAsia="zh-CN" w:bidi="ar-SA"/>
              </w:rPr>
            </w:pPr>
            <w:r>
              <w:rPr>
                <w:b w:val="0"/>
                <w:bCs w:val="0"/>
                <w:color w:val="FF0000"/>
                <w:sz w:val="21"/>
                <w:szCs w:val="21"/>
              </w:rPr>
              <w:t>一般防渗区</w:t>
            </w:r>
          </w:p>
        </w:tc>
        <w:tc>
          <w:tcPr>
            <w:tcW w:w="192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kern w:val="2"/>
                <w:sz w:val="21"/>
                <w:szCs w:val="21"/>
                <w:lang w:val="en-US" w:eastAsia="zh-CN" w:bidi="ar-SA"/>
              </w:rPr>
            </w:pPr>
            <w:r>
              <w:rPr>
                <w:b w:val="0"/>
                <w:bCs w:val="0"/>
                <w:color w:val="FF0000"/>
                <w:sz w:val="21"/>
                <w:szCs w:val="21"/>
              </w:rPr>
              <w:t>等效黏土防渗层Mb≥1.5m，K≤1×10</w:t>
            </w:r>
            <w:r>
              <w:rPr>
                <w:b w:val="0"/>
                <w:bCs w:val="0"/>
                <w:color w:val="FF0000"/>
                <w:sz w:val="21"/>
                <w:szCs w:val="21"/>
                <w:vertAlign w:val="superscript"/>
              </w:rPr>
              <w:t>-7</w:t>
            </w:r>
            <w:r>
              <w:rPr>
                <w:b w:val="0"/>
                <w:bCs w:val="0"/>
                <w:color w:val="FF0000"/>
                <w:sz w:val="21"/>
                <w:szCs w:val="21"/>
              </w:rPr>
              <w:t>cm/s；</w:t>
            </w:r>
          </w:p>
        </w:tc>
        <w:tc>
          <w:tcPr>
            <w:tcW w:w="23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rFonts w:hint="eastAsia"/>
                <w:b w:val="0"/>
                <w:bCs w:val="0"/>
                <w:color w:val="FF0000"/>
                <w:sz w:val="21"/>
                <w:szCs w:val="21"/>
              </w:rPr>
              <w:t>敷设不小于1.5mm的高密度聚氯乙烯（HDPE）人工防渗膜，膜上、膜下设置“长丝无纺土工布”保护层，并铺设不小于100mm的混凝土保护层，或其他材料可满足渗透系数小于1.0×10</w:t>
            </w:r>
            <w:r>
              <w:rPr>
                <w:rFonts w:hint="eastAsia"/>
                <w:b w:val="0"/>
                <w:bCs w:val="0"/>
                <w:color w:val="FF0000"/>
                <w:sz w:val="21"/>
                <w:szCs w:val="21"/>
                <w:vertAlign w:val="superscript"/>
              </w:rPr>
              <w:t>-7</w:t>
            </w:r>
            <w:r>
              <w:rPr>
                <w:rFonts w:hint="eastAsia"/>
                <w:b w:val="0"/>
                <w:bCs w:val="0"/>
                <w:color w:val="FF0000"/>
                <w:sz w:val="21"/>
                <w:szCs w:val="21"/>
              </w:rPr>
              <w:t>cm/s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kern w:val="2"/>
                <w:sz w:val="21"/>
                <w:szCs w:val="21"/>
                <w:lang w:val="en-US" w:eastAsia="zh-CN" w:bidi="ar-SA"/>
              </w:rPr>
            </w:pPr>
            <w:r>
              <w:rPr>
                <w:b w:val="0"/>
                <w:bCs w:val="0"/>
                <w:color w:val="FF0000"/>
                <w:sz w:val="21"/>
                <w:szCs w:val="21"/>
              </w:rPr>
              <w:t>简单防渗区</w:t>
            </w:r>
          </w:p>
        </w:tc>
        <w:tc>
          <w:tcPr>
            <w:tcW w:w="192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kern w:val="2"/>
                <w:sz w:val="21"/>
                <w:szCs w:val="21"/>
                <w:lang w:val="en-US" w:eastAsia="zh-CN" w:bidi="ar-SA"/>
              </w:rPr>
            </w:pPr>
            <w:r>
              <w:rPr>
                <w:b w:val="0"/>
                <w:bCs w:val="0"/>
                <w:color w:val="FF0000"/>
                <w:sz w:val="21"/>
                <w:szCs w:val="21"/>
              </w:rPr>
              <w:t>一般地面硬化</w:t>
            </w:r>
          </w:p>
        </w:tc>
        <w:tc>
          <w:tcPr>
            <w:tcW w:w="23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rFonts w:hint="eastAsia"/>
                <w:color w:val="FF0000"/>
              </w:rPr>
              <w:t>铺设防渗混凝土地面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rFonts w:hint="eastAsia" w:ascii="Times New Roman" w:hAnsi="Times New Roman" w:eastAsia="宋体" w:cs="Times New Roman"/>
                <w:b w:val="0"/>
                <w:bCs w:val="0"/>
                <w:color w:val="FF0000"/>
                <w:kern w:val="0"/>
                <w:sz w:val="21"/>
                <w:szCs w:val="21"/>
                <w:lang w:eastAsia="zh-CN" w:bidi="ar"/>
              </w:rPr>
              <w:t>参照GB18599-2020</w:t>
            </w:r>
            <w:r>
              <w:rPr>
                <w:rFonts w:ascii="Times New Roman" w:hAnsi="Times New Roman" w:eastAsia="宋体" w:cs="Times New Roman"/>
                <w:b w:val="0"/>
                <w:bCs w:val="0"/>
                <w:color w:val="FF0000"/>
                <w:kern w:val="0"/>
                <w:sz w:val="21"/>
                <w:szCs w:val="21"/>
                <w:lang w:bidi="ar"/>
              </w:rPr>
              <w:t>Ⅱ类场设置防渗措施</w:t>
            </w:r>
          </w:p>
        </w:tc>
        <w:tc>
          <w:tcPr>
            <w:tcW w:w="192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rFonts w:hint="eastAsia"/>
                <w:b w:val="0"/>
                <w:bCs w:val="0"/>
                <w:color w:val="FF0000"/>
                <w:sz w:val="21"/>
                <w:szCs w:val="21"/>
                <w:lang w:eastAsia="zh-CN"/>
              </w:rPr>
              <w:t>采用单人工复合衬层作为防渗层：</w:t>
            </w:r>
            <w:r>
              <w:rPr>
                <w:b w:val="0"/>
                <w:bCs w:val="0"/>
                <w:color w:val="FF0000"/>
                <w:sz w:val="21"/>
                <w:szCs w:val="21"/>
              </w:rPr>
              <w:t>人工合成材料应采用高密度聚乙烯膜，厚度不小于1.5mm，并满足GB/T17643规定的技术指标要求</w:t>
            </w:r>
            <w:r>
              <w:rPr>
                <w:rFonts w:hint="eastAsia"/>
                <w:b w:val="0"/>
                <w:bCs w:val="0"/>
                <w:color w:val="FF0000"/>
                <w:sz w:val="21"/>
                <w:szCs w:val="21"/>
                <w:lang w:eastAsia="zh-CN"/>
              </w:rPr>
              <w:t>，</w:t>
            </w:r>
            <w:r>
              <w:rPr>
                <w:b w:val="0"/>
                <w:bCs w:val="0"/>
                <w:color w:val="FF0000"/>
                <w:sz w:val="21"/>
                <w:szCs w:val="21"/>
              </w:rPr>
              <w:t>采用其他人工合成材料的，其防渗性能至少相当于1.5mm高密度聚乙烯膜的防渗性能</w:t>
            </w:r>
            <w:r>
              <w:rPr>
                <w:rFonts w:hint="eastAsia"/>
                <w:b w:val="0"/>
                <w:bCs w:val="0"/>
                <w:color w:val="FF0000"/>
                <w:sz w:val="21"/>
                <w:szCs w:val="21"/>
                <w:lang w:eastAsia="zh-CN"/>
              </w:rPr>
              <w:t>；</w:t>
            </w:r>
            <w:r>
              <w:rPr>
                <w:b w:val="0"/>
                <w:bCs w:val="0"/>
                <w:color w:val="FF0000"/>
                <w:sz w:val="21"/>
                <w:szCs w:val="21"/>
              </w:rPr>
              <w:t>粘土衬层厚度应不小于0.75m，且经压实、人工改性等措施处理后的饱和渗透系数不应大于1.0×10</w:t>
            </w:r>
            <w:r>
              <w:rPr>
                <w:rFonts w:hint="eastAsia"/>
                <w:b w:val="0"/>
                <w:bCs w:val="0"/>
                <w:color w:val="FF0000"/>
                <w:sz w:val="21"/>
                <w:szCs w:val="21"/>
                <w:vertAlign w:val="superscript"/>
                <w:lang w:val="en-US" w:eastAsia="zh-CN"/>
              </w:rPr>
              <w:t>-7</w:t>
            </w:r>
            <w:r>
              <w:rPr>
                <w:b w:val="0"/>
                <w:bCs w:val="0"/>
                <w:color w:val="FF0000"/>
                <w:sz w:val="21"/>
                <w:szCs w:val="21"/>
              </w:rPr>
              <w:t>cm/s。使用其他粘土类防渗衬层材料时，应具有同等以上隔水效力</w:t>
            </w:r>
          </w:p>
        </w:tc>
        <w:tc>
          <w:tcPr>
            <w:tcW w:w="23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b w:val="0"/>
                <w:bCs w:val="0"/>
                <w:color w:val="FF0000"/>
                <w:sz w:val="21"/>
                <w:szCs w:val="21"/>
                <w:lang w:eastAsia="zh-CN"/>
              </w:rPr>
            </w:pPr>
            <w:r>
              <w:rPr>
                <w:rFonts w:hint="eastAsia"/>
                <w:b w:val="0"/>
                <w:bCs w:val="0"/>
                <w:color w:val="FF0000"/>
                <w:sz w:val="21"/>
                <w:szCs w:val="21"/>
                <w:lang w:val="en-US" w:eastAsia="zh-CN"/>
              </w:rPr>
              <w:t>医疗废物</w:t>
            </w:r>
            <w:r>
              <w:rPr>
                <w:rFonts w:hint="eastAsia"/>
                <w:b w:val="0"/>
                <w:bCs w:val="0"/>
                <w:color w:val="FF0000"/>
                <w:sz w:val="21"/>
                <w:szCs w:val="21"/>
                <w:lang w:eastAsia="zh-CN"/>
              </w:rPr>
              <w:t>暂存间</w:t>
            </w:r>
            <w:r>
              <w:rPr>
                <w:rFonts w:hint="eastAsia"/>
                <w:b w:val="0"/>
                <w:bCs w:val="0"/>
                <w:color w:val="FF0000"/>
                <w:sz w:val="21"/>
                <w:szCs w:val="21"/>
                <w:lang w:val="en-US" w:eastAsia="zh-CN"/>
              </w:rPr>
              <w:t>和无害化车间</w:t>
            </w:r>
            <w:r>
              <w:rPr>
                <w:rFonts w:hint="eastAsia"/>
                <w:b w:val="0"/>
                <w:bCs w:val="0"/>
                <w:color w:val="FF0000"/>
                <w:sz w:val="21"/>
                <w:szCs w:val="21"/>
                <w:lang w:eastAsia="zh-CN"/>
              </w:rPr>
              <w:t>地面须作硬化处理，以混凝土、砖、或经过防止腐化处理的钢材料进行建设，地面敷设2mm厚HDPE膜进行防渗处理，以防止渗漏和腐蚀。存放液体性</w:t>
            </w:r>
            <w:r>
              <w:rPr>
                <w:rFonts w:hint="eastAsia"/>
                <w:b w:val="0"/>
                <w:bCs w:val="0"/>
                <w:color w:val="FF0000"/>
                <w:sz w:val="21"/>
                <w:szCs w:val="21"/>
                <w:lang w:val="en-US" w:eastAsia="zh-CN"/>
              </w:rPr>
              <w:t>医疗废</w:t>
            </w:r>
            <w:r>
              <w:rPr>
                <w:rFonts w:hint="eastAsia"/>
                <w:b w:val="0"/>
                <w:bCs w:val="0"/>
                <w:color w:val="FF0000"/>
                <w:sz w:val="21"/>
                <w:szCs w:val="21"/>
                <w:lang w:eastAsia="zh-CN"/>
              </w:rPr>
              <w:t>物的贮存场所必须设计导流槽和收集井。场所需要密闭且有通风口。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b w:val="0"/>
                <w:bCs w:val="0"/>
                <w:color w:val="FF0000"/>
                <w:sz w:val="21"/>
                <w:szCs w:val="21"/>
                <w:lang w:eastAsia="zh-CN"/>
              </w:rPr>
            </w:pPr>
            <w:r>
              <w:rPr>
                <w:rFonts w:hint="eastAsia"/>
                <w:b w:val="0"/>
                <w:bCs w:val="0"/>
                <w:color w:val="FF0000"/>
                <w:sz w:val="21"/>
                <w:szCs w:val="21"/>
                <w:lang w:eastAsia="zh-CN"/>
              </w:rPr>
              <w:t>暂存区四周要做高50cm，宽12cm的围堰（门口处围堰根据企业情况，可以降低高度，以便于搬运危废出入库），并用水泥抹好。暂存间的地面与裙脚要用坚固、防渗的材料建造，建筑材料必须与危险废物相容。</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b w:val="0"/>
                <w:bCs w:val="0"/>
                <w:color w:val="FF0000"/>
                <w:sz w:val="21"/>
                <w:szCs w:val="21"/>
                <w:lang w:eastAsia="zh-CN"/>
              </w:rPr>
            </w:pPr>
            <w:r>
              <w:rPr>
                <w:rFonts w:hint="eastAsia"/>
                <w:b w:val="0"/>
                <w:bCs w:val="0"/>
                <w:color w:val="FF0000"/>
                <w:sz w:val="21"/>
                <w:szCs w:val="21"/>
                <w:lang w:eastAsia="zh-CN"/>
              </w:rPr>
              <w:t>建筑材料必须与危险废物相容，防止鸟类和昆虫进入，照明和通风效果好。</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b w:val="0"/>
                <w:bCs w:val="0"/>
                <w:color w:val="FF0000"/>
                <w:sz w:val="21"/>
                <w:szCs w:val="21"/>
                <w:lang w:eastAsia="zh-CN"/>
              </w:rPr>
            </w:pPr>
            <w:r>
              <w:rPr>
                <w:rFonts w:hint="eastAsia"/>
                <w:b w:val="0"/>
                <w:bCs w:val="0"/>
                <w:color w:val="FF0000"/>
                <w:sz w:val="21"/>
                <w:szCs w:val="21"/>
                <w:lang w:eastAsia="zh-CN"/>
              </w:rPr>
              <w:t>必须设置防风、防雨、防晒、防扬散、防流失、防渗漏、泄漏液体收集等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参照GB18597</w:t>
            </w:r>
            <w:r>
              <w:rPr>
                <w:rFonts w:hint="eastAsia"/>
                <w:b w:val="0"/>
                <w:bCs w:val="0"/>
                <w:color w:val="FF0000"/>
                <w:sz w:val="21"/>
                <w:szCs w:val="21"/>
                <w:lang w:val="en-US" w:eastAsia="zh-CN"/>
              </w:rPr>
              <w:t>-2023</w:t>
            </w:r>
            <w:r>
              <w:rPr>
                <w:b w:val="0"/>
                <w:bCs w:val="0"/>
                <w:color w:val="FF0000"/>
                <w:sz w:val="21"/>
                <w:szCs w:val="21"/>
              </w:rPr>
              <w:t>防渗区</w:t>
            </w:r>
          </w:p>
        </w:tc>
        <w:tc>
          <w:tcPr>
            <w:tcW w:w="192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r>
              <w:rPr>
                <w:b w:val="0"/>
                <w:bCs w:val="0"/>
                <w:color w:val="FF0000"/>
                <w:sz w:val="21"/>
                <w:szCs w:val="21"/>
              </w:rPr>
              <w:t>不同</w:t>
            </w:r>
            <w:r>
              <w:rPr>
                <w:rFonts w:hint="eastAsia"/>
                <w:b w:val="0"/>
                <w:bCs w:val="0"/>
                <w:color w:val="FF0000"/>
                <w:sz w:val="21"/>
                <w:szCs w:val="21"/>
                <w:lang w:val="en-US" w:eastAsia="zh-CN"/>
              </w:rPr>
              <w:t>种类的医疗废弃物</w:t>
            </w:r>
            <w:r>
              <w:rPr>
                <w:b w:val="0"/>
                <w:bCs w:val="0"/>
                <w:color w:val="FF0000"/>
                <w:sz w:val="21"/>
                <w:szCs w:val="21"/>
              </w:rPr>
              <w:t>分区存放，各分区设置裙角，地坪和裙角防渗等级皆不低于2mm厚度的HDPE高密度聚乙烯防渗层，或其他防渗材料，渗透系数不大于10</w:t>
            </w:r>
            <w:r>
              <w:rPr>
                <w:b w:val="0"/>
                <w:bCs w:val="0"/>
                <w:color w:val="FF0000"/>
                <w:sz w:val="21"/>
                <w:szCs w:val="21"/>
                <w:vertAlign w:val="superscript"/>
              </w:rPr>
              <w:t>-10</w:t>
            </w:r>
            <w:r>
              <w:rPr>
                <w:b w:val="0"/>
                <w:bCs w:val="0"/>
                <w:color w:val="FF0000"/>
                <w:sz w:val="21"/>
                <w:szCs w:val="21"/>
              </w:rPr>
              <w:t>cm/s</w:t>
            </w:r>
          </w:p>
        </w:tc>
        <w:tc>
          <w:tcPr>
            <w:tcW w:w="236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val="0"/>
                <w:color w:val="FF0000"/>
                <w:sz w:val="21"/>
                <w:szCs w:val="21"/>
              </w:rPr>
            </w:pPr>
          </w:p>
        </w:tc>
      </w:tr>
    </w:tbl>
    <w:p>
      <w:pPr>
        <w:rPr>
          <w:color w:val="FF0000"/>
        </w:rPr>
      </w:pPr>
    </w:p>
    <w:p>
      <w:pPr>
        <w:spacing w:line="360" w:lineRule="auto"/>
        <w:ind w:firstLine="480" w:firstLineChars="200"/>
        <w:rPr>
          <w:color w:val="FF0000"/>
          <w:sz w:val="24"/>
          <w:szCs w:val="24"/>
        </w:rPr>
      </w:pPr>
      <w:r>
        <w:rPr>
          <w:color w:val="FF0000"/>
          <w:sz w:val="24"/>
          <w:szCs w:val="24"/>
        </w:rPr>
        <w:t>场内进行</w:t>
      </w:r>
      <w:r>
        <w:rPr>
          <w:rFonts w:hint="eastAsia"/>
          <w:color w:val="FF0000"/>
          <w:sz w:val="24"/>
          <w:szCs w:val="24"/>
          <w:lang w:val="en-US" w:eastAsia="zh-CN"/>
        </w:rPr>
        <w:t>粉煤灰建筑地基和地面硬化后进行</w:t>
      </w:r>
      <w:r>
        <w:rPr>
          <w:color w:val="FF0000"/>
          <w:sz w:val="24"/>
          <w:szCs w:val="24"/>
        </w:rPr>
        <w:t>分区防渗，</w:t>
      </w:r>
      <w:r>
        <w:rPr>
          <w:rFonts w:hint="eastAsia"/>
          <w:color w:val="FF0000"/>
          <w:sz w:val="24"/>
          <w:szCs w:val="24"/>
          <w:lang w:val="en-US" w:eastAsia="zh-CN"/>
        </w:rPr>
        <w:t>可</w:t>
      </w:r>
      <w:r>
        <w:rPr>
          <w:color w:val="FF0000"/>
          <w:sz w:val="24"/>
          <w:szCs w:val="24"/>
        </w:rPr>
        <w:t>确保废水不会渗入到地下。</w:t>
      </w:r>
    </w:p>
    <w:p>
      <w:pPr>
        <w:spacing w:line="360" w:lineRule="auto"/>
        <w:ind w:firstLine="480" w:firstLineChars="200"/>
        <w:rPr>
          <w:rFonts w:hint="eastAsia"/>
          <w:color w:val="FF0000"/>
          <w:lang w:val="en-US" w:eastAsia="zh-CN"/>
        </w:rPr>
      </w:pPr>
      <w:r>
        <w:rPr>
          <w:rFonts w:hint="eastAsia"/>
          <w:color w:val="FF0000"/>
        </w:rPr>
        <w:t>地下水分区防渗措施及监控井</w:t>
      </w:r>
      <w:r>
        <w:rPr>
          <w:rFonts w:hint="eastAsia"/>
          <w:color w:val="FF0000"/>
          <w:lang w:val="en-US" w:eastAsia="zh-CN"/>
        </w:rPr>
        <w:t>见下图。</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lang w:val="en-US" w:eastAsia="zh-CN"/>
        </w:rPr>
        <w:sectPr>
          <w:footerReference r:id="rId21" w:type="default"/>
          <w:pgSz w:w="11906" w:h="16838"/>
          <w:pgMar w:top="1440" w:right="1800" w:bottom="1440" w:left="1800" w:header="964" w:footer="964" w:gutter="0"/>
          <w:pgBorders>
            <w:top w:val="none" w:sz="0" w:space="0"/>
            <w:left w:val="none" w:sz="0" w:space="0"/>
            <w:bottom w:val="none" w:sz="0" w:space="0"/>
            <w:right w:val="none" w:sz="0" w:space="0"/>
          </w:pgBorders>
          <w:pgNumType w:fmt="decimal"/>
          <w:cols w:space="720" w:num="1"/>
          <w:docGrid w:type="lines" w:linePitch="312" w:charSpace="0"/>
        </w:sectPr>
      </w:pPr>
      <w:r>
        <w:drawing>
          <wp:anchor distT="0" distB="0" distL="114300" distR="114300" simplePos="0" relativeHeight="251692032" behindDoc="0" locked="0" layoutInCell="1" allowOverlap="1">
            <wp:simplePos x="0" y="0"/>
            <wp:positionH relativeFrom="column">
              <wp:posOffset>3467100</wp:posOffset>
            </wp:positionH>
            <wp:positionV relativeFrom="paragraph">
              <wp:posOffset>5478780</wp:posOffset>
            </wp:positionV>
            <wp:extent cx="1570990" cy="1791970"/>
            <wp:effectExtent l="0" t="0" r="10160" b="17780"/>
            <wp:wrapNone/>
            <wp:docPr id="9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
                    <pic:cNvPicPr>
                      <a:picLocks noChangeAspect="1"/>
                    </pic:cNvPicPr>
                  </pic:nvPicPr>
                  <pic:blipFill>
                    <a:blip r:embed="rId84"/>
                    <a:stretch>
                      <a:fillRect/>
                    </a:stretch>
                  </pic:blipFill>
                  <pic:spPr>
                    <a:xfrm>
                      <a:off x="0" y="0"/>
                      <a:ext cx="1570990" cy="1791970"/>
                    </a:xfrm>
                    <a:prstGeom prst="rect">
                      <a:avLst/>
                    </a:prstGeom>
                    <a:noFill/>
                    <a:ln>
                      <a:noFill/>
                    </a:ln>
                  </pic:spPr>
                </pic:pic>
              </a:graphicData>
            </a:graphic>
          </wp:anchor>
        </w:drawing>
      </w:r>
      <w:r>
        <w:rPr>
          <w:rFonts w:hint="eastAsia"/>
          <w:lang w:val="en-US" w:eastAsia="zh-CN"/>
        </w:rPr>
        <w:drawing>
          <wp:inline distT="0" distB="0" distL="114300" distR="114300">
            <wp:extent cx="5271135" cy="7453630"/>
            <wp:effectExtent l="0" t="0" r="5715" b="13970"/>
            <wp:docPr id="94" name="图片 94" descr="分区防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分区防渗图_00"/>
                    <pic:cNvPicPr>
                      <a:picLocks noChangeAspect="1"/>
                    </pic:cNvPicPr>
                  </pic:nvPicPr>
                  <pic:blipFill>
                    <a:blip r:embed="rId85"/>
                    <a:stretch>
                      <a:fillRect/>
                    </a:stretch>
                  </pic:blipFill>
                  <pic:spPr>
                    <a:xfrm>
                      <a:off x="0" y="0"/>
                      <a:ext cx="5271135" cy="7453630"/>
                    </a:xfrm>
                    <a:prstGeom prst="rect">
                      <a:avLst/>
                    </a:prstGeom>
                  </pic:spPr>
                </pic:pic>
              </a:graphicData>
            </a:graphic>
          </wp:inline>
        </w:drawing>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地下水环境监测管理体系</w:t>
      </w:r>
    </w:p>
    <w:p>
      <w:pPr>
        <w:ind w:firstLine="480"/>
      </w:pPr>
      <w:r>
        <w:rPr>
          <w:rFonts w:hint="eastAsia"/>
        </w:rPr>
        <w:t>建立地下水环境监测管理体系，包括制定地下水环境影响跟踪监测计划、建立地下水环境影响跟踪监测制度，以便及时发现问题，采取措施。</w:t>
      </w:r>
    </w:p>
    <w:p>
      <w:pPr>
        <w:ind w:firstLine="480"/>
      </w:pPr>
      <w:r>
        <w:rPr>
          <w:rFonts w:hint="eastAsia"/>
        </w:rPr>
        <w:t>通过对场区防渗规范施工、加强管理可使发生废水渗漏的可能性降到最低，为将本场区建设对地下水环境造成的影响降到最低；对场区所在地周围的地下水水质进行监测，在场区周边布设污染监控井，定期监测，以便及时准确地反馈地下水水质状况。当监测出水质异常时，应当立即采取相关检修措施，对渗漏发生区域进行防渗修补，确保污染物不进入到地下水系统中，可有效降低渗漏产生的影响。</w:t>
      </w:r>
    </w:p>
    <w:p>
      <w:pPr>
        <w:ind w:firstLine="480"/>
      </w:pPr>
      <w:r>
        <w:rPr>
          <w:rFonts w:hint="eastAsia"/>
        </w:rPr>
        <w:t>（1）地下水监测原则</w:t>
      </w:r>
    </w:p>
    <w:p>
      <w:pPr>
        <w:ind w:firstLine="480"/>
      </w:pPr>
      <w:r>
        <w:rPr>
          <w:rFonts w:hint="eastAsia"/>
        </w:rPr>
        <w:t>①以浅层地下水及有开发利用价值的含水层监测为主的原则；</w:t>
      </w:r>
    </w:p>
    <w:p>
      <w:pPr>
        <w:ind w:firstLine="480"/>
      </w:pPr>
      <w:r>
        <w:rPr>
          <w:rFonts w:hint="eastAsia"/>
        </w:rPr>
        <w:t>②上、下游同步对比监测原则；</w:t>
      </w:r>
    </w:p>
    <w:p>
      <w:pPr>
        <w:ind w:firstLine="480"/>
      </w:pPr>
      <w:r>
        <w:rPr>
          <w:rFonts w:hint="eastAsia"/>
        </w:rPr>
        <w:t>③水质检测项目参照《地下水质量标准》相关要求和潜在污染源特征污染因子确定。</w:t>
      </w:r>
    </w:p>
    <w:p>
      <w:pPr>
        <w:ind w:firstLine="480"/>
      </w:pPr>
      <w:r>
        <w:rPr>
          <w:rFonts w:hint="eastAsia"/>
        </w:rPr>
        <w:t>（2）跟踪监测</w:t>
      </w:r>
    </w:p>
    <w:p>
      <w:pPr>
        <w:ind w:firstLine="480"/>
      </w:pPr>
      <w:r>
        <w:rPr>
          <w:rFonts w:hint="eastAsia"/>
        </w:rPr>
        <w:t>①监测点的布设：本项目设置地下水监控1眼，位于厂区地下水下游，厂内危废暂存间、</w:t>
      </w:r>
      <w:r>
        <w:rPr>
          <w:rFonts w:hint="eastAsia"/>
          <w:lang w:eastAsia="zh-CN"/>
        </w:rPr>
        <w:t>有机肥堆场</w:t>
      </w:r>
      <w:r>
        <w:rPr>
          <w:rFonts w:hint="eastAsia"/>
        </w:rPr>
        <w:t>的东南侧，距离厂界5</w:t>
      </w:r>
      <w:r>
        <w:t>0</w:t>
      </w:r>
      <w:r>
        <w:rPr>
          <w:rFonts w:hint="eastAsia"/>
        </w:rPr>
        <w:t>m范围内，观测井设置遵循溶质迁移的水流路径，兼顾考虑</w:t>
      </w:r>
      <w:r>
        <w:rPr>
          <w:rFonts w:hint="eastAsia"/>
          <w:lang w:eastAsia="zh-CN"/>
        </w:rPr>
        <w:t>有机肥堆场</w:t>
      </w:r>
      <w:r>
        <w:rPr>
          <w:rFonts w:hint="eastAsia"/>
        </w:rPr>
        <w:t>（粪便暂存）位置，以便一旦发生泄漏，可第一时间观测到地下水污染情况，并进行抽水，最大程度地减少地下水污染范围。地下水监测井布置功能及监测计划见下表。</w:t>
      </w:r>
    </w:p>
    <w:p>
      <w:pPr>
        <w:pStyle w:val="6"/>
      </w:pPr>
      <w:r>
        <w:t>表</w:t>
      </w:r>
      <w:r>
        <w:rPr>
          <w:rFonts w:hint="eastAsia"/>
        </w:rPr>
        <w:t xml:space="preserve">7.4.2-2   </w:t>
      </w:r>
      <w:r>
        <w:t>地下水监测孔相关参数</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463"/>
        <w:gridCol w:w="1456"/>
        <w:gridCol w:w="1271"/>
        <w:gridCol w:w="955"/>
        <w:gridCol w:w="901"/>
        <w:gridCol w:w="1197"/>
        <w:gridCol w:w="2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blHeader/>
          <w:jc w:val="center"/>
        </w:trPr>
        <w:tc>
          <w:tcPr>
            <w:tcW w:w="260" w:type="pct"/>
            <w:vMerge w:val="restar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编号</w:t>
            </w:r>
          </w:p>
        </w:tc>
        <w:tc>
          <w:tcPr>
            <w:tcW w:w="817"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经度</w:t>
            </w:r>
          </w:p>
        </w:tc>
        <w:tc>
          <w:tcPr>
            <w:tcW w:w="713"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纬度</w:t>
            </w:r>
          </w:p>
        </w:tc>
        <w:tc>
          <w:tcPr>
            <w:tcW w:w="536" w:type="pct"/>
            <w:vMerge w:val="restar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井深（m）</w:t>
            </w:r>
          </w:p>
        </w:tc>
        <w:tc>
          <w:tcPr>
            <w:tcW w:w="506"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监测层位</w:t>
            </w:r>
          </w:p>
        </w:tc>
        <w:tc>
          <w:tcPr>
            <w:tcW w:w="672"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监测功能</w:t>
            </w:r>
          </w:p>
        </w:tc>
        <w:tc>
          <w:tcPr>
            <w:tcW w:w="1492" w:type="pct"/>
            <w:vMerge w:val="restar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0" w:hRule="atLeast"/>
          <w:tblHeader/>
          <w:jc w:val="center"/>
        </w:trPr>
        <w:tc>
          <w:tcPr>
            <w:tcW w:w="260" w:type="pct"/>
            <w:vMerge w:val="continue"/>
            <w:vAlign w:val="center"/>
          </w:tcPr>
          <w:p>
            <w:pPr>
              <w:pStyle w:val="232"/>
              <w:rPr>
                <w:color w:val="000000" w:themeColor="text1"/>
                <w14:textFill>
                  <w14:solidFill>
                    <w14:schemeClr w14:val="tx1"/>
                  </w14:solidFill>
                </w14:textFill>
              </w:rPr>
            </w:pPr>
          </w:p>
        </w:tc>
        <w:tc>
          <w:tcPr>
            <w:tcW w:w="817" w:type="pct"/>
            <w:vMerge w:val="continue"/>
          </w:tcPr>
          <w:p>
            <w:pPr>
              <w:pStyle w:val="232"/>
              <w:rPr>
                <w:color w:val="000000" w:themeColor="text1"/>
                <w14:textFill>
                  <w14:solidFill>
                    <w14:schemeClr w14:val="tx1"/>
                  </w14:solidFill>
                </w14:textFill>
              </w:rPr>
            </w:pPr>
          </w:p>
        </w:tc>
        <w:tc>
          <w:tcPr>
            <w:tcW w:w="713" w:type="pct"/>
            <w:vMerge w:val="continue"/>
          </w:tcPr>
          <w:p>
            <w:pPr>
              <w:pStyle w:val="232"/>
              <w:rPr>
                <w:color w:val="000000" w:themeColor="text1"/>
                <w14:textFill>
                  <w14:solidFill>
                    <w14:schemeClr w14:val="tx1"/>
                  </w14:solidFill>
                </w14:textFill>
              </w:rPr>
            </w:pPr>
          </w:p>
        </w:tc>
        <w:tc>
          <w:tcPr>
            <w:tcW w:w="536" w:type="pct"/>
            <w:vMerge w:val="continue"/>
            <w:vAlign w:val="center"/>
          </w:tcPr>
          <w:p>
            <w:pPr>
              <w:pStyle w:val="232"/>
              <w:rPr>
                <w:color w:val="000000" w:themeColor="text1"/>
                <w14:textFill>
                  <w14:solidFill>
                    <w14:schemeClr w14:val="tx1"/>
                  </w14:solidFill>
                </w14:textFill>
              </w:rPr>
            </w:pPr>
          </w:p>
        </w:tc>
        <w:tc>
          <w:tcPr>
            <w:tcW w:w="506" w:type="pct"/>
            <w:vMerge w:val="continue"/>
            <w:vAlign w:val="center"/>
          </w:tcPr>
          <w:p>
            <w:pPr>
              <w:pStyle w:val="232"/>
              <w:rPr>
                <w:color w:val="000000" w:themeColor="text1"/>
                <w14:textFill>
                  <w14:solidFill>
                    <w14:schemeClr w14:val="tx1"/>
                  </w14:solidFill>
                </w14:textFill>
              </w:rPr>
            </w:pPr>
          </w:p>
        </w:tc>
        <w:tc>
          <w:tcPr>
            <w:tcW w:w="672" w:type="pct"/>
            <w:vMerge w:val="continue"/>
            <w:vAlign w:val="center"/>
          </w:tcPr>
          <w:p>
            <w:pPr>
              <w:pStyle w:val="232"/>
              <w:rPr>
                <w:color w:val="000000" w:themeColor="text1"/>
                <w14:textFill>
                  <w14:solidFill>
                    <w14:schemeClr w14:val="tx1"/>
                  </w14:solidFill>
                </w14:textFill>
              </w:rPr>
            </w:pPr>
          </w:p>
        </w:tc>
        <w:tc>
          <w:tcPr>
            <w:tcW w:w="1492"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260"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D2</w:t>
            </w:r>
          </w:p>
        </w:tc>
        <w:tc>
          <w:tcPr>
            <w:tcW w:w="817"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E</w:t>
            </w:r>
            <w:r>
              <w:rPr>
                <w:kern w:val="0"/>
                <w:lang w:bidi="ar"/>
              </w:rPr>
              <w:t>107°47′24.39</w:t>
            </w:r>
            <w:r>
              <w:rPr>
                <w:color w:val="000000" w:themeColor="text1"/>
                <w14:textFill>
                  <w14:solidFill>
                    <w14:schemeClr w14:val="tx1"/>
                  </w14:solidFill>
                </w14:textFill>
              </w:rPr>
              <w:t>"</w:t>
            </w:r>
          </w:p>
        </w:tc>
        <w:tc>
          <w:tcPr>
            <w:tcW w:w="71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N</w:t>
            </w:r>
            <w:r>
              <w:rPr>
                <w:kern w:val="0"/>
                <w:lang w:bidi="ar"/>
              </w:rPr>
              <w:t>41°5′48.30″</w:t>
            </w:r>
          </w:p>
        </w:tc>
        <w:tc>
          <w:tcPr>
            <w:tcW w:w="53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15</w:t>
            </w:r>
          </w:p>
        </w:tc>
        <w:tc>
          <w:tcPr>
            <w:tcW w:w="506"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潜水含水层</w:t>
            </w:r>
          </w:p>
        </w:tc>
        <w:tc>
          <w:tcPr>
            <w:tcW w:w="672"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污染扩散监测点</w:t>
            </w:r>
          </w:p>
        </w:tc>
        <w:tc>
          <w:tcPr>
            <w:tcW w:w="1492"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监测可能产生的泄漏对下游潜水的污染</w:t>
            </w:r>
          </w:p>
        </w:tc>
      </w:tr>
    </w:tbl>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②监测层位及井深：监测潜水含水层，设计监测井深度为</w:t>
      </w:r>
      <w:r>
        <w:rPr>
          <w:color w:val="000000" w:themeColor="text1"/>
          <w14:textFill>
            <w14:solidFill>
              <w14:schemeClr w14:val="tx1"/>
            </w14:solidFill>
          </w14:textFill>
        </w:rPr>
        <w:t>15</w:t>
      </w:r>
      <w:r>
        <w:rPr>
          <w:rFonts w:hint="eastAsia"/>
          <w:color w:val="000000" w:themeColor="text1"/>
          <w14:textFill>
            <w14:solidFill>
              <w14:schemeClr w14:val="tx1"/>
            </w14:solidFill>
          </w14:textFill>
        </w:rPr>
        <w:t>m，实际井深以现场施工为准。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③监测频率：投入使用前监测一次本底值，投入使用后，对照监测点采样频次宜不少于每年1次，其他监测点采样频次宜不少于每年2次，发现有地下水污染现象时需增加采样频次。</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④监测因子：根据《地下水环境监测技术规范》（HJ164-2020）及项目污染源情况，确定地下水监测项目为：</w:t>
      </w:r>
      <w:bookmarkStart w:id="231" w:name="_Hlk53529388"/>
      <w:r>
        <w:rPr>
          <w:rFonts w:hint="eastAsia"/>
          <w:color w:val="000000" w:themeColor="text1"/>
          <w14:textFill>
            <w14:solidFill>
              <w14:schemeClr w14:val="tx1"/>
            </w14:solidFill>
          </w14:textFill>
        </w:rPr>
        <w:t>水位、水温、pH值、电导率、浑浊度、氧化还原电位、色、嗅和味、肉眼可见物、耗氧量、溶解性总固体、氨氮、硝酸盐氮、亚硝酸盐氮、挥发性酚类、阴离子表面活性剂、氯化物、硫化物、石油类、汞、镉、砷、六价铬、铅、总大肠菌群、菌落总数</w:t>
      </w:r>
      <w:r>
        <w:rPr>
          <w:rFonts w:hint="eastAsia"/>
          <w:color w:val="000000" w:themeColor="text1"/>
          <w:kern w:val="0"/>
          <w:szCs w:val="21"/>
          <w14:textFill>
            <w14:solidFill>
              <w14:schemeClr w14:val="tx1"/>
            </w14:solidFill>
          </w14:textFill>
        </w:rPr>
        <w:t>共26项目</w:t>
      </w:r>
      <w:bookmarkEnd w:id="231"/>
      <w:r>
        <w:rPr>
          <w:rFonts w:hint="eastAsia"/>
          <w:color w:val="000000" w:themeColor="text1"/>
          <w:kern w:val="0"/>
          <w:szCs w:val="21"/>
          <w14:textFill>
            <w14:solidFill>
              <w14:schemeClr w14:val="tx1"/>
            </w14:solidFill>
          </w14:textFill>
        </w:rPr>
        <w:t>，</w:t>
      </w:r>
      <w:r>
        <w:rPr>
          <w:rFonts w:hint="eastAsia"/>
          <w:color w:val="000000" w:themeColor="text1"/>
          <w14:textFill>
            <w14:solidFill>
              <w14:schemeClr w14:val="tx1"/>
            </w14:solidFill>
          </w14:textFill>
        </w:rPr>
        <w:t>执行《地下水质量标准》（GB/T14848-2017）</w:t>
      </w:r>
      <w:r>
        <w:rPr>
          <w:color w:val="000000" w:themeColor="text1"/>
          <w14:textFill>
            <w14:solidFill>
              <w14:schemeClr w14:val="tx1"/>
            </w14:solidFill>
          </w14:textFill>
        </w:rPr>
        <w:t>Ⅲ</w:t>
      </w:r>
      <w:r>
        <w:rPr>
          <w:rFonts w:hint="eastAsia"/>
          <w:color w:val="000000" w:themeColor="text1"/>
          <w14:textFill>
            <w14:solidFill>
              <w14:schemeClr w14:val="tx1"/>
            </w14:solidFill>
          </w14:textFill>
        </w:rPr>
        <w:t>类标准。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上述监测的结果应按项目有关规定及时建立档案，并抄送生态环境主管部门，对于常规检测数据应该进行公开，特别是对项目所在区域的居民公开，满足法律中关于知情权的要求。发现污染和水质恶化时，要及时进行处理，开展系统调查，并上报有关部门。</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应急响应措施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一旦发现地下水污染事故，立即启动应急预案、采取应急措施控制地下水污染，并使污染得到治理。应急管理建议：</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（1）由于地下水污染具有不易发现和一旦污染很难治理的特点，因此地下水污染防控应遵循源头控制、防止渗漏、污染监测和事故应急处理的主动和被动防渗相结合的原则进行。</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（2）地下水污染状况勘察是一项专业性很强的工作，一旦发生污染事故，应委托具有水文地质勘察资质的单位以水文地质工作为基础开展地下水污染勘察工作。</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（3）在具体的地下水污染治理中，往往需要多种技术结合使用。一般在治理初期，先使用物理法或水动力控制法将污染区封闭，然后尽量收集污水，最后再使用抽出处理法或原位法进行治理。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地下水污染修复的同时还须进行受污染岩土的修复。地下水接受包气带的入渗补给，赋存与含水层岩土的孔隙中，地下水中的物质受岩土的控制，因此避免地下水与岩土的交叉污染，使地下水的治理行之有效，需要进行污染岩土的修复。</w:t>
      </w:r>
    </w:p>
    <w:p>
      <w:pPr>
        <w:pStyle w:val="4"/>
        <w:rPr>
          <w:color w:val="000000" w:themeColor="text1"/>
          <w14:textFill>
            <w14:solidFill>
              <w14:schemeClr w14:val="tx1"/>
            </w14:solidFill>
          </w14:textFill>
        </w:rPr>
      </w:pPr>
      <w:bookmarkStart w:id="232" w:name="_Toc41476844"/>
      <w:bookmarkStart w:id="233" w:name="_Toc101428528"/>
      <w:r>
        <w:rPr>
          <w:rFonts w:hint="eastAsia"/>
          <w:color w:val="000000" w:themeColor="text1"/>
          <w14:textFill>
            <w14:solidFill>
              <w14:schemeClr w14:val="tx1"/>
            </w14:solidFill>
          </w14:textFill>
        </w:rPr>
        <w:t>措施可行性</w:t>
      </w:r>
      <w:bookmarkEnd w:id="232"/>
      <w:bookmarkEnd w:id="233"/>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本报告中涉及到的地下水环境保护管理措施有构建地下水监测井、局部防渗等，其中：</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（1）地下水监测孔及地下防渗措施的建设，可以依据国家相关标准实施，如《危险废物填埋污染控制标准》和《地下水环境监测技术规范》等。</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（2）监测孔的建设费、维护费和水质测试费、防渗材料的购置与铺设等费用是环境保护措施中的预算之一，建设单位应按预算执行。</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上述分析可知，项目对地下水污染进行了严格的预防措施，不会造成污染物下渗到地下水中造成污染，本次评价提出的地下水环境保护管理措施具有可行性。</w:t>
      </w:r>
    </w:p>
    <w:p>
      <w:pPr>
        <w:pStyle w:val="3"/>
        <w:spacing w:before="120" w:after="120"/>
        <w:rPr>
          <w:color w:val="000000" w:themeColor="text1"/>
          <w14:textFill>
            <w14:solidFill>
              <w14:schemeClr w14:val="tx1"/>
            </w14:solidFill>
          </w14:textFill>
        </w:rPr>
      </w:pPr>
      <w:bookmarkStart w:id="234" w:name="_Toc101428529"/>
      <w:bookmarkStart w:id="235" w:name="_Toc8508"/>
      <w:r>
        <w:rPr>
          <w:rFonts w:hint="eastAsia"/>
          <w:color w:val="000000" w:themeColor="text1"/>
          <w14:textFill>
            <w14:solidFill>
              <w14:schemeClr w14:val="tx1"/>
            </w14:solidFill>
          </w14:textFill>
        </w:rPr>
        <w:t>运营期土壤环境防治措施</w:t>
      </w:r>
      <w:bookmarkEnd w:id="234"/>
      <w:bookmarkEnd w:id="235"/>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 土壤环境（试行）》（HJ964-2018）的要求，土壤污染防治措施主要包括源头控制措施、过程控制措施以及跟踪监测计划。</w:t>
      </w:r>
    </w:p>
    <w:p>
      <w:pPr>
        <w:pStyle w:val="4"/>
        <w:rPr>
          <w:color w:val="000000" w:themeColor="text1"/>
          <w14:textFill>
            <w14:solidFill>
              <w14:schemeClr w14:val="tx1"/>
            </w14:solidFill>
          </w14:textFill>
        </w:rPr>
      </w:pPr>
      <w:bookmarkStart w:id="236" w:name="_Toc101428530"/>
      <w:r>
        <w:rPr>
          <w:rFonts w:hint="eastAsia"/>
          <w:color w:val="000000" w:themeColor="text1"/>
          <w14:textFill>
            <w14:solidFill>
              <w14:schemeClr w14:val="tx1"/>
            </w14:solidFill>
          </w14:textFill>
        </w:rPr>
        <w:t>源头控制措施</w:t>
      </w:r>
      <w:bookmarkEnd w:id="236"/>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本项目土壤污染源头控制措施主要是减少项目废气、废水、固废等污染物的产生及排放量。本次评价提出如下措施：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（1）做好雨污分流工作。建设单位在运营过程中定期对羊舍粪污通道及</w:t>
      </w:r>
      <w:r>
        <w:rPr>
          <w:rFonts w:hint="eastAsia"/>
          <w:color w:val="92D050"/>
          <w:lang w:eastAsia="zh-CN"/>
        </w:rPr>
        <w:t>有机肥堆场</w:t>
      </w:r>
      <w:r>
        <w:rPr>
          <w:rFonts w:hint="eastAsia"/>
          <w:color w:val="000000" w:themeColor="text1"/>
          <w14:textFill>
            <w14:solidFill>
              <w14:schemeClr w14:val="tx1"/>
            </w14:solidFill>
          </w14:textFill>
        </w:rPr>
        <w:t>等进行检查，确保正常运行，从源头上减少污染物的非正常排放量。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（2）企业应加强对粪污治理措施的管理和维护，确保各污染物达标排放，有效减少废水污染物通过沉降进入土壤的量。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（3）企业应采用先进的养殖工艺，减少固废的产生量，并提高固废的综合利用率，减少固废的堆存量。</w:t>
      </w:r>
    </w:p>
    <w:p>
      <w:pPr>
        <w:pStyle w:val="4"/>
        <w:rPr>
          <w:color w:val="000000" w:themeColor="text1"/>
          <w14:textFill>
            <w14:solidFill>
              <w14:schemeClr w14:val="tx1"/>
            </w14:solidFill>
          </w14:textFill>
        </w:rPr>
      </w:pPr>
      <w:bookmarkStart w:id="237" w:name="_Toc101428531"/>
      <w:r>
        <w:rPr>
          <w:rFonts w:hint="eastAsia"/>
          <w:color w:val="000000" w:themeColor="text1"/>
          <w14:textFill>
            <w14:solidFill>
              <w14:schemeClr w14:val="tx1"/>
            </w14:solidFill>
          </w14:textFill>
        </w:rPr>
        <w:t>过程控制措施</w:t>
      </w:r>
      <w:bookmarkEnd w:id="237"/>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项目针对土壤污染的途径提出相应的过程控制措施：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企业应在占地范围内采取绿化措施，以种植具有较强吸附能力的植物为主，加大对废气污染物的吸附量，减少最终进入土壤的污染物量，从而减小对土壤的污染。</w:t>
      </w:r>
    </w:p>
    <w:p>
      <w:pPr>
        <w:pStyle w:val="4"/>
        <w:rPr>
          <w:color w:val="000000" w:themeColor="text1"/>
          <w14:textFill>
            <w14:solidFill>
              <w14:schemeClr w14:val="tx1"/>
            </w14:solidFill>
          </w14:textFill>
        </w:rPr>
      </w:pPr>
      <w:bookmarkStart w:id="238" w:name="_Toc101428532"/>
      <w:r>
        <w:rPr>
          <w:rFonts w:hint="eastAsia"/>
          <w:color w:val="000000" w:themeColor="text1"/>
          <w14:textFill>
            <w14:solidFill>
              <w14:schemeClr w14:val="tx1"/>
            </w14:solidFill>
          </w14:textFill>
        </w:rPr>
        <w:t>末端控制措施</w:t>
      </w:r>
      <w:bookmarkEnd w:id="238"/>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末端控制采取分区防渗原则，主要包括对重点防渗区（包括</w:t>
      </w: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）场底及周围进行防渗措施，使其渗透系数小于1.0×10</w:t>
      </w:r>
      <w:r>
        <w:rPr>
          <w:rFonts w:hint="eastAsia"/>
          <w:color w:val="000000" w:themeColor="text1"/>
          <w:vertAlign w:val="superscript"/>
          <w14:textFill>
            <w14:solidFill>
              <w14:schemeClr w14:val="tx1"/>
            </w14:solidFill>
          </w14:textFill>
        </w:rPr>
        <w:t>-10</w:t>
      </w:r>
      <w:r>
        <w:rPr>
          <w:rFonts w:hint="eastAsia"/>
          <w:color w:val="000000" w:themeColor="text1"/>
          <w14:textFill>
            <w14:solidFill>
              <w14:schemeClr w14:val="tx1"/>
            </w14:solidFill>
          </w14:textFill>
        </w:rPr>
        <w:t>cm/s，防止渗滤液污染物渗入地下。</w:t>
      </w:r>
    </w:p>
    <w:p>
      <w:pPr>
        <w:pStyle w:val="4"/>
        <w:rPr>
          <w:color w:val="000000" w:themeColor="text1"/>
          <w14:textFill>
            <w14:solidFill>
              <w14:schemeClr w14:val="tx1"/>
            </w14:solidFill>
          </w14:textFill>
        </w:rPr>
      </w:pPr>
      <w:bookmarkStart w:id="239" w:name="_Toc101428533"/>
      <w:r>
        <w:rPr>
          <w:rFonts w:hint="eastAsia"/>
          <w:color w:val="000000" w:themeColor="text1"/>
          <w14:textFill>
            <w14:solidFill>
              <w14:schemeClr w14:val="tx1"/>
            </w14:solidFill>
          </w14:textFill>
        </w:rPr>
        <w:t>土壤污染监控体系</w:t>
      </w:r>
      <w:bookmarkEnd w:id="239"/>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为了及时了解项目场区及周边土壤环境质量状况和土壤中污染物的动态变化，根据《环境影响评价技术导则 土壤环境》（HJ964-2018）、《排污单位自行监测技术指南总则》（HJ819-2017）的相关要求，本项目拟制定土壤环境跟踪监测措施，包括制定跟踪监测计划，科学、合理地设置土壤监测点位，建立完善的跟踪监测制度，以便及时发现并有效控制。</w:t>
      </w:r>
    </w:p>
    <w:p>
      <w:pPr>
        <w:pStyle w:val="4"/>
        <w:rPr>
          <w:color w:val="000000" w:themeColor="text1"/>
          <w14:textFill>
            <w14:solidFill>
              <w14:schemeClr w14:val="tx1"/>
            </w14:solidFill>
          </w14:textFill>
        </w:rPr>
      </w:pPr>
      <w:bookmarkStart w:id="240" w:name="_Toc101428534"/>
      <w:r>
        <w:rPr>
          <w:rFonts w:hint="eastAsia"/>
          <w:color w:val="000000" w:themeColor="text1"/>
          <w14:textFill>
            <w14:solidFill>
              <w14:schemeClr w14:val="tx1"/>
            </w14:solidFill>
          </w14:textFill>
        </w:rPr>
        <w:t>应急响应措施</w:t>
      </w:r>
      <w:bookmarkEnd w:id="240"/>
    </w:p>
    <w:p>
      <w:pPr>
        <w:bidi w:val="0"/>
      </w:pPr>
      <w:r>
        <w:rPr>
          <w:rFonts w:hint="eastAsia"/>
        </w:rPr>
        <w:t>一旦发现土壤污染事故，立即采取应急措施控制土壤、地下水污染，并使污染得到治理。</w:t>
      </w:r>
    </w:p>
    <w:p>
      <w:pPr>
        <w:pStyle w:val="3"/>
        <w:spacing w:before="120" w:after="120"/>
        <w:rPr>
          <w:color w:val="000000" w:themeColor="text1"/>
          <w14:textFill>
            <w14:solidFill>
              <w14:schemeClr w14:val="tx1"/>
            </w14:solidFill>
          </w14:textFill>
        </w:rPr>
      </w:pPr>
      <w:bookmarkStart w:id="241" w:name="_Toc16006"/>
      <w:bookmarkStart w:id="242" w:name="_Toc101428535"/>
      <w:bookmarkStart w:id="243" w:name="_Toc494206376"/>
      <w:bookmarkStart w:id="244" w:name="_Toc530642993"/>
      <w:r>
        <w:rPr>
          <w:rFonts w:hint="eastAsia"/>
          <w:color w:val="000000" w:themeColor="text1"/>
          <w14:textFill>
            <w14:solidFill>
              <w14:schemeClr w14:val="tx1"/>
            </w14:solidFill>
          </w14:textFill>
        </w:rPr>
        <w:t>运营期</w:t>
      </w:r>
      <w:r>
        <w:rPr>
          <w:color w:val="000000" w:themeColor="text1"/>
          <w14:textFill>
            <w14:solidFill>
              <w14:schemeClr w14:val="tx1"/>
            </w14:solidFill>
          </w14:textFill>
        </w:rPr>
        <w:t>声环境防治措施</w:t>
      </w:r>
      <w:bookmarkEnd w:id="241"/>
      <w:bookmarkEnd w:id="242"/>
      <w:bookmarkEnd w:id="243"/>
      <w:bookmarkEnd w:id="244"/>
    </w:p>
    <w:p>
      <w:pPr>
        <w:ind w:firstLine="480"/>
      </w:pPr>
      <w:r>
        <w:t>本项目实施后</w:t>
      </w:r>
      <w:r>
        <w:rPr>
          <w:rFonts w:hint="eastAsia"/>
        </w:rPr>
        <w:t>，本</w:t>
      </w:r>
      <w:r>
        <w:t>项目营运期产生噪声</w:t>
      </w:r>
      <w:r>
        <w:rPr>
          <w:rFonts w:hint="eastAsia"/>
        </w:rPr>
        <w:t>源</w:t>
      </w:r>
      <w:r>
        <w:t>主要</w:t>
      </w:r>
      <w:r>
        <w:rPr>
          <w:rFonts w:hint="eastAsia"/>
        </w:rPr>
        <w:t>来源于羊舍排气扇</w:t>
      </w:r>
      <w:r>
        <w:t>以及水泵</w:t>
      </w:r>
      <w:r>
        <w:rPr>
          <w:rFonts w:hint="eastAsia"/>
        </w:rPr>
        <w:t>、出入场区车辆、有机肥生产过程产生的噪声等</w:t>
      </w:r>
      <w:r>
        <w:t>。为了减轻各类噪声对工人操作环境和周围声环境影响，因此本项目应加强噪声的治理工作，主要从设备选型、阻隔传播途径和受声者保护三方面入手。</w:t>
      </w:r>
    </w:p>
    <w:p>
      <w:pPr>
        <w:ind w:firstLine="480"/>
      </w:pPr>
      <w:r>
        <w:rPr>
          <w:rFonts w:hint="eastAsia"/>
        </w:rPr>
        <w:t>（1）</w:t>
      </w:r>
      <w:r>
        <w:rPr>
          <w:rFonts w:hint="eastAsia"/>
          <w:lang w:eastAsia="zh-CN"/>
        </w:rPr>
        <w:t>有机肥堆场</w:t>
      </w:r>
      <w:r>
        <w:t>优先选用低噪声设备，对强噪声设备如水泵和风机等采取减振、隔声措施。风机的排风口做消声处理，水泵和风机等均放单独的房间内，采用隔声门窗或双层玻璃。</w:t>
      </w:r>
    </w:p>
    <w:p>
      <w:pPr>
        <w:ind w:firstLine="480"/>
      </w:pPr>
      <w:r>
        <w:rPr>
          <w:rFonts w:hint="eastAsia"/>
        </w:rPr>
        <w:t>（2）</w:t>
      </w:r>
      <w:r>
        <w:t>羊舍内安装的降温排风扇应安装牢固，并加减震圈（垫），减轻噪声对操作人员及羊只的危害和影响。</w:t>
      </w:r>
    </w:p>
    <w:p>
      <w:pPr>
        <w:ind w:firstLine="480"/>
      </w:pPr>
      <w:r>
        <w:rPr>
          <w:rFonts w:hint="eastAsia"/>
        </w:rPr>
        <w:t>（3）养殖场场界设围墙，建隔离带，降噪林，经过生态林降噪和距离衰减后厂界噪声可满足</w:t>
      </w:r>
      <w:r>
        <w:t>《工业企业厂界环境噪声排放标准》</w:t>
      </w:r>
      <w:r>
        <w:rPr>
          <w:rFonts w:hint="eastAsia"/>
        </w:rPr>
        <w:t>（</w:t>
      </w:r>
      <w:r>
        <w:t>GB12348</w:t>
      </w:r>
      <w:r>
        <w:rPr>
          <w:rFonts w:hint="eastAsia"/>
        </w:rPr>
        <w:t>-</w:t>
      </w:r>
      <w:r>
        <w:t>2008</w:t>
      </w:r>
      <w:r>
        <w:rPr>
          <w:rFonts w:hint="eastAsia"/>
        </w:rPr>
        <w:t>）2</w:t>
      </w:r>
      <w:r>
        <w:t>类</w:t>
      </w:r>
      <w:r>
        <w:rPr>
          <w:rFonts w:hint="eastAsia"/>
        </w:rPr>
        <w:t>区排放限值；周边居民点可满足</w:t>
      </w:r>
      <w:r>
        <w:t>《声环境质量标准》（GB3096-2008）2类标准</w:t>
      </w:r>
      <w:r>
        <w:rPr>
          <w:rFonts w:hint="eastAsia"/>
        </w:rPr>
        <w:t>。</w:t>
      </w:r>
    </w:p>
    <w:p>
      <w:pPr>
        <w:ind w:firstLine="480"/>
      </w:pPr>
      <w:r>
        <w:rPr>
          <w:rFonts w:hint="eastAsia"/>
        </w:rPr>
        <w:t>（4）根据生产实际情况，合理调度汽车运输；优化运输路线，使运输路线尽量选择距离居民敏感点较远、地域较开阔的地段。</w:t>
      </w:r>
    </w:p>
    <w:p>
      <w:pPr>
        <w:ind w:firstLine="480"/>
      </w:pPr>
      <w:r>
        <w:rPr>
          <w:rFonts w:hint="eastAsia"/>
        </w:rPr>
        <w:t>（5）运输车辆应做到缓速行驶，减少鸣笛或尽量避免鸣笛来减少运输车辆进入养殖场对周围声环境的影响。</w:t>
      </w:r>
    </w:p>
    <w:p>
      <w:pPr>
        <w:ind w:firstLine="480"/>
      </w:pPr>
      <w:r>
        <w:rPr>
          <w:rFonts w:hint="eastAsia"/>
        </w:rPr>
        <w:t>（6）</w:t>
      </w:r>
      <w:r>
        <w:t>货物运输车辆在</w:t>
      </w:r>
      <w:r>
        <w:rPr>
          <w:rFonts w:hint="eastAsia"/>
        </w:rPr>
        <w:t>村庄、养殖场</w:t>
      </w:r>
      <w:r>
        <w:t>门前做到不鸣或少鸣笛，以减轻交通噪声对</w:t>
      </w:r>
      <w:r>
        <w:rPr>
          <w:rFonts w:hint="eastAsia"/>
        </w:rPr>
        <w:t>外</w:t>
      </w:r>
      <w:r>
        <w:t>环境的影响。货物运输车辆夜间在途经村庄或在场界内时禁止鸣笛。</w:t>
      </w:r>
    </w:p>
    <w:p>
      <w:pPr>
        <w:ind w:firstLine="480"/>
      </w:pPr>
      <w:r>
        <w:t>在采取上述有效的防治措施后，</w:t>
      </w:r>
      <w:r>
        <w:rPr>
          <w:rFonts w:hint="eastAsia"/>
        </w:rPr>
        <w:t>项目各养殖场</w:t>
      </w:r>
      <w:r>
        <w:t>场界噪声可达到《工业企业厂界环境噪声排放标准》（GB12348-2008）中的</w:t>
      </w:r>
      <w:r>
        <w:rPr>
          <w:rFonts w:hint="eastAsia"/>
        </w:rPr>
        <w:t>2</w:t>
      </w:r>
      <w:r>
        <w:t>类标准，产噪设备对周围声环境影响较小。</w:t>
      </w:r>
    </w:p>
    <w:p>
      <w:pPr>
        <w:pStyle w:val="3"/>
        <w:spacing w:before="120" w:after="120"/>
        <w:rPr>
          <w:color w:val="000000" w:themeColor="text1"/>
          <w14:textFill>
            <w14:solidFill>
              <w14:schemeClr w14:val="tx1"/>
            </w14:solidFill>
          </w14:textFill>
        </w:rPr>
      </w:pPr>
      <w:bookmarkStart w:id="245" w:name="_Toc19713"/>
      <w:bookmarkStart w:id="246" w:name="_Toc101428536"/>
      <w:bookmarkStart w:id="247" w:name="_Toc530642994"/>
      <w:r>
        <w:rPr>
          <w:rFonts w:hint="eastAsia"/>
          <w:color w:val="000000" w:themeColor="text1"/>
          <w14:textFill>
            <w14:solidFill>
              <w14:schemeClr w14:val="tx1"/>
            </w14:solidFill>
          </w14:textFill>
        </w:rPr>
        <w:t>运营期</w:t>
      </w:r>
      <w:r>
        <w:rPr>
          <w:color w:val="000000" w:themeColor="text1"/>
          <w14:textFill>
            <w14:solidFill>
              <w14:schemeClr w14:val="tx1"/>
            </w14:solidFill>
          </w14:textFill>
        </w:rPr>
        <w:t>固体废物污染防治措施</w:t>
      </w:r>
      <w:bookmarkEnd w:id="245"/>
      <w:bookmarkEnd w:id="246"/>
      <w:bookmarkEnd w:id="247"/>
    </w:p>
    <w:p>
      <w:pPr>
        <w:ind w:firstLine="480"/>
      </w:pPr>
      <w:r>
        <w:rPr>
          <w:rFonts w:hint="eastAsia"/>
        </w:rPr>
        <w:t>本项目固体废物的处理将遵循环境健康风险预防、安全无害以及固体废物“减量化、资源化、无害化及生态化”的原则进行，有效的解决集约化养殖场的环境污染问题，达到变废为宝、化害为利、综合利用的目的。</w:t>
      </w:r>
    </w:p>
    <w:p>
      <w:pPr>
        <w:pStyle w:val="4"/>
        <w:rPr>
          <w:color w:val="000000" w:themeColor="text1"/>
          <w14:textFill>
            <w14:solidFill>
              <w14:schemeClr w14:val="tx1"/>
            </w14:solidFill>
          </w14:textFill>
        </w:rPr>
      </w:pPr>
      <w:bookmarkStart w:id="248" w:name="_Toc101428537"/>
      <w:r>
        <w:rPr>
          <w:rFonts w:hint="eastAsia"/>
          <w:color w:val="000000" w:themeColor="text1"/>
          <w14:textFill>
            <w14:solidFill>
              <w14:schemeClr w14:val="tx1"/>
            </w14:solidFill>
          </w14:textFill>
        </w:rPr>
        <w:t>固体废物处置合理性分析</w:t>
      </w:r>
      <w:bookmarkEnd w:id="248"/>
    </w:p>
    <w:p>
      <w:pPr>
        <w:ind w:firstLine="480"/>
      </w:pPr>
      <w:r>
        <w:rPr>
          <w:rFonts w:hint="eastAsia"/>
        </w:rPr>
        <w:t>本项目产生的固废物主要是羊粪、病死动物尸体及胞衣、医疗废物等。</w:t>
      </w:r>
    </w:p>
    <w:p>
      <w:pPr>
        <w:numPr>
          <w:ilvl w:val="0"/>
          <w:numId w:val="17"/>
        </w:numPr>
        <w:ind w:firstLine="480"/>
        <w:rPr>
          <w:rFonts w:hint="eastAsia"/>
        </w:rPr>
      </w:pPr>
      <w:r>
        <w:rPr>
          <w:rFonts w:hint="eastAsia"/>
        </w:rPr>
        <w:t>羊粪</w:t>
      </w:r>
    </w:p>
    <w:p>
      <w:pPr>
        <w:bidi w:val="0"/>
        <w:rPr>
          <w:rFonts w:hint="eastAsia"/>
          <w:lang w:val="en-US" w:eastAsia="zh-CN"/>
        </w:rPr>
      </w:pPr>
      <w:r>
        <w:rPr>
          <w:rFonts w:hint="eastAsia"/>
          <w:lang w:val="en-US" w:eastAsia="zh-CN"/>
        </w:rPr>
        <w:t>①羊粪处理、处置措施可行性</w:t>
      </w:r>
    </w:p>
    <w:p>
      <w:pPr>
        <w:ind w:firstLine="480"/>
        <w:rPr>
          <w:rFonts w:hint="eastAsia"/>
          <w:color w:val="auto"/>
        </w:rPr>
      </w:pPr>
      <w:r>
        <w:rPr>
          <w:rFonts w:hint="eastAsia"/>
          <w:color w:val="auto"/>
        </w:rPr>
        <w:t>羊是反刍动物，对饲料咀嚼很细，但羊饮水少，故粪质细密而干燥，发热量比牛粪大，属热性肥料。羊粪尿较其它畜粪尿浓厚，是粪尿中养分含量较高的品种之一。羊粪经过发酵是一种很好的有机肥，使用它做肥料，可以改善土质，是防止土地板结，经济价值很好。</w:t>
      </w:r>
    </w:p>
    <w:p>
      <w:pPr>
        <w:ind w:firstLine="480"/>
        <w:rPr>
          <w:rFonts w:hint="eastAsia"/>
          <w:color w:val="auto"/>
          <w:lang w:eastAsia="zh-CN"/>
        </w:rPr>
      </w:pPr>
      <w:r>
        <w:rPr>
          <w:rFonts w:hint="eastAsia"/>
          <w:color w:val="auto"/>
        </w:rPr>
        <w:t>本项目采用羊粪、动物残渣</w:t>
      </w:r>
      <w:r>
        <w:rPr>
          <w:rFonts w:hint="eastAsia"/>
          <w:color w:val="auto"/>
          <w:lang w:val="en-US" w:eastAsia="zh-CN"/>
        </w:rPr>
        <w:t>等</w:t>
      </w:r>
      <w:r>
        <w:rPr>
          <w:rFonts w:hint="eastAsia"/>
          <w:color w:val="auto"/>
        </w:rPr>
        <w:t>进行粪污堆肥处理，</w:t>
      </w:r>
      <w:r>
        <w:rPr>
          <w:rFonts w:hint="eastAsia"/>
          <w:color w:val="auto"/>
          <w:lang w:val="en-US" w:eastAsia="zh-CN"/>
        </w:rPr>
        <w:t>对羊粪等材料</w:t>
      </w:r>
      <w:r>
        <w:rPr>
          <w:rFonts w:hint="eastAsia"/>
          <w:color w:val="auto"/>
        </w:rPr>
        <w:t>进行搅拌使其充分通风曝气供氧</w:t>
      </w:r>
      <w:r>
        <w:rPr>
          <w:rFonts w:hint="eastAsia"/>
          <w:color w:val="auto"/>
          <w:lang w:val="en-US" w:eastAsia="zh-CN"/>
        </w:rPr>
        <w:t>后</w:t>
      </w:r>
      <w:r>
        <w:rPr>
          <w:rFonts w:hint="eastAsia"/>
          <w:color w:val="auto"/>
        </w:rPr>
        <w:t>进行好氧堆肥的机械翻堆，好氧发酵可对粪便的有机物进行分解，同时也杀灭粪便中的有害微生物，如有害细菌、虫卵等。经完全发酵后</w:t>
      </w:r>
      <w:r>
        <w:rPr>
          <w:rFonts w:hint="eastAsia" w:ascii="Times New Roman" w:eastAsia="宋体"/>
          <w:color w:val="0000FF"/>
          <w:szCs w:val="21"/>
          <w:lang w:val="en-US" w:eastAsia="zh-CN"/>
        </w:rPr>
        <w:t>的有机肥由公司上游企业进行二次加工和产品销售</w:t>
      </w:r>
      <w:r>
        <w:rPr>
          <w:rFonts w:hint="eastAsia"/>
          <w:color w:val="auto"/>
          <w:lang w:eastAsia="zh-CN"/>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常见的固体粪便处理方法有堆肥法、干燥法、焚烧法等。由于好氧堆肥法与其它无害化方法相比，具有省能源、低成本、发酵产物活性强、处理过程养分损失少等优点，并且也可达到去除臭味、灭菌的目的，处理的最终产物较干燥，易包装、施用，因此，对固体粪便采用好氧堆肥法处理是最佳的处置方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处理过程采用机械搅拌混合、机械翻堆，以堆肥温度变化作为控制指标，通过测定堆肥温度、察看表观形状，了解发酵进行状况，确定翻堆时间和最终腐熟时间，禁止将未经处理的</w:t>
      </w:r>
      <w:r>
        <w:rPr>
          <w:rFonts w:hint="eastAsia"/>
          <w:color w:val="000000" w:themeColor="text1"/>
          <w:lang w:val="en-US" w:eastAsia="zh-CN"/>
          <w14:textFill>
            <w14:solidFill>
              <w14:schemeClr w14:val="tx1"/>
            </w14:solidFill>
          </w14:textFill>
        </w:rPr>
        <w:t>羊粪</w:t>
      </w:r>
      <w:r>
        <w:rPr>
          <w:rFonts w:hint="eastAsia"/>
          <w:color w:val="000000" w:themeColor="text1"/>
          <w14:textFill>
            <w14:solidFill>
              <w14:schemeClr w14:val="tx1"/>
            </w14:solidFill>
          </w14:textFill>
        </w:rPr>
        <w:t>直接施肥。</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好氧堆肥主要为通气、调节pH值、好氧发酵（升温阶段、高温阶段、降温阶段）项目经过发酵30天的长期中高温发酵，粪便中绝大多数有机物被降解，粪便也达到腐熟的程度。根据《畜禽粪便无害化处理技术规范》（GB/T36195-2018）“</w:t>
      </w:r>
      <w:r>
        <w:rPr>
          <w:rFonts w:eastAsiaTheme="minorEastAsia"/>
          <w:color w:val="000000" w:themeColor="text1"/>
          <w:lang w:val="zh-CN"/>
          <w14:textFill>
            <w14:solidFill>
              <w14:schemeClr w14:val="tx1"/>
            </w14:solidFill>
          </w14:textFill>
        </w:rPr>
        <w:t>宜采用反应器、静态垛式等好氧堆肥技术进行无害化处理，其堆体温度维持50℃以上的时间不少于7d，或45℃以上不少于14d。</w:t>
      </w:r>
      <w:r>
        <w:rPr>
          <w:rFonts w:hint="eastAsia"/>
          <w:color w:val="000000" w:themeColor="text1"/>
          <w14:textFill>
            <w14:solidFill>
              <w14:schemeClr w14:val="tx1"/>
            </w14:solidFill>
          </w14:textFill>
        </w:rPr>
        <w:t>”，本项目好氧堆肥时间为30d，经发酵降解腐熟的农肥符合表2.4-5无害化要求。</w:t>
      </w:r>
    </w:p>
    <w:p>
      <w:pPr>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综上所述，项目用于还田的农肥为发酵降解腐熟的农肥，从工艺及无害化的要求是项目采用堆肥工艺是可行的，堆肥后满足无害化标准要求。</w:t>
      </w:r>
    </w:p>
    <w:p>
      <w:pPr>
        <w:ind w:firstLine="480"/>
        <w:rPr>
          <w:rFonts w:hint="eastAsia"/>
        </w:rPr>
      </w:pPr>
      <w:r>
        <w:rPr>
          <w:rFonts w:hint="eastAsia"/>
        </w:rPr>
        <w:t>羊粪便中含有大量的有机物和丰富的氮、磷、钾等营养物质，是农业可持续发展的宝贵资源。项目采用干清粪工艺，</w:t>
      </w:r>
      <w:r>
        <w:rPr>
          <w:rFonts w:hint="eastAsia"/>
          <w:lang w:val="en-US" w:eastAsia="zh-CN"/>
        </w:rPr>
        <w:t>一周用装载机对粪便进行收集后送至</w:t>
      </w:r>
      <w:r>
        <w:rPr>
          <w:rFonts w:hint="eastAsia"/>
        </w:rPr>
        <w:t>堆粪</w:t>
      </w:r>
      <w:r>
        <w:rPr>
          <w:rFonts w:hint="eastAsia"/>
          <w:lang w:val="en-US" w:eastAsia="zh-CN"/>
        </w:rPr>
        <w:t>场进行</w:t>
      </w:r>
      <w:r>
        <w:rPr>
          <w:rFonts w:hint="eastAsia"/>
        </w:rPr>
        <w:t>发酵处理制作有机肥，富含有机质、氮磷钾及植物生长及果实形成所需的各种中、微量元素，且羊粪含有各类氨基酸、维生素、蛋白质、赤酶素、生长素、糖类、核酸等，可以促进植物的生长。</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生产过程中羊粪采用干法清粪工艺，</w:t>
      </w:r>
      <w:r>
        <w:rPr>
          <w:rFonts w:ascii="Times New Roman" w:eastAsia="宋体"/>
          <w:color w:val="auto"/>
          <w:szCs w:val="21"/>
        </w:rPr>
        <w:t>通过羊舍下方的粪污通道采用机械刮板，集中收集到羊舍外</w:t>
      </w:r>
      <w:r>
        <w:rPr>
          <w:rFonts w:hint="eastAsia" w:ascii="Times New Roman" w:eastAsia="宋体"/>
          <w:color w:val="auto"/>
          <w:szCs w:val="21"/>
        </w:rPr>
        <w:t>直接装车拉运，通过车辆运输至有机肥堆场，进行有机肥制作。制作的有机肥由公司上游企业进行二次加工和产品销售</w:t>
      </w:r>
      <w:r>
        <w:rPr>
          <w:rFonts w:hint="eastAsia"/>
          <w:color w:val="auto"/>
          <w:szCs w:val="21"/>
          <w:lang w:val="en-US" w:eastAsia="zh-CN"/>
        </w:rPr>
        <w:t>。</w:t>
      </w:r>
    </w:p>
    <w:p>
      <w:pPr>
        <w:ind w:firstLine="480"/>
        <w:rPr>
          <w:rFonts w:hint="default" w:eastAsia="宋体"/>
          <w:lang w:val="en-US" w:eastAsia="zh-CN"/>
        </w:rPr>
      </w:pPr>
      <w:r>
        <w:rPr>
          <w:rFonts w:hint="eastAsia"/>
          <w:lang w:val="en-US" w:eastAsia="zh-CN"/>
        </w:rPr>
        <w:t>②有机肥堆场可容纳性分析</w:t>
      </w:r>
    </w:p>
    <w:p>
      <w:pPr>
        <w:ind w:firstLine="480"/>
      </w:pPr>
      <w:r>
        <w:rPr>
          <w:color w:val="auto"/>
          <w:sz w:val="24"/>
          <w:szCs w:val="24"/>
        </w:rPr>
        <w:t>根据《内蒙古自治区畜禽养殖主要污染物减排项目建设技术指南</w:t>
      </w:r>
      <w:r>
        <w:rPr>
          <w:rFonts w:hint="eastAsia"/>
          <w:color w:val="auto"/>
          <w:sz w:val="24"/>
          <w:szCs w:val="24"/>
          <w:lang w:eastAsia="zh-CN"/>
        </w:rPr>
        <w:t>（</w:t>
      </w:r>
      <w:r>
        <w:rPr>
          <w:color w:val="auto"/>
          <w:sz w:val="24"/>
          <w:szCs w:val="24"/>
        </w:rPr>
        <w:t>试行</w:t>
      </w:r>
      <w:r>
        <w:rPr>
          <w:rFonts w:hint="eastAsia"/>
          <w:color w:val="auto"/>
          <w:sz w:val="24"/>
          <w:szCs w:val="24"/>
          <w:lang w:eastAsia="zh-CN"/>
        </w:rPr>
        <w:t>）</w:t>
      </w:r>
      <w:r>
        <w:rPr>
          <w:color w:val="auto"/>
          <w:sz w:val="24"/>
          <w:szCs w:val="24"/>
        </w:rPr>
        <w:t>》（内环发2014</w:t>
      </w:r>
      <w:r>
        <w:rPr>
          <w:rFonts w:hint="eastAsia"/>
          <w:color w:val="auto"/>
          <w:sz w:val="24"/>
          <w:szCs w:val="24"/>
          <w:lang w:val="en-US" w:eastAsia="zh-CN"/>
        </w:rPr>
        <w:t>第</w:t>
      </w:r>
      <w:r>
        <w:rPr>
          <w:color w:val="auto"/>
          <w:sz w:val="24"/>
          <w:szCs w:val="24"/>
        </w:rPr>
        <w:t>83号）</w:t>
      </w:r>
      <w:r>
        <w:rPr>
          <w:rFonts w:hint="eastAsia"/>
          <w:color w:val="auto"/>
          <w:sz w:val="24"/>
          <w:szCs w:val="24"/>
          <w:lang w:eastAsia="zh-CN"/>
        </w:rPr>
        <w:t>“</w:t>
      </w:r>
      <w:r>
        <w:rPr>
          <w:color w:val="auto"/>
          <w:sz w:val="24"/>
          <w:szCs w:val="24"/>
        </w:rPr>
        <w:t>一般情况下，粪便堆场可有效使用容积要求每头猪不低于0.05m</w:t>
      </w:r>
      <w:r>
        <w:rPr>
          <w:rFonts w:hint="eastAsia"/>
          <w:color w:val="auto"/>
          <w:sz w:val="24"/>
          <w:szCs w:val="24"/>
          <w:vertAlign w:val="superscript"/>
          <w:lang w:val="en-US" w:eastAsia="zh-CN"/>
        </w:rPr>
        <w:t>3</w:t>
      </w:r>
      <w:r>
        <w:rPr>
          <w:color w:val="auto"/>
          <w:sz w:val="24"/>
          <w:szCs w:val="24"/>
        </w:rPr>
        <w:t>。</w:t>
      </w:r>
      <w:r>
        <w:rPr>
          <w:rFonts w:hint="eastAsia"/>
          <w:color w:val="auto"/>
          <w:sz w:val="24"/>
          <w:szCs w:val="24"/>
          <w:lang w:eastAsia="zh-CN"/>
        </w:rPr>
        <w:t>”</w:t>
      </w:r>
      <w:r>
        <w:rPr>
          <w:color w:val="auto"/>
          <w:sz w:val="24"/>
          <w:szCs w:val="24"/>
        </w:rPr>
        <w:t>按照三只羊折算一头猪，每只羊不低于0.017m</w:t>
      </w:r>
      <w:r>
        <w:rPr>
          <w:rFonts w:hint="eastAsia"/>
          <w:color w:val="auto"/>
          <w:sz w:val="24"/>
          <w:szCs w:val="24"/>
          <w:vertAlign w:val="superscript"/>
          <w:lang w:val="en-US" w:eastAsia="zh-CN"/>
        </w:rPr>
        <w:t>3</w:t>
      </w:r>
      <w:r>
        <w:rPr>
          <w:color w:val="auto"/>
          <w:sz w:val="24"/>
          <w:szCs w:val="24"/>
        </w:rPr>
        <w:t>，项目</w:t>
      </w:r>
      <w:r>
        <w:rPr>
          <w:rFonts w:hint="eastAsia"/>
        </w:rPr>
        <w:t>年存栏量50万只</w:t>
      </w:r>
      <w:r>
        <w:rPr>
          <w:color w:val="auto"/>
          <w:sz w:val="24"/>
          <w:szCs w:val="24"/>
        </w:rPr>
        <w:t>羊，经计算堆肥面积不得小于</w:t>
      </w:r>
      <w:r>
        <w:rPr>
          <w:rFonts w:hint="eastAsia"/>
          <w:color w:val="auto"/>
          <w:sz w:val="24"/>
          <w:szCs w:val="24"/>
          <w:lang w:val="en-US" w:eastAsia="zh-CN"/>
        </w:rPr>
        <w:t>8500</w:t>
      </w:r>
      <w:r>
        <w:rPr>
          <w:color w:val="auto"/>
          <w:sz w:val="24"/>
          <w:szCs w:val="24"/>
        </w:rPr>
        <w:t>m</w:t>
      </w:r>
      <w:r>
        <w:rPr>
          <w:rFonts w:hint="eastAsia"/>
          <w:color w:val="auto"/>
          <w:sz w:val="24"/>
          <w:szCs w:val="24"/>
          <w:vertAlign w:val="superscript"/>
          <w:lang w:val="en-US" w:eastAsia="zh-CN"/>
        </w:rPr>
        <w:t>3</w:t>
      </w:r>
      <w:r>
        <w:rPr>
          <w:color w:val="auto"/>
          <w:sz w:val="24"/>
          <w:szCs w:val="24"/>
        </w:rPr>
        <w:t>，</w:t>
      </w:r>
      <w:r>
        <w:rPr>
          <w:rFonts w:hint="eastAsia"/>
          <w:color w:val="000000" w:themeColor="text1"/>
          <w14:textFill>
            <w14:solidFill>
              <w14:schemeClr w14:val="tx1"/>
            </w14:solidFill>
          </w14:textFill>
        </w:rPr>
        <w:t>参考其他同规模实际养殖经验</w:t>
      </w:r>
      <w:r>
        <w:rPr>
          <w:rFonts w:hint="eastAsia"/>
          <w:color w:val="000000" w:themeColor="text1"/>
          <w:lang w:val="en-US" w:eastAsia="zh-CN"/>
          <w14:textFill>
            <w14:solidFill>
              <w14:schemeClr w14:val="tx1"/>
            </w14:solidFill>
          </w14:textFill>
        </w:rPr>
        <w:t>可知，堆肥高度一般控制在1.2m，故本项目粪便堆场可用有效容积为8600m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，可</w:t>
      </w:r>
      <w:r>
        <w:rPr>
          <w:rFonts w:hint="eastAsia"/>
        </w:rPr>
        <w:t>满足养殖区</w:t>
      </w:r>
      <w:r>
        <w:rPr>
          <w:rFonts w:hint="eastAsia"/>
          <w:lang w:val="en-US" w:eastAsia="zh-CN"/>
        </w:rPr>
        <w:t>一年的</w:t>
      </w:r>
      <w:r>
        <w:rPr>
          <w:rFonts w:hint="eastAsia"/>
        </w:rPr>
        <w:t>粪便产生量存放，本项目</w:t>
      </w:r>
      <w:r>
        <w:rPr>
          <w:rFonts w:hint="eastAsia"/>
          <w:lang w:val="en-US" w:eastAsia="zh-CN"/>
        </w:rPr>
        <w:t>好氧堆肥</w:t>
      </w:r>
      <w:r>
        <w:rPr>
          <w:rFonts w:hint="eastAsia"/>
        </w:rPr>
        <w:t>设计发酵周期</w:t>
      </w:r>
      <w:r>
        <w:rPr>
          <w:rFonts w:hint="eastAsia"/>
          <w:lang w:val="en-US" w:eastAsia="zh-CN"/>
        </w:rPr>
        <w:t>仅</w:t>
      </w:r>
      <w:r>
        <w:rPr>
          <w:rFonts w:hint="eastAsia"/>
        </w:rPr>
        <w:t>为1个月，因此</w:t>
      </w:r>
      <w:r>
        <w:rPr>
          <w:rFonts w:hint="eastAsia"/>
          <w:lang w:val="en-US" w:eastAsia="zh-CN"/>
        </w:rPr>
        <w:t>有机肥堆场</w:t>
      </w:r>
      <w:r>
        <w:rPr>
          <w:rFonts w:hint="eastAsia"/>
        </w:rPr>
        <w:t>可满足养殖区粪便产生量存放。</w:t>
      </w:r>
    </w:p>
    <w:p>
      <w:pPr>
        <w:ind w:firstLine="480"/>
        <w:rPr>
          <w:rFonts w:hint="eastAsia"/>
        </w:rPr>
      </w:pPr>
      <w:r>
        <w:rPr>
          <w:rFonts w:hint="eastAsia"/>
        </w:rPr>
        <w:t>本项目养殖场产生的羊粪经好氧发酵制作有机肥</w:t>
      </w:r>
      <w:r>
        <w:rPr>
          <w:rFonts w:hint="eastAsia"/>
          <w:lang w:val="en-US" w:eastAsia="zh-CN"/>
        </w:rPr>
        <w:t>后</w:t>
      </w:r>
      <w:r>
        <w:rPr>
          <w:rFonts w:hint="eastAsia"/>
        </w:rPr>
        <w:t>还田利用，不外排，上述处理方法可满足羊粪的无害化处理要求，处置措施合理可行。</w:t>
      </w:r>
    </w:p>
    <w:p>
      <w:pPr>
        <w:ind w:firstLine="480"/>
        <w:rPr>
          <w:rFonts w:hint="eastAsia"/>
        </w:rPr>
      </w:pPr>
      <w:r>
        <w:rPr>
          <w:rFonts w:hint="eastAsia"/>
        </w:rPr>
        <w:t>本项目采用好氧堆肥的工艺对粪便等处理符合《畜禽规模养殖污染防治条例》 和《畜禽养殖业污染防治技术规范》规定，粪便等好氧堆肥是合理、可行的。</w:t>
      </w:r>
    </w:p>
    <w:p>
      <w:pPr>
        <w:ind w:firstLine="480"/>
      </w:pPr>
      <w:r>
        <w:rPr>
          <w:rFonts w:hint="eastAsia"/>
        </w:rPr>
        <w:t>（2）病死动物尸体及胞衣</w:t>
      </w:r>
    </w:p>
    <w:p>
      <w:pPr>
        <w:ind w:firstLine="480"/>
      </w:pPr>
      <w:r>
        <w:rPr>
          <w:rFonts w:hint="eastAsia"/>
        </w:rPr>
        <w:t>根据农业部《病死及病害动物无害化处理技术规范》（农医发[2017]25号）等文件的相关规定，对病害动物尸体宜采用无害化处理。无害化处理是通常采用焚毁、化制、掩埋或其它物理、化学、生物学方法将病害动物尸体或者病害动物产品或附属物进行处理，以彻底消除其所携带的病原体，以达到消除病害因素，保障人畜健康安全的目的。</w:t>
      </w:r>
    </w:p>
    <w:p>
      <w:pPr>
        <w:ind w:firstLine="480"/>
        <w:rPr>
          <w:rFonts w:hint="eastAsia"/>
        </w:rPr>
      </w:pPr>
      <w:r>
        <w:rPr>
          <w:rFonts w:hint="eastAsia"/>
        </w:rPr>
        <w:t>本项目产生的病死动物</w:t>
      </w:r>
      <w:bookmarkStart w:id="249" w:name="OLE_LINK2"/>
      <w:bookmarkStart w:id="250" w:name="OLE_LINK1"/>
      <w:r>
        <w:rPr>
          <w:rFonts w:hint="eastAsia"/>
        </w:rPr>
        <w:t>采用的干化法无害化处理</w:t>
      </w:r>
      <w:bookmarkEnd w:id="249"/>
      <w:bookmarkEnd w:id="250"/>
      <w:r>
        <w:rPr>
          <w:rFonts w:hint="eastAsia"/>
        </w:rPr>
        <w:t>，为《病死及病害动物无害化处理技术规范》（农医发[2017]25号）推荐无害化方法，无害化产生的动物尸体残渣、污水通过好氧发酵进一步无害化处理制作有机肥，不外排；项目无害化处理病死动物尸体与各项政策法规符合性分析如下表。</w:t>
      </w:r>
    </w:p>
    <w:p>
      <w:pPr>
        <w:ind w:firstLine="480"/>
        <w:rPr>
          <w:rFonts w:hint="eastAsia"/>
        </w:rPr>
      </w:pPr>
    </w:p>
    <w:p>
      <w:pPr>
        <w:ind w:firstLine="480"/>
        <w:rPr>
          <w:rFonts w:hint="eastAsia"/>
        </w:rPr>
      </w:pPr>
    </w:p>
    <w:p>
      <w:pPr>
        <w:pStyle w:val="6"/>
      </w:pPr>
      <w:r>
        <w:rPr>
          <w:rFonts w:hint="eastAsia"/>
        </w:rPr>
        <w:t>表7</w:t>
      </w:r>
      <w:r>
        <w:t>.7</w:t>
      </w:r>
      <w:r>
        <w:rPr>
          <w:rFonts w:hint="eastAsia"/>
        </w:rPr>
        <w:t>.1</w:t>
      </w:r>
      <w:r>
        <w:t>-</w:t>
      </w:r>
      <w:r>
        <w:rPr>
          <w:rFonts w:hint="eastAsia"/>
          <w:lang w:val="en-US" w:eastAsia="zh-CN"/>
        </w:rPr>
        <w:t>2</w:t>
      </w:r>
      <w:r>
        <w:t xml:space="preserve">    </w:t>
      </w:r>
      <w:r>
        <w:rPr>
          <w:rFonts w:hint="eastAsia"/>
        </w:rPr>
        <w:t>无害化处理符合性分析</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3"/>
        <w:gridCol w:w="2580"/>
        <w:gridCol w:w="3382"/>
        <w:gridCol w:w="1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政策法规</w:t>
            </w:r>
          </w:p>
        </w:tc>
        <w:tc>
          <w:tcPr>
            <w:tcW w:w="1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相关条款及规定</w:t>
            </w:r>
          </w:p>
        </w:tc>
        <w:tc>
          <w:tcPr>
            <w:tcW w:w="18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符合性分析</w:t>
            </w:r>
          </w:p>
        </w:tc>
        <w:tc>
          <w:tcPr>
            <w:tcW w:w="61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《病害动物和病害动物产品生物安全处理规程》（GB16548-2006）</w:t>
            </w:r>
          </w:p>
        </w:tc>
        <w:tc>
          <w:tcPr>
            <w:tcW w:w="1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利用干化、湿化机，将原料分类，分别投入化制。</w:t>
            </w:r>
          </w:p>
        </w:tc>
        <w:tc>
          <w:tcPr>
            <w:tcW w:w="18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本项目采用干化法进行，处理后产生的动物尸体残渣、污水通过好氧发酵进一步无害化处理制作有机肥，不外排</w:t>
            </w:r>
          </w:p>
        </w:tc>
        <w:tc>
          <w:tcPr>
            <w:tcW w:w="61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《病死及病害动物无害化处理技术规范》（农医发[2017]25号）</w:t>
            </w:r>
          </w:p>
        </w:tc>
        <w:tc>
          <w:tcPr>
            <w:tcW w:w="1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4.2.2.1.1可视情况对病死及病害动物和相关动物产品进行破碎等预处理。</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4.2.2.1.2病死及病害动物和相关动物产品或破碎产物输送入高温高压灭菌容器。</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4.2.2.1.3处理物中心温度≥140℃，压力≥0.5MPa（绝对压力），时间≥4h（具体处理时间随处理物种类和体积大小而设定）。</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4.2.2.1.4加热烘干产生的热蒸汽经废气处理系统后排出。</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4.2.2.1.5加热烘干产生的动物尸体残渣传输至压榨系统处理。</w:t>
            </w:r>
          </w:p>
        </w:tc>
        <w:tc>
          <w:tcPr>
            <w:tcW w:w="1878" w:type="pct"/>
            <w:vAlign w:val="center"/>
          </w:tcPr>
          <w:p>
            <w:pPr>
              <w:pStyle w:val="23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w:t>
            </w:r>
            <w:r>
              <w:rPr>
                <w:rFonts w:hint="eastAsia"/>
                <w:color w:val="000000" w:themeColor="text1"/>
                <w14:textFill>
                  <w14:solidFill>
                    <w14:schemeClr w14:val="tx1"/>
                  </w14:solidFill>
                </w14:textFill>
              </w:rPr>
              <w:t>项目采取破碎预处理；</w:t>
            </w:r>
          </w:p>
          <w:p>
            <w:pPr>
              <w:pStyle w:val="23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w:t>
            </w:r>
            <w:r>
              <w:rPr>
                <w:rFonts w:hint="eastAsia"/>
                <w:color w:val="000000" w:themeColor="text1"/>
                <w14:textFill>
                  <w14:solidFill>
                    <w14:schemeClr w14:val="tx1"/>
                  </w14:solidFill>
                </w14:textFill>
              </w:rPr>
              <w:t>项目</w:t>
            </w:r>
            <w:r>
              <w:rPr>
                <w:rFonts w:hint="eastAsia"/>
              </w:rPr>
              <w:t>高温高压无害化处理</w:t>
            </w:r>
            <w:r>
              <w:rPr>
                <w:rFonts w:hint="eastAsia"/>
                <w:color w:val="000000" w:themeColor="text1"/>
                <w14:textFill>
                  <w14:solidFill>
                    <w14:schemeClr w14:val="tx1"/>
                  </w14:solidFill>
                </w14:textFill>
              </w:rPr>
              <w:t>：</w:t>
            </w:r>
            <w:r>
              <w:rPr>
                <w:rFonts w:hint="eastAsia"/>
              </w:rPr>
              <w:t>在200℃持续90min后，将温度保持在120℃继续保压提炼30min</w:t>
            </w:r>
            <w:r>
              <w:rPr>
                <w:rFonts w:hint="eastAsia"/>
                <w:color w:val="000000" w:themeColor="text1"/>
                <w14:textFill>
                  <w14:solidFill>
                    <w14:schemeClr w14:val="tx1"/>
                  </w14:solidFill>
                </w14:textFill>
              </w:rPr>
              <w:t>；</w:t>
            </w:r>
          </w:p>
          <w:p>
            <w:pPr>
              <w:pStyle w:val="232"/>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③项目加热烘干的热蒸汽通过除尘、冷凝后排放；</w:t>
            </w:r>
          </w:p>
          <w:p>
            <w:pPr>
              <w:pStyle w:val="23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④</w:t>
            </w:r>
            <w:r>
              <w:rPr>
                <w:rFonts w:hint="eastAsia"/>
                <w:color w:val="000000" w:themeColor="text1"/>
                <w14:textFill>
                  <w14:solidFill>
                    <w14:schemeClr w14:val="tx1"/>
                  </w14:solidFill>
                </w14:textFill>
              </w:rPr>
              <w:t>动物尸体残渣、污水好氧发酵进一步无害化处理制作有机肥，不外排</w:t>
            </w:r>
          </w:p>
        </w:tc>
        <w:tc>
          <w:tcPr>
            <w:tcW w:w="61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《畜禽养殖业污染防治技术规范》（HJ/T81-2001）</w:t>
            </w:r>
          </w:p>
        </w:tc>
        <w:tc>
          <w:tcPr>
            <w:tcW w:w="1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病死畜禽尸体要及时处理，严禁随意丢弃，严禁出售或作为饲料再利用</w:t>
            </w:r>
          </w:p>
        </w:tc>
        <w:tc>
          <w:tcPr>
            <w:tcW w:w="18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本项目采用干化法进行，处理后产生的动物尸体残渣好氧发酵进一步无害化处理制作有机肥，不外排</w:t>
            </w:r>
          </w:p>
        </w:tc>
        <w:tc>
          <w:tcPr>
            <w:tcW w:w="61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《畜禽养殖业污染治理工程技术规范》（HJ497-2009）</w:t>
            </w:r>
          </w:p>
        </w:tc>
        <w:tc>
          <w:tcPr>
            <w:tcW w:w="143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病死畜禽尸体应及时处理，不得随意丢弃，不得出售或作为饲料再利用。</w:t>
            </w:r>
          </w:p>
        </w:tc>
        <w:tc>
          <w:tcPr>
            <w:tcW w:w="187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本项目采用干化法进行，处理后产生的动物尸体残渣好氧发酵进一步无害化处理制作有机肥，不外排</w:t>
            </w:r>
          </w:p>
        </w:tc>
        <w:tc>
          <w:tcPr>
            <w:tcW w:w="61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符合</w:t>
            </w:r>
          </w:p>
        </w:tc>
      </w:tr>
    </w:tbl>
    <w:p>
      <w:pPr>
        <w:ind w:firstLine="480"/>
        <w:rPr>
          <w:rFonts w:hint="eastAsia"/>
        </w:rPr>
      </w:pPr>
    </w:p>
    <w:p>
      <w:pPr>
        <w:ind w:firstLine="480"/>
      </w:pPr>
      <w:r>
        <w:rPr>
          <w:rFonts w:hint="eastAsia"/>
        </w:rPr>
        <w:t>根据养殖规范要求，兽医需随时关注全场肉羊的身体健康状况，如出现得病的畜禽，兽医需进行跟踪，如在进行治疗后仍不能治愈，实施活体淘汰，实施干化法及时处理；临时隔离场所必须指定人员看管，并作好周边地区消毒工作，严防污染环境或疫情传播，病死畜禽收集转运时相关人员要做好记录，以便有关部门或人员的查阅，运输病死畜禽的专用车辆加贴明显标志，在交通管理部门备案，配备消毒设备、人员防护装备、行车记录仪和定位系统，落实无害化处理收集过程的“五单二表”。</w:t>
      </w:r>
    </w:p>
    <w:p>
      <w:pPr>
        <w:ind w:firstLine="480"/>
      </w:pPr>
      <w:r>
        <w:rPr>
          <w:rFonts w:hint="eastAsia"/>
        </w:rPr>
        <w:t>综上，项目采用该措施，满足《畜禽养殖业污染防治技术规范》（HJ/T81-2001）、《畜禽养殖业污染治理工程技术规范》（HJ497-2009）等技术规范的相关规定，处理方式可行。</w:t>
      </w:r>
    </w:p>
    <w:p>
      <w:pPr>
        <w:ind w:firstLine="480"/>
      </w:pPr>
      <w:r>
        <w:rPr>
          <w:rFonts w:hint="eastAsia"/>
        </w:rPr>
        <w:t>病死动物通过干化法无害化处理，利用高温高压彻底灭杀病原微生物，已不具备危险性，并将处理物粉碎完全回收利用，产生的动物尸体残渣、污水通过好氧发酵进一步无害化处理制作有机肥，不外排。</w:t>
      </w:r>
    </w:p>
    <w:p>
      <w:pPr>
        <w:ind w:firstLine="480"/>
      </w:pPr>
      <w:r>
        <w:rPr>
          <w:rFonts w:hint="eastAsia"/>
        </w:rPr>
        <w:t>干化化制法的产生的动物尸体残渣为残油率和含水率很低的肉骨粉和含水率很低的动物油脂。肉骨粉可以用作有机肥、非食用动物的饲料以及其他的高蛋白产物，动物尸体残渣堆肥主要借助自然界微生物消化动物尸体的有机成分，无需向堆体中添加其他任何专用微生物，动物尸体残渣周围的碳源物质为微生物提供能量，动物尸体残渣为微生物的蛋白合成提供氮源，微生物降解过程中产生热、水、二氧化碳、氨气和挥发性有机物质等副产物。项目采用自然通风的静态垛堆肥方法，因此动物尸体内部及其表面的降解大多数是厌氧消化，厌氧消化产生的液体和气体副产物从动物尸体残渣向周围扩散，由于距动物尸体残渣越远的物料中含氧量越高，副产物在扩散过程中被进一步氧化分解成二氧化碳和水。</w:t>
      </w:r>
    </w:p>
    <w:p>
      <w:pPr>
        <w:ind w:firstLine="480"/>
      </w:pPr>
      <w:r>
        <w:rPr>
          <w:rFonts w:hint="eastAsia"/>
        </w:rPr>
        <w:t>通过上述分析，本项目病死动物尸体，通过干化法无害化后的残渣，用于堆肥是可行的。</w:t>
      </w:r>
    </w:p>
    <w:p>
      <w:pPr>
        <w:ind w:firstLine="480"/>
      </w:pPr>
      <w:r>
        <w:rPr>
          <w:rFonts w:hint="eastAsia"/>
        </w:rPr>
        <w:t>（</w:t>
      </w:r>
      <w:r>
        <w:rPr>
          <w:rFonts w:hint="eastAsia"/>
          <w:lang w:val="en-US" w:eastAsia="zh-CN"/>
        </w:rPr>
        <w:t>3</w:t>
      </w:r>
      <w:r>
        <w:rPr>
          <w:rFonts w:hint="eastAsia"/>
        </w:rPr>
        <w:t>）危险废物</w:t>
      </w:r>
    </w:p>
    <w:p>
      <w:pPr>
        <w:ind w:firstLine="480"/>
      </w:pPr>
      <w:r>
        <w:rPr>
          <w:rFonts w:hint="eastAsia"/>
        </w:rPr>
        <w:t>①医疗废物</w:t>
      </w:r>
    </w:p>
    <w:p>
      <w:pPr>
        <w:ind w:firstLine="480"/>
      </w:pPr>
      <w:r>
        <w:t>医疗</w:t>
      </w:r>
      <w:r>
        <w:rPr>
          <w:rFonts w:hint="eastAsia"/>
        </w:rPr>
        <w:t>废物</w:t>
      </w:r>
      <w:r>
        <w:t>主要为一次性医疗用品及一次性医疗器械，携带有病原微生物，易引发感染性疾病的传播，属于感染性医疗废物，集中收集单独定点存放，根据《医疗废物管理条例》中的要求，医疗废物经</w:t>
      </w:r>
      <w:r>
        <w:rPr>
          <w:rFonts w:hint="eastAsia"/>
          <w:color w:val="FF0000"/>
          <w:lang w:val="en-US" w:eastAsia="zh-CN"/>
        </w:rPr>
        <w:t>医疗废物</w:t>
      </w:r>
      <w:r>
        <w:rPr>
          <w:color w:val="FF0000"/>
        </w:rPr>
        <w:t>暂存间</w:t>
      </w:r>
      <w:r>
        <w:t>临时储存后交由</w:t>
      </w:r>
      <w:r>
        <w:rPr>
          <w:rFonts w:hint="eastAsia" w:ascii="Times New Roman" w:eastAsia="宋体"/>
          <w:color w:val="auto"/>
          <w:szCs w:val="21"/>
          <w:highlight w:val="green"/>
          <w:lang w:val="en-US" w:eastAsia="zh-CN"/>
        </w:rPr>
        <w:t>巴彦淖尔市维康环保有限公司</w:t>
      </w:r>
      <w:r>
        <w:t>进行集中清运、处理</w:t>
      </w:r>
      <w:r>
        <w:rPr>
          <w:rFonts w:hint="eastAsia"/>
          <w:lang w:eastAsia="zh-CN"/>
        </w:rPr>
        <w:t>，</w:t>
      </w:r>
      <w:r>
        <w:rPr>
          <w:rFonts w:hint="eastAsia"/>
          <w:lang w:val="en-US" w:eastAsia="zh-CN"/>
        </w:rPr>
        <w:t>项目已于</w:t>
      </w:r>
      <w:r>
        <w:rPr>
          <w:rFonts w:hint="eastAsia" w:ascii="Times New Roman" w:eastAsia="宋体"/>
          <w:color w:val="auto"/>
          <w:szCs w:val="21"/>
          <w:highlight w:val="green"/>
          <w:lang w:val="en-US" w:eastAsia="zh-CN"/>
        </w:rPr>
        <w:t>巴彦淖尔市维康环保有限公司</w:t>
      </w:r>
      <w:r>
        <w:rPr>
          <w:rFonts w:hint="eastAsia"/>
          <w:color w:val="auto"/>
          <w:szCs w:val="21"/>
          <w:highlight w:val="green"/>
          <w:lang w:val="en-US" w:eastAsia="zh-CN"/>
        </w:rPr>
        <w:t>签订医疗废物处理协议，见附件七</w:t>
      </w:r>
      <w:r>
        <w:t>。</w:t>
      </w:r>
    </w:p>
    <w:p>
      <w:pPr>
        <w:ind w:firstLine="480"/>
      </w:pPr>
      <w:r>
        <w:rPr>
          <w:rFonts w:hint="eastAsia"/>
        </w:rPr>
        <w:t>（5）生活垃圾</w:t>
      </w:r>
    </w:p>
    <w:p>
      <w:pPr>
        <w:ind w:firstLine="480"/>
      </w:pPr>
      <w:r>
        <w:rPr>
          <w:rFonts w:hint="eastAsia"/>
        </w:rPr>
        <w:t>生活垃圾分类收集后，清运到指定地点委托环卫部门集中处理。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根据以上的分析可知，本项目所采取的固体废物污染物防治措施是可行的。</w:t>
      </w:r>
    </w:p>
    <w:p>
      <w:pPr>
        <w:pStyle w:val="4"/>
        <w:rPr>
          <w:color w:val="000000" w:themeColor="text1"/>
          <w14:textFill>
            <w14:solidFill>
              <w14:schemeClr w14:val="tx1"/>
            </w14:solidFill>
          </w14:textFill>
        </w:rPr>
      </w:pPr>
      <w:bookmarkStart w:id="251" w:name="_Toc101428538"/>
      <w:r>
        <w:rPr>
          <w:rFonts w:hint="eastAsia"/>
          <w:color w:val="000000" w:themeColor="text1"/>
          <w14:textFill>
            <w14:solidFill>
              <w14:schemeClr w14:val="tx1"/>
            </w14:solidFill>
          </w14:textFill>
        </w:rPr>
        <w:t>危险废物管理</w:t>
      </w:r>
      <w:bookmarkEnd w:id="251"/>
    </w:p>
    <w:p>
      <w:pPr>
        <w:ind w:firstLine="480"/>
      </w:pPr>
      <w:r>
        <w:rPr>
          <w:rFonts w:hint="eastAsia"/>
        </w:rPr>
        <w:t>（1）危险废物环境管理相关规定</w:t>
      </w:r>
    </w:p>
    <w:p>
      <w:pPr>
        <w:ind w:firstLine="480"/>
      </w:pPr>
      <w:r>
        <w:rPr>
          <w:rFonts w:hint="eastAsia"/>
        </w:rPr>
        <w:t>危险废物环境管理应按照《中华人民共和国固体废物污染环境防治法》、《国家危险废物名录》、《危险废物贮存污染控制标准》、《危险废物污染防治技术政策》等相关规定执行，对危险废物的产生、收集、运输、分类、检测、包装、综合利用、贮存和处理等进行全过程控制，使危险废物减量化、资源化和无害化。</w:t>
      </w:r>
    </w:p>
    <w:p>
      <w:pPr>
        <w:ind w:firstLine="480"/>
      </w:pPr>
      <w:r>
        <w:rPr>
          <w:rFonts w:hint="eastAsia"/>
        </w:rPr>
        <w:t>项目建设单位必须执行国家的有关法律、法规，自觉接受环保部门的监督和日常检查，在危险废物管理工作中应做到：</w:t>
      </w:r>
    </w:p>
    <w:p>
      <w:pPr>
        <w:ind w:firstLine="480"/>
      </w:pPr>
      <w:r>
        <w:rPr>
          <w:rFonts w:hint="eastAsia"/>
        </w:rPr>
        <w:t>①在项目审批登记时应填写《危险废物申报单》，正式投产后，应输理危险废物申报登记手续，填写《危险废物申报登记》，当生产或废物产生情况与申报登记发生较大变化时应及时办理登记手续。</w:t>
      </w:r>
    </w:p>
    <w:p>
      <w:pPr>
        <w:ind w:firstLine="480"/>
      </w:pPr>
      <w:r>
        <w:rPr>
          <w:rFonts w:hint="eastAsia"/>
        </w:rPr>
        <w:t>②必须按照有关危险废物包装、标识及贮存技术规范的要求建设危险废物污染防治设施。收集、贮存、运输、利用、处置危险废物的设施、场所，必须设置危险废物识别标志。</w:t>
      </w:r>
    </w:p>
    <w:p>
      <w:pPr>
        <w:ind w:firstLine="480"/>
      </w:pPr>
      <w:r>
        <w:rPr>
          <w:rFonts w:hint="eastAsia"/>
        </w:rPr>
        <w:t>③制定危险废物管理计划：内容齐全，危险废物的产生环节、种类、危害特性、产生量、利用处置方式描述清晰：报环保部门备案。</w:t>
      </w:r>
    </w:p>
    <w:p>
      <w:pPr>
        <w:ind w:firstLine="480"/>
      </w:pPr>
      <w:r>
        <w:rPr>
          <w:rFonts w:hint="eastAsia"/>
        </w:rPr>
        <w:t>④应建立危险废物岗位操作管理制度。</w:t>
      </w:r>
    </w:p>
    <w:p>
      <w:pPr>
        <w:ind w:firstLine="480"/>
      </w:pPr>
      <w:r>
        <w:rPr>
          <w:rFonts w:hint="eastAsia"/>
        </w:rPr>
        <w:t>⑤必须将其危险废物交给有“危险废物经营许可证”的单位进行运输、利用、处理、处置，严禁擅自倾倒、混入生活垃圾中处置。</w:t>
      </w:r>
    </w:p>
    <w:p>
      <w:pPr>
        <w:ind w:firstLine="480"/>
      </w:pPr>
      <w:r>
        <w:rPr>
          <w:rFonts w:hint="eastAsia"/>
        </w:rPr>
        <w:t>⑥与危险废物处理处置单位签订废物处理合同。</w:t>
      </w:r>
    </w:p>
    <w:p>
      <w:pPr>
        <w:ind w:firstLine="480"/>
      </w:pPr>
      <w:r>
        <w:rPr>
          <w:rFonts w:hint="eastAsia"/>
        </w:rPr>
        <w:t>⑧转移危险废物时需严格按照要求填写《危险废物转移联单》、《危险废物管理手册》季报表。制定培训计划，并开展相关培训。</w:t>
      </w:r>
    </w:p>
    <w:p>
      <w:pPr>
        <w:ind w:firstLine="480"/>
      </w:pPr>
      <w:r>
        <w:rPr>
          <w:rFonts w:hint="eastAsia"/>
        </w:rPr>
        <w:t>根据上述分析可知，项目产生的危险废物经过合理的处理后，不外排，实现了固体废物零排放。</w:t>
      </w:r>
    </w:p>
    <w:p>
      <w:pPr>
        <w:ind w:firstLine="480"/>
        <w:rPr>
          <w:rFonts w:hint="eastAsia"/>
        </w:rPr>
      </w:pPr>
      <w:r>
        <w:rPr>
          <w:rFonts w:hint="eastAsia"/>
        </w:rPr>
        <w:t>本项目在采取有效的措施后，能利用的废物均被有效利用，不能利用的固废也均能得到妥善处置，实现了固体废物零排放，因此本项目排放的固体废物经上述处理后不会对周围环境产生影响。</w:t>
      </w:r>
    </w:p>
    <w:p>
      <w:pPr>
        <w:pStyle w:val="3"/>
        <w:spacing w:before="120" w:after="120"/>
        <w:rPr>
          <w:color w:val="000000" w:themeColor="text1"/>
          <w14:textFill>
            <w14:solidFill>
              <w14:schemeClr w14:val="tx1"/>
            </w14:solidFill>
          </w14:textFill>
        </w:rPr>
      </w:pPr>
      <w:bookmarkStart w:id="252" w:name="_Toc6070"/>
      <w:bookmarkStart w:id="253" w:name="_Toc101428539"/>
      <w:r>
        <w:rPr>
          <w:rFonts w:hint="eastAsia"/>
          <w:color w:val="000000" w:themeColor="text1"/>
          <w14:textFill>
            <w14:solidFill>
              <w14:schemeClr w14:val="tx1"/>
            </w14:solidFill>
          </w14:textFill>
        </w:rPr>
        <w:t>运营期生态环境保护措施</w:t>
      </w:r>
      <w:bookmarkEnd w:id="252"/>
      <w:bookmarkEnd w:id="253"/>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营运期生态环境保护措施，主要为在养殖场四周及场内道路两侧种植对硫化氢等有害气体吸收能力较强的树木，如：杨树等乔木树种，以吸收有害气体，杀灭细菌，降低其在周围环境中的浓度。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绿色植物，特别是树木，对粉尘也有明显的阻挡、过滤和吸附作用。树木的枝冠能降低风速，使灰尘下降，叶子表面不平，还分泌粘性的油汁和汁浆，能吸附空气中的尘埃。一般情况下，绿化树木能使降尘量减少23~25%；而飘尘量减少37~60%，落叶阔叶树比常绿阔叶树滞尘能力要强。</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因此，为了减噪和净化空气，减少异味，保护环境，应在园区根据不同地段的要求，合理搭配各种植物。在绿化的同时，充分发挥植物净化、防尘、隔噪等效应。例如废气污染源与其它建筑物之间应设置高大阔叶乔木林带，并选择降尘、吸收效果好的树种；而在发生噪声的车间周围则应选择降噪效果明显的树种，设置较宽的防护林带。达到既发展生产，又改善和保护环境的目的。</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养殖场绿化对于吸收有害气体，补充新鲜空气，阻隔噪声，保护生态环境，改善工作环境，美化劳动环境，改善小气候等均有着十分重要的作用。项目建成后，场区内栽种适合当地耐寒的植物及树种，场区绿化面积约为12500平方米。</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①场区林带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在场界周边种植乔木和灌木混合林带，并栽种刺笆，场址边缘地带种植适应当地的高大树种形成多层防护林带，建设单位规划沿养殖场四周栽植模式为2米×2行模式，形成防护林。</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②绿化隔离带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在各个分区之间设置绿化隔离带，一般可用杨树、榆树或灌木，以起到隔离作用；乔木类的大叶杨、早柳、钻天杨、榆树及常绿针叶树等；灌木类的河柳、紫穗槐、侧柏等起到防风阻沙等作用。</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③道路绿化</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主干道两侧用适合当地气候的槐树、榆树等四季常青树种，进行绿化。</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④管理中心绿化</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生活管理区及场区大门周围种花种草进行绿化，净化空气，美化环境。</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采取以上措施后，建设项目对区域生态环境影响很小。</w:t>
      </w:r>
    </w:p>
    <w:p>
      <w:pPr>
        <w:pStyle w:val="3"/>
        <w:spacing w:before="120" w:after="120"/>
        <w:rPr>
          <w:color w:val="000000" w:themeColor="text1"/>
          <w14:textFill>
            <w14:solidFill>
              <w14:schemeClr w14:val="tx1"/>
            </w14:solidFill>
          </w14:textFill>
        </w:rPr>
      </w:pPr>
      <w:bookmarkStart w:id="254" w:name="_Toc101428540"/>
      <w:bookmarkStart w:id="255" w:name="_Toc6549"/>
      <w:r>
        <w:rPr>
          <w:rFonts w:hint="eastAsia"/>
          <w:color w:val="000000" w:themeColor="text1"/>
          <w14:textFill>
            <w14:solidFill>
              <w14:schemeClr w14:val="tx1"/>
            </w14:solidFill>
          </w14:textFill>
        </w:rPr>
        <w:t>运营期人群健康保护措施</w:t>
      </w:r>
      <w:bookmarkEnd w:id="254"/>
      <w:bookmarkEnd w:id="255"/>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运行期为保护肉羊养殖园区人员不受羊病疫情传染，项目在护肉羊养殖园区大门口设洗消中心，配备消毒设备和消毒池，所有车辆及有关用具等均须进行彻底消毒后方准进入基地。严格控制外来人员进出养殖区，特别情况下，外来人员经淋浴后穿戴消毒过的工作服经过消毒间后方可进入，要同时做好来访记录。本场人员进场前，要遵守生物防疫程序，经洗澡淋浴，更换干净的工作服（鞋）后方可进入养殖区。在养殖区内，工作人员和来访人员进出羊舍时，必须清洗消毒双手和鞋靴等。养殖场内要分设净道和污道，人员、动物和相关物品运转应采取单一流向，防止发生污染和疫病传播。饲养管理人员每年要定期进行健康检查，取得《健康证》后上岗。</w:t>
      </w:r>
    </w:p>
    <w:p>
      <w:pPr>
        <w:pStyle w:val="3"/>
        <w:spacing w:before="120" w:after="120"/>
        <w:rPr>
          <w:color w:val="000000" w:themeColor="text1"/>
          <w14:textFill>
            <w14:solidFill>
              <w14:schemeClr w14:val="tx1"/>
            </w14:solidFill>
          </w14:textFill>
        </w:rPr>
      </w:pPr>
      <w:bookmarkStart w:id="256" w:name="_Toc530642995"/>
      <w:bookmarkStart w:id="257" w:name="_Toc101428541"/>
      <w:bookmarkStart w:id="258" w:name="_Toc24753"/>
      <w:r>
        <w:rPr>
          <w:rFonts w:hint="eastAsia"/>
          <w:color w:val="000000" w:themeColor="text1"/>
          <w14:textFill>
            <w14:solidFill>
              <w14:schemeClr w14:val="tx1"/>
            </w14:solidFill>
          </w14:textFill>
        </w:rPr>
        <w:t>运营期污染防治对策和措施及环保投资汇总</w:t>
      </w:r>
      <w:bookmarkEnd w:id="256"/>
      <w:bookmarkEnd w:id="257"/>
      <w:bookmarkEnd w:id="258"/>
    </w:p>
    <w:p>
      <w:pPr>
        <w:ind w:firstLine="480"/>
        <w:rPr>
          <w:color w:val="000000" w:themeColor="text1"/>
          <w14:textFill>
            <w14:solidFill>
              <w14:schemeClr w14:val="tx1"/>
            </w14:solidFill>
          </w14:textFill>
        </w:rPr>
        <w:sectPr>
          <w:pgSz w:w="11906" w:h="16838"/>
          <w:pgMar w:top="1418" w:right="1418" w:bottom="1247" w:left="1701" w:header="851" w:footer="680" w:gutter="0"/>
          <w:pgNumType w:fmt="decimal"/>
          <w:cols w:space="720" w:num="1"/>
          <w:docGrid w:linePitch="326" w:charSpace="0"/>
        </w:sectPr>
      </w:pPr>
      <w:r>
        <w:rPr>
          <w:color w:val="000000" w:themeColor="text1"/>
          <w14:textFill>
            <w14:solidFill>
              <w14:schemeClr w14:val="tx1"/>
            </w14:solidFill>
          </w14:textFill>
        </w:rPr>
        <w:t>本项目所有污染源均采取有效地的污染防治措施。环保投资项目主要有废气治理、</w:t>
      </w:r>
      <w:r>
        <w:rPr>
          <w:rFonts w:hint="eastAsia"/>
          <w:color w:val="000000" w:themeColor="text1"/>
          <w14:textFill>
            <w14:solidFill>
              <w14:schemeClr w14:val="tx1"/>
            </w14:solidFill>
          </w14:textFill>
        </w:rPr>
        <w:t>废水治理</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养殖园区</w:t>
      </w:r>
      <w:r>
        <w:rPr>
          <w:color w:val="000000" w:themeColor="text1"/>
          <w14:textFill>
            <w14:solidFill>
              <w14:schemeClr w14:val="tx1"/>
            </w14:solidFill>
          </w14:textFill>
        </w:rPr>
        <w:t>防渗、噪声治理等。</w:t>
      </w:r>
      <w:r>
        <w:rPr>
          <w:rFonts w:hint="eastAsia"/>
          <w:color w:val="000000" w:themeColor="text1"/>
          <w14:textFill>
            <w14:solidFill>
              <w14:schemeClr w14:val="tx1"/>
            </w14:solidFill>
          </w14:textFill>
        </w:rPr>
        <w:t>总投资88000万元，其中环保投资</w:t>
      </w:r>
      <w:r>
        <w:rPr>
          <w:rFonts w:hint="eastAsia"/>
          <w:color w:val="000000" w:themeColor="text1"/>
          <w:lang w:eastAsia="zh-CN"/>
          <w14:textFill>
            <w14:solidFill>
              <w14:schemeClr w14:val="tx1"/>
            </w14:solidFill>
          </w14:textFill>
        </w:rPr>
        <w:t>1033</w:t>
      </w:r>
      <w:r>
        <w:rPr>
          <w:rFonts w:hint="eastAsia"/>
          <w:color w:val="000000" w:themeColor="text1"/>
          <w14:textFill>
            <w14:solidFill>
              <w14:schemeClr w14:val="tx1"/>
            </w14:solidFill>
          </w14:textFill>
        </w:rPr>
        <w:t>万元，占总投资比例为</w:t>
      </w:r>
      <w:r>
        <w:rPr>
          <w:rFonts w:hint="eastAsia"/>
          <w:color w:val="000000" w:themeColor="text1"/>
          <w:lang w:eastAsia="zh-CN"/>
          <w14:textFill>
            <w14:solidFill>
              <w14:schemeClr w14:val="tx1"/>
            </w14:solidFill>
          </w14:textFill>
        </w:rPr>
        <w:t>1.17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污染防治措施及环保投资见表</w:t>
      </w:r>
      <w:r>
        <w:rPr>
          <w:rFonts w:hint="eastAsia"/>
          <w:color w:val="000000" w:themeColor="text1"/>
          <w14:textFill>
            <w14:solidFill>
              <w14:schemeClr w14:val="tx1"/>
            </w14:solidFill>
          </w14:textFill>
        </w:rPr>
        <w:t>7.10-1</w:t>
      </w:r>
      <w:r>
        <w:rPr>
          <w:color w:val="000000" w:themeColor="text1"/>
          <w14:textFill>
            <w14:solidFill>
              <w14:schemeClr w14:val="tx1"/>
            </w14:solidFill>
          </w14:textFill>
        </w:rPr>
        <w:t>。</w:t>
      </w:r>
    </w:p>
    <w:p>
      <w:pPr>
        <w:pStyle w:val="6"/>
        <w:rPr>
          <w:color w:val="000000" w:themeColor="text1"/>
          <w14:textFill>
            <w14:solidFill>
              <w14:schemeClr w14:val="tx1"/>
            </w14:solidFill>
          </w14:textFill>
        </w:rPr>
      </w:pPr>
      <w:r>
        <w:rPr>
          <w:color w:val="000000" w:themeColor="text1"/>
          <w14:textFill>
            <w14:solidFill>
              <w14:schemeClr w14:val="tx1"/>
            </w14:solidFill>
          </w14:textFill>
        </w:rPr>
        <w:t>表7.10-1</w:t>
      </w:r>
      <w:r>
        <w:rPr>
          <w:rFonts w:hint="eastAsia"/>
          <w:color w:val="000000" w:themeColor="text1"/>
          <w14:textFill>
            <w14:solidFill>
              <w14:schemeClr w14:val="tx1"/>
            </w14:solidFill>
          </w14:textFill>
        </w:rPr>
        <w:t xml:space="preserve">    项目环境保护措施一览表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298"/>
        <w:gridCol w:w="1500"/>
        <w:gridCol w:w="1849"/>
        <w:gridCol w:w="4106"/>
        <w:gridCol w:w="4294"/>
        <w:gridCol w:w="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blHeader/>
          <w:jc w:val="center"/>
        </w:trPr>
        <w:tc>
          <w:tcPr>
            <w:tcW w:w="19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类型</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产污点</w:t>
            </w:r>
          </w:p>
        </w:tc>
        <w:tc>
          <w:tcPr>
            <w:tcW w:w="52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污染物</w:t>
            </w:r>
          </w:p>
        </w:tc>
        <w:tc>
          <w:tcPr>
            <w:tcW w:w="2069"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治理措施</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治理效果</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环保投资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198"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废气</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养殖区</w:t>
            </w:r>
          </w:p>
        </w:tc>
        <w:tc>
          <w:tcPr>
            <w:tcW w:w="52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氨气</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硫化氢</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臭气浓度</w:t>
            </w:r>
          </w:p>
        </w:tc>
        <w:tc>
          <w:tcPr>
            <w:tcW w:w="2069" w:type="pct"/>
            <w:gridSpan w:val="2"/>
            <w:vAlign w:val="center"/>
          </w:tcPr>
          <w:p>
            <w:pPr>
              <w:pStyle w:val="232"/>
              <w:jc w:val="center"/>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科学喂养，饲料添加EM剂、干清粪、粪污</w:t>
            </w:r>
            <w:r>
              <w:rPr>
                <w:rFonts w:hint="eastAsia"/>
                <w:color w:val="000000" w:themeColor="text1"/>
                <w:kern w:val="0"/>
                <w:lang w:eastAsia="zh-CN"/>
                <w14:textFill>
                  <w14:solidFill>
                    <w14:schemeClr w14:val="tx1"/>
                  </w14:solidFill>
                </w14:textFill>
              </w:rPr>
              <w:t>及时清理</w:t>
            </w:r>
            <w:r>
              <w:rPr>
                <w:rFonts w:hint="eastAsia"/>
                <w:color w:val="000000" w:themeColor="text1"/>
                <w:kern w:val="0"/>
                <w14:textFill>
                  <w14:solidFill>
                    <w14:schemeClr w14:val="tx1"/>
                  </w14:solidFill>
                </w14:textFill>
              </w:rPr>
              <w:t>、加强羊舍通风、喷洒生物除臭剂</w:t>
            </w:r>
          </w:p>
        </w:tc>
        <w:tc>
          <w:tcPr>
            <w:tcW w:w="1492" w:type="pct"/>
            <w:vAlign w:val="center"/>
          </w:tcPr>
          <w:p>
            <w:pPr>
              <w:pStyle w:val="232"/>
              <w:jc w:val="center"/>
              <w:rPr>
                <w:color w:val="000000" w:themeColor="text1"/>
                <w:highlight w:val="green"/>
                <w14:textFill>
                  <w14:solidFill>
                    <w14:schemeClr w14:val="tx1"/>
                  </w14:solidFill>
                </w14:textFill>
              </w:rPr>
            </w:pPr>
            <w:r>
              <w:rPr>
                <w:rFonts w:hint="eastAsia"/>
                <w:color w:val="000000" w:themeColor="text1"/>
                <w:highlight w:val="green"/>
                <w14:textFill>
                  <w14:solidFill>
                    <w14:schemeClr w14:val="tx1"/>
                  </w14:solidFill>
                </w14:textFill>
              </w:rPr>
              <w:t>《恶臭污染物排放标准》（GB14554-93）二级标准中氨气和硫化氢的浓度标准限值</w:t>
            </w:r>
          </w:p>
          <w:p>
            <w:pPr>
              <w:pStyle w:val="232"/>
              <w:jc w:val="center"/>
              <w:rPr>
                <w:color w:val="000000" w:themeColor="text1"/>
                <w14:textFill>
                  <w14:solidFill>
                    <w14:schemeClr w14:val="tx1"/>
                  </w14:solidFill>
                </w14:textFill>
              </w:rPr>
            </w:pPr>
            <w:r>
              <w:rPr>
                <w:rFonts w:hint="eastAsia"/>
                <w:color w:val="000000" w:themeColor="text1"/>
                <w:highlight w:val="green"/>
                <w14:textFill>
                  <w14:solidFill>
                    <w14:schemeClr w14:val="tx1"/>
                  </w14:solidFill>
                </w14:textFill>
              </w:rPr>
              <w:t>《畜禽养殖业污染物排放标准》（GB18596-2001）中臭气浓度的限值要求</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92D050"/>
                <w:lang w:eastAsia="zh-CN"/>
              </w:rPr>
              <w:t>有机肥堆场</w:t>
            </w:r>
          </w:p>
        </w:tc>
        <w:tc>
          <w:tcPr>
            <w:tcW w:w="521" w:type="pct"/>
            <w:vMerge w:val="continue"/>
            <w:vAlign w:val="center"/>
          </w:tcPr>
          <w:p>
            <w:pPr>
              <w:pStyle w:val="232"/>
              <w:rPr>
                <w:color w:val="000000" w:themeColor="text1"/>
                <w14:textFill>
                  <w14:solidFill>
                    <w14:schemeClr w14:val="tx1"/>
                  </w14:solidFill>
                </w14:textFill>
              </w:rPr>
            </w:pPr>
          </w:p>
        </w:tc>
        <w:tc>
          <w:tcPr>
            <w:tcW w:w="2069" w:type="pct"/>
            <w:gridSpan w:val="2"/>
            <w:vAlign w:val="center"/>
          </w:tcPr>
          <w:p>
            <w:pPr>
              <w:pStyle w:val="232"/>
              <w:jc w:val="center"/>
              <w:rPr>
                <w:color w:val="000000" w:themeColor="text1"/>
                <w14:textFill>
                  <w14:solidFill>
                    <w14:schemeClr w14:val="tx1"/>
                  </w14:solidFill>
                </w14:textFill>
              </w:rPr>
            </w:pPr>
            <w:r>
              <w:rPr>
                <w:rFonts w:hint="eastAsia"/>
                <w:color w:val="FF0000"/>
                <w:szCs w:val="22"/>
              </w:rPr>
              <w:t>本</w:t>
            </w:r>
            <w:r>
              <w:rPr>
                <w:color w:val="FF0000"/>
                <w:szCs w:val="22"/>
              </w:rPr>
              <w:t>项目</w:t>
            </w:r>
            <w:r>
              <w:rPr>
                <w:rFonts w:hint="eastAsia"/>
                <w:color w:val="FF0000"/>
                <w:szCs w:val="22"/>
              </w:rPr>
              <w:t>从饲料中添加EM菌群，能够从源头上减少氨气和硫化氢的产生</w:t>
            </w:r>
            <w:r>
              <w:rPr>
                <w:color w:val="FF0000"/>
              </w:rPr>
              <w:t>，</w:t>
            </w:r>
            <w:r>
              <w:rPr>
                <w:rFonts w:hint="eastAsia"/>
                <w:color w:val="FF0000"/>
              </w:rPr>
              <w:t>并及时对粪便进行清理，同时在栏舍范围内采用生物除臭技术，利用微生物菌群的分解、固化作用对已产生的臭气进行去除，</w:t>
            </w:r>
            <w:r>
              <w:rPr>
                <w:rFonts w:hint="eastAsia"/>
                <w:color w:val="FF0000"/>
                <w:lang w:val="en-US" w:eastAsia="zh-CN"/>
              </w:rPr>
              <w:t>同时</w:t>
            </w:r>
            <w:r>
              <w:rPr>
                <w:rFonts w:hint="eastAsia"/>
                <w:color w:val="FF0000"/>
              </w:rPr>
              <w:t>加强四周场地绿化</w:t>
            </w:r>
            <w:r>
              <w:rPr>
                <w:rFonts w:hint="eastAsia"/>
                <w:color w:val="FF0000"/>
                <w:lang w:eastAsia="zh-CN"/>
              </w:rPr>
              <w:t>，</w:t>
            </w:r>
            <w:r>
              <w:rPr>
                <w:rFonts w:hint="eastAsia"/>
                <w:color w:val="FF0000"/>
              </w:rPr>
              <w:t>在</w:t>
            </w:r>
            <w:r>
              <w:rPr>
                <w:color w:val="FF0000"/>
              </w:rPr>
              <w:t>加强管理的前提下可有效减少恶臭污染物的排放</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《恶臭污染物排放标准》（</w:t>
            </w:r>
            <w:r>
              <w:rPr>
                <w:color w:val="000000" w:themeColor="text1"/>
                <w14:textFill>
                  <w14:solidFill>
                    <w14:schemeClr w14:val="tx1"/>
                  </w14:solidFill>
                </w14:textFill>
              </w:rPr>
              <w:t>GB14554-93</w:t>
            </w:r>
            <w:r>
              <w:rPr>
                <w:rFonts w:hint="eastAsia"/>
                <w:color w:val="000000" w:themeColor="text1"/>
                <w14:textFill>
                  <w14:solidFill>
                    <w14:schemeClr w14:val="tx1"/>
                  </w14:solidFill>
                </w14:textFill>
              </w:rPr>
              <w:t>）表2恶臭污染物排放限值</w:t>
            </w:r>
          </w:p>
        </w:tc>
        <w:tc>
          <w:tcPr>
            <w:tcW w:w="268"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饲料配制粉尘</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TSP</w:t>
            </w:r>
          </w:p>
        </w:tc>
        <w:tc>
          <w:tcPr>
            <w:tcW w:w="2069" w:type="pct"/>
            <w:gridSpan w:val="2"/>
            <w:vAlign w:val="center"/>
          </w:tcPr>
          <w:p>
            <w:pPr>
              <w:pStyle w:val="232"/>
              <w:jc w:val="center"/>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采购具有一定粒度的成品饲料，饲料配制车间全封闭，搅拌过程产生的粉尘通过搅拌机配备的布袋除尘器处理后无组织排放，排放粉尘99%被布袋除尘器收集后送至</w:t>
            </w:r>
            <w:r>
              <w:rPr>
                <w:rFonts w:hint="eastAsia"/>
                <w:color w:val="92D050"/>
                <w:lang w:eastAsia="zh-CN"/>
              </w:rPr>
              <w:t>有机肥堆场</w:t>
            </w:r>
            <w:r>
              <w:rPr>
                <w:rFonts w:hint="eastAsia" w:eastAsia="宋体"/>
                <w:color w:val="000000" w:themeColor="text1"/>
                <w:lang w:eastAsia="zh-CN"/>
                <w14:textFill>
                  <w14:solidFill>
                    <w14:schemeClr w14:val="tx1"/>
                  </w14:solidFill>
                </w14:textFill>
              </w:rPr>
              <w:t>生产有机肥，未拦截的1%排放于大气环境</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《大气污染物综合排放标准》（GB16297-1996）中新建污染源二级标准周界外浓度最高点</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动物尸体无害化车间</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氨气</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硫化氢</w:t>
            </w:r>
          </w:p>
          <w:p>
            <w:pPr>
              <w:pStyle w:val="23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臭气浓度</w:t>
            </w:r>
          </w:p>
        </w:tc>
        <w:tc>
          <w:tcPr>
            <w:tcW w:w="2069" w:type="pct"/>
            <w:gridSpan w:val="2"/>
            <w:vAlign w:val="center"/>
          </w:tcPr>
          <w:p>
            <w:pPr>
              <w:pStyle w:val="232"/>
              <w:jc w:val="center"/>
              <w:rPr>
                <w:rFonts w:hint="eastAsia" w:eastAsia="宋体"/>
                <w:color w:val="000000" w:themeColor="text1"/>
                <w:lang w:eastAsia="zh-CN"/>
                <w14:textFill>
                  <w14:solidFill>
                    <w14:schemeClr w14:val="tx1"/>
                  </w14:solidFill>
                </w14:textFill>
              </w:rPr>
            </w:pPr>
            <w:r>
              <w:rPr>
                <w:rFonts w:hint="eastAsia"/>
                <w:color w:val="FF0000"/>
                <w:kern w:val="0"/>
              </w:rPr>
              <w:t>一体式无害化处理设置密闭车间，做顶部集气装置，</w:t>
            </w:r>
            <w:r>
              <w:rPr>
                <w:rFonts w:hint="eastAsia"/>
                <w:color w:val="FF0000"/>
                <w:kern w:val="0"/>
                <w:lang w:val="en-US" w:eastAsia="zh-CN"/>
              </w:rPr>
              <w:t>通过</w:t>
            </w:r>
            <w:r>
              <w:rPr>
                <w:rFonts w:hint="eastAsia"/>
                <w:color w:val="FF0000"/>
                <w:kern w:val="0"/>
              </w:rPr>
              <w:t>一套生物除臭塔进行处理后由车间排气筒DA001（15m高）排放，剩余未吸收部分以无组织形式排放</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《恶臭污染物排放标准》（GB14554-93）二级标准中氨气和硫化氢的浓度标准限值</w:t>
            </w:r>
          </w:p>
          <w:p>
            <w:pPr>
              <w:pStyle w:val="232"/>
              <w:jc w:val="center"/>
              <w:rPr>
                <w:rFonts w:hint="eastAsia"/>
                <w:color w:val="000000" w:themeColor="text1"/>
                <w:kern w:val="0"/>
                <w14:textFill>
                  <w14:solidFill>
                    <w14:schemeClr w14:val="tx1"/>
                  </w14:solidFill>
                </w14:textFill>
              </w:rPr>
            </w:pPr>
            <w:r>
              <w:rPr>
                <w:rFonts w:hint="eastAsia"/>
                <w:color w:val="000000" w:themeColor="text1"/>
                <w14:textFill>
                  <w14:solidFill>
                    <w14:schemeClr w14:val="tx1"/>
                  </w14:solidFill>
                </w14:textFill>
              </w:rPr>
              <w:t>《畜禽养殖业污染物排放标准》（GB18596-2001）中臭气浓度的限值要求</w:t>
            </w:r>
          </w:p>
        </w:tc>
        <w:tc>
          <w:tcPr>
            <w:tcW w:w="268"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废水</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生活污水</w:t>
            </w:r>
          </w:p>
        </w:tc>
        <w:tc>
          <w:tcPr>
            <w:tcW w:w="52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CODCr、SS、NH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-N</w:t>
            </w:r>
          </w:p>
        </w:tc>
        <w:tc>
          <w:tcPr>
            <w:tcW w:w="2069" w:type="pct"/>
            <w:gridSpan w:val="2"/>
            <w:vAlign w:val="center"/>
          </w:tcPr>
          <w:p>
            <w:pPr>
              <w:pStyle w:val="232"/>
              <w:jc w:val="center"/>
              <w:rPr>
                <w:color w:val="000000" w:themeColor="text1"/>
                <w14:textFill>
                  <w14:solidFill>
                    <w14:schemeClr w14:val="tx1"/>
                  </w14:solidFill>
                </w14:textFill>
              </w:rPr>
            </w:pPr>
            <w:r>
              <w:rPr>
                <w:rFonts w:hint="eastAsia"/>
                <w:color w:val="FF0000"/>
                <w:kern w:val="0"/>
              </w:rPr>
              <w:t>生活污水经化粪池处理后定期委托</w:t>
            </w:r>
            <w:r>
              <w:rPr>
                <w:rFonts w:hint="eastAsia"/>
                <w:color w:val="FF0000"/>
                <w:kern w:val="0"/>
                <w:highlight w:val="green"/>
                <w:lang w:eastAsia="zh-CN"/>
              </w:rPr>
              <w:t>五原县塔尔湖污水处理厂</w:t>
            </w:r>
            <w:r>
              <w:rPr>
                <w:rFonts w:hint="eastAsia"/>
                <w:color w:val="FF0000"/>
                <w:kern w:val="0"/>
              </w:rPr>
              <w:t>采用罐车清运处理</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68"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羊尿</w:t>
            </w:r>
          </w:p>
        </w:tc>
        <w:tc>
          <w:tcPr>
            <w:tcW w:w="521" w:type="pct"/>
            <w:vMerge w:val="continue"/>
          </w:tcPr>
          <w:p>
            <w:pPr>
              <w:pStyle w:val="232"/>
              <w:rPr>
                <w:color w:val="000000" w:themeColor="text1"/>
                <w14:textFill>
                  <w14:solidFill>
                    <w14:schemeClr w14:val="tx1"/>
                  </w14:solidFill>
                </w14:textFill>
              </w:rPr>
            </w:pPr>
          </w:p>
        </w:tc>
        <w:tc>
          <w:tcPr>
            <w:tcW w:w="2069" w:type="pct"/>
            <w:gridSpan w:val="2"/>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项目不单独对羊尿进行收集，随粪便漏入羊舍下层粪污通道后，采用干清粪法将其一同清入堆肥平台进行发酵</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68"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无害化冷凝水</w:t>
            </w:r>
          </w:p>
        </w:tc>
        <w:tc>
          <w:tcPr>
            <w:tcW w:w="521" w:type="pct"/>
            <w:vAlign w:val="center"/>
          </w:tcPr>
          <w:p>
            <w:pPr>
              <w:pStyle w:val="232"/>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SS、动植物油</w:t>
            </w:r>
          </w:p>
        </w:tc>
        <w:tc>
          <w:tcPr>
            <w:tcW w:w="2069" w:type="pct"/>
            <w:gridSpan w:val="2"/>
            <w:vAlign w:val="center"/>
          </w:tcPr>
          <w:p>
            <w:pPr>
              <w:pStyle w:val="232"/>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用于有机肥制</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不外排</w:t>
            </w:r>
            <w:r>
              <w:rPr>
                <w:rFonts w:hint="eastAsia"/>
                <w:color w:val="000000" w:themeColor="text1"/>
                <w14:textFill>
                  <w14:solidFill>
                    <w14:schemeClr w14:val="tx1"/>
                  </w14:solidFill>
                </w14:textFill>
              </w:rPr>
              <w:t>作补水</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68"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运营过程</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069" w:type="pct"/>
            <w:gridSpan w:val="2"/>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对通过垂直下渗可能造成土壤污染的污染物建设单位应严格落实本次评价提出的地下水防治措施，并加强土壤环境的监测和管理。</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《土壤环境质量 农用地土壤污染风险管控标准（试行）》（GB15618-2018）表1农用地土壤污染风险筛选值中其他用地的标准要求</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地下水监控井</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069" w:type="pct"/>
            <w:gridSpan w:val="2"/>
            <w:vAlign w:val="center"/>
          </w:tcPr>
          <w:p>
            <w:pPr>
              <w:pStyle w:val="232"/>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本项目设置地下水监控1眼，位于厂区南东侧50m范围内，位置坐标</w:t>
            </w:r>
            <w:r>
              <w:rPr>
                <w:bCs/>
                <w:color w:val="000000" w:themeColor="text1"/>
                <w14:textFill>
                  <w14:solidFill>
                    <w14:schemeClr w14:val="tx1"/>
                  </w14:solidFill>
                </w14:textFill>
              </w:rPr>
              <w:t>E</w:t>
            </w:r>
            <w:r>
              <w:rPr>
                <w:kern w:val="0"/>
                <w:lang w:bidi="ar"/>
              </w:rPr>
              <w:t>107°47′24.39</w:t>
            </w:r>
            <w:r>
              <w:rPr>
                <w:color w:val="000000" w:themeColor="text1"/>
                <w14:textFill>
                  <w14:solidFill>
                    <w14:schemeClr w14:val="tx1"/>
                  </w14:solidFill>
                </w14:textFill>
              </w:rPr>
              <w:t>"</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N</w:t>
            </w:r>
            <w:r>
              <w:rPr>
                <w:kern w:val="0"/>
                <w:lang w:bidi="ar"/>
              </w:rPr>
              <w:t>41°5′48.30″</w:t>
            </w:r>
            <w:r>
              <w:rPr>
                <w:rFonts w:hint="eastAsia"/>
                <w:bCs/>
                <w:color w:val="000000" w:themeColor="text1"/>
                <w14:textFill>
                  <w14:solidFill>
                    <w14:schemeClr w14:val="tx1"/>
                  </w14:solidFill>
                </w14:textFill>
              </w:rPr>
              <w:t>，并设置标示等</w:t>
            </w:r>
          </w:p>
        </w:tc>
        <w:tc>
          <w:tcPr>
            <w:tcW w:w="1492" w:type="pct"/>
            <w:vAlign w:val="center"/>
          </w:tcPr>
          <w:p>
            <w:pPr>
              <w:pStyle w:val="23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《地下水质量标准》（GB/T14848-2017）中Ⅲ类标准</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Merge w:val="restar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分区防渗</w:t>
            </w:r>
          </w:p>
        </w:tc>
        <w:tc>
          <w:tcPr>
            <w:tcW w:w="52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42"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bCs/>
                <w:color w:val="000000" w:themeColor="text1"/>
                <w14:textFill>
                  <w14:solidFill>
                    <w14:schemeClr w14:val="tx1"/>
                  </w14:solidFill>
                </w14:textFill>
              </w:rPr>
            </w:pPr>
            <w:r>
              <w:rPr>
                <w:rFonts w:hint="eastAsia"/>
                <w:b w:val="0"/>
                <w:bCs w:val="0"/>
                <w:color w:val="auto"/>
                <w:kern w:val="0"/>
                <w:sz w:val="21"/>
                <w:szCs w:val="21"/>
                <w:lang w:val="en-US" w:eastAsia="zh-CN" w:bidi="ar"/>
              </w:rPr>
              <w:t>医疗废物暂</w:t>
            </w:r>
            <w:r>
              <w:rPr>
                <w:b w:val="0"/>
                <w:bCs w:val="0"/>
                <w:color w:val="auto"/>
                <w:kern w:val="0"/>
                <w:sz w:val="21"/>
                <w:szCs w:val="21"/>
                <w:lang w:bidi="ar"/>
              </w:rPr>
              <w:t>存间</w:t>
            </w:r>
          </w:p>
        </w:tc>
        <w:tc>
          <w:tcPr>
            <w:tcW w:w="1426" w:type="pct"/>
            <w:vMerge w:val="restart"/>
            <w:vAlign w:val="center"/>
          </w:tcPr>
          <w:p>
            <w:pPr>
              <w:pStyle w:val="232"/>
              <w:keepNext w:val="0"/>
              <w:keepLines w:val="0"/>
              <w:pageBreakBefore w:val="0"/>
              <w:widowControl w:val="0"/>
              <w:kinsoku/>
              <w:wordWrap/>
              <w:overflowPunct/>
              <w:topLinePunct/>
              <w:autoSpaceDE w:val="0"/>
              <w:autoSpaceDN/>
              <w:bidi w:val="0"/>
              <w:adjustRightInd/>
              <w:snapToGrid/>
              <w:jc w:val="center"/>
              <w:textAlignment w:val="center"/>
              <w:rPr>
                <w:bCs/>
                <w:color w:val="000000" w:themeColor="text1"/>
                <w14:textFill>
                  <w14:solidFill>
                    <w14:schemeClr w14:val="tx1"/>
                  </w14:solidFill>
                </w14:textFill>
              </w:rPr>
            </w:pPr>
            <w:r>
              <w:rPr>
                <w:b w:val="0"/>
                <w:bCs w:val="0"/>
                <w:color w:val="auto"/>
                <w:sz w:val="21"/>
                <w:szCs w:val="21"/>
              </w:rPr>
              <w:t>不同</w:t>
            </w:r>
            <w:r>
              <w:rPr>
                <w:rFonts w:hint="eastAsia"/>
                <w:b w:val="0"/>
                <w:bCs w:val="0"/>
                <w:color w:val="auto"/>
                <w:sz w:val="21"/>
                <w:szCs w:val="21"/>
                <w:lang w:val="en-US" w:eastAsia="zh-CN"/>
              </w:rPr>
              <w:t>种类的医疗废弃物</w:t>
            </w:r>
            <w:r>
              <w:rPr>
                <w:b w:val="0"/>
                <w:bCs w:val="0"/>
                <w:color w:val="auto"/>
                <w:sz w:val="21"/>
                <w:szCs w:val="21"/>
              </w:rPr>
              <w:t>分区存放，各分区设置裙角，地坪和裙角防渗等级皆不低于2mm厚度的HDPE高密度聚乙烯防渗层，或其他防渗材料，渗透系数不大于10</w:t>
            </w:r>
            <w:r>
              <w:rPr>
                <w:b w:val="0"/>
                <w:bCs w:val="0"/>
                <w:color w:val="auto"/>
                <w:sz w:val="21"/>
                <w:szCs w:val="21"/>
                <w:vertAlign w:val="superscript"/>
              </w:rPr>
              <w:t>-10</w:t>
            </w:r>
            <w:r>
              <w:rPr>
                <w:b w:val="0"/>
                <w:bCs w:val="0"/>
                <w:color w:val="auto"/>
                <w:sz w:val="21"/>
                <w:szCs w:val="21"/>
              </w:rPr>
              <w:t>cm/s</w:t>
            </w:r>
          </w:p>
        </w:tc>
        <w:tc>
          <w:tcPr>
            <w:tcW w:w="1492" w:type="pct"/>
            <w:vMerge w:val="restart"/>
            <w:vAlign w:val="center"/>
          </w:tcPr>
          <w:p>
            <w:pPr>
              <w:pStyle w:val="232"/>
              <w:jc w:val="center"/>
              <w:rPr>
                <w:color w:val="000000" w:themeColor="text1"/>
                <w14:textFill>
                  <w14:solidFill>
                    <w14:schemeClr w14:val="tx1"/>
                  </w14:solidFill>
                </w14:textFill>
              </w:rPr>
            </w:pPr>
            <w:r>
              <w:rPr>
                <w:color w:val="FF0000"/>
              </w:rPr>
              <w:t>《危险废物贮存污染控制标准（GB18597-20</w:t>
            </w:r>
            <w:r>
              <w:rPr>
                <w:rFonts w:hint="eastAsia"/>
                <w:color w:val="FF0000"/>
                <w:lang w:val="en-US" w:eastAsia="zh-CN"/>
              </w:rPr>
              <w:t>23</w:t>
            </w:r>
            <w:r>
              <w:rPr>
                <w:color w:val="FF0000"/>
              </w:rPr>
              <w:t>）</w:t>
            </w:r>
          </w:p>
        </w:tc>
        <w:tc>
          <w:tcPr>
            <w:tcW w:w="268"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pStyle w:val="232"/>
              <w:jc w:val="center"/>
            </w:pPr>
            <w:r>
              <w:rPr>
                <w:rFonts w:hint="eastAsia"/>
                <w:b w:val="0"/>
                <w:bCs w:val="0"/>
                <w:color w:val="auto"/>
                <w:kern w:val="0"/>
                <w:sz w:val="21"/>
                <w:szCs w:val="21"/>
                <w:lang w:val="en-US" w:eastAsia="zh-CN" w:bidi="ar"/>
              </w:rPr>
              <w:t>无害化处理车间</w:t>
            </w:r>
          </w:p>
        </w:tc>
        <w:tc>
          <w:tcPr>
            <w:tcW w:w="1426" w:type="pct"/>
            <w:vMerge w:val="continue"/>
            <w:vAlign w:val="center"/>
          </w:tcPr>
          <w:p>
            <w:pPr>
              <w:pStyle w:val="232"/>
              <w:jc w:val="center"/>
            </w:pPr>
          </w:p>
        </w:tc>
        <w:tc>
          <w:tcPr>
            <w:tcW w:w="1492" w:type="pct"/>
            <w:vMerge w:val="continue"/>
            <w:vAlign w:val="center"/>
          </w:tcPr>
          <w:p>
            <w:pPr>
              <w:pStyle w:val="232"/>
              <w:jc w:val="center"/>
            </w:pP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pStyle w:val="232"/>
              <w:jc w:val="center"/>
              <w:rPr>
                <w:rFonts w:hint="eastAsia" w:eastAsia="宋体"/>
                <w:lang w:eastAsia="zh-CN"/>
              </w:rPr>
            </w:pPr>
            <w:r>
              <w:rPr>
                <w:b w:val="0"/>
                <w:bCs w:val="0"/>
                <w:color w:val="auto"/>
                <w:kern w:val="0"/>
                <w:sz w:val="21"/>
                <w:szCs w:val="21"/>
                <w:lang w:bidi="ar"/>
              </w:rPr>
              <w:t>有机</w:t>
            </w:r>
            <w:r>
              <w:rPr>
                <w:rFonts w:hint="eastAsia"/>
                <w:b w:val="0"/>
                <w:bCs w:val="0"/>
                <w:color w:val="auto"/>
                <w:kern w:val="0"/>
                <w:sz w:val="21"/>
                <w:szCs w:val="21"/>
                <w:lang w:eastAsia="zh-CN" w:bidi="ar"/>
              </w:rPr>
              <w:t>有机肥堆场</w:t>
            </w:r>
          </w:p>
        </w:tc>
        <w:tc>
          <w:tcPr>
            <w:tcW w:w="1426" w:type="pct"/>
            <w:vAlign w:val="center"/>
          </w:tcPr>
          <w:p>
            <w:pPr>
              <w:pStyle w:val="232"/>
              <w:jc w:val="center"/>
            </w:pPr>
          </w:p>
        </w:tc>
        <w:tc>
          <w:tcPr>
            <w:tcW w:w="1492" w:type="pct"/>
            <w:vAlign w:val="center"/>
          </w:tcPr>
          <w:p>
            <w:pPr>
              <w:pStyle w:val="232"/>
              <w:jc w:val="center"/>
            </w:pPr>
            <w:r>
              <w:rPr>
                <w:color w:val="000000" w:themeColor="text1"/>
                <w14:textFill>
                  <w14:solidFill>
                    <w14:schemeClr w14:val="tx1"/>
                  </w14:solidFill>
                </w14:textFill>
              </w:rPr>
              <w:t>参照</w:t>
            </w:r>
            <w:r>
              <w:rPr>
                <w:rFonts w:hint="eastAsia"/>
                <w:color w:val="000000" w:themeColor="text1"/>
                <w14:textFill>
                  <w14:solidFill>
                    <w14:schemeClr w14:val="tx1"/>
                  </w14:solidFill>
                </w14:textFill>
              </w:rPr>
              <w:t>《一般工业固体废物贮存和填埋污染控制标准》（GB18599-2020）</w:t>
            </w: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pStyle w:val="232"/>
              <w:jc w:val="center"/>
            </w:pPr>
            <w:r>
              <w:rPr>
                <w:b w:val="0"/>
                <w:bCs w:val="0"/>
                <w:color w:val="auto"/>
                <w:kern w:val="0"/>
                <w:sz w:val="21"/>
                <w:szCs w:val="21"/>
                <w:lang w:bidi="ar"/>
              </w:rPr>
              <w:t>现代化高标准</w:t>
            </w:r>
            <w:r>
              <w:rPr>
                <w:rFonts w:hint="eastAsia"/>
                <w:b w:val="0"/>
                <w:bCs w:val="0"/>
                <w:color w:val="auto"/>
                <w:kern w:val="0"/>
                <w:sz w:val="21"/>
                <w:szCs w:val="21"/>
                <w:lang w:val="en-US" w:eastAsia="zh-CN" w:bidi="ar"/>
              </w:rPr>
              <w:t>羊舍</w:t>
            </w:r>
          </w:p>
        </w:tc>
        <w:tc>
          <w:tcPr>
            <w:tcW w:w="1426" w:type="pct"/>
            <w:vMerge w:val="restart"/>
            <w:vAlign w:val="center"/>
          </w:tcPr>
          <w:p>
            <w:pPr>
              <w:pStyle w:val="232"/>
              <w:jc w:val="center"/>
            </w:pPr>
            <w:r>
              <w:rPr>
                <w:rFonts w:hint="eastAsia"/>
                <w:b w:val="0"/>
                <w:bCs w:val="0"/>
                <w:color w:val="auto"/>
                <w:sz w:val="21"/>
                <w:szCs w:val="21"/>
              </w:rPr>
              <w:t>敷设不小于1.5mm的高密度聚氯乙烯（HDPE）人工防渗膜，膜上、膜下设置“长丝无纺土工布”保护层，并铺设不小于100mm的混凝土保护层，或其他材料可满足渗透系数小于1.0×10</w:t>
            </w:r>
            <w:r>
              <w:rPr>
                <w:rFonts w:hint="eastAsia"/>
                <w:b w:val="0"/>
                <w:bCs w:val="0"/>
                <w:color w:val="auto"/>
                <w:sz w:val="21"/>
                <w:szCs w:val="21"/>
                <w:vertAlign w:val="superscript"/>
              </w:rPr>
              <w:t>-7</w:t>
            </w:r>
            <w:r>
              <w:rPr>
                <w:rFonts w:hint="eastAsia"/>
                <w:b w:val="0"/>
                <w:bCs w:val="0"/>
                <w:color w:val="auto"/>
                <w:sz w:val="21"/>
                <w:szCs w:val="21"/>
              </w:rPr>
              <w:t>cm/s</w:t>
            </w:r>
          </w:p>
        </w:tc>
        <w:tc>
          <w:tcPr>
            <w:tcW w:w="1492" w:type="pct"/>
            <w:vMerge w:val="restart"/>
            <w:vAlign w:val="center"/>
          </w:tcPr>
          <w:p>
            <w:pPr>
              <w:pStyle w:val="232"/>
              <w:jc w:val="center"/>
              <w:rPr>
                <w:rFonts w:hint="eastAsia" w:eastAsia="宋体"/>
                <w:lang w:eastAsia="zh-CN"/>
              </w:rPr>
            </w:pPr>
            <w:r>
              <w:rPr>
                <w:b w:val="0"/>
                <w:bCs w:val="0"/>
                <w:color w:val="auto"/>
                <w:kern w:val="0"/>
                <w:sz w:val="21"/>
                <w:szCs w:val="21"/>
                <w:lang w:bidi="ar"/>
              </w:rPr>
              <w:t>一般防渗区</w:t>
            </w: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pStyle w:val="232"/>
              <w:jc w:val="center"/>
            </w:pPr>
            <w:r>
              <w:rPr>
                <w:b w:val="0"/>
                <w:bCs w:val="0"/>
                <w:color w:val="auto"/>
                <w:kern w:val="0"/>
                <w:sz w:val="21"/>
                <w:szCs w:val="21"/>
                <w:lang w:bidi="ar"/>
              </w:rPr>
              <w:t>办公生活</w:t>
            </w:r>
          </w:p>
        </w:tc>
        <w:tc>
          <w:tcPr>
            <w:tcW w:w="1426" w:type="pct"/>
            <w:vMerge w:val="continue"/>
            <w:vAlign w:val="center"/>
          </w:tcPr>
          <w:p>
            <w:pPr>
              <w:pStyle w:val="232"/>
              <w:jc w:val="center"/>
            </w:pPr>
          </w:p>
        </w:tc>
        <w:tc>
          <w:tcPr>
            <w:tcW w:w="1492" w:type="pct"/>
            <w:vMerge w:val="continue"/>
            <w:vAlign w:val="center"/>
          </w:tcPr>
          <w:p>
            <w:pPr>
              <w:pStyle w:val="232"/>
              <w:jc w:val="center"/>
            </w:pP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pStyle w:val="232"/>
              <w:jc w:val="center"/>
            </w:pPr>
            <w:r>
              <w:rPr>
                <w:b w:val="0"/>
                <w:bCs w:val="0"/>
                <w:color w:val="auto"/>
                <w:kern w:val="0"/>
                <w:sz w:val="21"/>
                <w:szCs w:val="21"/>
                <w:lang w:bidi="ar"/>
              </w:rPr>
              <w:t>青贮</w:t>
            </w:r>
            <w:r>
              <w:rPr>
                <w:rFonts w:hint="eastAsia"/>
                <w:b w:val="0"/>
                <w:bCs w:val="0"/>
                <w:color w:val="auto"/>
                <w:kern w:val="0"/>
                <w:sz w:val="21"/>
                <w:szCs w:val="21"/>
                <w:lang w:val="en-US" w:eastAsia="zh-CN" w:bidi="ar"/>
              </w:rPr>
              <w:t>池</w:t>
            </w:r>
          </w:p>
        </w:tc>
        <w:tc>
          <w:tcPr>
            <w:tcW w:w="1426" w:type="pct"/>
            <w:vMerge w:val="continue"/>
            <w:vAlign w:val="center"/>
          </w:tcPr>
          <w:p>
            <w:pPr>
              <w:pStyle w:val="232"/>
              <w:jc w:val="center"/>
            </w:pPr>
          </w:p>
        </w:tc>
        <w:tc>
          <w:tcPr>
            <w:tcW w:w="1492" w:type="pct"/>
            <w:vMerge w:val="continue"/>
            <w:vAlign w:val="center"/>
          </w:tcPr>
          <w:p>
            <w:pPr>
              <w:pStyle w:val="232"/>
              <w:ind w:firstLine="0" w:firstLineChars="0"/>
              <w:jc w:val="center"/>
              <w:rPr>
                <w:rFonts w:ascii="Times New Roman" w:hAnsi="Times New Roman" w:eastAsia="宋体" w:cs="Times New Roman"/>
                <w:kern w:val="2"/>
                <w:sz w:val="21"/>
                <w:szCs w:val="21"/>
                <w:lang w:val="en-US" w:eastAsia="zh-CN" w:bidi="ar-SA"/>
              </w:rPr>
            </w:pP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pPr>
            <w:r>
              <w:rPr>
                <w:rFonts w:hint="eastAsia"/>
                <w:b w:val="0"/>
                <w:bCs w:val="0"/>
                <w:color w:val="auto"/>
                <w:sz w:val="21"/>
                <w:szCs w:val="21"/>
              </w:rPr>
              <w:t>饲草混合加工车间</w:t>
            </w:r>
          </w:p>
        </w:tc>
        <w:tc>
          <w:tcPr>
            <w:tcW w:w="1426" w:type="pct"/>
            <w:vMerge w:val="restart"/>
            <w:vAlign w:val="center"/>
          </w:tcPr>
          <w:p>
            <w:pPr>
              <w:pStyle w:val="232"/>
              <w:jc w:val="center"/>
            </w:pPr>
            <w:r>
              <w:rPr>
                <w:rFonts w:hint="eastAsia"/>
              </w:rPr>
              <w:t>铺设防渗混凝土地面</w:t>
            </w:r>
          </w:p>
        </w:tc>
        <w:tc>
          <w:tcPr>
            <w:tcW w:w="1492" w:type="pct"/>
            <w:vMerge w:val="restart"/>
            <w:vAlign w:val="center"/>
          </w:tcPr>
          <w:p>
            <w:pPr>
              <w:pStyle w:val="232"/>
              <w:jc w:val="center"/>
            </w:pPr>
            <w:r>
              <w:rPr>
                <w:b w:val="0"/>
                <w:bCs w:val="0"/>
                <w:color w:val="auto"/>
                <w:kern w:val="0"/>
                <w:sz w:val="21"/>
                <w:szCs w:val="21"/>
                <w:lang w:bidi="ar"/>
              </w:rPr>
              <w:t>简单防渗区</w:t>
            </w: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pPr>
            <w:r>
              <w:rPr>
                <w:rFonts w:hint="eastAsia"/>
                <w:b w:val="0"/>
                <w:bCs w:val="0"/>
                <w:color w:val="auto"/>
                <w:kern w:val="0"/>
                <w:sz w:val="21"/>
                <w:szCs w:val="21"/>
                <w:lang w:val="en-US" w:eastAsia="zh-CN" w:bidi="ar"/>
              </w:rPr>
              <w:t>草料库</w:t>
            </w:r>
          </w:p>
        </w:tc>
        <w:tc>
          <w:tcPr>
            <w:tcW w:w="1426" w:type="pct"/>
            <w:vMerge w:val="continue"/>
            <w:vAlign w:val="center"/>
          </w:tcPr>
          <w:p>
            <w:pPr>
              <w:pStyle w:val="232"/>
              <w:jc w:val="both"/>
            </w:pPr>
          </w:p>
        </w:tc>
        <w:tc>
          <w:tcPr>
            <w:tcW w:w="1492" w:type="pct"/>
            <w:vMerge w:val="continue"/>
            <w:vAlign w:val="center"/>
          </w:tcPr>
          <w:p>
            <w:pPr>
              <w:pStyle w:val="232"/>
              <w:jc w:val="both"/>
            </w:pP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198" w:type="pct"/>
            <w:vMerge w:val="continue"/>
            <w:vAlign w:val="center"/>
          </w:tcPr>
          <w:p>
            <w:pPr>
              <w:pStyle w:val="232"/>
              <w:jc w:val="both"/>
            </w:pPr>
          </w:p>
        </w:tc>
        <w:tc>
          <w:tcPr>
            <w:tcW w:w="451" w:type="pct"/>
            <w:vMerge w:val="continue"/>
            <w:vAlign w:val="center"/>
          </w:tcPr>
          <w:p>
            <w:pPr>
              <w:pStyle w:val="232"/>
              <w:jc w:val="both"/>
            </w:pPr>
          </w:p>
        </w:tc>
        <w:tc>
          <w:tcPr>
            <w:tcW w:w="521" w:type="pct"/>
            <w:vMerge w:val="continue"/>
            <w:vAlign w:val="center"/>
          </w:tcPr>
          <w:p>
            <w:pPr>
              <w:pStyle w:val="232"/>
              <w:jc w:val="both"/>
            </w:pPr>
          </w:p>
        </w:tc>
        <w:tc>
          <w:tcPr>
            <w:tcW w:w="64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pPr>
            <w:r>
              <w:rPr>
                <w:b w:val="0"/>
                <w:bCs w:val="0"/>
                <w:color w:val="auto"/>
                <w:kern w:val="0"/>
                <w:sz w:val="21"/>
                <w:szCs w:val="21"/>
                <w:lang w:bidi="ar"/>
              </w:rPr>
              <w:t>库房</w:t>
            </w:r>
          </w:p>
        </w:tc>
        <w:tc>
          <w:tcPr>
            <w:tcW w:w="1426" w:type="pct"/>
            <w:vMerge w:val="continue"/>
            <w:vAlign w:val="center"/>
          </w:tcPr>
          <w:p>
            <w:pPr>
              <w:pStyle w:val="232"/>
              <w:jc w:val="both"/>
            </w:pPr>
          </w:p>
        </w:tc>
        <w:tc>
          <w:tcPr>
            <w:tcW w:w="1492" w:type="pct"/>
            <w:vMerge w:val="continue"/>
            <w:vAlign w:val="center"/>
          </w:tcPr>
          <w:p>
            <w:pPr>
              <w:pStyle w:val="232"/>
              <w:jc w:val="both"/>
            </w:pPr>
          </w:p>
        </w:tc>
        <w:tc>
          <w:tcPr>
            <w:tcW w:w="268" w:type="pct"/>
            <w:vMerge w:val="continue"/>
            <w:vAlign w:val="center"/>
          </w:tcPr>
          <w:p>
            <w:pPr>
              <w:pStyle w:val="232"/>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固体废物</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危险</w:t>
            </w:r>
            <w:r>
              <w:rPr>
                <w:color w:val="000000" w:themeColor="text1"/>
                <w14:textFill>
                  <w14:solidFill>
                    <w14:schemeClr w14:val="tx1"/>
                  </w14:solidFill>
                </w14:textFill>
              </w:rPr>
              <w:t>废物</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069"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设</w:t>
            </w: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1座，建筑面积115.92m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，暂存运营过程产生的医疗废弃物、废活性炭，暂存后交由有资质单位处理；</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olor w:val="FF0000"/>
                <w:lang w:val="en-US" w:eastAsia="zh-CN"/>
              </w:rPr>
              <w:t>医疗废物</w:t>
            </w:r>
            <w:r>
              <w:rPr>
                <w:color w:val="FF0000"/>
              </w:rPr>
              <w:t>暂存间</w:t>
            </w:r>
            <w:r>
              <w:rPr>
                <w:rFonts w:hint="eastAsia"/>
                <w:color w:val="000000" w:themeColor="text1"/>
                <w14:textFill>
                  <w14:solidFill>
                    <w14:schemeClr w14:val="tx1"/>
                  </w14:solidFill>
                </w14:textFill>
              </w:rPr>
              <w:t>的地面与裙脚要用坚固、防渗的材料建造，建筑材料必须与危险废物相容。</w:t>
            </w:r>
          </w:p>
        </w:tc>
        <w:tc>
          <w:tcPr>
            <w:tcW w:w="1492" w:type="pct"/>
            <w:vAlign w:val="center"/>
          </w:tcPr>
          <w:p>
            <w:pPr>
              <w:pStyle w:val="232"/>
              <w:rPr>
                <w:color w:val="000000" w:themeColor="text1"/>
                <w14:textFill>
                  <w14:solidFill>
                    <w14:schemeClr w14:val="tx1"/>
                  </w14:solidFill>
                </w14:textFill>
              </w:rPr>
            </w:pPr>
            <w:r>
              <w:rPr>
                <w:rFonts w:hint="eastAsia"/>
                <w:color w:val="FF0000"/>
              </w:rPr>
              <w:t>《危险废物贮存污染控制标准》（GB18597-20</w:t>
            </w:r>
            <w:r>
              <w:rPr>
                <w:rFonts w:hint="eastAsia"/>
                <w:color w:val="FF0000"/>
                <w:lang w:val="en-US" w:eastAsia="zh-CN"/>
              </w:rPr>
              <w:t>23</w:t>
            </w:r>
            <w:r>
              <w:rPr>
                <w:rFonts w:hint="eastAsia"/>
                <w:color w:val="FF0000"/>
              </w:rPr>
              <w:t>）</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病死羊及胞衣</w:t>
            </w:r>
          </w:p>
        </w:tc>
        <w:tc>
          <w:tcPr>
            <w:tcW w:w="52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069" w:type="pct"/>
            <w:gridSpan w:val="2"/>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本项目设干化无害化设备1套，病死动物经干化法无害化处理后产生的动物尸体残渣、污水通过好氧发酵进一步无害化处理制作有机肥，不外排</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不外排</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Merge w:val="continue"/>
            <w:vAlign w:val="center"/>
          </w:tcPr>
          <w:p>
            <w:pPr>
              <w:pStyle w:val="232"/>
              <w:rPr>
                <w:color w:val="000000" w:themeColor="text1"/>
                <w14:textFill>
                  <w14:solidFill>
                    <w14:schemeClr w14:val="tx1"/>
                  </w14:solidFill>
                </w14:textFill>
              </w:rPr>
            </w:pPr>
          </w:p>
        </w:tc>
        <w:tc>
          <w:tcPr>
            <w:tcW w:w="521" w:type="pct"/>
            <w:vMerge w:val="continue"/>
            <w:vAlign w:val="center"/>
          </w:tcPr>
          <w:p>
            <w:pPr>
              <w:pStyle w:val="232"/>
              <w:rPr>
                <w:color w:val="000000" w:themeColor="text1"/>
                <w14:textFill>
                  <w14:solidFill>
                    <w14:schemeClr w14:val="tx1"/>
                  </w14:solidFill>
                </w14:textFill>
              </w:rPr>
            </w:pPr>
          </w:p>
        </w:tc>
        <w:tc>
          <w:tcPr>
            <w:tcW w:w="2069" w:type="pct"/>
            <w:gridSpan w:val="2"/>
            <w:vMerge w:val="continue"/>
            <w:vAlign w:val="center"/>
          </w:tcPr>
          <w:p>
            <w:pPr>
              <w:pStyle w:val="232"/>
              <w:rPr>
                <w:color w:val="000000" w:themeColor="text1"/>
                <w14:textFill>
                  <w14:solidFill>
                    <w14:schemeClr w14:val="tx1"/>
                  </w14:solidFill>
                </w14:textFill>
              </w:rPr>
            </w:pP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《畜禽养殖业污染治理工程技术规范》（HJ497-2009）、《畜禽养殖业污染防治技术规范》（HJ/T81-2001）、《病死及病害动物无害化处理技术规范》（农医发[2017]25号）</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羊粪</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069" w:type="pct"/>
            <w:gridSpan w:val="2"/>
            <w:vAlign w:val="center"/>
          </w:tcPr>
          <w:p>
            <w:pPr>
              <w:pStyle w:val="232"/>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收集经好氧发酵后，制作有机肥；本项目新建</w:t>
            </w:r>
            <w:r>
              <w:rPr>
                <w:rFonts w:hint="eastAsia"/>
                <w:color w:val="92D050"/>
                <w:lang w:eastAsia="zh-CN"/>
              </w:rPr>
              <w:t>有机肥堆场</w:t>
            </w:r>
            <w:r>
              <w:rPr>
                <w:rFonts w:hint="eastAsia"/>
                <w:color w:val="000000" w:themeColor="text1"/>
                <w14:textFill>
                  <w14:solidFill>
                    <w14:schemeClr w14:val="tx1"/>
                  </w14:solidFill>
                </w14:textFill>
              </w:rPr>
              <w:t>1座，内设发酵、烘干等制作设备</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资源化利用，满足《畜禽粪便无害化处理技术规范》（GB/T36195-2018）、《畜禽粪便还田技术规范》（GB/T25246-2010）</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Merge w:val="continue"/>
            <w:vAlign w:val="center"/>
          </w:tcPr>
          <w:p>
            <w:pPr>
              <w:pStyle w:val="232"/>
              <w:rPr>
                <w:color w:val="000000" w:themeColor="text1"/>
                <w14:textFill>
                  <w14:solidFill>
                    <w14:schemeClr w14:val="tx1"/>
                  </w14:solidFill>
                </w14:textFill>
              </w:rPr>
            </w:pP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人员</w:t>
            </w:r>
          </w:p>
        </w:tc>
        <w:tc>
          <w:tcPr>
            <w:tcW w:w="52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生活垃圾</w:t>
            </w:r>
          </w:p>
        </w:tc>
        <w:tc>
          <w:tcPr>
            <w:tcW w:w="2069"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场区设置垃圾桶分类收集，清运到指定地点委托环卫部门集中处理。</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45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风机和</w:t>
            </w:r>
            <w:r>
              <w:rPr>
                <w:color w:val="000000" w:themeColor="text1"/>
                <w14:textFill>
                  <w14:solidFill>
                    <w14:schemeClr w14:val="tx1"/>
                  </w14:solidFill>
                </w14:textFill>
              </w:rPr>
              <w:t>泵类</w:t>
            </w:r>
          </w:p>
        </w:tc>
        <w:tc>
          <w:tcPr>
            <w:tcW w:w="521" w:type="pct"/>
            <w:vAlign w:val="center"/>
          </w:tcPr>
          <w:p>
            <w:pPr>
              <w:pStyle w:val="232"/>
              <w:rPr>
                <w:color w:val="000000" w:themeColor="text1"/>
                <w14:textFill>
                  <w14:solidFill>
                    <w14:schemeClr w14:val="tx1"/>
                  </w14:solidFill>
                </w14:textFill>
              </w:rPr>
            </w:pPr>
            <w:r>
              <w:rPr>
                <w:rFonts w:hint="eastAsia"/>
                <w:color w:val="000000" w:themeColor="text1"/>
                <w:lang w:val="en-GB"/>
                <w14:textFill>
                  <w14:solidFill>
                    <w14:schemeClr w14:val="tx1"/>
                  </w14:solidFill>
                </w14:textFill>
              </w:rPr>
              <w:t>噪声</w:t>
            </w:r>
          </w:p>
        </w:tc>
        <w:tc>
          <w:tcPr>
            <w:tcW w:w="2069"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基础减振、全封闭厂房</w:t>
            </w:r>
            <w:r>
              <w:rPr>
                <w:color w:val="000000" w:themeColor="text1"/>
                <w14:textFill>
                  <w14:solidFill>
                    <w14:schemeClr w14:val="tx1"/>
                  </w14:solidFill>
                </w14:textFill>
              </w:rPr>
              <w:t>等措施</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《工业企业厂界环境噪声排放标准》（GB12348-2008）2类标准值</w:t>
            </w:r>
          </w:p>
        </w:tc>
        <w:tc>
          <w:tcPr>
            <w:tcW w:w="268"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绿化</w:t>
            </w:r>
          </w:p>
        </w:tc>
        <w:tc>
          <w:tcPr>
            <w:tcW w:w="972" w:type="pct"/>
            <w:gridSpan w:val="2"/>
            <w:vAlign w:val="center"/>
          </w:tcPr>
          <w:p>
            <w:pPr>
              <w:pStyle w:val="232"/>
              <w:rPr>
                <w:color w:val="000000" w:themeColor="text1"/>
                <w:lang w:val="en-GB"/>
                <w14:textFill>
                  <w14:solidFill>
                    <w14:schemeClr w14:val="tx1"/>
                  </w14:solidFill>
                </w14:textFill>
              </w:rPr>
            </w:pPr>
            <w:r>
              <w:rPr>
                <w:rFonts w:hint="eastAsia"/>
                <w:color w:val="000000" w:themeColor="text1"/>
                <w:lang w:val="en-GB"/>
                <w14:textFill>
                  <w14:solidFill>
                    <w14:schemeClr w14:val="tx1"/>
                  </w14:solidFill>
                </w14:textFill>
              </w:rPr>
              <w:t>绿化工程</w:t>
            </w:r>
          </w:p>
        </w:tc>
        <w:tc>
          <w:tcPr>
            <w:tcW w:w="2069"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在场区四周、建筑物及道路两侧要种植乔灌相间的常青树，尤其应对养殖场进行重点绿化，选择适宜的树种和草本植物，结合地区气候条件进行绿化美化工作环境，绿化面积为125</w:t>
            </w:r>
            <w:r>
              <w:rPr>
                <w:color w:val="000000" w:themeColor="text1"/>
                <w14:textFill>
                  <w14:solidFill>
                    <w14:schemeClr w14:val="tx1"/>
                  </w14:solidFill>
                </w14:textFill>
              </w:rPr>
              <w:t>00</w:t>
            </w:r>
            <w:r>
              <w:rPr>
                <w:rFonts w:hint="eastAsia"/>
                <w:color w:val="000000" w:themeColor="text1"/>
                <w14:textFill>
                  <w14:solidFill>
                    <w14:schemeClr w14:val="tx1"/>
                  </w14:solidFill>
                </w14:textFill>
              </w:rPr>
              <w:t>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环境监测</w:t>
            </w:r>
          </w:p>
        </w:tc>
        <w:tc>
          <w:tcPr>
            <w:tcW w:w="2590" w:type="pct"/>
            <w:gridSpan w:val="3"/>
            <w:vAlign w:val="center"/>
          </w:tcPr>
          <w:p>
            <w:pPr>
              <w:pStyle w:val="232"/>
              <w:rPr>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委托有资质的监测单位每年进行例行监测。</w:t>
            </w:r>
          </w:p>
        </w:tc>
        <w:tc>
          <w:tcPr>
            <w:tcW w:w="1492"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按相关操作规程进行</w:t>
            </w:r>
          </w:p>
        </w:tc>
        <w:tc>
          <w:tcPr>
            <w:tcW w:w="268"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9" w:type="pct"/>
            <w:gridSpan w:val="5"/>
            <w:vAlign w:val="center"/>
          </w:tcPr>
          <w:p>
            <w:pPr>
              <w:pStyle w:val="232"/>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合计</w:t>
            </w:r>
          </w:p>
        </w:tc>
        <w:tc>
          <w:tcPr>
            <w:tcW w:w="1492" w:type="pct"/>
            <w:vAlign w:val="center"/>
          </w:tcPr>
          <w:p>
            <w:pPr>
              <w:pStyle w:val="232"/>
              <w:rPr>
                <w:color w:val="000000" w:themeColor="text1"/>
                <w14:textFill>
                  <w14:solidFill>
                    <w14:schemeClr w14:val="tx1"/>
                  </w14:solidFill>
                </w14:textFill>
              </w:rPr>
            </w:pPr>
          </w:p>
        </w:tc>
        <w:tc>
          <w:tcPr>
            <w:tcW w:w="268"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1033</w:t>
            </w:r>
          </w:p>
        </w:tc>
      </w:tr>
    </w:tbl>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pPr>
    </w:p>
    <w:p>
      <w:pPr>
        <w:pStyle w:val="2"/>
        <w:spacing w:before="120" w:after="120"/>
        <w:rPr>
          <w:color w:val="000000" w:themeColor="text1"/>
          <w14:textFill>
            <w14:solidFill>
              <w14:schemeClr w14:val="tx1"/>
            </w14:solidFill>
          </w14:textFill>
        </w:rPr>
        <w:sectPr>
          <w:pgSz w:w="16838" w:h="11906" w:orient="landscape"/>
          <w:pgMar w:top="1418" w:right="1247" w:bottom="1701" w:left="1418" w:header="851" w:footer="992" w:gutter="0"/>
          <w:pgNumType w:fmt="decimal"/>
          <w:cols w:space="720" w:num="1"/>
          <w:docGrid w:linePitch="326" w:charSpace="0"/>
        </w:sectPr>
      </w:pPr>
    </w:p>
    <w:p>
      <w:pPr>
        <w:pStyle w:val="2"/>
        <w:spacing w:before="120" w:after="120"/>
        <w:rPr>
          <w:color w:val="000000" w:themeColor="text1"/>
          <w14:textFill>
            <w14:solidFill>
              <w14:schemeClr w14:val="tx1"/>
            </w14:solidFill>
          </w14:textFill>
        </w:rPr>
      </w:pPr>
      <w:bookmarkStart w:id="259" w:name="_Toc2741"/>
      <w:bookmarkStart w:id="260" w:name="_Toc101428542"/>
      <w:r>
        <w:rPr>
          <w:color w:val="000000" w:themeColor="text1"/>
          <w14:textFill>
            <w14:solidFill>
              <w14:schemeClr w14:val="tx1"/>
            </w14:solidFill>
          </w14:textFill>
        </w:rPr>
        <w:t>环境影响经济损益分析</w:t>
      </w:r>
      <w:bookmarkEnd w:id="259"/>
      <w:bookmarkEnd w:id="260"/>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然而，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pPr>
        <w:pStyle w:val="3"/>
        <w:spacing w:before="120" w:after="120"/>
        <w:rPr>
          <w:color w:val="000000" w:themeColor="text1"/>
          <w14:textFill>
            <w14:solidFill>
              <w14:schemeClr w14:val="tx1"/>
            </w14:solidFill>
          </w14:textFill>
        </w:rPr>
      </w:pPr>
      <w:bookmarkStart w:id="261" w:name="_Toc494206391"/>
      <w:bookmarkStart w:id="262" w:name="_Toc12480"/>
      <w:bookmarkStart w:id="263" w:name="_Toc523322384"/>
      <w:bookmarkStart w:id="264" w:name="_Toc487188665"/>
      <w:bookmarkStart w:id="265" w:name="_Toc101428543"/>
      <w:r>
        <w:rPr>
          <w:color w:val="000000" w:themeColor="text1"/>
          <w14:textFill>
            <w14:solidFill>
              <w14:schemeClr w14:val="tx1"/>
            </w14:solidFill>
          </w14:textFill>
        </w:rPr>
        <w:t>经济效益分析</w:t>
      </w:r>
      <w:bookmarkEnd w:id="261"/>
      <w:bookmarkEnd w:id="262"/>
      <w:bookmarkEnd w:id="263"/>
      <w:bookmarkEnd w:id="264"/>
      <w:bookmarkEnd w:id="265"/>
    </w:p>
    <w:p>
      <w:pPr>
        <w:ind w:firstLine="480"/>
        <w:rPr>
          <w:color w:val="000000" w:themeColor="text1"/>
          <w14:textFill>
            <w14:solidFill>
              <w14:schemeClr w14:val="tx1"/>
            </w14:solidFill>
          </w14:textFill>
        </w:rPr>
      </w:pPr>
      <w:r>
        <w:rPr>
          <w:color w:val="000000" w:themeColor="text1"/>
          <w14:textFill>
            <w14:solidFill>
              <w14:schemeClr w14:val="tx1"/>
            </w14:solidFill>
          </w14:textFill>
        </w:rPr>
        <w:t>项目总投资</w:t>
      </w:r>
      <w:r>
        <w:rPr>
          <w:rFonts w:hint="eastAsia"/>
          <w:color w:val="000000" w:themeColor="text1"/>
          <w14:textFill>
            <w14:solidFill>
              <w14:schemeClr w14:val="tx1"/>
            </w14:solidFill>
          </w14:textFill>
        </w:rPr>
        <w:t>88000</w:t>
      </w:r>
      <w:r>
        <w:rPr>
          <w:color w:val="000000" w:themeColor="text1"/>
          <w14:textFill>
            <w14:solidFill>
              <w14:schemeClr w14:val="tx1"/>
            </w14:solidFill>
          </w14:textFill>
        </w:rPr>
        <w:t>万元，资金来源企业自筹。项目的投产运营，经济效益主要通过产品销售获得。根据项目可研，项目年运行成本及利润估算见表</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1-1。</w:t>
      </w:r>
    </w:p>
    <w:p>
      <w:pPr>
        <w:pStyle w:val="6"/>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 xml:space="preserve">1-1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运行成本及利润估算表</w:t>
      </w:r>
    </w:p>
    <w:tbl>
      <w:tblPr>
        <w:tblStyle w:val="38"/>
        <w:tblW w:w="4999"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25"/>
        <w:gridCol w:w="5625"/>
        <w:gridCol w:w="24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blHeader/>
          <w:jc w:val="center"/>
        </w:trPr>
        <w:tc>
          <w:tcPr>
            <w:tcW w:w="51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312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项目</w:t>
            </w:r>
          </w:p>
        </w:tc>
        <w:tc>
          <w:tcPr>
            <w:tcW w:w="136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单位（万元/年）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1</w:t>
            </w:r>
          </w:p>
        </w:tc>
        <w:tc>
          <w:tcPr>
            <w:tcW w:w="312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总投资</w:t>
            </w:r>
          </w:p>
        </w:tc>
        <w:tc>
          <w:tcPr>
            <w:tcW w:w="136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88000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2</w:t>
            </w:r>
          </w:p>
        </w:tc>
        <w:tc>
          <w:tcPr>
            <w:tcW w:w="312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总成本费用</w:t>
            </w:r>
          </w:p>
        </w:tc>
        <w:tc>
          <w:tcPr>
            <w:tcW w:w="1361" w:type="pct"/>
            <w:vAlign w:val="bottom"/>
          </w:tcPr>
          <w:p>
            <w:pPr>
              <w:pStyle w:val="232"/>
              <w:rPr>
                <w:color w:val="000000" w:themeColor="text1"/>
                <w14:textFill>
                  <w14:solidFill>
                    <w14:schemeClr w14:val="tx1"/>
                  </w14:solidFill>
                </w14:textFill>
              </w:rPr>
            </w:pPr>
            <w:r>
              <w:rPr>
                <w:color w:val="000000" w:themeColor="text1"/>
                <w:sz w:val="22"/>
                <w14:textFill>
                  <w14:solidFill>
                    <w14:schemeClr w14:val="tx1"/>
                  </w14:solidFill>
                </w14:textFill>
              </w:rPr>
              <w:t>6646.3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4"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3</w:t>
            </w:r>
          </w:p>
        </w:tc>
        <w:tc>
          <w:tcPr>
            <w:tcW w:w="3123"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年销售收入</w:t>
            </w:r>
          </w:p>
        </w:tc>
        <w:tc>
          <w:tcPr>
            <w:tcW w:w="1361" w:type="pct"/>
            <w:vAlign w:val="bottom"/>
          </w:tcPr>
          <w:p>
            <w:pPr>
              <w:pStyle w:val="232"/>
              <w:rPr>
                <w:color w:val="000000" w:themeColor="text1"/>
                <w14:textFill>
                  <w14:solidFill>
                    <w14:schemeClr w14:val="tx1"/>
                  </w14:solidFill>
                </w14:textFill>
              </w:rPr>
            </w:pPr>
            <w:r>
              <w:rPr>
                <w:color w:val="000000" w:themeColor="text1"/>
                <w:sz w:val="22"/>
                <w14:textFill>
                  <w14:solidFill>
                    <w14:schemeClr w14:val="tx1"/>
                  </w14:solidFill>
                </w14:textFill>
              </w:rPr>
              <w:t>11120.28</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4"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3123"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年均利润总额</w:t>
            </w:r>
          </w:p>
        </w:tc>
        <w:tc>
          <w:tcPr>
            <w:tcW w:w="1361" w:type="pct"/>
            <w:vAlign w:val="bottom"/>
          </w:tcPr>
          <w:p>
            <w:pPr>
              <w:pStyle w:val="232"/>
              <w:rPr>
                <w:color w:val="000000" w:themeColor="text1"/>
                <w14:textFill>
                  <w14:solidFill>
                    <w14:schemeClr w14:val="tx1"/>
                  </w14:solidFill>
                </w14:textFill>
              </w:rPr>
            </w:pPr>
            <w:r>
              <w:rPr>
                <w:color w:val="000000" w:themeColor="text1"/>
                <w:sz w:val="22"/>
                <w14:textFill>
                  <w14:solidFill>
                    <w14:schemeClr w14:val="tx1"/>
                  </w14:solidFill>
                </w14:textFill>
              </w:rPr>
              <w:t>2294.78</w:t>
            </w:r>
          </w:p>
        </w:tc>
      </w:tr>
    </w:tbl>
    <w:p>
      <w:pPr>
        <w:ind w:firstLine="480"/>
        <w:rPr>
          <w:color w:val="000000" w:themeColor="text1"/>
          <w14:textFill>
            <w14:solidFill>
              <w14:schemeClr w14:val="tx1"/>
            </w14:solidFill>
          </w14:textFill>
        </w:rPr>
      </w:pPr>
      <w:r>
        <w:rPr>
          <w:color w:val="000000" w:themeColor="text1"/>
          <w14:textFill>
            <w14:solidFill>
              <w14:schemeClr w14:val="tx1"/>
            </w14:solidFill>
          </w14:textFill>
        </w:rPr>
        <w:t>从表</w:t>
      </w:r>
      <w:r>
        <w:rPr>
          <w:rFonts w:hint="eastAsia"/>
          <w:color w:val="000000" w:themeColor="text1"/>
          <w14:textFill>
            <w14:solidFill>
              <w14:schemeClr w14:val="tx1"/>
            </w14:solidFill>
          </w14:textFill>
        </w:rPr>
        <w:t>8.1</w:t>
      </w:r>
      <w:r>
        <w:rPr>
          <w:color w:val="000000" w:themeColor="text1"/>
          <w14:textFill>
            <w14:solidFill>
              <w14:schemeClr w14:val="tx1"/>
            </w14:solidFill>
          </w14:textFill>
        </w:rPr>
        <w:t>-1可见，本项目财务生存能力良好，工程财务指标较好，具有较强的清偿能力和抗风险能力，因而从经济方面考虑本项目可行。</w:t>
      </w:r>
    </w:p>
    <w:p>
      <w:pPr>
        <w:pStyle w:val="3"/>
        <w:spacing w:before="120" w:after="120"/>
        <w:rPr>
          <w:color w:val="000000" w:themeColor="text1"/>
          <w14:textFill>
            <w14:solidFill>
              <w14:schemeClr w14:val="tx1"/>
            </w14:solidFill>
          </w14:textFill>
        </w:rPr>
      </w:pPr>
      <w:bookmarkStart w:id="266" w:name="_Toc523322385"/>
      <w:bookmarkStart w:id="267" w:name="_Toc101428544"/>
      <w:bookmarkStart w:id="268" w:name="_Toc487188666"/>
      <w:bookmarkStart w:id="269" w:name="_Toc11258"/>
      <w:bookmarkStart w:id="270" w:name="_Toc494206392"/>
      <w:r>
        <w:rPr>
          <w:color w:val="000000" w:themeColor="text1"/>
          <w14:textFill>
            <w14:solidFill>
              <w14:schemeClr w14:val="tx1"/>
            </w14:solidFill>
          </w14:textFill>
        </w:rPr>
        <w:t>社会效益分析</w:t>
      </w:r>
      <w:bookmarkEnd w:id="266"/>
      <w:bookmarkEnd w:id="267"/>
      <w:bookmarkEnd w:id="268"/>
      <w:bookmarkEnd w:id="269"/>
      <w:bookmarkEnd w:id="270"/>
    </w:p>
    <w:p>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本项目建成投产后，不仅可以增加国家和地方财税收入，同时可以增加新的就业岗位，带动相关产业的发展，增加间接的就业机会，对促进区域经济和社会发展具有重要意义。</w:t>
      </w:r>
    </w:p>
    <w:p>
      <w:pPr>
        <w:pStyle w:val="3"/>
        <w:spacing w:before="120" w:after="120"/>
        <w:rPr>
          <w:color w:val="000000" w:themeColor="text1"/>
          <w14:textFill>
            <w14:solidFill>
              <w14:schemeClr w14:val="tx1"/>
            </w14:solidFill>
          </w14:textFill>
        </w:rPr>
      </w:pPr>
      <w:bookmarkStart w:id="271" w:name="_Toc487188667"/>
      <w:bookmarkStart w:id="272" w:name="_Toc21800"/>
      <w:bookmarkStart w:id="273" w:name="_Toc101428545"/>
      <w:bookmarkStart w:id="274" w:name="_Toc494206393"/>
      <w:bookmarkStart w:id="275" w:name="_Toc523322386"/>
      <w:r>
        <w:rPr>
          <w:color w:val="000000" w:themeColor="text1"/>
          <w14:textFill>
            <w14:solidFill>
              <w14:schemeClr w14:val="tx1"/>
            </w14:solidFill>
          </w14:textFill>
        </w:rPr>
        <w:t>环境</w:t>
      </w:r>
      <w:r>
        <w:rPr>
          <w:rFonts w:hint="eastAsia"/>
          <w:color w:val="000000" w:themeColor="text1"/>
          <w14:textFill>
            <w14:solidFill>
              <w14:schemeClr w14:val="tx1"/>
            </w14:solidFill>
          </w14:textFill>
        </w:rPr>
        <w:t>效益</w:t>
      </w:r>
      <w:r>
        <w:rPr>
          <w:color w:val="000000" w:themeColor="text1"/>
          <w14:textFill>
            <w14:solidFill>
              <w14:schemeClr w14:val="tx1"/>
            </w14:solidFill>
          </w14:textFill>
        </w:rPr>
        <w:t>分析</w:t>
      </w:r>
      <w:bookmarkEnd w:id="271"/>
      <w:bookmarkEnd w:id="272"/>
      <w:bookmarkEnd w:id="273"/>
      <w:bookmarkEnd w:id="274"/>
      <w:bookmarkEnd w:id="275"/>
    </w:p>
    <w:p>
      <w:pPr>
        <w:pStyle w:val="4"/>
        <w:rPr>
          <w:color w:val="000000" w:themeColor="text1"/>
          <w14:textFill>
            <w14:solidFill>
              <w14:schemeClr w14:val="tx1"/>
            </w14:solidFill>
          </w14:textFill>
        </w:rPr>
      </w:pPr>
      <w:bookmarkStart w:id="276" w:name="_Toc487188668"/>
      <w:bookmarkStart w:id="277" w:name="_Toc101428546"/>
      <w:bookmarkStart w:id="278" w:name="_Toc523322387"/>
      <w:bookmarkStart w:id="279" w:name="_Toc494206394"/>
      <w:r>
        <w:rPr>
          <w:color w:val="000000" w:themeColor="text1"/>
          <w14:textFill>
            <w14:solidFill>
              <w14:schemeClr w14:val="tx1"/>
            </w14:solidFill>
          </w14:textFill>
        </w:rPr>
        <w:t>环保投资费用</w:t>
      </w:r>
      <w:bookmarkEnd w:id="276"/>
      <w:bookmarkEnd w:id="277"/>
      <w:bookmarkEnd w:id="278"/>
      <w:bookmarkEnd w:id="279"/>
    </w:p>
    <w:p>
      <w:pPr>
        <w:ind w:firstLine="480"/>
        <w:rPr>
          <w:color w:val="000000" w:themeColor="text1"/>
          <w14:textFill>
            <w14:solidFill>
              <w14:schemeClr w14:val="tx1"/>
            </w14:solidFill>
          </w14:textFill>
        </w:rPr>
      </w:pPr>
      <w:r>
        <w:rPr>
          <w:color w:val="000000" w:themeColor="text1"/>
          <w14:textFill>
            <w14:solidFill>
              <w14:schemeClr w14:val="tx1"/>
            </w14:solidFill>
          </w14:textFill>
        </w:rPr>
        <w:t>环保投资主要包括废气处理工程、</w:t>
      </w:r>
      <w:r>
        <w:rPr>
          <w:rFonts w:hint="eastAsia"/>
          <w:color w:val="000000" w:themeColor="text1"/>
          <w14:textFill>
            <w14:solidFill>
              <w14:schemeClr w14:val="tx1"/>
            </w14:solidFill>
          </w14:textFill>
        </w:rPr>
        <w:t>地下水</w:t>
      </w:r>
      <w:r>
        <w:rPr>
          <w:color w:val="000000" w:themeColor="text1"/>
          <w14:textFill>
            <w14:solidFill>
              <w14:schemeClr w14:val="tx1"/>
            </w14:solidFill>
          </w14:textFill>
        </w:rPr>
        <w:t>防治工程、噪声处理工程和其它不可预见费用等。本工程总投资为</w:t>
      </w:r>
      <w:r>
        <w:rPr>
          <w:rFonts w:hint="eastAsia"/>
          <w:color w:val="000000" w:themeColor="text1"/>
          <w14:textFill>
            <w14:solidFill>
              <w14:schemeClr w14:val="tx1"/>
            </w14:solidFill>
          </w14:textFill>
        </w:rPr>
        <w:t>88000</w:t>
      </w:r>
      <w:r>
        <w:rPr>
          <w:color w:val="000000" w:themeColor="text1"/>
          <w14:textFill>
            <w14:solidFill>
              <w14:schemeClr w14:val="tx1"/>
            </w14:solidFill>
          </w14:textFill>
        </w:rPr>
        <w:t>万元，其中</w:t>
      </w:r>
      <w:r>
        <w:rPr>
          <w:rFonts w:hint="eastAsia"/>
          <w:color w:val="000000" w:themeColor="text1"/>
          <w14:textFill>
            <w14:solidFill>
              <w14:schemeClr w14:val="tx1"/>
            </w14:solidFill>
          </w14:textFill>
        </w:rPr>
        <w:t>环保投资</w:t>
      </w:r>
      <w:r>
        <w:rPr>
          <w:rFonts w:hint="eastAsia"/>
          <w:color w:val="000000" w:themeColor="text1"/>
          <w:lang w:eastAsia="zh-CN"/>
          <w14:textFill>
            <w14:solidFill>
              <w14:schemeClr w14:val="tx1"/>
            </w14:solidFill>
          </w14:textFill>
        </w:rPr>
        <w:t>1033</w:t>
      </w:r>
      <w:r>
        <w:rPr>
          <w:rFonts w:hint="eastAsia"/>
          <w:color w:val="000000" w:themeColor="text1"/>
          <w14:textFill>
            <w14:solidFill>
              <w14:schemeClr w14:val="tx1"/>
            </w14:solidFill>
          </w14:textFill>
        </w:rPr>
        <w:t>万元，占总投资比例为</w:t>
      </w:r>
      <w:r>
        <w:rPr>
          <w:rFonts w:hint="eastAsia"/>
          <w:color w:val="000000" w:themeColor="text1"/>
          <w:lang w:eastAsia="zh-CN"/>
          <w14:textFill>
            <w14:solidFill>
              <w14:schemeClr w14:val="tx1"/>
            </w14:solidFill>
          </w14:textFill>
        </w:rPr>
        <w:t>1.17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投资分配情况见</w:t>
      </w:r>
      <w:r>
        <w:rPr>
          <w:rFonts w:hint="eastAsia"/>
          <w:color w:val="000000" w:themeColor="text1"/>
          <w14:textFill>
            <w14:solidFill>
              <w14:schemeClr w14:val="tx1"/>
            </w14:solidFill>
          </w14:textFill>
        </w:rPr>
        <w:t>下</w:t>
      </w:r>
      <w:r>
        <w:rPr>
          <w:color w:val="000000" w:themeColor="text1"/>
          <w14:textFill>
            <w14:solidFill>
              <w14:schemeClr w14:val="tx1"/>
            </w14:solidFill>
          </w14:textFill>
        </w:rPr>
        <w:t>表</w:t>
      </w:r>
      <w:r>
        <w:rPr>
          <w:rFonts w:hint="eastAsia"/>
          <w:color w:val="000000" w:themeColor="text1"/>
          <w14:textFill>
            <w14:solidFill>
              <w14:schemeClr w14:val="tx1"/>
            </w14:solidFill>
          </w14:textFill>
        </w:rPr>
        <w:t>。</w:t>
      </w:r>
    </w:p>
    <w:p>
      <w:pPr>
        <w:pStyle w:val="4"/>
      </w:pPr>
      <w:bookmarkStart w:id="280" w:name="_Toc494206395"/>
      <w:bookmarkStart w:id="281" w:name="_Toc523322388"/>
      <w:bookmarkStart w:id="282" w:name="_Toc101428547"/>
      <w:bookmarkStart w:id="283" w:name="_Toc487188669"/>
      <w:r>
        <w:t>环保设施运行费用</w:t>
      </w:r>
      <w:bookmarkEnd w:id="280"/>
      <w:bookmarkEnd w:id="281"/>
      <w:bookmarkEnd w:id="282"/>
      <w:bookmarkEnd w:id="283"/>
    </w:p>
    <w:p>
      <w:pPr>
        <w:ind w:firstLine="480"/>
      </w:pPr>
      <w:r>
        <w:t>（1）设备运行费用</w:t>
      </w:r>
    </w:p>
    <w:p>
      <w:pPr>
        <w:ind w:firstLine="480"/>
      </w:pPr>
      <w:r>
        <w:fldChar w:fldCharType="begin"/>
      </w:r>
      <w:r>
        <w:instrText xml:space="preserve"> = 1 \* GB3 </w:instrText>
      </w:r>
      <w:r>
        <w:fldChar w:fldCharType="separate"/>
      </w:r>
      <w:r>
        <w:rPr>
          <w:rFonts w:hint="eastAsia"/>
        </w:rPr>
        <w:t>①</w:t>
      </w:r>
      <w:r>
        <w:fldChar w:fldCharType="end"/>
      </w:r>
      <w:r>
        <w:t>环保设施折旧费C1</w:t>
      </w:r>
    </w:p>
    <w:p>
      <w:pPr>
        <w:ind w:firstLine="480"/>
      </w:pPr>
      <w:r>
        <w:t>本项目环保设施投资折旧费由下式计算：</w:t>
      </w:r>
    </w:p>
    <w:p>
      <w:pPr>
        <w:ind w:firstLine="0" w:firstLineChars="0"/>
        <w:jc w:val="center"/>
      </w:pPr>
      <w:r>
        <w:t>C1=a×C0/n</w:t>
      </w:r>
    </w:p>
    <w:p>
      <w:pPr>
        <w:ind w:firstLine="480"/>
      </w:pPr>
      <w:r>
        <w:t>式中：</w:t>
      </w:r>
    </w:p>
    <w:p>
      <w:pPr>
        <w:ind w:firstLine="480"/>
      </w:pPr>
      <w:r>
        <w:t>a——固定资产形成率，取环保投资的85%；</w:t>
      </w:r>
    </w:p>
    <w:p>
      <w:pPr>
        <w:ind w:firstLine="480"/>
      </w:pPr>
      <w:r>
        <w:t>C0——环保总投资（万元）</w:t>
      </w:r>
    </w:p>
    <w:p>
      <w:pPr>
        <w:ind w:firstLine="480"/>
      </w:pPr>
      <w:r>
        <w:t>n——折旧年限，取10年</w:t>
      </w:r>
    </w:p>
    <w:p>
      <w:pPr>
        <w:ind w:firstLine="480"/>
      </w:pPr>
      <w:r>
        <w:t>环保设施投资折旧费计算结果为</w:t>
      </w:r>
      <w:r>
        <w:rPr>
          <w:rFonts w:hint="eastAsia"/>
          <w:lang w:val="en-US" w:eastAsia="zh-CN"/>
        </w:rPr>
        <w:t>87.8</w:t>
      </w:r>
      <w:r>
        <w:t>万元/年。</w:t>
      </w:r>
    </w:p>
    <w:p>
      <w:pPr>
        <w:ind w:firstLine="480"/>
      </w:pPr>
      <w:r>
        <w:fldChar w:fldCharType="begin"/>
      </w:r>
      <w:r>
        <w:instrText xml:space="preserve"> = 2 \* GB3 </w:instrText>
      </w:r>
      <w:r>
        <w:fldChar w:fldCharType="separate"/>
      </w:r>
      <w:r>
        <w:rPr>
          <w:rFonts w:hint="eastAsia"/>
        </w:rPr>
        <w:t>②</w:t>
      </w:r>
      <w:r>
        <w:fldChar w:fldCharType="end"/>
      </w:r>
      <w:r>
        <w:t>环保设施运行费用C2</w:t>
      </w:r>
    </w:p>
    <w:p>
      <w:pPr>
        <w:ind w:firstLine="480"/>
      </w:pPr>
      <w:r>
        <w:t>参照国内外企业环保设施运行费的相关资料，环保设施的年运行得用可按环保投资的</w:t>
      </w:r>
      <w:r>
        <w:rPr>
          <w:rFonts w:hint="eastAsia"/>
        </w:rPr>
        <w:t>5</w:t>
      </w:r>
      <w:r>
        <w:t>%计算。</w:t>
      </w:r>
    </w:p>
    <w:p>
      <w:pPr>
        <w:ind w:firstLine="0" w:firstLineChars="0"/>
        <w:jc w:val="center"/>
      </w:pPr>
      <w:r>
        <w:t>C2=C0×</w:t>
      </w:r>
      <w:r>
        <w:rPr>
          <w:rFonts w:hint="eastAsia"/>
        </w:rPr>
        <w:t>5</w:t>
      </w:r>
      <w:r>
        <w:t>%=</w:t>
      </w:r>
      <w:r>
        <w:rPr>
          <w:rFonts w:hint="eastAsia"/>
          <w:lang w:val="en-US" w:eastAsia="zh-CN"/>
        </w:rPr>
        <w:t>10.38</w:t>
      </w:r>
      <w:r>
        <w:t>（万元/年）</w:t>
      </w:r>
    </w:p>
    <w:p>
      <w:pPr>
        <w:ind w:firstLine="480"/>
      </w:pPr>
      <w:r>
        <w:fldChar w:fldCharType="begin"/>
      </w:r>
      <w:r>
        <w:instrText xml:space="preserve"> = 3 \* GB3 </w:instrText>
      </w:r>
      <w:r>
        <w:fldChar w:fldCharType="separate"/>
      </w:r>
      <w:r>
        <w:rPr>
          <w:rFonts w:hint="eastAsia"/>
        </w:rPr>
        <w:t>③</w:t>
      </w:r>
      <w:r>
        <w:fldChar w:fldCharType="end"/>
      </w:r>
      <w:r>
        <w:t>环保管理费用C3</w:t>
      </w:r>
    </w:p>
    <w:p>
      <w:pPr>
        <w:ind w:firstLine="480"/>
      </w:pPr>
      <w:r>
        <w:t>环保管理费用包括管理部门的办公费、检测费、技术咨询、学术交流和科研等费用，按环保投资的1.0%计算。</w:t>
      </w:r>
    </w:p>
    <w:p>
      <w:pPr>
        <w:ind w:firstLine="0" w:firstLineChars="0"/>
        <w:jc w:val="center"/>
      </w:pPr>
      <w:r>
        <w:t>C3=C0×1</w:t>
      </w:r>
      <w:r>
        <w:rPr>
          <w:rFonts w:hint="eastAsia"/>
        </w:rPr>
        <w:t>.0</w:t>
      </w:r>
      <w:r>
        <w:t>%=</w:t>
      </w:r>
      <w:r>
        <w:rPr>
          <w:rFonts w:hint="eastAsia"/>
          <w:lang w:val="en-US" w:eastAsia="zh-CN"/>
        </w:rPr>
        <w:t>10.33</w:t>
      </w:r>
      <w:r>
        <w:t>（万元/年）</w:t>
      </w:r>
    </w:p>
    <w:p>
      <w:pPr>
        <w:ind w:firstLine="480"/>
      </w:pPr>
      <w:r>
        <w:fldChar w:fldCharType="begin"/>
      </w:r>
      <w:r>
        <w:instrText xml:space="preserve"> = 4 \* GB3 </w:instrText>
      </w:r>
      <w:r>
        <w:fldChar w:fldCharType="separate"/>
      </w:r>
      <w:r>
        <w:rPr>
          <w:rFonts w:hint="eastAsia"/>
        </w:rPr>
        <w:t>④</w:t>
      </w:r>
      <w:r>
        <w:fldChar w:fldCharType="end"/>
      </w:r>
      <w:r>
        <w:t>环保设施经营支出C</w:t>
      </w:r>
    </w:p>
    <w:p>
      <w:pPr>
        <w:ind w:firstLine="480"/>
      </w:pPr>
      <w:r>
        <w:t>环保设施经营支出费用为折旧费、运行费和管理费之和，即：</w:t>
      </w:r>
    </w:p>
    <w:p>
      <w:pPr>
        <w:ind w:firstLine="0" w:firstLineChars="0"/>
        <w:jc w:val="center"/>
      </w:pPr>
      <w:r>
        <w:t>C=C1+C2+C3=</w:t>
      </w:r>
      <w:r>
        <w:rPr>
          <w:rFonts w:hint="eastAsia"/>
          <w:lang w:val="en-US" w:eastAsia="zh-CN"/>
        </w:rPr>
        <w:t>108.51</w:t>
      </w:r>
      <w:r>
        <w:t>（万元/年）</w:t>
      </w:r>
    </w:p>
    <w:p>
      <w:pPr>
        <w:ind w:firstLine="480"/>
      </w:pPr>
      <w:r>
        <w:t>项目完成后，环保投资</w:t>
      </w:r>
      <w:r>
        <w:rPr>
          <w:rFonts w:hint="eastAsia"/>
          <w:lang w:eastAsia="zh-CN"/>
        </w:rPr>
        <w:t>1033</w:t>
      </w:r>
      <w:r>
        <w:t>万元，各项治理措施的运行每年还需投入经营费用（即负效益）</w:t>
      </w:r>
      <w:r>
        <w:rPr>
          <w:rFonts w:hint="eastAsia"/>
          <w:lang w:val="en-US" w:eastAsia="zh-CN"/>
        </w:rPr>
        <w:t>108.51</w:t>
      </w:r>
      <w:r>
        <w:t>万元</w:t>
      </w:r>
      <w:r>
        <w:rPr>
          <w:rFonts w:hint="eastAsia"/>
        </w:rPr>
        <w:t>。</w:t>
      </w:r>
    </w:p>
    <w:p>
      <w:pPr>
        <w:pStyle w:val="4"/>
        <w:rPr>
          <w:color w:val="000000" w:themeColor="text1"/>
          <w14:textFill>
            <w14:solidFill>
              <w14:schemeClr w14:val="tx1"/>
            </w14:solidFill>
          </w14:textFill>
        </w:rPr>
      </w:pPr>
      <w:bookmarkStart w:id="284" w:name="_Toc523322389"/>
      <w:bookmarkStart w:id="285" w:name="_Toc101428548"/>
      <w:r>
        <w:rPr>
          <w:rFonts w:hint="eastAsia"/>
          <w:color w:val="000000" w:themeColor="text1"/>
          <w14:textFill>
            <w14:solidFill>
              <w14:schemeClr w14:val="tx1"/>
            </w14:solidFill>
          </w14:textFill>
        </w:rPr>
        <w:t>环保效益估算</w:t>
      </w:r>
      <w:bookmarkEnd w:id="284"/>
      <w:bookmarkEnd w:id="285"/>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环保效益即环保设施的环境经济效益，包括直接经济效益和间接经济效益。</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）直接经济效益</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直接经济效益是指实施污染治理措施后，循环利用及回收资源所产生的经济效益。对拟建项目而言，生产过程中的废水进行了循环利用，既节约能源，又减少了污染物的排放。类比同类项目，资源能源循环利用后产生的直接经济效益约为</w:t>
      </w:r>
      <w:r>
        <w:rPr>
          <w:color w:val="000000" w:themeColor="text1"/>
          <w14:textFill>
            <w14:solidFill>
              <w14:schemeClr w14:val="tx1"/>
            </w14:solidFill>
          </w14:textFill>
        </w:rPr>
        <w:t>215</w:t>
      </w:r>
      <w:r>
        <w:rPr>
          <w:rFonts w:hint="eastAsia"/>
          <w:color w:val="000000" w:themeColor="text1"/>
          <w14:textFill>
            <w14:solidFill>
              <w14:schemeClr w14:val="tx1"/>
            </w14:solidFill>
          </w14:textFill>
        </w:rPr>
        <w:t>万元。</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）间接经济效益</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间接经济效益主要指环保设施带来的社会效益，包括环境污染损失的减少，人体健康的保护费用的减少，控制污染物达标排放免交或少交排污费、罚款和赔偿费等。</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就本项目而言，可量化的间接经济效益表现为因污染治理达标而免交的排污费。根据排污费收取办法，本项目污染物治理全部达标排放后，预计达标排放的废气每年可免交排污费约15万元。因此，拟建项目可挽回的经济损失共计约2</w:t>
      </w:r>
      <w:r>
        <w:rPr>
          <w:color w:val="000000" w:themeColor="text1"/>
          <w14:textFill>
            <w14:solidFill>
              <w14:schemeClr w14:val="tx1"/>
            </w14:solidFill>
          </w14:textFill>
        </w:rPr>
        <w:t>30</w:t>
      </w:r>
      <w:r>
        <w:rPr>
          <w:rFonts w:hint="eastAsia"/>
          <w:color w:val="000000" w:themeColor="text1"/>
          <w14:textFill>
            <w14:solidFill>
              <w14:schemeClr w14:val="tx1"/>
            </w14:solidFill>
          </w14:textFill>
        </w:rPr>
        <w:t>万元</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年。</w:t>
      </w:r>
    </w:p>
    <w:p>
      <w:pPr>
        <w:pStyle w:val="4"/>
        <w:rPr>
          <w:color w:val="000000" w:themeColor="text1"/>
          <w14:textFill>
            <w14:solidFill>
              <w14:schemeClr w14:val="tx1"/>
            </w14:solidFill>
          </w14:textFill>
        </w:rPr>
      </w:pPr>
      <w:bookmarkStart w:id="286" w:name="_Toc523322390"/>
      <w:bookmarkStart w:id="287" w:name="_Toc471227877"/>
      <w:bookmarkStart w:id="288" w:name="_Toc101428549"/>
      <w:r>
        <w:rPr>
          <w:color w:val="000000" w:themeColor="text1"/>
          <w14:textFill>
            <w14:solidFill>
              <w14:schemeClr w14:val="tx1"/>
            </w14:solidFill>
          </w14:textFill>
        </w:rPr>
        <w:t>经济效益分析</w:t>
      </w:r>
      <w:bookmarkEnd w:id="286"/>
      <w:bookmarkEnd w:id="287"/>
      <w:bookmarkEnd w:id="288"/>
    </w:p>
    <w:p>
      <w:pPr>
        <w:ind w:firstLine="480"/>
        <w:rPr>
          <w:color w:val="000000" w:themeColor="text1"/>
          <w14:textFill>
            <w14:solidFill>
              <w14:schemeClr w14:val="tx1"/>
            </w14:solidFill>
          </w14:textFill>
        </w:rPr>
      </w:pPr>
      <w:bookmarkStart w:id="289" w:name="_Toc487188670"/>
      <w:bookmarkStart w:id="290" w:name="_Toc494206396"/>
      <w:r>
        <w:rPr>
          <w:rFonts w:hint="eastAsia"/>
          <w:color w:val="000000" w:themeColor="text1"/>
          <w14:textFill>
            <w14:solidFill>
              <w14:schemeClr w14:val="tx1"/>
            </w14:solidFill>
          </w14:textFill>
        </w:rPr>
        <w:t>经济损益（</w:t>
      </w:r>
      <w:r>
        <w:rPr>
          <w:color w:val="000000" w:themeColor="text1"/>
          <w14:textFill>
            <w14:solidFill>
              <w14:schemeClr w14:val="tx1"/>
            </w14:solidFill>
          </w14:textFill>
        </w:rPr>
        <w:t>Zj</w:t>
      </w:r>
      <w:r>
        <w:rPr>
          <w:rFonts w:hint="eastAsia"/>
          <w:color w:val="000000" w:themeColor="text1"/>
          <w14:textFill>
            <w14:solidFill>
              <w14:schemeClr w14:val="tx1"/>
            </w14:solidFill>
          </w14:textFill>
        </w:rPr>
        <w:t>）值的计算采用因采取有效的环保措施而挽回的经济损失（产生的效益）与年环保费用之比的方法来确定，即：</w:t>
      </w:r>
    </w:p>
    <w:p>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184910" cy="652145"/>
            <wp:effectExtent l="0" t="0" r="5715" b="5080"/>
            <wp:docPr id="80" name="图片 80"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1531128282(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式中：</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Sij</w:t>
      </w:r>
      <w:r>
        <w:rPr>
          <w:rFonts w:hint="eastAsia"/>
          <w:color w:val="000000" w:themeColor="text1"/>
          <w14:textFill>
            <w14:solidFill>
              <w14:schemeClr w14:val="tx1"/>
            </w14:solidFill>
          </w14:textFill>
        </w:rPr>
        <w:t>——由于防止（或减少）损失而挽回的经济价值；</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Hi</w:t>
      </w:r>
      <w:r>
        <w:rPr>
          <w:rFonts w:hint="eastAsia"/>
          <w:color w:val="000000" w:themeColor="text1"/>
          <w14:textFill>
            <w14:solidFill>
              <w14:schemeClr w14:val="tx1"/>
            </w14:solidFill>
          </w14:textFill>
        </w:rPr>
        <w:t>——年环保费用。</w:t>
      </w:r>
    </w:p>
    <w:p>
      <w:pPr>
        <w:ind w:firstLine="480"/>
        <w:rPr>
          <w:color w:val="000000" w:themeColor="text1"/>
          <w:sz w:val="20"/>
          <w:szCs w:val="20"/>
          <w14:textFill>
            <w14:solidFill>
              <w14:schemeClr w14:val="tx1"/>
            </w14:solidFill>
          </w14:textFill>
        </w:rPr>
      </w:pPr>
      <w:r>
        <w:rPr>
          <w:rFonts w:hint="eastAsia"/>
          <w:color w:val="000000" w:themeColor="text1"/>
          <w14:textFill>
            <w14:solidFill>
              <w14:schemeClr w14:val="tx1"/>
            </w14:solidFill>
          </w14:textFill>
        </w:rPr>
        <w:t>根据以上分析，计算出拟建项目的经济损益值为</w:t>
      </w:r>
      <w:r>
        <w:rPr>
          <w:color w:val="000000" w:themeColor="text1"/>
          <w14:textFill>
            <w14:solidFill>
              <w14:schemeClr w14:val="tx1"/>
            </w14:solidFill>
          </w14:textFill>
        </w:rPr>
        <w:t>3.78</w:t>
      </w:r>
      <w:r>
        <w:rPr>
          <w:rFonts w:hint="eastAsia"/>
          <w:color w:val="000000" w:themeColor="text1"/>
          <w14:textFill>
            <w14:solidFill>
              <w14:schemeClr w14:val="tx1"/>
            </w14:solidFill>
          </w14:textFill>
        </w:rPr>
        <w:t>，大于</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，表明拟建项目投入的环保治理经济效益较理想。</w:t>
      </w:r>
    </w:p>
    <w:p>
      <w:pPr>
        <w:pStyle w:val="3"/>
        <w:spacing w:before="120" w:after="120"/>
        <w:rPr>
          <w:color w:val="000000" w:themeColor="text1"/>
          <w14:textFill>
            <w14:solidFill>
              <w14:schemeClr w14:val="tx1"/>
            </w14:solidFill>
          </w14:textFill>
        </w:rPr>
      </w:pPr>
      <w:bookmarkStart w:id="291" w:name="_Toc101428550"/>
      <w:bookmarkStart w:id="292" w:name="_Toc523322391"/>
      <w:bookmarkStart w:id="293" w:name="_Toc8250"/>
      <w:r>
        <w:rPr>
          <w:color w:val="000000" w:themeColor="text1"/>
          <w14:textFill>
            <w14:solidFill>
              <w14:schemeClr w14:val="tx1"/>
            </w14:solidFill>
          </w14:textFill>
        </w:rPr>
        <w:t>小结</w:t>
      </w:r>
      <w:bookmarkEnd w:id="289"/>
      <w:bookmarkEnd w:id="290"/>
      <w:bookmarkEnd w:id="291"/>
      <w:bookmarkEnd w:id="292"/>
      <w:bookmarkEnd w:id="293"/>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本项目建成投产后，不仅可以增加国家和地方财税收入，同时可以增加新的就业岗位，带动相关产业的发展，增加间接的就业机会，对促进区域经济和社会发展具有重要意义。</w:t>
      </w:r>
    </w:p>
    <w:p>
      <w:pPr>
        <w:ind w:firstLine="480"/>
        <w:rPr>
          <w:color w:val="000000" w:themeColor="text1"/>
          <w:sz w:val="20"/>
          <w:szCs w:val="20"/>
          <w14:textFill>
            <w14:solidFill>
              <w14:schemeClr w14:val="tx1"/>
            </w14:solidFill>
          </w14:textFill>
        </w:rPr>
      </w:pPr>
      <w:r>
        <w:rPr>
          <w:rFonts w:hint="eastAsia"/>
          <w:color w:val="000000" w:themeColor="text1"/>
          <w14:textFill>
            <w14:solidFill>
              <w14:schemeClr w14:val="tx1"/>
            </w14:solidFill>
          </w14:textFill>
        </w:rPr>
        <w:t>综上所述，从保护环境的角度出发，项目的效益是显著的、可行的。</w:t>
      </w:r>
    </w:p>
    <w:p>
      <w:pPr>
        <w:ind w:firstLine="480"/>
        <w:rPr>
          <w:color w:val="000000" w:themeColor="text1"/>
          <w:szCs w:val="20"/>
          <w14:textFill>
            <w14:solidFill>
              <w14:schemeClr w14:val="tx1"/>
            </w14:solidFill>
          </w14:textFill>
        </w:rPr>
      </w:pPr>
    </w:p>
    <w:p>
      <w:pPr>
        <w:ind w:firstLine="480"/>
        <w:rPr>
          <w:color w:val="000000" w:themeColor="text1"/>
          <w:szCs w:val="20"/>
          <w14:textFill>
            <w14:solidFill>
              <w14:schemeClr w14:val="tx1"/>
            </w14:solidFill>
          </w14:textFill>
        </w:rPr>
        <w:sectPr>
          <w:pgSz w:w="11906" w:h="16838"/>
          <w:pgMar w:top="1418" w:right="1418" w:bottom="1247" w:left="1701" w:header="851" w:footer="680" w:gutter="0"/>
          <w:pgNumType w:fmt="decimal"/>
          <w:cols w:space="720" w:num="1"/>
          <w:docGrid w:linePitch="326" w:charSpace="0"/>
        </w:sectPr>
      </w:pPr>
    </w:p>
    <w:p>
      <w:pPr>
        <w:pStyle w:val="2"/>
        <w:spacing w:before="120" w:after="120"/>
        <w:rPr>
          <w:color w:val="000000" w:themeColor="text1"/>
          <w14:textFill>
            <w14:solidFill>
              <w14:schemeClr w14:val="tx1"/>
            </w14:solidFill>
          </w14:textFill>
        </w:rPr>
      </w:pPr>
      <w:bookmarkStart w:id="294" w:name="_Toc523322392"/>
      <w:bookmarkStart w:id="295" w:name="_Toc26016"/>
      <w:bookmarkStart w:id="296" w:name="_Toc101428551"/>
      <w:r>
        <w:rPr>
          <w:color w:val="000000" w:themeColor="text1"/>
          <w14:textFill>
            <w14:solidFill>
              <w14:schemeClr w14:val="tx1"/>
            </w14:solidFill>
          </w14:textFill>
        </w:rPr>
        <w:t>环境管理与监测计划</w:t>
      </w:r>
      <w:bookmarkEnd w:id="294"/>
      <w:bookmarkEnd w:id="295"/>
      <w:bookmarkEnd w:id="296"/>
    </w:p>
    <w:p>
      <w:pPr>
        <w:ind w:firstLine="480"/>
        <w:rPr>
          <w:color w:val="000000" w:themeColor="text1"/>
          <w14:textFill>
            <w14:solidFill>
              <w14:schemeClr w14:val="tx1"/>
            </w14:solidFill>
          </w14:textFill>
        </w:rPr>
      </w:pPr>
      <w:r>
        <w:rPr>
          <w:color w:val="000000" w:themeColor="text1"/>
          <w14:textFill>
            <w14:solidFill>
              <w14:schemeClr w14:val="tx1"/>
            </w14:solidFill>
          </w14:textFill>
        </w:rPr>
        <w:t>环境管理及监测计划的制定和执行，为环境统计和环境定量评价提供科学依据，可以保证各项污染防治措施的实施与落实，可以及时发现环保措施出现的问题并进行修正和改进。因此企业建立相应的环境管理计划与监测计划，才能确保企业环境设施正常运行和达标</w:t>
      </w:r>
      <w:r>
        <w:rPr>
          <w:rFonts w:hint="eastAsia"/>
          <w:color w:val="000000" w:themeColor="text1"/>
          <w14:textFill>
            <w14:solidFill>
              <w14:schemeClr w14:val="tx1"/>
            </w14:solidFill>
          </w14:textFill>
        </w:rPr>
        <w:t>排放</w:t>
      </w:r>
      <w:r>
        <w:rPr>
          <w:color w:val="000000" w:themeColor="text1"/>
          <w14:textFill>
            <w14:solidFill>
              <w14:schemeClr w14:val="tx1"/>
            </w14:solidFill>
          </w14:textFill>
        </w:rPr>
        <w:t>，预防风险事故并减低事故损失，使建设项目对环境的危害控制在最小范围内。</w:t>
      </w:r>
    </w:p>
    <w:p>
      <w:pPr>
        <w:pStyle w:val="3"/>
        <w:spacing w:before="120" w:after="120"/>
        <w:rPr>
          <w:color w:val="000000" w:themeColor="text1"/>
          <w14:textFill>
            <w14:solidFill>
              <w14:schemeClr w14:val="tx1"/>
            </w14:solidFill>
          </w14:textFill>
        </w:rPr>
      </w:pPr>
      <w:bookmarkStart w:id="297" w:name="_Toc101428552"/>
      <w:bookmarkStart w:id="298" w:name="_Toc29258"/>
      <w:r>
        <w:rPr>
          <w:rFonts w:hint="eastAsia"/>
          <w:color w:val="000000" w:themeColor="text1"/>
          <w14:textFill>
            <w14:solidFill>
              <w14:schemeClr w14:val="tx1"/>
            </w14:solidFill>
          </w14:textFill>
        </w:rPr>
        <w:t>污染物总量控制分析</w:t>
      </w:r>
      <w:bookmarkEnd w:id="297"/>
      <w:bookmarkEnd w:id="298"/>
    </w:p>
    <w:p>
      <w:pPr>
        <w:ind w:firstLine="480"/>
        <w:rPr>
          <w:rFonts w:hint="eastAsia"/>
          <w:color w:val="FF0000"/>
        </w:rPr>
      </w:pPr>
      <w:bookmarkStart w:id="299" w:name="_Hlk46775430"/>
      <w:r>
        <w:rPr>
          <w:rFonts w:hint="eastAsia"/>
          <w:color w:val="FF0000"/>
        </w:rPr>
        <w:t>根据项目工程分析，项目大气污染物不涉及SO</w:t>
      </w:r>
      <w:r>
        <w:rPr>
          <w:rFonts w:hint="eastAsia"/>
          <w:color w:val="FF0000"/>
          <w:vertAlign w:val="subscript"/>
        </w:rPr>
        <w:t>2</w:t>
      </w:r>
      <w:r>
        <w:rPr>
          <w:rFonts w:hint="eastAsia"/>
          <w:color w:val="FF0000"/>
        </w:rPr>
        <w:t>、NO</w:t>
      </w:r>
      <w:r>
        <w:rPr>
          <w:rFonts w:hint="eastAsia"/>
          <w:color w:val="FF0000"/>
          <w:vertAlign w:val="subscript"/>
        </w:rPr>
        <w:t>X</w:t>
      </w:r>
      <w:r>
        <w:rPr>
          <w:rFonts w:hint="eastAsia"/>
          <w:color w:val="FF0000"/>
        </w:rPr>
        <w:t>、挥发性有机物等</w:t>
      </w:r>
      <w:bookmarkEnd w:id="299"/>
      <w:bookmarkStart w:id="300" w:name="_Toc530643020"/>
      <w:r>
        <w:rPr>
          <w:rFonts w:hint="eastAsia"/>
          <w:color w:val="FF0000"/>
          <w:lang w:eastAsia="zh-CN"/>
        </w:rPr>
        <w:t>；</w:t>
      </w:r>
      <w:r>
        <w:rPr>
          <w:rFonts w:hint="eastAsia"/>
          <w:color w:val="FF0000"/>
          <w:lang w:val="en-US" w:eastAsia="zh-CN"/>
        </w:rPr>
        <w:t>不单独对羊尿进行收集，随粪便漏入羊舍下层粪污通道后，采用干清粪法将其一同清入堆肥平台进行发酵；</w:t>
      </w:r>
      <w:r>
        <w:rPr>
          <w:rFonts w:hint="eastAsia"/>
          <w:color w:val="FF0000"/>
        </w:rPr>
        <w:t>生活污水经管道排入化粪池</w:t>
      </w:r>
      <w:r>
        <w:rPr>
          <w:rFonts w:hint="eastAsia"/>
          <w:color w:val="FF0000"/>
          <w:lang w:val="en-US" w:eastAsia="zh-CN"/>
        </w:rPr>
        <w:t>后定期委托五原县塔尔湖污水处理厂采用罐车清运处理</w:t>
      </w:r>
      <w:r>
        <w:rPr>
          <w:rFonts w:hint="eastAsia"/>
          <w:color w:val="FF0000"/>
        </w:rPr>
        <w:t>。</w:t>
      </w:r>
    </w:p>
    <w:p>
      <w:pPr>
        <w:ind w:firstLine="480"/>
        <w:rPr>
          <w:b/>
          <w:bCs/>
          <w:color w:val="FF0000"/>
        </w:rPr>
      </w:pPr>
      <w:r>
        <w:rPr>
          <w:rFonts w:hint="eastAsia"/>
          <w:color w:val="FF0000"/>
        </w:rPr>
        <w:t>因此</w:t>
      </w:r>
      <w:r>
        <w:rPr>
          <w:rFonts w:hint="eastAsia"/>
          <w:color w:val="FF0000"/>
          <w:lang w:val="en-US" w:eastAsia="zh-CN"/>
        </w:rPr>
        <w:t>不涉及总量控制因子</w:t>
      </w:r>
      <w:r>
        <w:rPr>
          <w:rFonts w:hint="eastAsia"/>
          <w:color w:val="FF0000"/>
        </w:rPr>
        <w:t>。</w:t>
      </w:r>
    </w:p>
    <w:bookmarkEnd w:id="300"/>
    <w:p>
      <w:pPr>
        <w:pStyle w:val="3"/>
        <w:spacing w:before="120" w:after="120"/>
        <w:rPr>
          <w:color w:val="000000" w:themeColor="text1"/>
          <w14:textFill>
            <w14:solidFill>
              <w14:schemeClr w14:val="tx1"/>
            </w14:solidFill>
          </w14:textFill>
        </w:rPr>
      </w:pPr>
      <w:bookmarkStart w:id="301" w:name="_Toc523322393"/>
      <w:bookmarkStart w:id="302" w:name="_Toc101428557"/>
      <w:bookmarkStart w:id="303" w:name="_Toc487188672"/>
      <w:bookmarkStart w:id="304" w:name="_Toc940"/>
      <w:bookmarkStart w:id="305" w:name="_Toc494206398"/>
      <w:r>
        <w:rPr>
          <w:color w:val="000000" w:themeColor="text1"/>
          <w14:textFill>
            <w14:solidFill>
              <w14:schemeClr w14:val="tx1"/>
            </w14:solidFill>
          </w14:textFill>
        </w:rPr>
        <w:t>环境管理</w:t>
      </w:r>
      <w:bookmarkEnd w:id="301"/>
      <w:bookmarkEnd w:id="302"/>
      <w:bookmarkEnd w:id="303"/>
      <w:bookmarkEnd w:id="304"/>
      <w:bookmarkEnd w:id="305"/>
    </w:p>
    <w:p>
      <w:pPr>
        <w:pStyle w:val="4"/>
        <w:rPr>
          <w:color w:val="000000" w:themeColor="text1"/>
          <w14:textFill>
            <w14:solidFill>
              <w14:schemeClr w14:val="tx1"/>
            </w14:solidFill>
          </w14:textFill>
        </w:rPr>
      </w:pPr>
      <w:bookmarkStart w:id="306" w:name="_Toc101428558"/>
      <w:bookmarkStart w:id="307" w:name="_Toc523322394"/>
      <w:r>
        <w:rPr>
          <w:rFonts w:hint="eastAsia"/>
          <w:color w:val="000000" w:themeColor="text1"/>
          <w14:textFill>
            <w14:solidFill>
              <w14:schemeClr w14:val="tx1"/>
            </w14:solidFill>
          </w14:textFill>
        </w:rPr>
        <w:t>环境管理制度及组织机构</w:t>
      </w:r>
      <w:bookmarkEnd w:id="306"/>
      <w:bookmarkEnd w:id="307"/>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环境管理制度</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企业应建立环境保护责任制度，设立安全环保部门，配备专职环境保护管理人员协调、落实各部门的环保工作。制定企业《环境保护管理制度》、《项目建设环境保护管理制度》、《环保节能设施管理制度》、《环保会议制度》、《环保统计制度》、《环保现场检查与“红黄牌”挂牌制度》、《环保标准化管理制度》等一系列环保管理制度。</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环境管理机构</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根据国家有关建设项目环境保护的规定和该项目的建设，建议该项目从施工期开始，就在该项目管理组中设置环境保护管理岗位，配置</w:t>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名环保专业人员；在项目营运期，配备</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名环保专业人员。该项目的环境管理监督机构为各级生态环境主管部门，该项目的环境保护管理工作应接受各级生态环境主管部门的监督和指导，同时还应接受项目主管部门及公众的监督。</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环境管理职责</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（1）认真贯彻执行国家、地方环境保护法规和标准。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（2）建立和健全以清洁生产技术为核心的各项环境保护规章制度（岗位责任制、操作规程、安全制度、绿化管理规定等），并实施、落实环境监测制度。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（3）加强“三废”治理设施监督管理，确保“三废”处理设施正常并高效运行。</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建立污染源档案，并优化污染防治措施。按照上级环保部门的规范建立本企业有关“三废”排放量、排放浓度、噪声情况、固体废物综合利用、污染控制效果等情况档案，并按照有关规定编制各种报告与报表，负责向上级领导及环保部门呈报。</w:t>
      </w:r>
    </w:p>
    <w:p>
      <w:pPr>
        <w:ind w:firstLine="480"/>
        <w:rPr>
          <w:color w:val="000000" w:themeColor="text1"/>
          <w:sz w:val="20"/>
          <w:szCs w:val="20"/>
          <w14:textFill>
            <w14:solidFill>
              <w14:schemeClr w14:val="tx1"/>
            </w14:solidFill>
          </w14:textFill>
        </w:rPr>
      </w:pPr>
      <w:r>
        <w:rPr>
          <w:rFonts w:hint="eastAsia"/>
          <w:color w:val="000000" w:themeColor="text1"/>
          <w14:textFill>
            <w14:solidFill>
              <w14:schemeClr w14:val="tx1"/>
            </w14:solidFill>
          </w14:textFill>
        </w:rPr>
        <w:t>（5）搞好环境保护工作宣传和职工环境意识教育及技术培训等工作。协同当地环保部门处理与项目有关的环境问题，维护好公众的利益。</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（6）为全面掌握企业环境保护工作情况，进一步了解管理体系中可能存在的问题，建议公司内部每年应举行一次内部评审，检查环境管理工作的问题和不足，对发现的问题和不足，提出改进意见。</w:t>
      </w:r>
    </w:p>
    <w:p>
      <w:pPr>
        <w:pStyle w:val="4"/>
        <w:rPr>
          <w:color w:val="000000" w:themeColor="text1"/>
          <w14:textFill>
            <w14:solidFill>
              <w14:schemeClr w14:val="tx1"/>
            </w14:solidFill>
          </w14:textFill>
        </w:rPr>
      </w:pPr>
      <w:bookmarkStart w:id="308" w:name="_Toc523322397"/>
      <w:bookmarkStart w:id="309" w:name="_Toc101428559"/>
      <w:r>
        <w:rPr>
          <w:color w:val="000000" w:themeColor="text1"/>
          <w14:textFill>
            <w14:solidFill>
              <w14:schemeClr w14:val="tx1"/>
            </w14:solidFill>
          </w14:textFill>
        </w:rPr>
        <w:t>排污许可</w:t>
      </w:r>
      <w:bookmarkEnd w:id="308"/>
      <w:r>
        <w:rPr>
          <w:color w:val="000000" w:themeColor="text1"/>
          <w14:textFill>
            <w14:solidFill>
              <w14:schemeClr w14:val="tx1"/>
            </w14:solidFill>
          </w14:textFill>
        </w:rPr>
        <w:t>证</w:t>
      </w:r>
      <w:r>
        <w:rPr>
          <w:rFonts w:hint="eastAsia"/>
          <w:color w:val="000000" w:themeColor="text1"/>
          <w14:textFill>
            <w14:solidFill>
              <w14:schemeClr w14:val="tx1"/>
            </w14:solidFill>
          </w14:textFill>
        </w:rPr>
        <w:t>申领</w:t>
      </w:r>
      <w:bookmarkEnd w:id="309"/>
    </w:p>
    <w:p>
      <w:pPr>
        <w:ind w:firstLine="480"/>
        <w:rPr>
          <w:color w:val="000000" w:themeColor="text1"/>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14:textFill>
            <w14:solidFill>
              <w14:schemeClr w14:val="tx1"/>
            </w14:solidFill>
          </w14:textFill>
        </w:rPr>
        <w:t>《排污许可管理办法（试行）》</w:t>
      </w:r>
      <w:r>
        <w:rPr>
          <w:color w:val="000000" w:themeColor="text1"/>
          <w14:textFill>
            <w14:solidFill>
              <w14:schemeClr w14:val="tx1"/>
            </w14:solidFill>
          </w14:textFill>
        </w:rPr>
        <w:t>，项目在取得环境影响评价批复文件后，应当在投入生产或使用并产生实际排污行为之前向许可证核发机关提交申请材料，申领排污许可证。</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企业申请排污许可证，应当在信息平台填报统一的《排污许可证申请表》，签署《守法承诺书》，并同时向许可证核发机关提交排污许可证申请表、经</w:t>
      </w:r>
      <w:r>
        <w:rPr>
          <w:rFonts w:hint="eastAsia"/>
          <w:color w:val="000000" w:themeColor="text1"/>
          <w14:textFill>
            <w14:solidFill>
              <w14:schemeClr w14:val="tx1"/>
            </w14:solidFill>
          </w14:textFill>
        </w:rPr>
        <w:t>生态环境</w:t>
      </w:r>
      <w:r>
        <w:rPr>
          <w:color w:val="000000" w:themeColor="text1"/>
          <w14:textFill>
            <w14:solidFill>
              <w14:schemeClr w14:val="tx1"/>
            </w14:solidFill>
          </w14:textFill>
        </w:rPr>
        <w:t>主管部门批复的建设项目环境影响评价文件或排污单位经过整改并通过地方人民政府确认满足有关规定的证明材料等。排污单位向城镇污水设施排放污水且申请执行间接排放标准的，还应提交城镇或工业污水集中处理设施运营单位同意接纳的材料。许可申请文件内容由</w:t>
      </w:r>
      <w:r>
        <w:rPr>
          <w:rFonts w:hint="eastAsia"/>
          <w:color w:val="000000" w:themeColor="text1"/>
          <w14:textFill>
            <w14:solidFill>
              <w14:schemeClr w14:val="tx1"/>
            </w14:solidFill>
          </w14:textFill>
        </w:rPr>
        <w:t>生态</w:t>
      </w:r>
      <w:r>
        <w:rPr>
          <w:color w:val="000000" w:themeColor="text1"/>
          <w14:textFill>
            <w14:solidFill>
              <w14:schemeClr w14:val="tx1"/>
            </w14:solidFill>
          </w14:textFill>
        </w:rPr>
        <w:t>环境部统一制定的《排污许可证申请表》确定。</w:t>
      </w:r>
    </w:p>
    <w:p>
      <w:pPr>
        <w:pStyle w:val="4"/>
        <w:rPr>
          <w:color w:val="000000" w:themeColor="text1"/>
          <w14:textFill>
            <w14:solidFill>
              <w14:schemeClr w14:val="tx1"/>
            </w14:solidFill>
          </w14:textFill>
        </w:rPr>
      </w:pPr>
      <w:bookmarkStart w:id="310" w:name="_Toc101428560"/>
      <w:bookmarkStart w:id="311" w:name="_Toc523322396"/>
      <w:r>
        <w:rPr>
          <w:color w:val="000000" w:themeColor="text1"/>
          <w14:textFill>
            <w14:solidFill>
              <w14:schemeClr w14:val="tx1"/>
            </w14:solidFill>
          </w14:textFill>
        </w:rPr>
        <w:t>环保竣工验收</w:t>
      </w:r>
      <w:bookmarkEnd w:id="310"/>
      <w:bookmarkEnd w:id="311"/>
    </w:p>
    <w:p>
      <w:pPr>
        <w:ind w:firstLine="480"/>
        <w:rPr>
          <w:color w:val="000000" w:themeColor="text1"/>
          <w14:textFill>
            <w14:solidFill>
              <w14:schemeClr w14:val="tx1"/>
            </w14:solidFill>
          </w14:textFill>
        </w:rPr>
      </w:pPr>
      <w:r>
        <w:rPr>
          <w:color w:val="000000" w:themeColor="text1"/>
          <w14:textFill>
            <w14:solidFill>
              <w14:schemeClr w14:val="tx1"/>
            </w14:solidFill>
          </w14:textFill>
        </w:rPr>
        <w:t>按照《建设项目竣工环境保护验收暂行办法》（国环规环评</w:t>
      </w:r>
      <w:r>
        <w:rPr>
          <w:rFonts w:hint="eastAsia"/>
          <w:color w:val="000000" w:themeColor="text1"/>
          <w14:textFill>
            <w14:solidFill>
              <w14:schemeClr w14:val="tx1"/>
            </w14:solidFill>
          </w14:textFill>
        </w:rPr>
        <w:t>[2017]4号）</w:t>
      </w:r>
      <w:r>
        <w:rPr>
          <w:color w:val="000000" w:themeColor="text1"/>
          <w14:textFill>
            <w14:solidFill>
              <w14:schemeClr w14:val="tx1"/>
            </w14:solidFill>
          </w14:textFill>
        </w:rPr>
        <w:t>中要求实施环保竣工验收</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竣工验收以现场调查与监测相结合的方式对工程</w:t>
      </w:r>
      <w:r>
        <w:rPr>
          <w:rFonts w:asciiTheme="minorEastAsia" w:hAnsiTheme="minorEastAsia" w:eastAsiaTheme="minorEastAsia"/>
          <w:color w:val="000000" w:themeColor="text1"/>
          <w14:textFill>
            <w14:solidFill>
              <w14:schemeClr w14:val="tx1"/>
            </w14:solidFill>
          </w14:textFill>
        </w:rPr>
        <w:t>“三同时”</w:t>
      </w:r>
      <w:r>
        <w:rPr>
          <w:color w:val="000000" w:themeColor="text1"/>
          <w14:textFill>
            <w14:solidFill>
              <w14:schemeClr w14:val="tx1"/>
            </w14:solidFill>
          </w14:textFill>
        </w:rPr>
        <w:t>建设情况进行验收，环境保护验收的主要内容包括以下几个方面：</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（1）通过现场调查项目</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三同时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建设情况，主要环保设施的建设与环评批复文件的符合性检查及验收；</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（2）环保设施建设及运行情况，包括：废气、废水、噪声污染防治设施的建设及运行情况及运行处理效果，生态保护措施的落实情况；防止固废废物污染环境的措施；场区绿化等；</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（3）主要节能措施及清洁生产措施；环保投资及环境管理机构的设置情况。</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pPr>
        <w:pStyle w:val="4"/>
        <w:rPr>
          <w:color w:val="000000" w:themeColor="text1"/>
          <w14:textFill>
            <w14:solidFill>
              <w14:schemeClr w14:val="tx1"/>
            </w14:solidFill>
          </w14:textFill>
        </w:rPr>
      </w:pPr>
      <w:bookmarkStart w:id="312" w:name="_Toc101428561"/>
      <w:r>
        <w:rPr>
          <w:color w:val="000000" w:themeColor="text1"/>
          <w14:textFill>
            <w14:solidFill>
              <w14:schemeClr w14:val="tx1"/>
            </w14:solidFill>
          </w14:textFill>
        </w:rPr>
        <w:t>排污口规范化管理</w:t>
      </w:r>
      <w:bookmarkEnd w:id="312"/>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原国家环境保护总局《关于开展排放口规范化整治工作的通知》（环发[1999]24号）的规定，一切新建、扩建、改建的排污单位必须在建设污染治理措施的同时建设规范化排污口，作为落实环境保护“三同时”制度的必要组成和项目验收</w:t>
      </w:r>
      <w:r>
        <w:rPr>
          <w:color w:val="000000" w:themeColor="text1"/>
          <w14:textFill>
            <w14:solidFill>
              <w14:schemeClr w14:val="tx1"/>
            </w14:solidFill>
          </w14:textFill>
        </w:rPr>
        <w:t>内容之一。本</w:t>
      </w:r>
      <w:r>
        <w:rPr>
          <w:rFonts w:hint="eastAsia"/>
          <w:color w:val="000000" w:themeColor="text1"/>
          <w14:textFill>
            <w14:solidFill>
              <w14:schemeClr w14:val="tx1"/>
            </w14:solidFill>
          </w14:textFill>
        </w:rPr>
        <w:t>次</w:t>
      </w:r>
      <w:r>
        <w:rPr>
          <w:color w:val="000000" w:themeColor="text1"/>
          <w14:textFill>
            <w14:solidFill>
              <w14:schemeClr w14:val="tx1"/>
            </w14:solidFill>
          </w14:textFill>
        </w:rPr>
        <w:t>评价对排污口建设提出以下要求：</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工程应按《环境保护图形标志—排放口（源）》</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GB15562.1-1995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规定的图形，在各气、水、声排污口（源）挂牌标识，做到各排污口（源）的环保标志明显，便于企业管理和公众监督。根据《环境保护图形标志》实施细则，填写本工程的主要污染物；标志牌必须保持清晰、完整，发现形象损坏、颜色污染或有变化、退色等不符合图形标志标准的情况，应及时修复或更换，检查时间至少每年一次。环境保护图形标志牌设置位置应距污染物排放口及固体废物堆放场或采样点较近且醒目处，设置高度一般为标志牌上缘距离地面约2m。</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建设单位应如实填写《中华人民共和国规范化排污口标识登记证》的有关内容，由生态环境主管部门签发登记证。建设单位应把有关排污情况如排污口的性质、编号、排污口的位置以及主要排放的污染物种类、数量、浓度、排放规律及污染治理设施的运行情况等进行建档管理，并报送生态环境主管部门备案。</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《〈环境保护图形标志〉实施细则(试行)》（环监[1996]463号）中规定的各类排放口环境保护图形标志牌的要求如图9.2.4-1。</w:t>
      </w:r>
    </w:p>
    <w:p>
      <w:pPr>
        <w:bidi w:val="0"/>
        <w:rPr>
          <w:rFonts w:hint="eastAsia"/>
        </w:rPr>
      </w:pPr>
    </w:p>
    <w:p>
      <w:pPr>
        <w:bidi w:val="0"/>
        <w:rPr>
          <w:rFonts w:hint="eastAsia"/>
        </w:rPr>
      </w:pPr>
    </w:p>
    <w:p>
      <w:pPr>
        <w:bidi w:val="0"/>
        <w:rPr>
          <w:rFonts w:hint="eastAsia"/>
        </w:rPr>
      </w:pPr>
    </w:p>
    <w:p>
      <w:pPr>
        <w:bidi w:val="0"/>
        <w:rPr>
          <w:rFonts w:hint="eastAsia"/>
        </w:rPr>
      </w:pP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图9.2.4-1    项目污染源排放口图形标志</w:t>
      </w:r>
    </w:p>
    <w:tbl>
      <w:tblPr>
        <w:tblStyle w:val="38"/>
        <w:tblW w:w="9003"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0"/>
        <w:gridCol w:w="1792"/>
        <w:gridCol w:w="2313"/>
        <w:gridCol w:w="2347"/>
        <w:gridCol w:w="200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spacing w:line="360" w:lineRule="exact"/>
              <w:ind w:firstLine="48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序号</w:t>
            </w:r>
          </w:p>
        </w:tc>
        <w:tc>
          <w:tcPr>
            <w:tcW w:w="1792"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标志名称及</w:t>
            </w:r>
          </w:p>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标示位置</w:t>
            </w:r>
          </w:p>
        </w:tc>
        <w:tc>
          <w:tcPr>
            <w:tcW w:w="2313"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提示图形符号</w:t>
            </w:r>
          </w:p>
        </w:tc>
        <w:tc>
          <w:tcPr>
            <w:tcW w:w="2347"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警告图形符合</w:t>
            </w:r>
          </w:p>
        </w:tc>
        <w:tc>
          <w:tcPr>
            <w:tcW w:w="2001"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功能说明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1</w:t>
            </w:r>
          </w:p>
        </w:tc>
        <w:tc>
          <w:tcPr>
            <w:tcW w:w="1792"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废气排放口</w:t>
            </w:r>
          </w:p>
        </w:tc>
        <w:tc>
          <w:tcPr>
            <w:tcW w:w="2313"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drawing>
                <wp:inline distT="0" distB="0" distL="0" distR="0">
                  <wp:extent cx="1245235" cy="1652270"/>
                  <wp:effectExtent l="0" t="0" r="2540" b="5080"/>
                  <wp:docPr id="81" name="图片 1"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 descr="C:\Users\ADMINI~1\AppData\Local\Temp\1527145873(1).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245600" cy="1652400"/>
                          </a:xfrm>
                          <a:prstGeom prst="rect">
                            <a:avLst/>
                          </a:prstGeom>
                          <a:noFill/>
                          <a:ln>
                            <a:noFill/>
                          </a:ln>
                        </pic:spPr>
                      </pic:pic>
                    </a:graphicData>
                  </a:graphic>
                </wp:inline>
              </w:drawing>
            </w:r>
          </w:p>
        </w:tc>
        <w:tc>
          <w:tcPr>
            <w:tcW w:w="2347"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drawing>
                <wp:inline distT="0" distB="0" distL="0" distR="0">
                  <wp:extent cx="1202055" cy="1652270"/>
                  <wp:effectExtent l="0" t="0" r="7620" b="5080"/>
                  <wp:docPr id="82" name="图片 2"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 descr="C:\Users\ADMINI~1\AppData\Local\Temp\1527145873(1).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202400" cy="1652400"/>
                          </a:xfrm>
                          <a:prstGeom prst="rect">
                            <a:avLst/>
                          </a:prstGeom>
                          <a:noFill/>
                          <a:ln>
                            <a:noFill/>
                          </a:ln>
                        </pic:spPr>
                      </pic:pic>
                    </a:graphicData>
                  </a:graphic>
                </wp:inline>
              </w:drawing>
            </w:r>
          </w:p>
        </w:tc>
        <w:tc>
          <w:tcPr>
            <w:tcW w:w="2001"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s="宋体"/>
                <w:color w:val="000000" w:themeColor="text1"/>
                <w:kern w:val="0"/>
                <w:sz w:val="21"/>
                <w:szCs w:val="21"/>
                <w14:textFill>
                  <w14:solidFill>
                    <w14:schemeClr w14:val="tx1"/>
                  </w14:solidFill>
                </w14:textFill>
              </w:rPr>
              <w:t>表示废</w:t>
            </w:r>
            <w:r>
              <w:rPr>
                <w:rFonts w:hint="eastAsia" w:cs="MS Mincho"/>
                <w:color w:val="000000" w:themeColor="text1"/>
                <w:kern w:val="0"/>
                <w:sz w:val="21"/>
                <w:szCs w:val="21"/>
                <w14:textFill>
                  <w14:solidFill>
                    <w14:schemeClr w14:val="tx1"/>
                  </w14:solidFill>
                </w14:textFill>
              </w:rPr>
              <w:t>气向大气</w:t>
            </w:r>
            <w:r>
              <w:rPr>
                <w:rFonts w:hint="eastAsia" w:cs="宋体"/>
                <w:color w:val="000000" w:themeColor="text1"/>
                <w:kern w:val="0"/>
                <w:sz w:val="21"/>
                <w:szCs w:val="21"/>
                <w14:textFill>
                  <w14:solidFill>
                    <w14:schemeClr w14:val="tx1"/>
                  </w14:solidFill>
                </w14:textFill>
              </w:rPr>
              <w:t>环</w:t>
            </w:r>
            <w:r>
              <w:rPr>
                <w:rFonts w:hint="eastAsia" w:cs="MS Mincho"/>
                <w:color w:val="000000" w:themeColor="text1"/>
                <w:kern w:val="0"/>
                <w:sz w:val="21"/>
                <w:szCs w:val="21"/>
                <w14:textFill>
                  <w14:solidFill>
                    <w14:schemeClr w14:val="tx1"/>
                  </w14:solidFill>
                </w14:textFill>
              </w:rPr>
              <w:t>境排放</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2</w:t>
            </w:r>
          </w:p>
        </w:tc>
        <w:tc>
          <w:tcPr>
            <w:tcW w:w="1792"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噪声排放源</w:t>
            </w:r>
          </w:p>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产噪设备</w:t>
            </w:r>
          </w:p>
        </w:tc>
        <w:tc>
          <w:tcPr>
            <w:tcW w:w="2313"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drawing>
                <wp:inline distT="0" distB="0" distL="0" distR="0">
                  <wp:extent cx="1256030" cy="1619885"/>
                  <wp:effectExtent l="0" t="0" r="1270" b="8890"/>
                  <wp:docPr id="83" name="图片 35"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5" descr="C:\Users\ADMINI~1\AppData\Local\Temp\1527145873(1).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1256471" cy="1620000"/>
                          </a:xfrm>
                          <a:prstGeom prst="rect">
                            <a:avLst/>
                          </a:prstGeom>
                          <a:noFill/>
                          <a:ln>
                            <a:noFill/>
                          </a:ln>
                        </pic:spPr>
                      </pic:pic>
                    </a:graphicData>
                  </a:graphic>
                </wp:inline>
              </w:drawing>
            </w:r>
          </w:p>
        </w:tc>
        <w:tc>
          <w:tcPr>
            <w:tcW w:w="2347"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drawing>
                <wp:inline distT="0" distB="0" distL="0" distR="0">
                  <wp:extent cx="1256030" cy="1619885"/>
                  <wp:effectExtent l="0" t="0" r="1270" b="8890"/>
                  <wp:docPr id="84" name="图片 36"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6" descr="C:\Users\ADMINI~1\AppData\Local\Temp\1527145873(1).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1256471" cy="1620000"/>
                          </a:xfrm>
                          <a:prstGeom prst="rect">
                            <a:avLst/>
                          </a:prstGeom>
                          <a:noFill/>
                          <a:ln>
                            <a:noFill/>
                          </a:ln>
                        </pic:spPr>
                      </pic:pic>
                    </a:graphicData>
                  </a:graphic>
                </wp:inline>
              </w:drawing>
            </w:r>
          </w:p>
        </w:tc>
        <w:tc>
          <w:tcPr>
            <w:tcW w:w="2001"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表示噪声向外环境排放</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3</w:t>
            </w:r>
          </w:p>
        </w:tc>
        <w:tc>
          <w:tcPr>
            <w:tcW w:w="1792"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一般固废</w:t>
            </w:r>
          </w:p>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一般固废暂存场所</w:t>
            </w:r>
          </w:p>
        </w:tc>
        <w:tc>
          <w:tcPr>
            <w:tcW w:w="2313"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color w:val="000000" w:themeColor="text1"/>
                <w:sz w:val="21"/>
                <w14:textFill>
                  <w14:solidFill>
                    <w14:schemeClr w14:val="tx1"/>
                  </w14:solidFill>
                </w14:textFill>
              </w:rPr>
              <w:drawing>
                <wp:inline distT="0" distB="0" distL="0" distR="0">
                  <wp:extent cx="1295400" cy="1652270"/>
                  <wp:effectExtent l="0" t="0" r="0" b="5080"/>
                  <wp:docPr id="85" name="currentImg" descr="https://ss3.bdstatic.com/70cFv8Sh_Q1YnxGkpoWK1HF6hhy/it/u=3971714203,1921564374&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currentImg" descr="https://ss3.bdstatic.com/70cFv8Sh_Q1YnxGkpoWK1HF6hhy/it/u=3971714203,1921564374&amp;fm=26&amp;gp=0.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1296000" cy="1652400"/>
                          </a:xfrm>
                          <a:prstGeom prst="rect">
                            <a:avLst/>
                          </a:prstGeom>
                          <a:noFill/>
                          <a:ln>
                            <a:noFill/>
                          </a:ln>
                        </pic:spPr>
                      </pic:pic>
                    </a:graphicData>
                  </a:graphic>
                </wp:inline>
              </w:drawing>
            </w:r>
          </w:p>
        </w:tc>
        <w:tc>
          <w:tcPr>
            <w:tcW w:w="2347"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color w:val="000000" w:themeColor="text1"/>
                <w:sz w:val="21"/>
                <w14:textFill>
                  <w14:solidFill>
                    <w14:schemeClr w14:val="tx1"/>
                  </w14:solidFill>
                </w14:textFill>
              </w:rPr>
              <w:drawing>
                <wp:inline distT="0" distB="0" distL="0" distR="0">
                  <wp:extent cx="1295400" cy="1562100"/>
                  <wp:effectExtent l="0" t="0" r="0" b="0"/>
                  <wp:docPr id="86" name="currentImg" descr="https://timgsa.baidu.com/timg?image&amp;quality=80&amp;size=b9999_10000&amp;sec=1591874896138&amp;di=ba4f2acdc68a5e94a0eb94acf06f5553&amp;imgtype=0&amp;src=http%3A%2F%2Fwww.mk-hk.com%2Ftp%2Fimage%2F20190818%2F2019081808052568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urrentImg" descr="https://timgsa.baidu.com/timg?image&amp;quality=80&amp;size=b9999_10000&amp;sec=1591874896138&amp;di=ba4f2acdc68a5e94a0eb94acf06f5553&amp;imgtype=0&amp;src=http%3A%2F%2Fwww.mk-hk.com%2Ftp%2Fimage%2F20190818%2F20190818080525682568.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1296000" cy="1562824"/>
                          </a:xfrm>
                          <a:prstGeom prst="rect">
                            <a:avLst/>
                          </a:prstGeom>
                          <a:noFill/>
                          <a:ln>
                            <a:noFill/>
                          </a:ln>
                        </pic:spPr>
                      </pic:pic>
                    </a:graphicData>
                  </a:graphic>
                </wp:inline>
              </w:drawing>
            </w:r>
          </w:p>
        </w:tc>
        <w:tc>
          <w:tcPr>
            <w:tcW w:w="2001"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表示一般固体废物贮存、处置场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4</w:t>
            </w:r>
          </w:p>
        </w:tc>
        <w:tc>
          <w:tcPr>
            <w:tcW w:w="1792"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危险废物</w:t>
            </w:r>
          </w:p>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olor w:val="FF0000"/>
                <w:kern w:val="0"/>
                <w:sz w:val="21"/>
              </w:rPr>
              <w:t>医疗废物暂存间</w:t>
            </w:r>
          </w:p>
        </w:tc>
        <w:tc>
          <w:tcPr>
            <w:tcW w:w="2313"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p>
        </w:tc>
        <w:tc>
          <w:tcPr>
            <w:tcW w:w="2347" w:type="dxa"/>
            <w:vAlign w:val="center"/>
          </w:tcPr>
          <w:p>
            <w:pPr>
              <w:spacing w:line="240" w:lineRule="auto"/>
              <w:ind w:firstLine="0" w:firstLineChars="0"/>
              <w:jc w:val="center"/>
              <w:textAlignment w:val="center"/>
              <w:rPr>
                <w:color w:val="000000" w:themeColor="text1"/>
                <w:kern w:val="0"/>
                <w:sz w:val="21"/>
                <w14:textFill>
                  <w14:solidFill>
                    <w14:schemeClr w14:val="tx1"/>
                  </w14:solidFill>
                </w14:textFill>
              </w:rPr>
            </w:pPr>
            <w:r>
              <w:rPr>
                <w:rFonts w:hint="eastAsia"/>
              </w:rPr>
              <w:drawing>
                <wp:inline distT="0" distB="0" distL="0" distR="0">
                  <wp:extent cx="1281430" cy="1097280"/>
                  <wp:effectExtent l="0" t="0" r="13970" b="7620"/>
                  <wp:docPr id="8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7"/>
                          <pic:cNvPicPr>
                            <a:picLocks noChangeAspect="1" noChangeArrowheads="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281600" cy="1097575"/>
                          </a:xfrm>
                          <a:prstGeom prst="rect">
                            <a:avLst/>
                          </a:prstGeom>
                          <a:noFill/>
                          <a:ln>
                            <a:noFill/>
                          </a:ln>
                        </pic:spPr>
                      </pic:pic>
                    </a:graphicData>
                  </a:graphic>
                </wp:inline>
              </w:drawing>
            </w:r>
          </w:p>
        </w:tc>
        <w:tc>
          <w:tcPr>
            <w:tcW w:w="2001" w:type="dxa"/>
            <w:vAlign w:val="center"/>
          </w:tcPr>
          <w:p>
            <w:pPr>
              <w:spacing w:line="360" w:lineRule="exact"/>
              <w:ind w:firstLine="0" w:firstLineChars="0"/>
              <w:jc w:val="center"/>
              <w:textAlignment w:val="center"/>
              <w:rPr>
                <w:color w:val="000000" w:themeColor="text1"/>
                <w:kern w:val="0"/>
                <w:sz w:val="21"/>
                <w14:textFill>
                  <w14:solidFill>
                    <w14:schemeClr w14:val="tx1"/>
                  </w14:solidFill>
                </w14:textFill>
              </w:rPr>
            </w:pPr>
            <w:r>
              <w:rPr>
                <w:rFonts w:hint="eastAsia" w:cs="宋体"/>
                <w:color w:val="000000" w:themeColor="text1"/>
                <w:kern w:val="0"/>
                <w:sz w:val="21"/>
                <w:szCs w:val="21"/>
                <w14:textFill>
                  <w14:solidFill>
                    <w14:schemeClr w14:val="tx1"/>
                  </w14:solidFill>
                </w14:textFill>
              </w:rPr>
              <w:t>表示危险废</w:t>
            </w:r>
            <w:r>
              <w:rPr>
                <w:rFonts w:hint="eastAsia" w:cs="MS Mincho"/>
                <w:color w:val="000000" w:themeColor="text1"/>
                <w:kern w:val="0"/>
                <w:sz w:val="21"/>
                <w:szCs w:val="21"/>
                <w14:textFill>
                  <w14:solidFill>
                    <w14:schemeClr w14:val="tx1"/>
                  </w14:solidFill>
                </w14:textFill>
              </w:rPr>
              <w:t>物</w:t>
            </w:r>
            <w:r>
              <w:rPr>
                <w:rFonts w:hint="eastAsia" w:cs="宋体"/>
                <w:color w:val="000000" w:themeColor="text1"/>
                <w:kern w:val="0"/>
                <w:sz w:val="21"/>
                <w:szCs w:val="21"/>
                <w14:textFill>
                  <w14:solidFill>
                    <w14:schemeClr w14:val="tx1"/>
                  </w14:solidFill>
                </w14:textFill>
              </w:rPr>
              <w:t>贮</w:t>
            </w:r>
            <w:r>
              <w:rPr>
                <w:rFonts w:hint="eastAsia" w:cs="MS Mincho"/>
                <w:color w:val="000000" w:themeColor="text1"/>
                <w:kern w:val="0"/>
                <w:sz w:val="21"/>
                <w:szCs w:val="21"/>
                <w14:textFill>
                  <w14:solidFill>
                    <w14:schemeClr w14:val="tx1"/>
                  </w14:solidFill>
                </w14:textFill>
              </w:rPr>
              <w:t>存、</w:t>
            </w:r>
            <w:r>
              <w:rPr>
                <w:rFonts w:hint="eastAsia" w:cs="宋体"/>
                <w:color w:val="000000" w:themeColor="text1"/>
                <w:kern w:val="0"/>
                <w:sz w:val="21"/>
                <w:szCs w:val="21"/>
                <w14:textFill>
                  <w14:solidFill>
                    <w14:schemeClr w14:val="tx1"/>
                  </w14:solidFill>
                </w14:textFill>
              </w:rPr>
              <w:t>处</w:t>
            </w:r>
            <w:r>
              <w:rPr>
                <w:rFonts w:hint="eastAsia" w:cs="MS Mincho"/>
                <w:color w:val="000000" w:themeColor="text1"/>
                <w:kern w:val="0"/>
                <w:sz w:val="21"/>
                <w:szCs w:val="21"/>
                <w14:textFill>
                  <w14:solidFill>
                    <w14:schemeClr w14:val="tx1"/>
                  </w14:solidFill>
                </w14:textFill>
              </w:rPr>
              <w:t>置</w:t>
            </w:r>
            <w:r>
              <w:rPr>
                <w:rFonts w:hint="eastAsia" w:cs="宋体"/>
                <w:color w:val="000000" w:themeColor="text1"/>
                <w:kern w:val="0"/>
                <w:sz w:val="21"/>
                <w:szCs w:val="21"/>
                <w14:textFill>
                  <w14:solidFill>
                    <w14:schemeClr w14:val="tx1"/>
                  </w14:solidFill>
                </w14:textFill>
              </w:rPr>
              <w:t>场</w:t>
            </w:r>
          </w:p>
        </w:tc>
      </w:tr>
    </w:tbl>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本工程排污口使用国家环保局统一印制的《中华人民共和国规范化排污口标志登记证》，并按要求填写有关内容；</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根据排污口管理内容要求，本工程建成投产后，应将主要污染物种类、数量、排放去向，立标情况及设施运行情况记录于档案。</w:t>
      </w:r>
    </w:p>
    <w:p>
      <w:pPr>
        <w:pStyle w:val="4"/>
        <w:rPr>
          <w:color w:val="000000" w:themeColor="text1"/>
          <w14:textFill>
            <w14:solidFill>
              <w14:schemeClr w14:val="tx1"/>
            </w14:solidFill>
          </w14:textFill>
        </w:rPr>
      </w:pPr>
      <w:bookmarkStart w:id="313" w:name="_Toc41476878"/>
      <w:bookmarkStart w:id="314" w:name="_Toc101428562"/>
      <w:r>
        <w:rPr>
          <w:color w:val="000000" w:themeColor="text1"/>
          <w14:textFill>
            <w14:solidFill>
              <w14:schemeClr w14:val="tx1"/>
            </w14:solidFill>
          </w14:textFill>
        </w:rPr>
        <w:t>环境风险</w:t>
      </w:r>
      <w:r>
        <w:rPr>
          <w:rFonts w:hint="eastAsia"/>
          <w:color w:val="000000" w:themeColor="text1"/>
          <w14:textFill>
            <w14:solidFill>
              <w14:schemeClr w14:val="tx1"/>
            </w14:solidFill>
          </w14:textFill>
        </w:rPr>
        <w:t>应急</w:t>
      </w:r>
      <w:bookmarkEnd w:id="313"/>
      <w:bookmarkEnd w:id="314"/>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企业必须建立风险事故应急方案，包括：</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（1）制定风险应急预案。</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（2）建立异常事件预警系统。</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（3）设立报告制度。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（4）提出消除事故影响的措施。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（5）建立事故环境影响消除的审核制度。</w:t>
      </w:r>
    </w:p>
    <w:p>
      <w:pPr>
        <w:pStyle w:val="4"/>
        <w:rPr>
          <w:color w:val="000000" w:themeColor="text1"/>
          <w14:textFill>
            <w14:solidFill>
              <w14:schemeClr w14:val="tx1"/>
            </w14:solidFill>
          </w14:textFill>
        </w:rPr>
      </w:pPr>
      <w:bookmarkStart w:id="315" w:name="_Toc41476879"/>
      <w:bookmarkStart w:id="316" w:name="_Toc101428563"/>
      <w:r>
        <w:rPr>
          <w:rFonts w:hint="eastAsia"/>
          <w:color w:val="000000" w:themeColor="text1"/>
          <w14:textFill>
            <w14:solidFill>
              <w14:schemeClr w14:val="tx1"/>
            </w14:solidFill>
          </w14:textFill>
        </w:rPr>
        <w:t>向生态环境主管部门报告制度</w:t>
      </w:r>
      <w:bookmarkEnd w:id="315"/>
      <w:bookmarkEnd w:id="316"/>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建设单位应制定向生态环境主管部门报告制度，定期向生态环境部门报告防治地下水、大气污染等方面的信息。</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报告应由企业环保管理部门草拟，经总经理或环保工作领导小组确认后，以书面形式向生态环境主管部门报告。报告的频次建议为至少每季度一次。</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报告的内容应包括：所在场地及其影响区地下水环境、大气环境等监测数据，排放污染物的种类、数量、浓度，以及排放设施、治理措施运行状况和运行效果等。</w:t>
      </w:r>
    </w:p>
    <w:p>
      <w:pPr>
        <w:pStyle w:val="4"/>
        <w:rPr>
          <w:color w:val="000000" w:themeColor="text1"/>
          <w14:textFill>
            <w14:solidFill>
              <w14:schemeClr w14:val="tx1"/>
            </w14:solidFill>
          </w14:textFill>
        </w:rPr>
      </w:pPr>
      <w:bookmarkStart w:id="317" w:name="_Toc101428564"/>
      <w:bookmarkStart w:id="318" w:name="_Toc41476880"/>
      <w:r>
        <w:rPr>
          <w:color w:val="000000" w:themeColor="text1"/>
          <w14:textFill>
            <w14:solidFill>
              <w14:schemeClr w14:val="tx1"/>
            </w14:solidFill>
          </w14:textFill>
        </w:rPr>
        <w:t>企业环境信息公开</w:t>
      </w:r>
      <w:bookmarkEnd w:id="317"/>
      <w:bookmarkEnd w:id="318"/>
    </w:p>
    <w:p>
      <w:pPr>
        <w:ind w:firstLine="480"/>
        <w:rPr>
          <w:color w:val="000000" w:themeColor="text1"/>
          <w14:textFill>
            <w14:solidFill>
              <w14:schemeClr w14:val="tx1"/>
            </w14:solidFill>
          </w14:textFill>
        </w:rPr>
      </w:pPr>
      <w:r>
        <w:rPr>
          <w:color w:val="000000" w:themeColor="text1"/>
          <w14:textFill>
            <w14:solidFill>
              <w14:schemeClr w14:val="tx1"/>
            </w14:solidFill>
          </w14:textFill>
        </w:rPr>
        <w:t>建设单位按照</w:t>
      </w:r>
      <w:r>
        <w:rPr>
          <w:rFonts w:hint="eastAsia"/>
        </w:rPr>
        <w:fldChar w:fldCharType="begin"/>
      </w:r>
      <w:r>
        <w:instrText xml:space="preserve"> HYPERLINK "http://www.mee.gov.cn/xxgk2018/xxgk/xxgk02/202112/W020211221725272800656.pdf" </w:instrText>
      </w:r>
      <w:r>
        <w:rPr>
          <w:rFonts w:hint="eastAsia"/>
        </w:rPr>
        <w:fldChar w:fldCharType="separate"/>
      </w:r>
      <w:r>
        <w:rPr>
          <w:rFonts w:hint="eastAsia"/>
          <w:color w:val="000000" w:themeColor="text1"/>
          <w14:textFill>
            <w14:solidFill>
              <w14:schemeClr w14:val="tx1"/>
            </w14:solidFill>
          </w14:textFill>
        </w:rPr>
        <w:t>《企业环境信息依法披露管理办法》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rFonts w:hint="eastAsia"/>
          <w:color w:val="000000" w:themeColor="text1"/>
          <w14:textFill>
            <w14:solidFill>
              <w14:schemeClr w14:val="tx1"/>
            </w14:solidFill>
          </w14:textFill>
        </w:rPr>
        <w:t>生态</w:t>
      </w:r>
      <w:r>
        <w:rPr>
          <w:color w:val="000000" w:themeColor="text1"/>
          <w14:textFill>
            <w14:solidFill>
              <w14:schemeClr w14:val="tx1"/>
            </w14:solidFill>
          </w14:textFill>
        </w:rPr>
        <w:t>环境部</w:t>
      </w:r>
      <w:r>
        <w:rPr>
          <w:rFonts w:hint="eastAsia"/>
          <w:color w:val="000000" w:themeColor="text1"/>
          <w14:textFill>
            <w14:solidFill>
              <w14:schemeClr w14:val="tx1"/>
            </w14:solidFill>
          </w14:textFill>
        </w:rPr>
        <w:t xml:space="preserve"> 部</w:t>
      </w:r>
      <w:r>
        <w:rPr>
          <w:color w:val="000000" w:themeColor="text1"/>
          <w14:textFill>
            <w14:solidFill>
              <w14:schemeClr w14:val="tx1"/>
            </w14:solidFill>
          </w14:textFill>
        </w:rPr>
        <w:t>令第</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号）</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《关于加强污染源环境监管信息公开工作的通知》（环发[2013]74号）的要求，在重点排污单位名录公布后九十日内，对以下内容进行公开：</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建设单位名称、组织机构代码、法定代表人、生产地址、联系方式，以及生产经营和管理服务的主要内容、产品及规模；</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污染物及特征污染物的名称、排放方式、排放口数量和分布情况、排放浓度和总量、超标情况，以及执行的污染物排放标准、核定的排放总量；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防治污染设施的建设和运行情况；</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建设项目环境影响评价及其他环境保护行政许可情况；</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突发环境事件应急预案。</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公开方式：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企业网站及</w:t>
      </w:r>
      <w:r>
        <w:rPr>
          <w:rFonts w:hint="eastAsia"/>
          <w:color w:val="000000" w:themeColor="text1"/>
          <w14:textFill>
            <w14:solidFill>
              <w14:schemeClr w14:val="tx1"/>
            </w14:solidFill>
          </w14:textFill>
        </w:rPr>
        <w:t>当地政府</w:t>
      </w:r>
      <w:r>
        <w:rPr>
          <w:color w:val="000000" w:themeColor="text1"/>
          <w14:textFill>
            <w14:solidFill>
              <w14:schemeClr w14:val="tx1"/>
            </w14:solidFill>
          </w14:textFill>
        </w:rPr>
        <w:t>网站；</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企业办公楼显示屏；</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企业公告栏、公示栏。</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同时，建设单位按照《关于加强企业环境信用体系建设的指导意见》（环发[2015]161号）的要求，定期在</w:t>
      </w:r>
      <w:r>
        <w:rPr>
          <w:rFonts w:hint="eastAsia"/>
          <w:color w:val="000000" w:themeColor="text1"/>
          <w14:textFill>
            <w14:solidFill>
              <w14:schemeClr w14:val="tx1"/>
            </w14:solidFill>
          </w14:textFill>
        </w:rPr>
        <w:t>当地政府</w:t>
      </w:r>
      <w:r>
        <w:rPr>
          <w:color w:val="000000" w:themeColor="text1"/>
          <w14:textFill>
            <w14:solidFill>
              <w14:schemeClr w14:val="tx1"/>
            </w14:solidFill>
          </w14:textFill>
        </w:rPr>
        <w:t>网站公布自身污染物监测数据以及</w:t>
      </w:r>
      <w:r>
        <w:rPr>
          <w:rFonts w:hint="eastAsia"/>
          <w:color w:val="000000" w:themeColor="text1"/>
          <w14:textFill>
            <w14:solidFill>
              <w14:schemeClr w14:val="tx1"/>
            </w14:solidFill>
          </w14:textFill>
        </w:rPr>
        <w:t>厂址四周</w:t>
      </w:r>
      <w:r>
        <w:rPr>
          <w:color w:val="000000" w:themeColor="text1"/>
          <w14:textFill>
            <w14:solidFill>
              <w14:schemeClr w14:val="tx1"/>
            </w14:solidFill>
          </w14:textFill>
        </w:rPr>
        <w:t>环境质量现状监测数据。</w:t>
      </w:r>
    </w:p>
    <w:p>
      <w:pPr>
        <w:pStyle w:val="4"/>
        <w:rPr>
          <w:color w:val="000000" w:themeColor="text1"/>
          <w14:textFill>
            <w14:solidFill>
              <w14:schemeClr w14:val="tx1"/>
            </w14:solidFill>
          </w14:textFill>
        </w:rPr>
      </w:pPr>
      <w:bookmarkStart w:id="319" w:name="_Toc101428565"/>
      <w:bookmarkStart w:id="320" w:name="_Toc41476881"/>
      <w:r>
        <w:rPr>
          <w:color w:val="000000" w:themeColor="text1"/>
          <w14:textFill>
            <w14:solidFill>
              <w14:schemeClr w14:val="tx1"/>
            </w14:solidFill>
          </w14:textFill>
        </w:rPr>
        <w:t>日常环境管理台账</w:t>
      </w:r>
      <w:bookmarkEnd w:id="319"/>
      <w:bookmarkEnd w:id="320"/>
    </w:p>
    <w:p>
      <w:pPr>
        <w:ind w:firstLine="480"/>
        <w:rPr>
          <w:color w:val="000000" w:themeColor="text1"/>
          <w14:textFill>
            <w14:solidFill>
              <w14:schemeClr w14:val="tx1"/>
            </w14:solidFill>
          </w14:textFill>
        </w:rPr>
      </w:pPr>
      <w:r>
        <w:rPr>
          <w:color w:val="000000" w:themeColor="text1"/>
          <w14:textFill>
            <w14:solidFill>
              <w14:schemeClr w14:val="tx1"/>
            </w14:solidFill>
          </w14:textFill>
        </w:rPr>
        <w:t>企业需建立环境管理台账制度，定期记录汇总生产报表、原燃料报表、监测数据、环保设施台账、固定污染源排放量核算报表等信息。企业应设置专职人员进行台帐的记录、整理、维护和管理，并在排污许可证管理信息平台实时记录。企业应对台账记录结果的真实性、准确性、完整性负责。</w:t>
      </w:r>
    </w:p>
    <w:p>
      <w:pPr>
        <w:pStyle w:val="3"/>
        <w:spacing w:before="120" w:after="120"/>
        <w:rPr>
          <w:color w:val="000000" w:themeColor="text1"/>
          <w14:textFill>
            <w14:solidFill>
              <w14:schemeClr w14:val="tx1"/>
            </w14:solidFill>
          </w14:textFill>
        </w:rPr>
      </w:pPr>
      <w:bookmarkStart w:id="321" w:name="_Toc523322399"/>
      <w:bookmarkStart w:id="322" w:name="_Toc101428566"/>
      <w:bookmarkStart w:id="323" w:name="_Toc32662"/>
      <w:r>
        <w:rPr>
          <w:rFonts w:hint="eastAsia"/>
          <w:color w:val="000000" w:themeColor="text1"/>
          <w14:textFill>
            <w14:solidFill>
              <w14:schemeClr w14:val="tx1"/>
            </w14:solidFill>
          </w14:textFill>
        </w:rPr>
        <w:t>监测计划</w:t>
      </w:r>
      <w:bookmarkEnd w:id="321"/>
      <w:bookmarkEnd w:id="322"/>
      <w:bookmarkEnd w:id="323"/>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本次评价按照《排污单位自行监测技术指南总则》（HJ819-2017）、《排污许可证申请与核发技术规范 畜禽养殖行业》（HJ1029-2019）以及各环境要素导则、相关标准要求制定项目运营期监测计划。</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排污单位应在生产运行阶段对其排放的废水</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废气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噪声以及对周边环境质量影响开展监测</w:t>
      </w:r>
      <w:r>
        <w:rPr>
          <w:rFonts w:hint="eastAsia"/>
          <w:color w:val="000000" w:themeColor="text1"/>
          <w14:textFill>
            <w14:solidFill>
              <w14:schemeClr w14:val="tx1"/>
            </w14:solidFill>
          </w14:textFill>
        </w:rPr>
        <w:t>，本工程的环境监测计划应包括二部分：一为竣工验收监测，二为营运期的常规监测。</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竣工验收监测：本工程投入试生产后，建设单位应按规定对本工程环保“三同时”设施组织竣工验收监测。</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营运期的常规监测：主要是对工程的污染源进行监测，为掌握工程环保设施的运行状况，对环保设施运行情况进行定期或不定期监测。</w:t>
      </w:r>
    </w:p>
    <w:p>
      <w:pPr>
        <w:pStyle w:val="4"/>
        <w:rPr>
          <w:color w:val="000000" w:themeColor="text1"/>
          <w14:textFill>
            <w14:solidFill>
              <w14:schemeClr w14:val="tx1"/>
            </w14:solidFill>
          </w14:textFill>
        </w:rPr>
      </w:pPr>
      <w:bookmarkStart w:id="324" w:name="_Toc101428567"/>
      <w:bookmarkStart w:id="325" w:name="_Toc523322400"/>
      <w:r>
        <w:rPr>
          <w:rFonts w:hint="eastAsia"/>
          <w:color w:val="000000" w:themeColor="text1"/>
          <w14:textFill>
            <w14:solidFill>
              <w14:schemeClr w14:val="tx1"/>
            </w14:solidFill>
          </w14:textFill>
        </w:rPr>
        <w:t>废气监测计划</w:t>
      </w:r>
      <w:bookmarkEnd w:id="324"/>
      <w:bookmarkEnd w:id="325"/>
    </w:p>
    <w:p>
      <w:pPr>
        <w:ind w:firstLine="480"/>
        <w:rPr>
          <w:color w:val="000000" w:themeColor="text1"/>
          <w14:textFill>
            <w14:solidFill>
              <w14:schemeClr w14:val="tx1"/>
            </w14:solidFill>
          </w14:textFill>
        </w:rPr>
      </w:pPr>
      <w:r>
        <w:rPr>
          <w:rFonts w:hint="eastAsia"/>
          <w:color w:val="FF0000"/>
        </w:rPr>
        <w:t>根据《环境影响评价技术导则－大气环境》（HJ2.2-2018）中规定，本项目为二级评价无需进行环境质量监测</w:t>
      </w:r>
      <w:r>
        <w:rPr>
          <w:rFonts w:hint="eastAsia"/>
          <w:color w:val="000000" w:themeColor="text1"/>
          <w14:textFill>
            <w14:solidFill>
              <w14:schemeClr w14:val="tx1"/>
            </w14:solidFill>
          </w14:textFill>
        </w:rPr>
        <w:t>。</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污染源监测计划</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依据《排污单位自行监测技术指南 总则》（HJ819-2017）</w:t>
      </w:r>
      <w:r>
        <w:rPr>
          <w:rFonts w:hint="eastAsia"/>
          <w:color w:val="FF0000"/>
          <w:lang w:val="en-US" w:eastAsia="zh-CN"/>
        </w:rPr>
        <w:t>及《排污许可证申请与核发技术规范 畜禽养殖行业》（HJ1029-2019）</w:t>
      </w:r>
      <w:r>
        <w:rPr>
          <w:rFonts w:hint="eastAsia"/>
          <w:color w:val="000000" w:themeColor="text1"/>
          <w14:textFill>
            <w14:solidFill>
              <w14:schemeClr w14:val="tx1"/>
            </w14:solidFill>
          </w14:textFill>
        </w:rPr>
        <w:t>提出本项目污染源监测计划。</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有组织排放监测DA001排气筒，监测因子：NH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、H</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S</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臭气浓度和颗粒物</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无组织排放监测按照</w:t>
      </w:r>
      <w:r>
        <w:rPr>
          <w:rFonts w:hint="eastAsia"/>
          <w:color w:val="000000" w:themeColor="text1"/>
          <w14:textFill>
            <w14:solidFill>
              <w14:schemeClr w14:val="tx1"/>
            </w14:solidFill>
          </w14:textFill>
        </w:rPr>
        <w:t>《大气污染物无组织排放监测技术导则（HJT55-2000）》、《排污单位自行监测技术指南 总则（</w:t>
      </w:r>
      <w:r>
        <w:rPr>
          <w:color w:val="000000" w:themeColor="text1"/>
          <w14:textFill>
            <w14:solidFill>
              <w14:schemeClr w14:val="tx1"/>
            </w14:solidFill>
          </w14:textFill>
        </w:rPr>
        <w:t>HJ 819-2017</w:t>
      </w:r>
      <w:r>
        <w:rPr>
          <w:rFonts w:hint="eastAsia"/>
          <w:color w:val="000000" w:themeColor="text1"/>
          <w14:textFill>
            <w14:solidFill>
              <w14:schemeClr w14:val="tx1"/>
            </w14:solidFill>
          </w14:textFill>
        </w:rPr>
        <w:t>）》、《排污许可证申请与核发技术规范 畜禽养殖行业（</w:t>
      </w:r>
      <w:r>
        <w:rPr>
          <w:color w:val="000000" w:themeColor="text1"/>
          <w14:textFill>
            <w14:solidFill>
              <w14:schemeClr w14:val="tx1"/>
            </w14:solidFill>
          </w14:textFill>
        </w:rPr>
        <w:t>HJ1029—2019</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等标准设置无组织排放监测点位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本项目在</w:t>
      </w:r>
      <w:r>
        <w:rPr>
          <w:rFonts w:hint="eastAsia"/>
          <w:color w:val="000000" w:themeColor="text1"/>
          <w14:textFill>
            <w14:solidFill>
              <w14:schemeClr w14:val="tx1"/>
            </w14:solidFill>
          </w14:textFill>
        </w:rPr>
        <w:t>厂区下风向设3个监</w:t>
      </w:r>
      <w:r>
        <w:rPr>
          <w:color w:val="000000" w:themeColor="text1"/>
          <w14:textFill>
            <w14:solidFill>
              <w14:schemeClr w14:val="tx1"/>
            </w14:solidFill>
          </w14:textFill>
        </w:rPr>
        <w:t>控点，同时在</w:t>
      </w:r>
      <w:r>
        <w:rPr>
          <w:rFonts w:hint="eastAsia"/>
          <w:color w:val="000000" w:themeColor="text1"/>
          <w14:textFill>
            <w14:solidFill>
              <w14:schemeClr w14:val="tx1"/>
            </w14:solidFill>
          </w14:textFill>
        </w:rPr>
        <w:t>厂区</w:t>
      </w:r>
      <w:r>
        <w:rPr>
          <w:color w:val="000000" w:themeColor="text1"/>
          <w14:textFill>
            <w14:solidFill>
              <w14:schemeClr w14:val="tx1"/>
            </w14:solidFill>
          </w14:textFill>
        </w:rPr>
        <w:t>上风向设</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个对照点。</w:t>
      </w:r>
      <w:r>
        <w:rPr>
          <w:rFonts w:hint="eastAsia"/>
          <w:color w:val="000000" w:themeColor="text1"/>
          <w14:textFill>
            <w14:solidFill>
              <w14:schemeClr w14:val="tx1"/>
            </w14:solidFill>
          </w14:textFill>
        </w:rPr>
        <w:t>监测因子为氨气、硫化氢、臭气浓度、颗粒物。</w:t>
      </w:r>
    </w:p>
    <w:p>
      <w:pPr>
        <w:pStyle w:val="4"/>
        <w:rPr>
          <w:color w:val="000000" w:themeColor="text1"/>
          <w14:textFill>
            <w14:solidFill>
              <w14:schemeClr w14:val="tx1"/>
            </w14:solidFill>
          </w14:textFill>
        </w:rPr>
      </w:pPr>
      <w:bookmarkStart w:id="326" w:name="_Toc41476884"/>
      <w:bookmarkStart w:id="327" w:name="_Toc101428568"/>
      <w:r>
        <w:rPr>
          <w:rFonts w:hint="eastAsia"/>
          <w:color w:val="000000" w:themeColor="text1"/>
          <w14:textFill>
            <w14:solidFill>
              <w14:schemeClr w14:val="tx1"/>
            </w14:solidFill>
          </w14:textFill>
        </w:rPr>
        <w:t>地下水监测计划</w:t>
      </w:r>
      <w:bookmarkEnd w:id="326"/>
      <w:bookmarkEnd w:id="327"/>
    </w:p>
    <w:p>
      <w:pPr>
        <w:ind w:firstLine="480"/>
        <w:rPr>
          <w:color w:val="000000" w:themeColor="text1"/>
          <w14:textFill>
            <w14:solidFill>
              <w14:schemeClr w14:val="tx1"/>
            </w14:solidFill>
          </w14:textFill>
        </w:rPr>
      </w:pPr>
      <w:r>
        <w:rPr>
          <w:color w:val="000000" w:themeColor="text1"/>
          <w14:textFill>
            <w14:solidFill>
              <w14:schemeClr w14:val="tx1"/>
            </w14:solidFill>
          </w14:textFill>
        </w:rPr>
        <w:t>按照《环境影响评价技术导则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地下水环境》</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HJ610-2016</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w:t>
      </w:r>
      <w:r>
        <w:rPr>
          <w:rFonts w:hint="eastAsia"/>
          <w:color w:val="000000" w:themeColor="text1"/>
          <w14:textFill>
            <w14:solidFill>
              <w14:schemeClr w14:val="tx1"/>
            </w14:solidFill>
          </w14:textFill>
        </w:rPr>
        <w:t>《地下水环境监测技术规范》（HJ164-2020）</w:t>
      </w:r>
      <w:r>
        <w:rPr>
          <w:color w:val="000000" w:themeColor="text1"/>
          <w14:textFill>
            <w14:solidFill>
              <w14:schemeClr w14:val="tx1"/>
            </w14:solidFill>
          </w14:textFill>
        </w:rPr>
        <w:t>中相关要求，</w:t>
      </w:r>
      <w:r>
        <w:rPr>
          <w:rFonts w:hint="eastAsia"/>
          <w:color w:val="000000" w:themeColor="text1"/>
          <w14:textFill>
            <w14:solidFill>
              <w14:schemeClr w14:val="tx1"/>
            </w14:solidFill>
          </w14:textFill>
        </w:rPr>
        <w:t>提出本次项目的地下水监测计划。</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建立场地区地下水污染监控制度，</w:t>
      </w:r>
      <w:r>
        <w:rPr>
          <w:rFonts w:hint="eastAsia"/>
          <w:color w:val="000000" w:themeColor="text1"/>
          <w14:textFill>
            <w14:solidFill>
              <w14:schemeClr w14:val="tx1"/>
            </w14:solidFill>
          </w14:textFill>
        </w:rPr>
        <w:t>本次评价要求地下水监控井</w:t>
      </w:r>
      <w:r>
        <w:rPr>
          <w:color w:val="000000" w:themeColor="text1"/>
          <w14:textFill>
            <w14:solidFill>
              <w14:schemeClr w14:val="tx1"/>
            </w14:solidFill>
          </w14:textFill>
        </w:rPr>
        <w:t>沿地下水流向布设1口地下水监控井</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bookmarkStart w:id="328" w:name="_Hlk39779341"/>
      <w:r>
        <w:rPr>
          <w:color w:val="000000" w:themeColor="text1"/>
          <w14:textFill>
            <w14:solidFill>
              <w14:schemeClr w14:val="tx1"/>
            </w14:solidFill>
          </w14:textFill>
        </w:rPr>
        <w:t>监测频率和监测因子</w:t>
      </w:r>
      <w:r>
        <w:rPr>
          <w:rFonts w:hint="eastAsia"/>
          <w:color w:val="000000" w:themeColor="text1"/>
          <w14:textFill>
            <w14:solidFill>
              <w14:schemeClr w14:val="tx1"/>
            </w14:solidFill>
          </w14:textFill>
        </w:rPr>
        <w:t>要求如下：</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①监测频率：投入使用前监测一次本底值，投入使用后，对照监测点采样频次宜不少于每年1次，其他监测点采样频次宜不少于每年2次，发现有地下水污染现象时需增加采样频次。</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监测因子为：水位、水温、pH值、电导率、浑浊度、氧化还原电位、色、嗅和味、肉眼可见物、耗氧量、溶解性总固体、氨氮、硝酸盐氮、亚硝酸盐氮、挥发性酚类、阴离子表面活性剂、氯化物、硫化物、石油类、汞、镉、砷、六价铬、铅、总大肠菌群、菌落总数</w:t>
      </w:r>
      <w:r>
        <w:rPr>
          <w:rFonts w:hint="eastAsia"/>
          <w:color w:val="000000" w:themeColor="text1"/>
          <w:kern w:val="0"/>
          <w:szCs w:val="21"/>
          <w14:textFill>
            <w14:solidFill>
              <w14:schemeClr w14:val="tx1"/>
            </w14:solidFill>
          </w14:textFill>
        </w:rPr>
        <w:t>等</w:t>
      </w:r>
      <w:r>
        <w:rPr>
          <w:rFonts w:hint="eastAsia"/>
          <w:color w:val="000000" w:themeColor="text1"/>
          <w14:textFill>
            <w14:solidFill>
              <w14:schemeClr w14:val="tx1"/>
            </w14:solidFill>
          </w14:textFill>
        </w:rPr>
        <w:t>共26项。</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按照有关规定及时建立档案，并定期向安全环保部门汇报，对于常规监测数据应该进行公开，特别是对项目所在区域的居民进行公开，满足法律中关于知情权的要求。</w:t>
      </w:r>
    </w:p>
    <w:bookmarkEnd w:id="328"/>
    <w:p>
      <w:pPr>
        <w:pStyle w:val="4"/>
        <w:rPr>
          <w:color w:val="000000" w:themeColor="text1"/>
          <w14:textFill>
            <w14:solidFill>
              <w14:schemeClr w14:val="tx1"/>
            </w14:solidFill>
          </w14:textFill>
        </w:rPr>
      </w:pPr>
      <w:bookmarkStart w:id="329" w:name="_Toc101428569"/>
      <w:bookmarkStart w:id="330" w:name="_Toc41476885"/>
      <w:r>
        <w:rPr>
          <w:rFonts w:hint="eastAsia"/>
          <w:color w:val="000000" w:themeColor="text1"/>
          <w14:textFill>
            <w14:solidFill>
              <w14:schemeClr w14:val="tx1"/>
            </w14:solidFill>
          </w14:textFill>
        </w:rPr>
        <w:t>土壤监测计划</w:t>
      </w:r>
      <w:bookmarkEnd w:id="329"/>
      <w:bookmarkEnd w:id="330"/>
    </w:p>
    <w:p>
      <w:pPr>
        <w:ind w:firstLine="480"/>
        <w:rPr>
          <w:color w:val="000000" w:themeColor="text1"/>
          <w14:textFill>
            <w14:solidFill>
              <w14:schemeClr w14:val="tx1"/>
            </w14:solidFill>
          </w14:textFill>
        </w:rPr>
      </w:pPr>
      <w:r>
        <w:rPr>
          <w:color w:val="000000" w:themeColor="text1"/>
          <w14:textFill>
            <w14:solidFill>
              <w14:schemeClr w14:val="tx1"/>
            </w14:solidFill>
          </w14:textFill>
        </w:rPr>
        <w:t>按照《环境影响评价技术导则</w:t>
      </w:r>
      <w:r>
        <w:rPr>
          <w:rFonts w:hint="eastAsia"/>
          <w:color w:val="000000" w:themeColor="text1"/>
          <w14:textFill>
            <w14:solidFill>
              <w14:schemeClr w14:val="tx1"/>
            </w14:solidFill>
          </w14:textFill>
        </w:rPr>
        <w:t xml:space="preserve"> 土壤</w:t>
      </w:r>
      <w:r>
        <w:rPr>
          <w:color w:val="000000" w:themeColor="text1"/>
          <w14:textFill>
            <w14:solidFill>
              <w14:schemeClr w14:val="tx1"/>
            </w14:solidFill>
          </w14:textFill>
        </w:rPr>
        <w:t>环境</w:t>
      </w:r>
      <w:r>
        <w:rPr>
          <w:rFonts w:hint="eastAsia"/>
          <w:color w:val="000000" w:themeColor="text1"/>
          <w14:textFill>
            <w14:solidFill>
              <w14:schemeClr w14:val="tx1"/>
            </w14:solidFill>
          </w14:textFill>
        </w:rPr>
        <w:t>（试行）</w:t>
      </w:r>
      <w:r>
        <w:rPr>
          <w:color w:val="000000" w:themeColor="text1"/>
          <w14:textFill>
            <w14:solidFill>
              <w14:schemeClr w14:val="tx1"/>
            </w14:solidFill>
          </w14:textFill>
        </w:rPr>
        <w:t>》</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HJ</w:t>
      </w:r>
      <w:r>
        <w:rPr>
          <w:rFonts w:hint="eastAsia"/>
          <w:color w:val="000000" w:themeColor="text1"/>
          <w14:textFill>
            <w14:solidFill>
              <w14:schemeClr w14:val="tx1"/>
            </w14:solidFill>
          </w14:textFill>
        </w:rPr>
        <w:t>964</w:t>
      </w:r>
      <w:r>
        <w:rPr>
          <w:color w:val="000000" w:themeColor="text1"/>
          <w14:textFill>
            <w14:solidFill>
              <w14:schemeClr w14:val="tx1"/>
            </w14:solidFill>
          </w14:textFill>
        </w:rPr>
        <w:t>-20</w:t>
      </w:r>
      <w:r>
        <w:rPr>
          <w:rFonts w:hint="eastAsia"/>
          <w:color w:val="000000" w:themeColor="text1"/>
          <w14:textFill>
            <w14:solidFill>
              <w14:schemeClr w14:val="tx1"/>
            </w14:solidFill>
          </w14:textFill>
        </w:rPr>
        <w:t>18</w:t>
      </w:r>
      <w:r>
        <w:rPr>
          <w:rFonts w:ascii="宋体" w:hAnsi="宋体"/>
          <w:color w:val="000000" w:themeColor="text1"/>
          <w14:textFill>
            <w14:solidFill>
              <w14:schemeClr w14:val="tx1"/>
            </w14:solidFill>
          </w14:textFill>
        </w:rPr>
        <w:t>)</w:t>
      </w:r>
      <w:r>
        <w:rPr>
          <w:color w:val="000000" w:themeColor="text1"/>
          <w14:textFill>
            <w14:solidFill>
              <w14:schemeClr w14:val="tx1"/>
            </w14:solidFill>
          </w14:textFill>
        </w:rPr>
        <w:t>中相关要求，制定土壤跟踪监测计划</w:t>
      </w:r>
      <w:r>
        <w:rPr>
          <w:rFonts w:hint="eastAsia"/>
          <w:color w:val="000000" w:themeColor="text1"/>
          <w14:textFill>
            <w14:solidFill>
              <w14:schemeClr w14:val="tx1"/>
            </w14:solidFill>
          </w14:textFill>
        </w:rPr>
        <w:t>。本次项目土壤环境监测主要参考《建设用地土壤环境调查评估技术指南》，结合项目特征，考虑潜在污染源、环境保护目标等因素，布置土壤监测点。</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根据以上原则和项目特征，项目土壤污染监测系统拟布置土壤监测点</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个，取样深度为表层0~30cm。</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（1）监测点位</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设置2个监测点位，分别为：粪污处理单元周边及场区外。</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监测频次：1次/五年</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（2）监测因子</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土壤监测项目应根据项目产生的特征污染物、反映当地地下水功能特征的主要污染物以及《土壤环境质量 农用地土壤污染风险管控标准（试行）》（</w:t>
      </w:r>
      <w:r>
        <w:rPr>
          <w:color w:val="000000" w:themeColor="text1"/>
          <w14:textFill>
            <w14:solidFill>
              <w14:schemeClr w14:val="tx1"/>
            </w14:solidFill>
          </w14:textFill>
        </w:rPr>
        <w:t>GB15618-2018</w:t>
      </w:r>
      <w:r>
        <w:rPr>
          <w:rFonts w:hint="eastAsia"/>
          <w:color w:val="000000" w:themeColor="text1"/>
          <w14:textFill>
            <w14:solidFill>
              <w14:schemeClr w14:val="tx1"/>
            </w14:solidFill>
          </w14:textFill>
        </w:rPr>
        <w:t>）中列出的项目综合考虑，土壤采样及分析方法应满足GB36600-2018、HJ25.1、HJ25.2等的有关规定。</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监测因子：pH、镉、汞、砷、铅、铜、铬、镍、锌等因子。</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（3）监测数据管理</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监测计划应包括向社会公开的信息，监测结果应按项目有关规定及时建立档案，并定期向场安全环保管理部门汇报，对于常规监测数据应该进行公开，满足法律中关于知情权的要求。如发现异常或发生事故，加密监测点位和频次，改为每天监测一次，并分析污染原因，确定污染源，及采取应急措施。</w:t>
      </w:r>
    </w:p>
    <w:p>
      <w:pPr>
        <w:pStyle w:val="4"/>
        <w:rPr>
          <w:color w:val="000000" w:themeColor="text1"/>
          <w14:textFill>
            <w14:solidFill>
              <w14:schemeClr w14:val="tx1"/>
            </w14:solidFill>
          </w14:textFill>
        </w:rPr>
      </w:pPr>
      <w:bookmarkStart w:id="331" w:name="_Toc101428570"/>
      <w:bookmarkStart w:id="332" w:name="_Toc41476886"/>
      <w:r>
        <w:rPr>
          <w:rFonts w:hint="eastAsia"/>
          <w:color w:val="000000" w:themeColor="text1"/>
          <w14:textFill>
            <w14:solidFill>
              <w14:schemeClr w14:val="tx1"/>
            </w14:solidFill>
          </w14:textFill>
        </w:rPr>
        <w:t>噪声监测计划</w:t>
      </w:r>
      <w:bookmarkEnd w:id="331"/>
      <w:bookmarkEnd w:id="332"/>
    </w:p>
    <w:p>
      <w:pPr>
        <w:ind w:firstLine="480"/>
        <w:rPr>
          <w:color w:val="000000" w:themeColor="text1"/>
          <w14:textFill>
            <w14:solidFill>
              <w14:schemeClr w14:val="tx1"/>
            </w14:solidFill>
          </w14:textFill>
        </w:rPr>
      </w:pPr>
      <w:r>
        <w:rPr>
          <w:color w:val="000000" w:themeColor="text1"/>
          <w14:textFill>
            <w14:solidFill>
              <w14:schemeClr w14:val="tx1"/>
            </w14:solidFill>
          </w14:textFill>
        </w:rPr>
        <w:t>（1）监测点位</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厂界外1m，</w:t>
      </w:r>
      <w:r>
        <w:rPr>
          <w:rFonts w:hint="eastAsia"/>
          <w:color w:val="000000" w:themeColor="text1"/>
          <w14:textFill>
            <w14:solidFill>
              <w14:schemeClr w14:val="tx1"/>
            </w14:solidFill>
          </w14:textFill>
        </w:rPr>
        <w:t>场</w:t>
      </w:r>
      <w:r>
        <w:rPr>
          <w:color w:val="000000" w:themeColor="text1"/>
          <w14:textFill>
            <w14:solidFill>
              <w14:schemeClr w14:val="tx1"/>
            </w14:solidFill>
          </w14:textFill>
        </w:rPr>
        <w:t>界四周共布置</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个监测点位。</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（2）监测指标</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连续等效噪声A声级</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（3）监测频次</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每季度至少开展一次监测</w:t>
      </w:r>
      <w:r>
        <w:rPr>
          <w:rFonts w:hint="eastAsia"/>
          <w:color w:val="000000" w:themeColor="text1"/>
          <w14:textFill>
            <w14:solidFill>
              <w14:schemeClr w14:val="tx1"/>
            </w14:solidFill>
          </w14:textFill>
        </w:rPr>
        <w:t>。</w:t>
      </w:r>
    </w:p>
    <w:p>
      <w:pPr>
        <w:pStyle w:val="3"/>
        <w:spacing w:before="120" w:after="120"/>
        <w:rPr>
          <w:color w:val="000000" w:themeColor="text1"/>
          <w14:textFill>
            <w14:solidFill>
              <w14:schemeClr w14:val="tx1"/>
            </w14:solidFill>
          </w14:textFill>
        </w:rPr>
      </w:pPr>
      <w:bookmarkStart w:id="333" w:name="_Toc101428571"/>
      <w:bookmarkStart w:id="334" w:name="_Toc523322409"/>
      <w:bookmarkStart w:id="335" w:name="_Toc14614"/>
      <w:bookmarkStart w:id="336" w:name="_Toc471227906"/>
      <w:r>
        <w:rPr>
          <w:rFonts w:hint="eastAsia"/>
          <w:color w:val="000000" w:themeColor="text1"/>
          <w14:textFill>
            <w14:solidFill>
              <w14:schemeClr w14:val="tx1"/>
            </w14:solidFill>
          </w14:textFill>
        </w:rPr>
        <w:t>环保设施“三同时”竣工验收</w:t>
      </w:r>
      <w:bookmarkEnd w:id="333"/>
      <w:bookmarkEnd w:id="334"/>
      <w:bookmarkEnd w:id="335"/>
      <w:bookmarkEnd w:id="336"/>
    </w:p>
    <w:p>
      <w:pPr>
        <w:ind w:firstLine="480"/>
        <w:rPr>
          <w:color w:val="000000" w:themeColor="text1"/>
          <w14:textFill>
            <w14:solidFill>
              <w14:schemeClr w14:val="tx1"/>
            </w14:solidFill>
          </w14:textFill>
        </w:rPr>
      </w:pPr>
      <w:r>
        <w:rPr>
          <w:color w:val="000000" w:themeColor="text1"/>
          <w14:textFill>
            <w14:solidFill>
              <w14:schemeClr w14:val="tx1"/>
            </w14:solidFill>
          </w14:textFill>
        </w:rPr>
        <w:t>根据《建设项目环境保护管理条例》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《建设项目环境保护验收管理办法》</w:t>
      </w:r>
      <w:r>
        <w:rPr>
          <w:rFonts w:hint="eastAsia"/>
          <w:color w:val="000000" w:themeColor="text1"/>
          <w14:textFill>
            <w14:solidFill>
              <w14:schemeClr w14:val="tx1"/>
            </w14:solidFill>
          </w14:textFill>
        </w:rPr>
        <w:t>及《建设项目竣工环境保护验收技术指南污染影响类》</w:t>
      </w:r>
      <w:r>
        <w:rPr>
          <w:color w:val="000000" w:themeColor="text1"/>
          <w14:textFill>
            <w14:solidFill>
              <w14:schemeClr w14:val="tx1"/>
            </w14:solidFill>
          </w14:textFill>
        </w:rPr>
        <w:t>的规定，本</w:t>
      </w:r>
      <w:r>
        <w:rPr>
          <w:rFonts w:hint="eastAsia"/>
          <w:color w:val="000000" w:themeColor="text1"/>
          <w14:textFill>
            <w14:solidFill>
              <w14:schemeClr w14:val="tx1"/>
            </w14:solidFill>
          </w14:textFill>
        </w:rPr>
        <w:t>项目的</w:t>
      </w:r>
      <w:r>
        <w:rPr>
          <w:color w:val="000000" w:themeColor="text1"/>
          <w14:textFill>
            <w14:solidFill>
              <w14:schemeClr w14:val="tx1"/>
            </w14:solidFill>
          </w14:textFill>
        </w:rPr>
        <w:t>环保</w:t>
      </w:r>
      <w:r>
        <w:rPr>
          <w:rFonts w:hint="eastAsia"/>
          <w:color w:val="000000" w:themeColor="text1"/>
          <w14:textFill>
            <w14:solidFill>
              <w14:schemeClr w14:val="tx1"/>
            </w14:solidFill>
          </w14:textFill>
        </w:rPr>
        <w:t>设</w:t>
      </w:r>
      <w:r>
        <w:rPr>
          <w:rFonts w:hint="eastAsia" w:ascii="宋体" w:hAnsi="宋体"/>
          <w:color w:val="000000" w:themeColor="text1"/>
          <w14:textFill>
            <w14:solidFill>
              <w14:schemeClr w14:val="tx1"/>
            </w14:solidFill>
          </w14:textFill>
        </w:rPr>
        <w:t>施</w:t>
      </w:r>
      <w:r>
        <w:rPr>
          <w:rFonts w:ascii="宋体" w:hAnsi="宋体"/>
          <w:color w:val="000000" w:themeColor="text1"/>
          <w14:textFill>
            <w14:solidFill>
              <w14:schemeClr w14:val="tx1"/>
            </w14:solidFill>
          </w14:textFill>
        </w:rPr>
        <w:t>“三同时”</w:t>
      </w:r>
      <w:r>
        <w:rPr>
          <w:rFonts w:hint="eastAsia" w:ascii="宋体" w:hAnsi="宋体"/>
          <w:color w:val="000000" w:themeColor="text1"/>
          <w14:textFill>
            <w14:solidFill>
              <w14:schemeClr w14:val="tx1"/>
            </w14:solidFill>
          </w14:textFill>
        </w:rPr>
        <w:t>竣工</w:t>
      </w:r>
      <w:r>
        <w:rPr>
          <w:rFonts w:ascii="宋体" w:hAnsi="宋体"/>
          <w:color w:val="000000" w:themeColor="text1"/>
          <w14:textFill>
            <w14:solidFill>
              <w14:schemeClr w14:val="tx1"/>
            </w14:solidFill>
          </w14:textFill>
        </w:rPr>
        <w:t>验</w:t>
      </w:r>
      <w:r>
        <w:rPr>
          <w:color w:val="000000" w:themeColor="text1"/>
          <w14:textFill>
            <w14:solidFill>
              <w14:schemeClr w14:val="tx1"/>
            </w14:solidFill>
          </w14:textFill>
        </w:rPr>
        <w:t>收内容见表</w:t>
      </w:r>
      <w:r>
        <w:rPr>
          <w:rFonts w:hint="eastAsia"/>
          <w:color w:val="000000" w:themeColor="text1"/>
          <w14:textFill>
            <w14:solidFill>
              <w14:schemeClr w14:val="tx1"/>
            </w14:solidFill>
          </w14:textFill>
        </w:rPr>
        <w:t>9.4</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sectPr>
          <w:pgSz w:w="11906" w:h="16838"/>
          <w:pgMar w:top="1418" w:right="1418" w:bottom="1247" w:left="1701" w:header="851" w:footer="680" w:gutter="0"/>
          <w:pgNumType w:fmt="decimal"/>
          <w:cols w:space="720" w:num="1"/>
          <w:docGrid w:linePitch="326" w:charSpace="0"/>
        </w:sectPr>
      </w:pPr>
    </w:p>
    <w:p>
      <w:pPr>
        <w:pStyle w:val="6"/>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9.4-</w:t>
      </w:r>
      <w:r>
        <w:rPr>
          <w:color w:val="000000" w:themeColor="text1"/>
          <w14:textFill>
            <w14:solidFill>
              <w14:schemeClr w14:val="tx1"/>
            </w14:solidFill>
          </w14:textFill>
        </w:rPr>
        <w:t xml:space="preserve">1    </w:t>
      </w:r>
      <w:r>
        <w:rPr>
          <w:rFonts w:hint="eastAsia"/>
          <w:color w:val="000000" w:themeColor="text1"/>
          <w14:textFill>
            <w14:solidFill>
              <w14:schemeClr w14:val="tx1"/>
            </w14:solidFill>
          </w14:textFill>
        </w:rPr>
        <w:t>本次项目</w:t>
      </w:r>
      <w:r>
        <w:rPr>
          <w:color w:val="000000" w:themeColor="text1"/>
          <w14:textFill>
            <w14:solidFill>
              <w14:schemeClr w14:val="tx1"/>
            </w14:solidFill>
          </w14:textFill>
        </w:rPr>
        <w:t>环境</w:t>
      </w:r>
      <w:r>
        <w:rPr>
          <w:rFonts w:hint="eastAsia"/>
          <w:color w:val="000000" w:themeColor="text1"/>
          <w14:textFill>
            <w14:solidFill>
              <w14:schemeClr w14:val="tx1"/>
            </w14:solidFill>
          </w14:textFill>
        </w:rPr>
        <w:t>监测</w:t>
      </w:r>
      <w:r>
        <w:rPr>
          <w:color w:val="000000" w:themeColor="text1"/>
          <w14:textFill>
            <w14:solidFill>
              <w14:schemeClr w14:val="tx1"/>
            </w14:solidFill>
          </w14:textFill>
        </w:rPr>
        <w:t>计划一览表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7" w:type="dxa"/>
          <w:bottom w:w="0" w:type="dxa"/>
          <w:right w:w="57" w:type="dxa"/>
        </w:tblCellMar>
      </w:tblPr>
      <w:tblGrid>
        <w:gridCol w:w="688"/>
        <w:gridCol w:w="534"/>
        <w:gridCol w:w="794"/>
        <w:gridCol w:w="733"/>
        <w:gridCol w:w="864"/>
        <w:gridCol w:w="3505"/>
        <w:gridCol w:w="1016"/>
        <w:gridCol w:w="4354"/>
        <w:gridCol w:w="134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jc w:val="center"/>
        </w:trPr>
        <w:tc>
          <w:tcPr>
            <w:tcW w:w="249"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阶段</w:t>
            </w:r>
          </w:p>
        </w:tc>
        <w:tc>
          <w:tcPr>
            <w:tcW w:w="480" w:type="pct"/>
            <w:gridSpan w:val="2"/>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类别</w:t>
            </w:r>
          </w:p>
        </w:tc>
        <w:tc>
          <w:tcPr>
            <w:tcW w:w="576" w:type="pct"/>
            <w:gridSpan w:val="2"/>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点位</w:t>
            </w:r>
          </w:p>
        </w:tc>
        <w:tc>
          <w:tcPr>
            <w:tcW w:w="126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指标</w:t>
            </w:r>
          </w:p>
        </w:tc>
        <w:tc>
          <w:tcPr>
            <w:tcW w:w="367"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频次</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执行标准</w:t>
            </w:r>
          </w:p>
        </w:tc>
        <w:tc>
          <w:tcPr>
            <w:tcW w:w="48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实施单位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jc w:val="center"/>
        </w:trPr>
        <w:tc>
          <w:tcPr>
            <w:tcW w:w="249" w:type="pct"/>
            <w:vMerge w:val="restart"/>
            <w:shd w:val="clear" w:color="auto" w:fill="auto"/>
            <w:textDirection w:val="tbRlV"/>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运营期</w:t>
            </w:r>
          </w:p>
        </w:tc>
        <w:tc>
          <w:tcPr>
            <w:tcW w:w="193" w:type="pct"/>
            <w:vMerge w:val="restart"/>
            <w:shd w:val="clear" w:color="auto" w:fill="auto"/>
            <w:textDirection w:val="tbRlV"/>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环境质量监测</w:t>
            </w:r>
          </w:p>
        </w:tc>
        <w:tc>
          <w:tcPr>
            <w:tcW w:w="28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地下水</w:t>
            </w:r>
          </w:p>
        </w:tc>
        <w:tc>
          <w:tcPr>
            <w:tcW w:w="576" w:type="pct"/>
            <w:gridSpan w:val="2"/>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1口地下水</w:t>
            </w:r>
            <w:r>
              <w:rPr>
                <w:color w:val="000000" w:themeColor="text1"/>
                <w14:textFill>
                  <w14:solidFill>
                    <w14:schemeClr w14:val="tx1"/>
                  </w14:solidFill>
                </w14:textFill>
              </w:rPr>
              <w:t>监控井</w:t>
            </w:r>
            <w:r>
              <w:rPr>
                <w:rFonts w:hint="eastAsia"/>
                <w:color w:val="000000" w:themeColor="text1"/>
                <w14:textFill>
                  <w14:solidFill>
                    <w14:schemeClr w14:val="tx1"/>
                  </w14:solidFill>
                </w14:textFill>
              </w:rPr>
              <w:t>水质</w:t>
            </w:r>
          </w:p>
        </w:tc>
        <w:tc>
          <w:tcPr>
            <w:tcW w:w="126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水位、水温、pH值、电导率、浑浊度、氧化还原电位、色、嗅和味、肉眼可见物、耗氧量、溶解性总固体、氨氮、硝酸盐氮、亚硝酸盐氮、挥发性酚类、阴离子表面活性剂、氯化物、硫化物、石油类、汞、镉、砷、六价铬、铅、总大肠菌群、菌落总数等共26项</w:t>
            </w:r>
          </w:p>
        </w:tc>
        <w:tc>
          <w:tcPr>
            <w:tcW w:w="367"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1次/年</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《地下水质量标准》（GB/T14848-2017）中Ⅲ类标准</w:t>
            </w:r>
          </w:p>
        </w:tc>
        <w:tc>
          <w:tcPr>
            <w:tcW w:w="48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委托有资质单位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jc w:val="center"/>
        </w:trPr>
        <w:tc>
          <w:tcPr>
            <w:tcW w:w="249" w:type="pct"/>
            <w:vMerge w:val="continue"/>
            <w:shd w:val="clear" w:color="auto" w:fill="auto"/>
            <w:vAlign w:val="center"/>
          </w:tcPr>
          <w:p>
            <w:pPr>
              <w:pStyle w:val="232"/>
              <w:rPr>
                <w:color w:val="000000" w:themeColor="text1"/>
                <w14:textFill>
                  <w14:solidFill>
                    <w14:schemeClr w14:val="tx1"/>
                  </w14:solidFill>
                </w14:textFill>
              </w:rPr>
            </w:pPr>
          </w:p>
        </w:tc>
        <w:tc>
          <w:tcPr>
            <w:tcW w:w="193" w:type="pct"/>
            <w:vMerge w:val="continue"/>
            <w:shd w:val="clear" w:color="auto" w:fill="auto"/>
            <w:textDirection w:val="tbRlV"/>
            <w:vAlign w:val="center"/>
          </w:tcPr>
          <w:p>
            <w:pPr>
              <w:pStyle w:val="232"/>
              <w:rPr>
                <w:color w:val="000000" w:themeColor="text1"/>
                <w14:textFill>
                  <w14:solidFill>
                    <w14:schemeClr w14:val="tx1"/>
                  </w14:solidFill>
                </w14:textFill>
              </w:rPr>
            </w:pPr>
          </w:p>
        </w:tc>
        <w:tc>
          <w:tcPr>
            <w:tcW w:w="28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w:t>
            </w:r>
          </w:p>
        </w:tc>
        <w:tc>
          <w:tcPr>
            <w:tcW w:w="576" w:type="pct"/>
            <w:gridSpan w:val="2"/>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粪污处理单元周边及场区外</w:t>
            </w:r>
          </w:p>
        </w:tc>
        <w:tc>
          <w:tcPr>
            <w:tcW w:w="126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pH、镉、汞、砷、铅、铜、铬、镍、锌、氨氮</w:t>
            </w:r>
          </w:p>
        </w:tc>
        <w:tc>
          <w:tcPr>
            <w:tcW w:w="367"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1次/五年</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《土壤环境质量 农用地土壤污染风险管控标准（试行）》（</w:t>
            </w:r>
            <w:r>
              <w:rPr>
                <w:color w:val="000000" w:themeColor="text1"/>
                <w14:textFill>
                  <w14:solidFill>
                    <w14:schemeClr w14:val="tx1"/>
                  </w14:solidFill>
                </w14:textFill>
              </w:rPr>
              <w:t>GB15618-2018</w:t>
            </w:r>
            <w:r>
              <w:rPr>
                <w:rFonts w:hint="eastAsia"/>
                <w:color w:val="000000" w:themeColor="text1"/>
                <w14:textFill>
                  <w14:solidFill>
                    <w14:schemeClr w14:val="tx1"/>
                  </w14:solidFill>
                </w14:textFill>
              </w:rPr>
              <w:t>）</w:t>
            </w:r>
          </w:p>
        </w:tc>
        <w:tc>
          <w:tcPr>
            <w:tcW w:w="48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委托有资质单位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1347" w:hRule="atLeast"/>
          <w:jc w:val="center"/>
        </w:trPr>
        <w:tc>
          <w:tcPr>
            <w:tcW w:w="249" w:type="pct"/>
            <w:vMerge w:val="continue"/>
            <w:shd w:val="clear" w:color="auto" w:fill="auto"/>
            <w:vAlign w:val="center"/>
          </w:tcPr>
          <w:p>
            <w:pPr>
              <w:pStyle w:val="232"/>
              <w:rPr>
                <w:color w:val="000000" w:themeColor="text1"/>
                <w14:textFill>
                  <w14:solidFill>
                    <w14:schemeClr w14:val="tx1"/>
                  </w14:solidFill>
                </w14:textFill>
              </w:rPr>
            </w:pPr>
          </w:p>
        </w:tc>
        <w:tc>
          <w:tcPr>
            <w:tcW w:w="193" w:type="pct"/>
            <w:vMerge w:val="restart"/>
            <w:shd w:val="clear" w:color="auto" w:fill="auto"/>
            <w:textDirection w:val="tbRlV"/>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污染源监测</w:t>
            </w:r>
          </w:p>
        </w:tc>
        <w:tc>
          <w:tcPr>
            <w:tcW w:w="286" w:type="pct"/>
            <w:vMerge w:val="restar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废气</w:t>
            </w:r>
          </w:p>
        </w:tc>
        <w:tc>
          <w:tcPr>
            <w:tcW w:w="264"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DA001排气筒</w:t>
            </w:r>
          </w:p>
        </w:tc>
        <w:tc>
          <w:tcPr>
            <w:tcW w:w="311"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动物尸体无害化车间废气</w:t>
            </w:r>
          </w:p>
        </w:tc>
        <w:tc>
          <w:tcPr>
            <w:tcW w:w="126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颗粒物、氨气、硫化氢、臭气浓度</w:t>
            </w:r>
          </w:p>
        </w:tc>
        <w:tc>
          <w:tcPr>
            <w:tcW w:w="367"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1次/月</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《大气污染物综合排放标准》(GB16297-1996)二级标准、《恶臭污染物排放标准》（GB14554-93）</w:t>
            </w:r>
          </w:p>
        </w:tc>
        <w:tc>
          <w:tcPr>
            <w:tcW w:w="486" w:type="pct"/>
            <w:vMerge w:val="restar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委托有资质单位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jc w:val="center"/>
        </w:trPr>
        <w:tc>
          <w:tcPr>
            <w:tcW w:w="249" w:type="pct"/>
            <w:vMerge w:val="continue"/>
            <w:shd w:val="clear" w:color="auto" w:fill="auto"/>
            <w:vAlign w:val="center"/>
          </w:tcPr>
          <w:p>
            <w:pPr>
              <w:pStyle w:val="232"/>
              <w:rPr>
                <w:color w:val="000000" w:themeColor="text1"/>
                <w14:textFill>
                  <w14:solidFill>
                    <w14:schemeClr w14:val="tx1"/>
                  </w14:solidFill>
                </w14:textFill>
              </w:rPr>
            </w:pPr>
          </w:p>
        </w:tc>
        <w:tc>
          <w:tcPr>
            <w:tcW w:w="193" w:type="pct"/>
            <w:vMerge w:val="continue"/>
            <w:shd w:val="clear" w:color="auto" w:fill="auto"/>
            <w:textDirection w:val="tbRlV"/>
            <w:vAlign w:val="center"/>
          </w:tcPr>
          <w:p>
            <w:pPr>
              <w:pStyle w:val="232"/>
              <w:rPr>
                <w:color w:val="000000" w:themeColor="text1"/>
                <w14:textFill>
                  <w14:solidFill>
                    <w14:schemeClr w14:val="tx1"/>
                  </w14:solidFill>
                </w14:textFill>
              </w:rPr>
            </w:pPr>
          </w:p>
        </w:tc>
        <w:tc>
          <w:tcPr>
            <w:tcW w:w="286" w:type="pct"/>
            <w:vMerge w:val="continue"/>
            <w:shd w:val="clear" w:color="auto" w:fill="auto"/>
            <w:vAlign w:val="center"/>
          </w:tcPr>
          <w:p>
            <w:pPr>
              <w:pStyle w:val="232"/>
              <w:rPr>
                <w:color w:val="000000" w:themeColor="text1"/>
                <w14:textFill>
                  <w14:solidFill>
                    <w14:schemeClr w14:val="tx1"/>
                  </w14:solidFill>
                </w14:textFill>
              </w:rPr>
            </w:pPr>
          </w:p>
        </w:tc>
        <w:tc>
          <w:tcPr>
            <w:tcW w:w="576" w:type="pct"/>
            <w:gridSpan w:val="2"/>
            <w:vMerge w:val="restar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厂界</w:t>
            </w:r>
          </w:p>
        </w:tc>
        <w:tc>
          <w:tcPr>
            <w:tcW w:w="126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氨气、硫化氢、臭气浓度</w:t>
            </w:r>
          </w:p>
        </w:tc>
        <w:tc>
          <w:tcPr>
            <w:tcW w:w="367"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1次/季</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《恶臭污染物排放标准》（</w:t>
            </w:r>
            <w:r>
              <w:rPr>
                <w:color w:val="000000" w:themeColor="text1"/>
                <w14:textFill>
                  <w14:solidFill>
                    <w14:schemeClr w14:val="tx1"/>
                  </w14:solidFill>
                </w14:textFill>
              </w:rPr>
              <w:t>GB14554-93</w:t>
            </w:r>
            <w:r>
              <w:rPr>
                <w:rFonts w:hint="eastAsia"/>
                <w:color w:val="000000" w:themeColor="text1"/>
                <w14:textFill>
                  <w14:solidFill>
                    <w14:schemeClr w14:val="tx1"/>
                  </w14:solidFill>
                </w14:textFill>
              </w:rPr>
              <w:t>）</w:t>
            </w:r>
          </w:p>
        </w:tc>
        <w:tc>
          <w:tcPr>
            <w:tcW w:w="486" w:type="pct"/>
            <w:vMerge w:val="restar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委托有资质单位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jc w:val="center"/>
        </w:trPr>
        <w:tc>
          <w:tcPr>
            <w:tcW w:w="249" w:type="pct"/>
            <w:vMerge w:val="continue"/>
            <w:shd w:val="clear" w:color="auto" w:fill="auto"/>
            <w:vAlign w:val="center"/>
          </w:tcPr>
          <w:p>
            <w:pPr>
              <w:pStyle w:val="232"/>
              <w:rPr>
                <w:color w:val="000000" w:themeColor="text1"/>
                <w14:textFill>
                  <w14:solidFill>
                    <w14:schemeClr w14:val="tx1"/>
                  </w14:solidFill>
                </w14:textFill>
              </w:rPr>
            </w:pPr>
          </w:p>
        </w:tc>
        <w:tc>
          <w:tcPr>
            <w:tcW w:w="193" w:type="pct"/>
            <w:vMerge w:val="continue"/>
            <w:shd w:val="clear" w:color="auto" w:fill="auto"/>
            <w:vAlign w:val="center"/>
          </w:tcPr>
          <w:p>
            <w:pPr>
              <w:pStyle w:val="232"/>
              <w:rPr>
                <w:color w:val="000000" w:themeColor="text1"/>
                <w14:textFill>
                  <w14:solidFill>
                    <w14:schemeClr w14:val="tx1"/>
                  </w14:solidFill>
                </w14:textFill>
              </w:rPr>
            </w:pPr>
          </w:p>
        </w:tc>
        <w:tc>
          <w:tcPr>
            <w:tcW w:w="286" w:type="pct"/>
            <w:vMerge w:val="continue"/>
            <w:shd w:val="clear" w:color="auto" w:fill="auto"/>
            <w:vAlign w:val="center"/>
          </w:tcPr>
          <w:p>
            <w:pPr>
              <w:pStyle w:val="232"/>
              <w:rPr>
                <w:color w:val="000000" w:themeColor="text1"/>
                <w14:textFill>
                  <w14:solidFill>
                    <w14:schemeClr w14:val="tx1"/>
                  </w14:solidFill>
                </w14:textFill>
              </w:rPr>
            </w:pPr>
          </w:p>
        </w:tc>
        <w:tc>
          <w:tcPr>
            <w:tcW w:w="576" w:type="pct"/>
            <w:gridSpan w:val="2"/>
            <w:vMerge w:val="continue"/>
            <w:shd w:val="clear" w:color="auto" w:fill="auto"/>
            <w:vAlign w:val="center"/>
          </w:tcPr>
          <w:p>
            <w:pPr>
              <w:pStyle w:val="232"/>
              <w:rPr>
                <w:color w:val="000000" w:themeColor="text1"/>
                <w14:textFill>
                  <w14:solidFill>
                    <w14:schemeClr w14:val="tx1"/>
                  </w14:solidFill>
                </w14:textFill>
              </w:rPr>
            </w:pPr>
          </w:p>
        </w:tc>
        <w:tc>
          <w:tcPr>
            <w:tcW w:w="126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颗粒物</w:t>
            </w:r>
          </w:p>
        </w:tc>
        <w:tc>
          <w:tcPr>
            <w:tcW w:w="367"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1次/年</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《大气污染物综合排放标准》(GB16297-1996)二级标准</w:t>
            </w:r>
          </w:p>
        </w:tc>
        <w:tc>
          <w:tcPr>
            <w:tcW w:w="486" w:type="pct"/>
            <w:vMerge w:val="continue"/>
            <w:shd w:val="clear" w:color="auto" w:fill="auto"/>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jc w:val="center"/>
        </w:trPr>
        <w:tc>
          <w:tcPr>
            <w:tcW w:w="249" w:type="pct"/>
            <w:vMerge w:val="continue"/>
            <w:shd w:val="clear" w:color="auto" w:fill="auto"/>
            <w:vAlign w:val="center"/>
          </w:tcPr>
          <w:p>
            <w:pPr>
              <w:pStyle w:val="232"/>
              <w:rPr>
                <w:color w:val="000000" w:themeColor="text1"/>
                <w14:textFill>
                  <w14:solidFill>
                    <w14:schemeClr w14:val="tx1"/>
                  </w14:solidFill>
                </w14:textFill>
              </w:rPr>
            </w:pPr>
          </w:p>
        </w:tc>
        <w:tc>
          <w:tcPr>
            <w:tcW w:w="193" w:type="pct"/>
            <w:vMerge w:val="continue"/>
            <w:shd w:val="clear" w:color="auto" w:fill="auto"/>
            <w:vAlign w:val="center"/>
          </w:tcPr>
          <w:p>
            <w:pPr>
              <w:pStyle w:val="232"/>
              <w:rPr>
                <w:color w:val="000000" w:themeColor="text1"/>
                <w14:textFill>
                  <w14:solidFill>
                    <w14:schemeClr w14:val="tx1"/>
                  </w14:solidFill>
                </w14:textFill>
              </w:rPr>
            </w:pPr>
          </w:p>
        </w:tc>
        <w:tc>
          <w:tcPr>
            <w:tcW w:w="28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576" w:type="pct"/>
            <w:gridSpan w:val="2"/>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厂界</w:t>
            </w:r>
          </w:p>
        </w:tc>
        <w:tc>
          <w:tcPr>
            <w:tcW w:w="1266" w:type="pct"/>
            <w:shd w:val="clear" w:color="auto" w:fill="auto"/>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等效A声级</w:t>
            </w:r>
          </w:p>
        </w:tc>
        <w:tc>
          <w:tcPr>
            <w:tcW w:w="367"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1次/季度</w:t>
            </w:r>
          </w:p>
        </w:tc>
        <w:tc>
          <w:tcPr>
            <w:tcW w:w="1573"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《工业企业厂界环境噪声排放标准》（GB12348-2008）2类标准值</w:t>
            </w:r>
          </w:p>
        </w:tc>
        <w:tc>
          <w:tcPr>
            <w:tcW w:w="486" w:type="pct"/>
            <w:shd w:val="clear" w:color="auto" w:fill="auto"/>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委托有资质单位</w:t>
            </w:r>
          </w:p>
        </w:tc>
      </w:tr>
    </w:tbl>
    <w:p>
      <w:pPr>
        <w:ind w:firstLine="480"/>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6"/>
        <w:rPr>
          <w:color w:val="000000" w:themeColor="text1"/>
          <w14:textFill>
            <w14:solidFill>
              <w14:schemeClr w14:val="tx1"/>
            </w14:solidFill>
          </w14:textFill>
        </w:rPr>
      </w:pPr>
      <w:bookmarkStart w:id="337" w:name="_Hlk46587142"/>
      <w:r>
        <w:rPr>
          <w:color w:val="000000" w:themeColor="text1"/>
          <w14:textFill>
            <w14:solidFill>
              <w14:schemeClr w14:val="tx1"/>
            </w14:solidFill>
          </w14:textFill>
        </w:rPr>
        <w:t>表</w:t>
      </w:r>
      <w:r>
        <w:rPr>
          <w:rFonts w:hint="eastAsia"/>
          <w:color w:val="000000" w:themeColor="text1"/>
          <w14:textFill>
            <w14:solidFill>
              <w14:schemeClr w14:val="tx1"/>
            </w14:solidFill>
          </w14:textFill>
        </w:rPr>
        <w:t>9.4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    项目</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三同时</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环保验收一览表</w:t>
      </w:r>
    </w:p>
    <w:tbl>
      <w:tblPr>
        <w:tblStyle w:val="38"/>
        <w:tblW w:w="433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8"/>
        <w:gridCol w:w="1172"/>
        <w:gridCol w:w="1859"/>
        <w:gridCol w:w="1641"/>
        <w:gridCol w:w="3442"/>
        <w:gridCol w:w="353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8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类型</w:t>
            </w: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产污点</w:t>
            </w:r>
          </w:p>
        </w:tc>
        <w:tc>
          <w:tcPr>
            <w:tcW w:w="76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污染物</w:t>
            </w:r>
          </w:p>
        </w:tc>
        <w:tc>
          <w:tcPr>
            <w:tcW w:w="2103" w:type="pct"/>
            <w:gridSpan w:val="2"/>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验收措施</w:t>
            </w:r>
          </w:p>
        </w:tc>
        <w:tc>
          <w:tcPr>
            <w:tcW w:w="1460"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验收标准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09" w:hRule="atLeast"/>
          <w:jc w:val="center"/>
        </w:trPr>
        <w:tc>
          <w:tcPr>
            <w:tcW w:w="181" w:type="pct"/>
            <w:vMerge w:val="restart"/>
            <w:vAlign w:val="center"/>
          </w:tcPr>
          <w:p>
            <w:pPr>
              <w:pStyle w:val="232"/>
              <w:rPr>
                <w:color w:val="000000" w:themeColor="text1"/>
                <w14:textFill>
                  <w14:solidFill>
                    <w14:schemeClr w14:val="tx1"/>
                  </w14:solidFill>
                </w14:textFill>
              </w:rPr>
            </w:pP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养殖区</w:t>
            </w:r>
          </w:p>
        </w:tc>
        <w:tc>
          <w:tcPr>
            <w:tcW w:w="769"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氨气</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硫化氢</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臭气浓度</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科学喂养，饲料添加EM剂、干清粪、粪污</w:t>
            </w:r>
            <w:r>
              <w:rPr>
                <w:rFonts w:hint="eastAsia"/>
                <w:color w:val="000000" w:themeColor="text1"/>
                <w:kern w:val="0"/>
                <w:lang w:eastAsia="zh-CN"/>
                <w14:textFill>
                  <w14:solidFill>
                    <w14:schemeClr w14:val="tx1"/>
                  </w14:solidFill>
                </w14:textFill>
              </w:rPr>
              <w:t>及时清理</w:t>
            </w:r>
            <w:r>
              <w:rPr>
                <w:rFonts w:hint="eastAsia"/>
                <w:color w:val="000000" w:themeColor="text1"/>
                <w:kern w:val="0"/>
                <w14:textFill>
                  <w14:solidFill>
                    <w14:schemeClr w14:val="tx1"/>
                  </w14:solidFill>
                </w14:textFill>
              </w:rPr>
              <w:t>、加强羊舍通风、喷洒生物除臭剂</w:t>
            </w:r>
          </w:p>
        </w:tc>
        <w:tc>
          <w:tcPr>
            <w:tcW w:w="1460" w:type="pct"/>
            <w:vMerge w:val="restart"/>
            <w:vAlign w:val="center"/>
          </w:tcPr>
          <w:p>
            <w:pPr>
              <w:pStyle w:val="23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《恶臭污染物排放标准》</w:t>
            </w:r>
          </w:p>
          <w:p>
            <w:pPr>
              <w:pStyle w:val="23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（GB14554-1993）厂界标准值中氨气和硫化氢的浓度标准限值</w:t>
            </w:r>
          </w:p>
          <w:p>
            <w:pPr>
              <w:pStyle w:val="232"/>
              <w:rPr>
                <w:rFonts w:hint="eastAsia"/>
                <w:color w:val="000000" w:themeColor="text1"/>
                <w14:textFill>
                  <w14:solidFill>
                    <w14:schemeClr w14:val="tx1"/>
                  </w14:solidFill>
                </w14:textFill>
              </w:rPr>
            </w:pPr>
          </w:p>
          <w:p>
            <w:pPr>
              <w:pStyle w:val="232"/>
              <w:rPr>
                <w:color w:val="000000" w:themeColor="text1"/>
                <w14:textFill>
                  <w14:solidFill>
                    <w14:schemeClr w14:val="tx1"/>
                  </w14:solidFill>
                </w14:textFill>
              </w:rPr>
            </w:pPr>
            <w:r>
              <w:rPr>
                <w:rFonts w:hint="eastAsia"/>
                <w:color w:val="000000" w:themeColor="text1"/>
                <w:highlight w:val="green"/>
                <w14:textFill>
                  <w14:solidFill>
                    <w14:schemeClr w14:val="tx1"/>
                  </w14:solidFill>
                </w14:textFill>
              </w:rPr>
              <w:t>《畜禽养殖业污染物排放标准》（GB18596-2001）中臭气浓度的限值要求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81" w:type="pct"/>
            <w:vMerge w:val="continue"/>
            <w:vAlign w:val="center"/>
          </w:tcPr>
          <w:p>
            <w:pPr>
              <w:pStyle w:val="232"/>
            </w:pPr>
          </w:p>
        </w:tc>
        <w:tc>
          <w:tcPr>
            <w:tcW w:w="485" w:type="pct"/>
            <w:vAlign w:val="center"/>
          </w:tcPr>
          <w:p>
            <w:pPr>
              <w:pStyle w:val="232"/>
              <w:rPr>
                <w:color w:val="000000" w:themeColor="text1"/>
                <w14:textFill>
                  <w14:solidFill>
                    <w14:schemeClr w14:val="tx1"/>
                  </w14:solidFill>
                </w14:textFill>
              </w:rPr>
            </w:pPr>
            <w:r>
              <w:rPr>
                <w:rFonts w:hint="eastAsia"/>
                <w:color w:val="000000" w:themeColor="text1"/>
                <w:highlight w:val="green"/>
                <w14:textFill>
                  <w14:solidFill>
                    <w14:schemeClr w14:val="tx1"/>
                  </w14:solidFill>
                </w14:textFill>
              </w:rPr>
              <w:t>动物尸体无害化车间</w:t>
            </w:r>
          </w:p>
        </w:tc>
        <w:tc>
          <w:tcPr>
            <w:tcW w:w="769" w:type="pct"/>
            <w:vMerge w:val="continue"/>
            <w:vAlign w:val="center"/>
          </w:tcPr>
          <w:p>
            <w:pPr>
              <w:pStyle w:val="232"/>
              <w:rPr>
                <w:color w:val="000000" w:themeColor="text1"/>
                <w14:textFill>
                  <w14:solidFill>
                    <w14:schemeClr w14:val="tx1"/>
                  </w14:solidFill>
                </w14:textFill>
              </w:rPr>
            </w:pPr>
          </w:p>
        </w:tc>
        <w:tc>
          <w:tcPr>
            <w:tcW w:w="2103" w:type="pct"/>
            <w:gridSpan w:val="2"/>
            <w:vAlign w:val="center"/>
          </w:tcPr>
          <w:p>
            <w:pPr>
              <w:pStyle w:val="232"/>
              <w:rPr>
                <w:color w:val="000000" w:themeColor="text1"/>
                <w14:textFill>
                  <w14:solidFill>
                    <w14:schemeClr w14:val="tx1"/>
                  </w14:solidFill>
                </w14:textFill>
              </w:rPr>
            </w:pPr>
            <w:r>
              <w:rPr>
                <w:rFonts w:hint="eastAsia"/>
                <w:color w:val="FF0000"/>
                <w:kern w:val="0"/>
              </w:rPr>
              <w:t>一体式无害化处理设置密闭车间，做顶部集气装置，</w:t>
            </w:r>
            <w:r>
              <w:rPr>
                <w:rFonts w:hint="eastAsia"/>
                <w:color w:val="FF0000"/>
                <w:kern w:val="0"/>
                <w:lang w:val="en-US" w:eastAsia="zh-CN"/>
              </w:rPr>
              <w:t>通过</w:t>
            </w:r>
            <w:r>
              <w:rPr>
                <w:rFonts w:hint="eastAsia"/>
                <w:color w:val="FF0000"/>
                <w:kern w:val="0"/>
              </w:rPr>
              <w:t>一套生物除臭塔进行处理后由车间排气筒DA001（15m高）排放，剩余未吸收部分以无组织形式排放</w:t>
            </w:r>
          </w:p>
        </w:tc>
        <w:tc>
          <w:tcPr>
            <w:tcW w:w="146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Align w:val="center"/>
          </w:tcPr>
          <w:p>
            <w:pPr>
              <w:pStyle w:val="232"/>
              <w:rPr>
                <w:rFonts w:hint="eastAsia" w:eastAsia="宋体"/>
                <w:color w:val="000000" w:themeColor="text1"/>
                <w:lang w:eastAsia="zh-CN"/>
                <w14:textFill>
                  <w14:solidFill>
                    <w14:schemeClr w14:val="tx1"/>
                  </w14:solidFill>
                </w14:textFill>
              </w:rPr>
            </w:pPr>
            <w:r>
              <w:rPr>
                <w:rFonts w:hint="eastAsia"/>
                <w:color w:val="92D050"/>
                <w:lang w:eastAsia="zh-CN"/>
              </w:rPr>
              <w:t>有机肥堆场</w:t>
            </w:r>
          </w:p>
        </w:tc>
        <w:tc>
          <w:tcPr>
            <w:tcW w:w="769" w:type="pct"/>
            <w:vMerge w:val="continue"/>
            <w:vAlign w:val="center"/>
          </w:tcPr>
          <w:p>
            <w:pPr>
              <w:pStyle w:val="232"/>
              <w:rPr>
                <w:color w:val="000000" w:themeColor="text1"/>
                <w14:textFill>
                  <w14:solidFill>
                    <w14:schemeClr w14:val="tx1"/>
                  </w14:solidFill>
                </w14:textFill>
              </w:rPr>
            </w:pPr>
          </w:p>
        </w:tc>
        <w:tc>
          <w:tcPr>
            <w:tcW w:w="2103" w:type="pct"/>
            <w:gridSpan w:val="2"/>
            <w:vAlign w:val="center"/>
          </w:tcPr>
          <w:p>
            <w:pPr>
              <w:pStyle w:val="232"/>
              <w:rPr>
                <w:color w:val="000000" w:themeColor="text1"/>
                <w14:textFill>
                  <w14:solidFill>
                    <w14:schemeClr w14:val="tx1"/>
                  </w14:solidFill>
                </w14:textFill>
              </w:rPr>
            </w:pPr>
            <w:r>
              <w:rPr>
                <w:rFonts w:hint="eastAsia"/>
                <w:color w:val="FF0000"/>
                <w:szCs w:val="22"/>
              </w:rPr>
              <w:t>本</w:t>
            </w:r>
            <w:r>
              <w:rPr>
                <w:color w:val="FF0000"/>
                <w:szCs w:val="22"/>
              </w:rPr>
              <w:t>项目</w:t>
            </w:r>
            <w:r>
              <w:rPr>
                <w:rFonts w:hint="eastAsia"/>
                <w:color w:val="FF0000"/>
                <w:szCs w:val="22"/>
              </w:rPr>
              <w:t>从饲料中添加EM菌群，能够从源头上减少氨气和硫化氢的产生</w:t>
            </w:r>
            <w:r>
              <w:rPr>
                <w:color w:val="FF0000"/>
              </w:rPr>
              <w:t>，</w:t>
            </w:r>
            <w:r>
              <w:rPr>
                <w:rFonts w:hint="eastAsia"/>
                <w:color w:val="FF0000"/>
              </w:rPr>
              <w:t>并及时对粪便进行清理，同时在栏舍范围内采用生物除臭技术，利用微生物菌群的分解、固化作用对已产生的臭气进行去除，</w:t>
            </w:r>
            <w:r>
              <w:rPr>
                <w:rFonts w:hint="eastAsia"/>
                <w:color w:val="FF0000"/>
                <w:lang w:val="en-US" w:eastAsia="zh-CN"/>
              </w:rPr>
              <w:t>同时</w:t>
            </w:r>
            <w:r>
              <w:rPr>
                <w:rFonts w:hint="eastAsia"/>
                <w:color w:val="FF0000"/>
              </w:rPr>
              <w:t>加强四周场地绿化</w:t>
            </w:r>
            <w:r>
              <w:rPr>
                <w:rFonts w:hint="eastAsia"/>
                <w:color w:val="FF0000"/>
                <w:lang w:eastAsia="zh-CN"/>
              </w:rPr>
              <w:t>，</w:t>
            </w:r>
            <w:r>
              <w:rPr>
                <w:rFonts w:hint="eastAsia"/>
                <w:color w:val="FF0000"/>
              </w:rPr>
              <w:t>在</w:t>
            </w:r>
            <w:r>
              <w:rPr>
                <w:color w:val="FF0000"/>
              </w:rPr>
              <w:t>加强管理的前提下可有效减少恶臭污染物的排放</w:t>
            </w:r>
          </w:p>
        </w:tc>
        <w:tc>
          <w:tcPr>
            <w:tcW w:w="146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饲料配制粉尘</w:t>
            </w:r>
          </w:p>
        </w:tc>
        <w:tc>
          <w:tcPr>
            <w:tcW w:w="769" w:type="pct"/>
            <w:vAlign w:val="center"/>
          </w:tcPr>
          <w:p>
            <w:pPr>
              <w:pStyle w:val="23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TSP</w:t>
            </w:r>
          </w:p>
        </w:tc>
        <w:tc>
          <w:tcPr>
            <w:tcW w:w="2103" w:type="pct"/>
            <w:gridSpan w:val="2"/>
            <w:vAlign w:val="center"/>
          </w:tcPr>
          <w:p>
            <w:pPr>
              <w:pStyle w:val="232"/>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采购具有一定粒度的成品饲料，饲料配制车间全封闭，搅拌过程产生的粉尘通过搅拌机配备的布袋除尘器处理后无组织排放，排放粉尘99%被布袋除尘器收集后送至</w:t>
            </w:r>
            <w:r>
              <w:rPr>
                <w:rFonts w:hint="eastAsia"/>
                <w:color w:val="92D050"/>
                <w:lang w:eastAsia="zh-CN"/>
              </w:rPr>
              <w:t>有机肥堆场</w:t>
            </w:r>
            <w:r>
              <w:rPr>
                <w:rFonts w:hint="eastAsia" w:eastAsia="宋体"/>
                <w:color w:val="000000" w:themeColor="text1"/>
                <w:lang w:eastAsia="zh-CN"/>
                <w14:textFill>
                  <w14:solidFill>
                    <w14:schemeClr w14:val="tx1"/>
                  </w14:solidFill>
                </w14:textFill>
              </w:rPr>
              <w:t>生产有机肥，未拦截的1%排放于大气环境</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《大气污染物综合排放标准》（GB16297-1996）中新建污染源二级标准周界外浓度最高点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废水</w:t>
            </w: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生活污水</w:t>
            </w:r>
          </w:p>
        </w:tc>
        <w:tc>
          <w:tcPr>
            <w:tcW w:w="769"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CODCr、SS、NH3-N</w:t>
            </w:r>
          </w:p>
        </w:tc>
        <w:tc>
          <w:tcPr>
            <w:tcW w:w="2103" w:type="pct"/>
            <w:gridSpan w:val="2"/>
            <w:vAlign w:val="center"/>
          </w:tcPr>
          <w:p>
            <w:pPr>
              <w:pStyle w:val="232"/>
              <w:rPr>
                <w:color w:val="000000" w:themeColor="text1"/>
                <w14:textFill>
                  <w14:solidFill>
                    <w14:schemeClr w14:val="tx1"/>
                  </w14:solidFill>
                </w14:textFill>
              </w:rPr>
            </w:pPr>
            <w:r>
              <w:rPr>
                <w:rFonts w:hint="eastAsia"/>
                <w:color w:val="FF0000"/>
                <w:kern w:val="0"/>
              </w:rPr>
              <w:t>生活污水经化粪池处理后定期委托</w:t>
            </w:r>
            <w:r>
              <w:rPr>
                <w:rFonts w:hint="eastAsia"/>
                <w:color w:val="FF0000"/>
                <w:kern w:val="0"/>
                <w:highlight w:val="green"/>
                <w:lang w:eastAsia="zh-CN"/>
              </w:rPr>
              <w:t>五原县塔尔湖污水处理厂</w:t>
            </w:r>
            <w:r>
              <w:rPr>
                <w:rFonts w:hint="eastAsia"/>
                <w:color w:val="FF0000"/>
                <w:kern w:val="0"/>
              </w:rPr>
              <w:t>采用罐车清运处理</w:t>
            </w:r>
          </w:p>
        </w:tc>
        <w:tc>
          <w:tcPr>
            <w:tcW w:w="1460" w:type="pct"/>
            <w:vMerge w:val="restar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不外排</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羊尿</w:t>
            </w:r>
          </w:p>
        </w:tc>
        <w:tc>
          <w:tcPr>
            <w:tcW w:w="769" w:type="pct"/>
            <w:vMerge w:val="continue"/>
          </w:tcPr>
          <w:p>
            <w:pPr>
              <w:pStyle w:val="232"/>
              <w:rPr>
                <w:color w:val="000000" w:themeColor="text1"/>
                <w14:textFill>
                  <w14:solidFill>
                    <w14:schemeClr w14:val="tx1"/>
                  </w14:solidFill>
                </w14:textFill>
              </w:rPr>
            </w:pP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项目不单独对羊尿进行收集，随粪便漏入羊舍下层粪污通道后，采用干清粪法将其一同清入堆肥平台进行发酵</w:t>
            </w:r>
          </w:p>
        </w:tc>
        <w:tc>
          <w:tcPr>
            <w:tcW w:w="1460" w:type="pct"/>
            <w:vMerge w:val="continue"/>
            <w:vAlign w:val="center"/>
          </w:tcPr>
          <w:p>
            <w:pPr>
              <w:pStyle w:val="23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土壤</w:t>
            </w: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运营过程</w:t>
            </w:r>
          </w:p>
        </w:tc>
        <w:tc>
          <w:tcPr>
            <w:tcW w:w="76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对通过垂直下渗可能造成土壤污染的污染物建设单位应严格落实本次评价提出的地下水防治措施，并加强土壤环境的监测和管理。</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《土壤环境质量 农用地土壤污染风险管控标准（试行）》（GB15618-2018）表1农用地土壤污染风险筛选值中其他用地的标准要求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w:t>
            </w: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地下水监控井</w:t>
            </w:r>
          </w:p>
        </w:tc>
        <w:tc>
          <w:tcPr>
            <w:tcW w:w="76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03" w:type="pct"/>
            <w:gridSpan w:val="2"/>
            <w:vAlign w:val="center"/>
          </w:tcPr>
          <w:p>
            <w:pPr>
              <w:pStyle w:val="232"/>
              <w:rPr>
                <w:color w:val="000000" w:themeColor="text1"/>
                <w14:textFill>
                  <w14:solidFill>
                    <w14:schemeClr w14:val="tx1"/>
                  </w14:solidFill>
                </w14:textFill>
              </w:rPr>
            </w:pPr>
            <w:r>
              <w:rPr>
                <w:rFonts w:hint="eastAsia"/>
                <w:bCs/>
                <w:color w:val="000000" w:themeColor="text1"/>
                <w14:textFill>
                  <w14:solidFill>
                    <w14:schemeClr w14:val="tx1"/>
                  </w14:solidFill>
                </w14:textFill>
              </w:rPr>
              <w:t>本项目设置地下水监控1眼，位于厂区南东侧50m范围内，位置坐标</w:t>
            </w:r>
            <w:r>
              <w:rPr>
                <w:bCs/>
                <w:color w:val="000000" w:themeColor="text1"/>
                <w14:textFill>
                  <w14:solidFill>
                    <w14:schemeClr w14:val="tx1"/>
                  </w14:solidFill>
                </w14:textFill>
              </w:rPr>
              <w:t>E</w:t>
            </w:r>
            <w:r>
              <w:rPr>
                <w:kern w:val="0"/>
                <w:lang w:bidi="ar"/>
              </w:rPr>
              <w:t>107°47′24.39</w:t>
            </w:r>
            <w:r>
              <w:rPr>
                <w:color w:val="000000" w:themeColor="text1"/>
                <w14:textFill>
                  <w14:solidFill>
                    <w14:schemeClr w14:val="tx1"/>
                  </w14:solidFill>
                </w14:textFill>
              </w:rPr>
              <w:t>"</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N</w:t>
            </w:r>
            <w:r>
              <w:rPr>
                <w:kern w:val="0"/>
                <w:lang w:bidi="ar"/>
              </w:rPr>
              <w:t>41°5′48.30″</w:t>
            </w:r>
            <w:r>
              <w:rPr>
                <w:rFonts w:hint="eastAsia"/>
                <w:bCs/>
                <w:color w:val="000000" w:themeColor="text1"/>
                <w14:textFill>
                  <w14:solidFill>
                    <w14:schemeClr w14:val="tx1"/>
                  </w14:solidFill>
                </w14:textFill>
              </w:rPr>
              <w:t>，并设置标示等</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《地下水质量标准》（GB/T14848-2017）中Ⅲ类标准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工程防渗要求</w:t>
            </w:r>
          </w:p>
        </w:tc>
        <w:tc>
          <w:tcPr>
            <w:tcW w:w="769"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03" w:type="pct"/>
            <w:gridSpan w:val="2"/>
            <w:vAlign w:val="center"/>
          </w:tcPr>
          <w:p>
            <w:pPr>
              <w:pStyle w:val="232"/>
              <w:rPr>
                <w:rFonts w:hint="default" w:eastAsia="宋体"/>
                <w:b w:val="0"/>
                <w:bCs w:val="0"/>
                <w:color w:val="auto"/>
                <w:sz w:val="21"/>
                <w:szCs w:val="21"/>
                <w:lang w:val="en-US" w:eastAsia="zh-CN"/>
              </w:rPr>
            </w:pPr>
            <w:r>
              <w:rPr>
                <w:rFonts w:hint="eastAsia"/>
                <w:b w:val="0"/>
                <w:bCs w:val="0"/>
                <w:color w:val="auto"/>
                <w:sz w:val="21"/>
                <w:szCs w:val="21"/>
                <w:lang w:val="en-US" w:eastAsia="zh-CN"/>
              </w:rPr>
              <w:t>地基垫层：</w:t>
            </w:r>
            <w:r>
              <w:rPr>
                <w:rFonts w:hint="eastAsia"/>
                <w:szCs w:val="21"/>
              </w:rPr>
              <w:t>粉煤灰作建筑地基垫层</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《建筑地基基础工程施工质量验收标准》（GB50202-2018）</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Merge w:val="continue"/>
            <w:vAlign w:val="center"/>
          </w:tcPr>
          <w:p>
            <w:pPr>
              <w:pStyle w:val="232"/>
              <w:rPr>
                <w:color w:val="000000" w:themeColor="text1"/>
                <w14:textFill>
                  <w14:solidFill>
                    <w14:schemeClr w14:val="tx1"/>
                  </w14:solidFill>
                </w14:textFill>
              </w:rPr>
            </w:pPr>
          </w:p>
        </w:tc>
        <w:tc>
          <w:tcPr>
            <w:tcW w:w="769" w:type="pct"/>
            <w:vMerge w:val="continue"/>
            <w:vAlign w:val="center"/>
          </w:tcPr>
          <w:p>
            <w:pPr>
              <w:pStyle w:val="232"/>
              <w:rPr>
                <w:color w:val="000000" w:themeColor="text1"/>
                <w14:textFill>
                  <w14:solidFill>
                    <w14:schemeClr w14:val="tx1"/>
                  </w14:solidFill>
                </w14:textFill>
              </w:rPr>
            </w:pPr>
          </w:p>
        </w:tc>
        <w:tc>
          <w:tcPr>
            <w:tcW w:w="679"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both"/>
              <w:rPr>
                <w:color w:val="000000" w:themeColor="text1"/>
                <w14:textFill>
                  <w14:solidFill>
                    <w14:schemeClr w14:val="tx1"/>
                  </w14:solidFill>
                </w14:textFill>
              </w:rPr>
            </w:pPr>
            <w:r>
              <w:rPr>
                <w:rFonts w:hint="eastAsia"/>
                <w:b w:val="0"/>
                <w:bCs w:val="0"/>
                <w:color w:val="auto"/>
                <w:kern w:val="0"/>
                <w:sz w:val="21"/>
                <w:szCs w:val="21"/>
                <w:lang w:val="en-US" w:eastAsia="zh-CN" w:bidi="ar"/>
              </w:rPr>
              <w:t>医疗废物暂</w:t>
            </w:r>
            <w:r>
              <w:rPr>
                <w:b w:val="0"/>
                <w:bCs w:val="0"/>
                <w:color w:val="auto"/>
                <w:kern w:val="0"/>
                <w:sz w:val="21"/>
                <w:szCs w:val="21"/>
                <w:lang w:bidi="ar"/>
              </w:rPr>
              <w:t>存间</w:t>
            </w:r>
          </w:p>
        </w:tc>
        <w:tc>
          <w:tcPr>
            <w:tcW w:w="1424" w:type="pct"/>
            <w:vMerge w:val="restart"/>
            <w:vAlign w:val="center"/>
          </w:tcPr>
          <w:p>
            <w:pPr>
              <w:pStyle w:val="232"/>
              <w:rPr>
                <w:color w:val="000000" w:themeColor="text1"/>
                <w14:textFill>
                  <w14:solidFill>
                    <w14:schemeClr w14:val="tx1"/>
                  </w14:solidFill>
                </w14:textFill>
              </w:rPr>
            </w:pPr>
            <w:r>
              <w:rPr>
                <w:b w:val="0"/>
                <w:bCs w:val="0"/>
                <w:color w:val="auto"/>
                <w:sz w:val="21"/>
                <w:szCs w:val="21"/>
              </w:rPr>
              <w:t>不同</w:t>
            </w:r>
            <w:r>
              <w:rPr>
                <w:rFonts w:hint="eastAsia"/>
                <w:b w:val="0"/>
                <w:bCs w:val="0"/>
                <w:color w:val="auto"/>
                <w:sz w:val="21"/>
                <w:szCs w:val="21"/>
                <w:lang w:val="en-US" w:eastAsia="zh-CN"/>
              </w:rPr>
              <w:t>种类的医疗废弃物</w:t>
            </w:r>
            <w:r>
              <w:rPr>
                <w:b w:val="0"/>
                <w:bCs w:val="0"/>
                <w:color w:val="auto"/>
                <w:sz w:val="21"/>
                <w:szCs w:val="21"/>
              </w:rPr>
              <w:t>分区存放，各分区设置裙角，地坪和裙角防渗等级皆不低于2mm厚度的HDPE高密度聚乙烯防渗层，或其他防渗材料，渗透系数不大于10</w:t>
            </w:r>
            <w:r>
              <w:rPr>
                <w:b w:val="0"/>
                <w:bCs w:val="0"/>
                <w:color w:val="auto"/>
                <w:sz w:val="21"/>
                <w:szCs w:val="21"/>
                <w:vertAlign w:val="superscript"/>
              </w:rPr>
              <w:t>-10</w:t>
            </w:r>
            <w:r>
              <w:rPr>
                <w:b w:val="0"/>
                <w:bCs w:val="0"/>
                <w:color w:val="auto"/>
                <w:sz w:val="21"/>
                <w:szCs w:val="21"/>
              </w:rPr>
              <w:t>cm/s</w:t>
            </w:r>
          </w:p>
        </w:tc>
        <w:tc>
          <w:tcPr>
            <w:tcW w:w="1460" w:type="pct"/>
            <w:vAlign w:val="center"/>
          </w:tcPr>
          <w:p>
            <w:pPr>
              <w:pStyle w:val="232"/>
              <w:rPr>
                <w:color w:val="000000" w:themeColor="text1"/>
                <w14:textFill>
                  <w14:solidFill>
                    <w14:schemeClr w14:val="tx1"/>
                  </w14:solidFill>
                </w14:textFill>
              </w:rPr>
            </w:pPr>
            <w:r>
              <w:rPr>
                <w:color w:val="FF0000"/>
              </w:rPr>
              <w:t>《危险废物贮存污染控制标准》（GB18597-20</w:t>
            </w:r>
            <w:r>
              <w:rPr>
                <w:rFonts w:hint="eastAsia"/>
                <w:color w:val="FF0000"/>
                <w:lang w:val="en-US" w:eastAsia="zh-CN"/>
              </w:rPr>
              <w:t>23</w:t>
            </w:r>
            <w:r>
              <w:rPr>
                <w:color w:val="FF0000"/>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pStyle w:val="232"/>
              <w:ind w:firstLine="0" w:firstLineChars="0"/>
              <w:jc w:val="both"/>
            </w:pPr>
            <w:r>
              <w:rPr>
                <w:rFonts w:hint="eastAsia"/>
                <w:b w:val="0"/>
                <w:bCs w:val="0"/>
                <w:color w:val="auto"/>
                <w:kern w:val="0"/>
                <w:sz w:val="21"/>
                <w:szCs w:val="21"/>
                <w:lang w:val="en-US" w:eastAsia="zh-CN" w:bidi="ar"/>
              </w:rPr>
              <w:t>无害化处理车间</w:t>
            </w:r>
          </w:p>
        </w:tc>
        <w:tc>
          <w:tcPr>
            <w:tcW w:w="1424" w:type="pct"/>
            <w:vMerge w:val="continue"/>
            <w:vAlign w:val="center"/>
          </w:tcPr>
          <w:p>
            <w:pPr>
              <w:pStyle w:val="232"/>
            </w:pPr>
          </w:p>
        </w:tc>
        <w:tc>
          <w:tcPr>
            <w:tcW w:w="1460" w:type="pct"/>
            <w:vMerge w:val="restart"/>
            <w:vAlign w:val="center"/>
          </w:tcPr>
          <w:p>
            <w:pPr>
              <w:pStyle w:val="232"/>
            </w:pPr>
            <w:r>
              <w:rPr>
                <w:color w:val="000000" w:themeColor="text1"/>
                <w14:textFill>
                  <w14:solidFill>
                    <w14:schemeClr w14:val="tx1"/>
                  </w14:solidFill>
                </w14:textFill>
              </w:rPr>
              <w:t>参照</w:t>
            </w:r>
            <w:r>
              <w:rPr>
                <w:rFonts w:hint="eastAsia"/>
                <w:color w:val="000000" w:themeColor="text1"/>
                <w14:textFill>
                  <w14:solidFill>
                    <w14:schemeClr w14:val="tx1"/>
                  </w14:solidFill>
                </w14:textFill>
              </w:rPr>
              <w:t>《一般工业固体废物贮存和填埋污染控制标准》（GB18599-2020）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pStyle w:val="232"/>
              <w:ind w:firstLine="0" w:firstLineChars="0"/>
              <w:jc w:val="both"/>
              <w:rPr>
                <w:rFonts w:hint="eastAsia" w:eastAsia="宋体"/>
                <w:lang w:eastAsia="zh-CN"/>
              </w:rPr>
            </w:pPr>
            <w:r>
              <w:rPr>
                <w:b w:val="0"/>
                <w:bCs w:val="0"/>
                <w:color w:val="auto"/>
                <w:kern w:val="0"/>
                <w:sz w:val="21"/>
                <w:szCs w:val="21"/>
                <w:lang w:bidi="ar"/>
              </w:rPr>
              <w:t>有机</w:t>
            </w:r>
            <w:r>
              <w:rPr>
                <w:rFonts w:hint="eastAsia"/>
                <w:b w:val="0"/>
                <w:bCs w:val="0"/>
                <w:color w:val="auto"/>
                <w:kern w:val="0"/>
                <w:sz w:val="21"/>
                <w:szCs w:val="21"/>
                <w:lang w:eastAsia="zh-CN" w:bidi="ar"/>
              </w:rPr>
              <w:t>有机肥堆场</w:t>
            </w:r>
          </w:p>
        </w:tc>
        <w:tc>
          <w:tcPr>
            <w:tcW w:w="1424" w:type="pct"/>
            <w:vMerge w:val="continue"/>
            <w:vAlign w:val="center"/>
          </w:tcPr>
          <w:p>
            <w:pPr>
              <w:pStyle w:val="232"/>
            </w:pPr>
          </w:p>
        </w:tc>
        <w:tc>
          <w:tcPr>
            <w:tcW w:w="1460"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pStyle w:val="232"/>
              <w:ind w:firstLine="0" w:firstLineChars="0"/>
              <w:jc w:val="both"/>
            </w:pPr>
            <w:r>
              <w:rPr>
                <w:b w:val="0"/>
                <w:bCs w:val="0"/>
                <w:color w:val="auto"/>
                <w:kern w:val="0"/>
                <w:sz w:val="21"/>
                <w:szCs w:val="21"/>
                <w:lang w:bidi="ar"/>
              </w:rPr>
              <w:t>现代化高标准</w:t>
            </w:r>
            <w:r>
              <w:rPr>
                <w:rFonts w:hint="eastAsia"/>
                <w:b w:val="0"/>
                <w:bCs w:val="0"/>
                <w:color w:val="auto"/>
                <w:kern w:val="0"/>
                <w:sz w:val="21"/>
                <w:szCs w:val="21"/>
                <w:lang w:val="en-US" w:eastAsia="zh-CN" w:bidi="ar"/>
              </w:rPr>
              <w:t>羊舍</w:t>
            </w:r>
          </w:p>
        </w:tc>
        <w:tc>
          <w:tcPr>
            <w:tcW w:w="1424" w:type="pct"/>
            <w:vMerge w:val="restart"/>
            <w:vAlign w:val="center"/>
          </w:tcPr>
          <w:p>
            <w:pPr>
              <w:pStyle w:val="232"/>
            </w:pPr>
            <w:r>
              <w:rPr>
                <w:rFonts w:hint="eastAsia"/>
                <w:b w:val="0"/>
                <w:bCs w:val="0"/>
                <w:color w:val="auto"/>
                <w:sz w:val="21"/>
                <w:szCs w:val="21"/>
              </w:rPr>
              <w:t>敷设不小于1.5mm的高密度聚氯乙烯（HDPE）人工防渗膜，膜上、膜下设置“长丝无纺土工布”保护层，并铺设不小于100mm的混凝土保护层，或其他材料可满足渗透系数小于1.0×10</w:t>
            </w:r>
            <w:r>
              <w:rPr>
                <w:rFonts w:hint="eastAsia"/>
                <w:b w:val="0"/>
                <w:bCs w:val="0"/>
                <w:color w:val="auto"/>
                <w:sz w:val="21"/>
                <w:szCs w:val="21"/>
                <w:vertAlign w:val="superscript"/>
              </w:rPr>
              <w:t>-7</w:t>
            </w:r>
            <w:r>
              <w:rPr>
                <w:rFonts w:hint="eastAsia"/>
                <w:b w:val="0"/>
                <w:bCs w:val="0"/>
                <w:color w:val="auto"/>
                <w:sz w:val="21"/>
                <w:szCs w:val="21"/>
              </w:rPr>
              <w:t>cm/s</w:t>
            </w:r>
          </w:p>
        </w:tc>
        <w:tc>
          <w:tcPr>
            <w:tcW w:w="1460" w:type="pct"/>
            <w:vMerge w:val="restart"/>
            <w:vAlign w:val="center"/>
          </w:tcPr>
          <w:p>
            <w:pPr>
              <w:pStyle w:val="232"/>
            </w:pPr>
            <w:r>
              <w:rPr>
                <w:color w:val="auto"/>
                <w:sz w:val="22"/>
                <w:szCs w:val="22"/>
              </w:rPr>
              <w:t>《环境影响评价技术导则 地下水环境》（HJ610-2016）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pStyle w:val="232"/>
              <w:ind w:firstLine="0" w:firstLineChars="0"/>
              <w:jc w:val="both"/>
            </w:pPr>
            <w:r>
              <w:rPr>
                <w:b w:val="0"/>
                <w:bCs w:val="0"/>
                <w:color w:val="auto"/>
                <w:kern w:val="0"/>
                <w:sz w:val="21"/>
                <w:szCs w:val="21"/>
                <w:lang w:bidi="ar"/>
              </w:rPr>
              <w:t>办公生活</w:t>
            </w:r>
          </w:p>
        </w:tc>
        <w:tc>
          <w:tcPr>
            <w:tcW w:w="1424" w:type="pct"/>
            <w:vMerge w:val="continue"/>
            <w:vAlign w:val="center"/>
          </w:tcPr>
          <w:p>
            <w:pPr>
              <w:pStyle w:val="232"/>
            </w:pPr>
          </w:p>
        </w:tc>
        <w:tc>
          <w:tcPr>
            <w:tcW w:w="1460"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pStyle w:val="232"/>
              <w:ind w:firstLine="0" w:firstLineChars="0"/>
              <w:jc w:val="both"/>
            </w:pPr>
            <w:r>
              <w:rPr>
                <w:b w:val="0"/>
                <w:bCs w:val="0"/>
                <w:color w:val="auto"/>
                <w:kern w:val="0"/>
                <w:sz w:val="21"/>
                <w:szCs w:val="21"/>
                <w:lang w:bidi="ar"/>
              </w:rPr>
              <w:t>青贮</w:t>
            </w:r>
            <w:r>
              <w:rPr>
                <w:rFonts w:hint="eastAsia"/>
                <w:b w:val="0"/>
                <w:bCs w:val="0"/>
                <w:color w:val="auto"/>
                <w:kern w:val="0"/>
                <w:sz w:val="21"/>
                <w:szCs w:val="21"/>
                <w:lang w:val="en-US" w:eastAsia="zh-CN" w:bidi="ar"/>
              </w:rPr>
              <w:t>池</w:t>
            </w:r>
          </w:p>
        </w:tc>
        <w:tc>
          <w:tcPr>
            <w:tcW w:w="1424" w:type="pct"/>
            <w:vMerge w:val="continue"/>
            <w:vAlign w:val="center"/>
          </w:tcPr>
          <w:p>
            <w:pPr>
              <w:pStyle w:val="232"/>
            </w:pPr>
          </w:p>
        </w:tc>
        <w:tc>
          <w:tcPr>
            <w:tcW w:w="1460"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center"/>
            </w:pPr>
            <w:r>
              <w:rPr>
                <w:rFonts w:hint="eastAsia"/>
                <w:b w:val="0"/>
                <w:bCs w:val="0"/>
                <w:color w:val="auto"/>
                <w:sz w:val="21"/>
                <w:szCs w:val="21"/>
              </w:rPr>
              <w:t>饲草混合加工车间</w:t>
            </w:r>
          </w:p>
        </w:tc>
        <w:tc>
          <w:tcPr>
            <w:tcW w:w="1424" w:type="pct"/>
            <w:vMerge w:val="restart"/>
            <w:vAlign w:val="center"/>
          </w:tcPr>
          <w:p>
            <w:pPr>
              <w:pStyle w:val="232"/>
            </w:pPr>
            <w:r>
              <w:rPr>
                <w:rFonts w:hint="eastAsia"/>
              </w:rPr>
              <w:t>铺设防渗混凝土地面</w:t>
            </w:r>
          </w:p>
        </w:tc>
        <w:tc>
          <w:tcPr>
            <w:tcW w:w="1460"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pPr>
            <w:r>
              <w:rPr>
                <w:rFonts w:hint="eastAsia"/>
                <w:b w:val="0"/>
                <w:bCs w:val="0"/>
                <w:color w:val="auto"/>
                <w:kern w:val="0"/>
                <w:sz w:val="21"/>
                <w:szCs w:val="21"/>
                <w:lang w:val="en-US" w:eastAsia="zh-CN" w:bidi="ar"/>
              </w:rPr>
              <w:t>草料库</w:t>
            </w:r>
          </w:p>
        </w:tc>
        <w:tc>
          <w:tcPr>
            <w:tcW w:w="1424" w:type="pct"/>
            <w:vMerge w:val="continue"/>
            <w:vAlign w:val="center"/>
          </w:tcPr>
          <w:p>
            <w:pPr>
              <w:pStyle w:val="232"/>
            </w:pPr>
          </w:p>
        </w:tc>
        <w:tc>
          <w:tcPr>
            <w:tcW w:w="1460"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9" w:hRule="atLeast"/>
          <w:jc w:val="center"/>
        </w:trPr>
        <w:tc>
          <w:tcPr>
            <w:tcW w:w="181" w:type="pct"/>
            <w:vMerge w:val="continue"/>
            <w:vAlign w:val="center"/>
          </w:tcPr>
          <w:p>
            <w:pPr>
              <w:pStyle w:val="232"/>
            </w:pPr>
          </w:p>
        </w:tc>
        <w:tc>
          <w:tcPr>
            <w:tcW w:w="485" w:type="pct"/>
            <w:vMerge w:val="continue"/>
            <w:vAlign w:val="center"/>
          </w:tcPr>
          <w:p>
            <w:pPr>
              <w:pStyle w:val="232"/>
            </w:pPr>
          </w:p>
        </w:tc>
        <w:tc>
          <w:tcPr>
            <w:tcW w:w="769" w:type="pct"/>
            <w:vMerge w:val="continue"/>
            <w:vAlign w:val="center"/>
          </w:tcPr>
          <w:p>
            <w:pPr>
              <w:pStyle w:val="232"/>
            </w:pPr>
          </w:p>
        </w:tc>
        <w:tc>
          <w:tcPr>
            <w:tcW w:w="679"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pPr>
            <w:r>
              <w:rPr>
                <w:b w:val="0"/>
                <w:bCs w:val="0"/>
                <w:color w:val="auto"/>
                <w:kern w:val="0"/>
                <w:sz w:val="21"/>
                <w:szCs w:val="21"/>
                <w:lang w:bidi="ar"/>
              </w:rPr>
              <w:t>库房</w:t>
            </w:r>
          </w:p>
        </w:tc>
        <w:tc>
          <w:tcPr>
            <w:tcW w:w="1424" w:type="pct"/>
            <w:vMerge w:val="continue"/>
            <w:vAlign w:val="center"/>
          </w:tcPr>
          <w:p>
            <w:pPr>
              <w:pStyle w:val="232"/>
            </w:pPr>
          </w:p>
        </w:tc>
        <w:tc>
          <w:tcPr>
            <w:tcW w:w="1460" w:type="pct"/>
            <w:vMerge w:val="continue"/>
            <w:vAlign w:val="center"/>
          </w:tcPr>
          <w:p>
            <w:pPr>
              <w:pStyle w:val="232"/>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固体废物</w:t>
            </w: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危险</w:t>
            </w:r>
            <w:r>
              <w:rPr>
                <w:color w:val="000000" w:themeColor="text1"/>
                <w14:textFill>
                  <w14:solidFill>
                    <w14:schemeClr w14:val="tx1"/>
                  </w14:solidFill>
                </w14:textFill>
              </w:rPr>
              <w:t>废物</w:t>
            </w:r>
          </w:p>
        </w:tc>
        <w:tc>
          <w:tcPr>
            <w:tcW w:w="76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设</w:t>
            </w:r>
            <w:r>
              <w:rPr>
                <w:rFonts w:hint="eastAsia"/>
                <w:color w:val="FF0000"/>
              </w:rPr>
              <w:t>医疗废物暂存间</w:t>
            </w:r>
            <w:r>
              <w:rPr>
                <w:rFonts w:hint="eastAsia"/>
                <w:color w:val="000000" w:themeColor="text1"/>
                <w14:textFill>
                  <w14:solidFill>
                    <w14:schemeClr w14:val="tx1"/>
                  </w14:solidFill>
                </w14:textFill>
              </w:rPr>
              <w:t>1座，建筑面积115.92m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，暂存运营过程产生的医疗废弃物，暂存后交由有资质单位处理；</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olor w:val="FF0000"/>
              </w:rPr>
              <w:t>医疗废物暂存间</w:t>
            </w:r>
            <w:r>
              <w:rPr>
                <w:rFonts w:hint="eastAsia"/>
                <w:color w:val="000000" w:themeColor="text1"/>
                <w14:textFill>
                  <w14:solidFill>
                    <w14:schemeClr w14:val="tx1"/>
                  </w14:solidFill>
                </w14:textFill>
              </w:rPr>
              <w:t>的地面与裙脚要用坚固、防渗的材料建造，建筑材料必须与危险废物相容。</w:t>
            </w:r>
          </w:p>
        </w:tc>
        <w:tc>
          <w:tcPr>
            <w:tcW w:w="1460" w:type="pct"/>
            <w:vAlign w:val="center"/>
          </w:tcPr>
          <w:p>
            <w:pPr>
              <w:pStyle w:val="232"/>
              <w:rPr>
                <w:color w:val="000000" w:themeColor="text1"/>
                <w14:textFill>
                  <w14:solidFill>
                    <w14:schemeClr w14:val="tx1"/>
                  </w14:solidFill>
                </w14:textFill>
              </w:rPr>
            </w:pPr>
            <w:r>
              <w:rPr>
                <w:rFonts w:hint="eastAsia"/>
                <w:color w:val="FF0000"/>
              </w:rPr>
              <w:t>《危险废物贮存污染控制标准》（GB18597-20</w:t>
            </w:r>
            <w:r>
              <w:rPr>
                <w:rFonts w:hint="eastAsia"/>
                <w:color w:val="FF0000"/>
                <w:lang w:val="en-US" w:eastAsia="zh-CN"/>
              </w:rPr>
              <w:t>23</w:t>
            </w:r>
            <w:r>
              <w:rPr>
                <w:rFonts w:hint="eastAsia"/>
                <w:color w:val="FF0000"/>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病死羊及胞衣</w:t>
            </w:r>
          </w:p>
        </w:tc>
        <w:tc>
          <w:tcPr>
            <w:tcW w:w="76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03" w:type="pct"/>
            <w:gridSpan w:val="2"/>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本项目设</w:t>
            </w:r>
            <w:r>
              <w:rPr>
                <w:rFonts w:hint="eastAsia"/>
                <w:color w:val="000000" w:themeColor="text1"/>
                <w14:textFill>
                  <w14:solidFill>
                    <w14:schemeClr w14:val="tx1"/>
                  </w14:solidFill>
                </w14:textFill>
              </w:rPr>
              <w:t>干化无害化设备1</w:t>
            </w:r>
            <w:r>
              <w:rPr>
                <w:color w:val="000000" w:themeColor="text1"/>
                <w14:textFill>
                  <w14:solidFill>
                    <w14:schemeClr w14:val="tx1"/>
                  </w14:solidFill>
                </w14:textFill>
              </w:rPr>
              <w:t>套，</w:t>
            </w:r>
            <w:r>
              <w:rPr>
                <w:rFonts w:hint="eastAsia"/>
                <w:color w:val="000000" w:themeColor="text1"/>
                <w14:textFill>
                  <w14:solidFill>
                    <w14:schemeClr w14:val="tx1"/>
                  </w14:solidFill>
                </w14:textFill>
              </w:rPr>
              <w:t>病死动物经干化法无害化处理后产生的动物尸体残渣通过好氧发酵进一步无害化处理制作有机肥，不外排</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《畜禽养殖业污染治理工程技术规范》（HJ497-2009）、《畜禽养殖业污染防治技术规范》（HJ/T81-2001）、《病死及病害动物无害化处理技术规范》（农医发[2017]25号）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羊粪</w:t>
            </w:r>
          </w:p>
        </w:tc>
        <w:tc>
          <w:tcPr>
            <w:tcW w:w="76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03" w:type="pct"/>
            <w:gridSpan w:val="2"/>
            <w:vAlign w:val="center"/>
          </w:tcPr>
          <w:p>
            <w:pPr>
              <w:pStyle w:val="232"/>
              <w:rPr>
                <w:color w:val="000000" w:themeColor="text1"/>
                <w14:textFill>
                  <w14:solidFill>
                    <w14:schemeClr w14:val="tx1"/>
                  </w14:solidFill>
                </w14:textFill>
              </w:rPr>
            </w:pPr>
            <w:r>
              <w:rPr>
                <w:rFonts w:ascii="Times New Roman" w:eastAsia="宋体"/>
                <w:color w:val="auto"/>
                <w:szCs w:val="21"/>
              </w:rPr>
              <w:t>清粪方式采用干清粪工艺，通过羊舍下方的粪污通道采用机械刮板</w:t>
            </w:r>
            <w:r>
              <w:rPr>
                <w:rFonts w:hint="eastAsia" w:ascii="Times New Roman" w:eastAsia="宋体"/>
                <w:color w:val="auto"/>
                <w:szCs w:val="21"/>
                <w:lang w:eastAsia="zh-CN"/>
              </w:rPr>
              <w:t>（</w:t>
            </w:r>
            <w:r>
              <w:rPr>
                <w:rFonts w:hint="eastAsia" w:ascii="Times New Roman" w:eastAsia="宋体"/>
                <w:color w:val="0000FF"/>
                <w:szCs w:val="21"/>
                <w:lang w:val="en-US" w:eastAsia="zh-CN"/>
              </w:rPr>
              <w:t>机械清理</w:t>
            </w:r>
            <w:r>
              <w:rPr>
                <w:rFonts w:hint="eastAsia" w:ascii="Times New Roman" w:eastAsia="宋体"/>
                <w:color w:val="auto"/>
                <w:szCs w:val="21"/>
                <w:lang w:eastAsia="zh-CN"/>
              </w:rPr>
              <w:t>）</w:t>
            </w:r>
            <w:r>
              <w:rPr>
                <w:rFonts w:ascii="Times New Roman" w:eastAsia="宋体"/>
                <w:color w:val="auto"/>
                <w:szCs w:val="21"/>
              </w:rPr>
              <w:t>，集中收集到羊舍外</w:t>
            </w:r>
            <w:r>
              <w:rPr>
                <w:rFonts w:hint="eastAsia"/>
                <w:color w:val="0000FF"/>
                <w:szCs w:val="21"/>
                <w:lang w:val="en-US" w:eastAsia="zh-CN"/>
              </w:rPr>
              <w:t>后</w:t>
            </w:r>
            <w:r>
              <w:rPr>
                <w:rFonts w:hint="eastAsia" w:ascii="Times New Roman" w:eastAsia="宋体"/>
                <w:color w:val="0000FF"/>
                <w:szCs w:val="21"/>
                <w:lang w:val="en-US" w:eastAsia="zh-CN"/>
              </w:rPr>
              <w:t>直接装车拉运，</w:t>
            </w:r>
            <w:r>
              <w:rPr>
                <w:rFonts w:ascii="Times New Roman" w:eastAsia="宋体"/>
                <w:color w:val="0000FF"/>
                <w:szCs w:val="21"/>
              </w:rPr>
              <w:t>通过车辆运输至有机肥</w:t>
            </w:r>
            <w:r>
              <w:rPr>
                <w:rFonts w:hint="eastAsia" w:ascii="Times New Roman" w:eastAsia="宋体"/>
                <w:color w:val="0000FF"/>
                <w:szCs w:val="21"/>
                <w:lang w:val="en-US" w:eastAsia="zh-CN"/>
              </w:rPr>
              <w:t>堆场，进行有机肥制作。制作的有机肥由公司上游企业进行二次加工和产品销售</w:t>
            </w:r>
            <w:r>
              <w:rPr>
                <w:rFonts w:hint="eastAsia" w:ascii="Times New Roman" w:eastAsia="宋体"/>
                <w:color w:val="auto"/>
                <w:szCs w:val="21"/>
                <w:lang w:val="en-US" w:eastAsia="zh-CN"/>
              </w:rPr>
              <w:t>，项目设有一座</w:t>
            </w:r>
            <w:r>
              <w:rPr>
                <w:rFonts w:hint="eastAsia" w:ascii="Times New Roman" w:eastAsia="宋体"/>
                <w:color w:val="FF0000"/>
                <w:szCs w:val="21"/>
              </w:rPr>
              <w:t>占地面积7200m</w:t>
            </w:r>
            <w:r>
              <w:rPr>
                <w:rFonts w:hint="eastAsia" w:ascii="Times New Roman" w:eastAsia="宋体"/>
                <w:color w:val="FF0000"/>
                <w:szCs w:val="21"/>
                <w:vertAlign w:val="superscript"/>
              </w:rPr>
              <w:t>2</w:t>
            </w:r>
            <w:r>
              <w:rPr>
                <w:rFonts w:hint="eastAsia" w:ascii="Times New Roman" w:eastAsia="宋体"/>
                <w:color w:val="FF0000"/>
                <w:szCs w:val="21"/>
              </w:rPr>
              <w:t>（120m×60m）</w:t>
            </w:r>
            <w:r>
              <w:rPr>
                <w:rFonts w:hint="eastAsia" w:ascii="Times New Roman" w:eastAsia="宋体"/>
                <w:color w:val="FF0000"/>
                <w:szCs w:val="21"/>
                <w:lang w:val="en-US" w:eastAsia="zh-CN"/>
              </w:rPr>
              <w:t>的有机</w:t>
            </w:r>
            <w:r>
              <w:rPr>
                <w:rFonts w:hint="eastAsia"/>
                <w:color w:val="FF0000"/>
                <w:szCs w:val="21"/>
                <w:lang w:val="en-US" w:eastAsia="zh-CN"/>
              </w:rPr>
              <w:t>有机肥堆场</w:t>
            </w:r>
            <w:r>
              <w:rPr>
                <w:rFonts w:hint="eastAsia" w:ascii="Times New Roman" w:eastAsia="宋体"/>
                <w:color w:val="FF0000"/>
                <w:szCs w:val="21"/>
              </w:rPr>
              <w:t>，</w:t>
            </w:r>
            <w:r>
              <w:rPr>
                <w:rFonts w:hint="eastAsia" w:ascii="Times New Roman" w:eastAsia="宋体"/>
                <w:color w:val="FF0000"/>
                <w:szCs w:val="21"/>
                <w:lang w:val="en-US" w:eastAsia="zh-CN"/>
              </w:rPr>
              <w:t>地上轻钢结构，区域四周用砖、石、预制板修砌。</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资源化利用，满足《畜禽粪便无害化处理技术规范》（GB/T36195-2018）、《畜禽粪便还田技术规范》（GB/T25246-2010）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人员</w:t>
            </w:r>
          </w:p>
        </w:tc>
        <w:tc>
          <w:tcPr>
            <w:tcW w:w="769"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生活垃圾</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场区设置垃圾桶分类收集，清运到指定地点委托环卫部门集中处理。</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Align w:val="center"/>
          </w:tcPr>
          <w:p>
            <w:pPr>
              <w:pStyle w:val="232"/>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485"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风机和</w:t>
            </w:r>
            <w:r>
              <w:rPr>
                <w:color w:val="000000" w:themeColor="text1"/>
                <w14:textFill>
                  <w14:solidFill>
                    <w14:schemeClr w14:val="tx1"/>
                  </w14:solidFill>
                </w14:textFill>
              </w:rPr>
              <w:t>泵类</w:t>
            </w:r>
          </w:p>
        </w:tc>
        <w:tc>
          <w:tcPr>
            <w:tcW w:w="769"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噪声</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基础减振、全封闭厂房</w:t>
            </w:r>
            <w:r>
              <w:rPr>
                <w:color w:val="000000" w:themeColor="text1"/>
                <w14:textFill>
                  <w14:solidFill>
                    <w14:schemeClr w14:val="tx1"/>
                  </w14:solidFill>
                </w14:textFill>
              </w:rPr>
              <w:t>等措施</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《工业企业厂界环境噪声排放标准》（GB12348-2008）2类标准值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绿化</w:t>
            </w:r>
          </w:p>
        </w:tc>
        <w:tc>
          <w:tcPr>
            <w:tcW w:w="1254"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绿化工程</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在场区四周、建筑物及道路两侧要种植乔灌相间的常青树，尤其应对养殖场进行重点绿化，选择适宜的树种和草本植物，结合地区气候条件进行绿化美化工作环境，绿化面积为12500m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p>
        </w:tc>
        <w:tc>
          <w:tcPr>
            <w:tcW w:w="1460" w:type="pc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管理</w:t>
            </w:r>
          </w:p>
        </w:tc>
        <w:tc>
          <w:tcPr>
            <w:tcW w:w="1254"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环境监测</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委托有资质的监测单位每年进行例行监测。</w:t>
            </w:r>
          </w:p>
        </w:tc>
        <w:tc>
          <w:tcPr>
            <w:tcW w:w="1460" w:type="pct"/>
            <w:vMerge w:val="restart"/>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按相关操作规程进行</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1" w:type="pct"/>
            <w:vMerge w:val="continue"/>
            <w:vAlign w:val="center"/>
          </w:tcPr>
          <w:p>
            <w:pPr>
              <w:pStyle w:val="232"/>
              <w:rPr>
                <w:color w:val="000000" w:themeColor="text1"/>
                <w14:textFill>
                  <w14:solidFill>
                    <w14:schemeClr w14:val="tx1"/>
                  </w14:solidFill>
                </w14:textFill>
              </w:rPr>
            </w:pPr>
          </w:p>
        </w:tc>
        <w:tc>
          <w:tcPr>
            <w:tcW w:w="1254"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环境管理</w:t>
            </w:r>
          </w:p>
        </w:tc>
        <w:tc>
          <w:tcPr>
            <w:tcW w:w="2103" w:type="pct"/>
            <w:gridSpan w:val="2"/>
            <w:vAlign w:val="center"/>
          </w:tcPr>
          <w:p>
            <w:pPr>
              <w:pStyle w:val="232"/>
              <w:rPr>
                <w:color w:val="000000" w:themeColor="text1"/>
                <w14:textFill>
                  <w14:solidFill>
                    <w14:schemeClr w14:val="tx1"/>
                  </w14:solidFill>
                </w14:textFill>
              </w:rPr>
            </w:pPr>
            <w:r>
              <w:rPr>
                <w:rFonts w:hint="eastAsia"/>
                <w:color w:val="000000" w:themeColor="text1"/>
                <w14:textFill>
                  <w14:solidFill>
                    <w14:schemeClr w14:val="tx1"/>
                  </w14:solidFill>
                </w14:textFill>
              </w:rPr>
              <w:t>设置环保机构，建立健全各项环境管理制度，制定工作计划，提出管理要求。</w:t>
            </w:r>
          </w:p>
        </w:tc>
        <w:tc>
          <w:tcPr>
            <w:tcW w:w="1460" w:type="pct"/>
            <w:vMerge w:val="continue"/>
            <w:vAlign w:val="center"/>
          </w:tcPr>
          <w:p>
            <w:pPr>
              <w:pStyle w:val="232"/>
              <w:rPr>
                <w:color w:val="000000" w:themeColor="text1"/>
                <w14:textFill>
                  <w14:solidFill>
                    <w14:schemeClr w14:val="tx1"/>
                  </w14:solidFill>
                </w14:textFill>
              </w:rPr>
            </w:pPr>
          </w:p>
        </w:tc>
      </w:tr>
      <w:bookmarkEnd w:id="337"/>
    </w:tbl>
    <w:p>
      <w:pPr>
        <w:ind w:firstLine="480"/>
        <w:rPr>
          <w:color w:val="000000" w:themeColor="text1"/>
          <w14:textFill>
            <w14:solidFill>
              <w14:schemeClr w14:val="tx1"/>
            </w14:solidFill>
          </w14:textFill>
        </w:rPr>
      </w:pPr>
    </w:p>
    <w:p>
      <w:pPr>
        <w:ind w:firstLine="480"/>
        <w:rPr>
          <w:color w:val="000000" w:themeColor="text1"/>
          <w:szCs w:val="20"/>
          <w:lang w:val="en-GB"/>
          <w14:textFill>
            <w14:solidFill>
              <w14:schemeClr w14:val="tx1"/>
            </w14:solidFill>
          </w14:textFill>
        </w:rPr>
        <w:sectPr>
          <w:pgSz w:w="16838" w:h="11906" w:orient="landscape"/>
          <w:pgMar w:top="1418" w:right="1418" w:bottom="1247" w:left="1701" w:header="851" w:footer="680" w:gutter="0"/>
          <w:pgNumType w:fmt="decimal"/>
          <w:cols w:space="720" w:num="1"/>
          <w:docGrid w:linePitch="326" w:charSpace="0"/>
        </w:sectPr>
      </w:pPr>
    </w:p>
    <w:p>
      <w:pPr>
        <w:pStyle w:val="2"/>
        <w:spacing w:before="120" w:after="120"/>
        <w:rPr>
          <w:color w:val="000000" w:themeColor="text1"/>
          <w14:textFill>
            <w14:solidFill>
              <w14:schemeClr w14:val="tx1"/>
            </w14:solidFill>
          </w14:textFill>
        </w:rPr>
      </w:pPr>
      <w:bookmarkStart w:id="338" w:name="_Toc523322410"/>
      <w:bookmarkStart w:id="339" w:name="_Toc101428572"/>
      <w:bookmarkStart w:id="340" w:name="_Toc3211"/>
      <w:r>
        <w:rPr>
          <w:color w:val="000000" w:themeColor="text1"/>
          <w14:textFill>
            <w14:solidFill>
              <w14:schemeClr w14:val="tx1"/>
            </w14:solidFill>
          </w14:textFill>
        </w:rPr>
        <w:t>结论及建议</w:t>
      </w:r>
      <w:bookmarkEnd w:id="338"/>
      <w:bookmarkEnd w:id="339"/>
      <w:bookmarkEnd w:id="340"/>
    </w:p>
    <w:p>
      <w:pPr>
        <w:pStyle w:val="3"/>
        <w:spacing w:before="120" w:after="120"/>
        <w:rPr>
          <w:color w:val="000000" w:themeColor="text1"/>
          <w14:textFill>
            <w14:solidFill>
              <w14:schemeClr w14:val="tx1"/>
            </w14:solidFill>
          </w14:textFill>
        </w:rPr>
      </w:pPr>
      <w:bookmarkStart w:id="341" w:name="_Toc494206411"/>
      <w:bookmarkStart w:id="342" w:name="_Toc101428573"/>
      <w:bookmarkStart w:id="343" w:name="_Toc523322411"/>
      <w:bookmarkStart w:id="344" w:name="_Toc15164"/>
      <w:bookmarkStart w:id="345" w:name="_Toc487188689"/>
      <w:r>
        <w:rPr>
          <w:color w:val="000000" w:themeColor="text1"/>
          <w14:textFill>
            <w14:solidFill>
              <w14:schemeClr w14:val="tx1"/>
            </w14:solidFill>
          </w14:textFill>
        </w:rPr>
        <w:t>建设项目概况</w:t>
      </w:r>
      <w:bookmarkEnd w:id="341"/>
      <w:bookmarkEnd w:id="342"/>
      <w:bookmarkEnd w:id="343"/>
      <w:bookmarkEnd w:id="344"/>
      <w:bookmarkEnd w:id="345"/>
    </w:p>
    <w:p>
      <w:pPr>
        <w:ind w:firstLine="480"/>
        <w:rPr>
          <w:color w:val="000000" w:themeColor="text1"/>
          <w14:textFill>
            <w14:solidFill>
              <w14:schemeClr w14:val="tx1"/>
            </w14:solidFill>
          </w14:textFill>
        </w:rPr>
      </w:pPr>
      <w:r>
        <w:rPr>
          <w:rFonts w:hint="eastAsia"/>
        </w:rPr>
        <w:t>内蒙古春园满循环农业科技有限公司肉羊养殖园区项目</w:t>
      </w:r>
      <w:r>
        <w:rPr>
          <w:color w:val="000000" w:themeColor="text1"/>
          <w14:textFill>
            <w14:solidFill>
              <w14:schemeClr w14:val="tx1"/>
            </w14:solidFill>
          </w14:textFill>
        </w:rPr>
        <w:t>位于</w:t>
      </w:r>
      <w:r>
        <w:rPr>
          <w:rFonts w:hint="eastAsia"/>
        </w:rPr>
        <w:t>巴彦淖尔市五原县塔尔湖镇胜丰八社</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项目总</w:t>
      </w:r>
      <w:r>
        <w:rPr>
          <w:color w:val="000000" w:themeColor="text1"/>
          <w14:textFill>
            <w14:solidFill>
              <w14:schemeClr w14:val="tx1"/>
            </w14:solidFill>
          </w14:textFill>
        </w:rPr>
        <w:t>投资</w:t>
      </w:r>
      <w:r>
        <w:rPr>
          <w:rFonts w:hint="eastAsia"/>
          <w:color w:val="000000" w:themeColor="text1"/>
          <w14:textFill>
            <w14:solidFill>
              <w14:schemeClr w14:val="tx1"/>
            </w14:solidFill>
          </w14:textFill>
        </w:rPr>
        <w:t>88</w:t>
      </w:r>
      <w:r>
        <w:rPr>
          <w:color w:val="000000" w:themeColor="text1"/>
          <w14:textFill>
            <w14:solidFill>
              <w14:schemeClr w14:val="tx1"/>
            </w14:solidFill>
          </w14:textFill>
        </w:rPr>
        <w:t>000万元</w:t>
      </w:r>
      <w:r>
        <w:rPr>
          <w:rFonts w:hint="eastAsia"/>
          <w:color w:val="000000" w:themeColor="text1"/>
          <w14:textFill>
            <w14:solidFill>
              <w14:schemeClr w14:val="tx1"/>
            </w14:solidFill>
          </w14:textFill>
        </w:rPr>
        <w:t>，占地面积</w:t>
      </w:r>
      <w:r>
        <w:rPr>
          <w:rFonts w:hint="eastAsia"/>
        </w:rPr>
        <w:t>1169137.06平方米（折合116.91公顷）</w:t>
      </w:r>
      <w:r>
        <w:rPr>
          <w:rFonts w:hint="eastAsia"/>
          <w:color w:val="000000" w:themeColor="text1"/>
          <w14:textFill>
            <w14:solidFill>
              <w14:schemeClr w14:val="tx1"/>
            </w14:solidFill>
          </w14:textFill>
        </w:rPr>
        <w:t>，建设500座标准化羊舍并配相应的公辅工程、环保工程，</w:t>
      </w:r>
      <w:r>
        <w:rPr>
          <w:rFonts w:hint="eastAsia"/>
        </w:rPr>
        <w:t>本项目年存栏量50万只，年出栏量100万只</w:t>
      </w:r>
      <w:r>
        <w:rPr>
          <w:rFonts w:hint="eastAsia"/>
          <w:color w:val="000000" w:themeColor="text1"/>
          <w14:textFill>
            <w14:solidFill>
              <w14:schemeClr w14:val="tx1"/>
            </w14:solidFill>
          </w14:textFill>
        </w:rPr>
        <w:t>。</w:t>
      </w:r>
    </w:p>
    <w:p>
      <w:pPr>
        <w:pStyle w:val="3"/>
        <w:spacing w:before="120" w:after="120"/>
        <w:rPr>
          <w:color w:val="000000" w:themeColor="text1"/>
          <w14:textFill>
            <w14:solidFill>
              <w14:schemeClr w14:val="tx1"/>
            </w14:solidFill>
          </w14:textFill>
        </w:rPr>
      </w:pPr>
      <w:bookmarkStart w:id="346" w:name="_Toc371696638"/>
      <w:bookmarkStart w:id="347" w:name="_Toc101428574"/>
      <w:bookmarkStart w:id="348" w:name="_Toc31020"/>
      <w:bookmarkStart w:id="349" w:name="_Toc523322412"/>
      <w:bookmarkStart w:id="350" w:name="_Toc487188690"/>
      <w:bookmarkStart w:id="351" w:name="_Toc494206412"/>
      <w:r>
        <w:rPr>
          <w:color w:val="000000" w:themeColor="text1"/>
          <w14:textFill>
            <w14:solidFill>
              <w14:schemeClr w14:val="tx1"/>
            </w14:solidFill>
          </w14:textFill>
        </w:rPr>
        <w:t>1</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.2</w:t>
      </w:r>
      <w:bookmarkEnd w:id="346"/>
      <w:r>
        <w:rPr>
          <w:rFonts w:hint="eastAsia"/>
          <w:color w:val="000000" w:themeColor="text1"/>
          <w14:textFill>
            <w14:solidFill>
              <w14:schemeClr w14:val="tx1"/>
            </w14:solidFill>
          </w14:textFill>
        </w:rPr>
        <w:t>环境可行性结论</w:t>
      </w:r>
      <w:bookmarkEnd w:id="347"/>
      <w:bookmarkEnd w:id="348"/>
    </w:p>
    <w:p>
      <w:pPr>
        <w:pStyle w:val="4"/>
        <w:rPr>
          <w:color w:val="000000" w:themeColor="text1"/>
          <w14:textFill>
            <w14:solidFill>
              <w14:schemeClr w14:val="tx1"/>
            </w14:solidFill>
          </w14:textFill>
        </w:rPr>
      </w:pPr>
      <w:bookmarkStart w:id="352" w:name="_Toc101428575"/>
      <w:r>
        <w:rPr>
          <w:color w:val="000000" w:themeColor="text1"/>
          <w14:textFill>
            <w14:solidFill>
              <w14:schemeClr w14:val="tx1"/>
            </w14:solidFill>
          </w14:textFill>
        </w:rPr>
        <w:t>10.2.1</w:t>
      </w:r>
      <w:r>
        <w:rPr>
          <w:rFonts w:hint="eastAsia"/>
          <w:color w:val="000000" w:themeColor="text1"/>
          <w14:textFill>
            <w14:solidFill>
              <w14:schemeClr w14:val="tx1"/>
            </w14:solidFill>
          </w14:textFill>
        </w:rPr>
        <w:t>产业政策符合性分析</w:t>
      </w:r>
      <w:bookmarkEnd w:id="349"/>
      <w:bookmarkEnd w:id="350"/>
      <w:bookmarkEnd w:id="351"/>
      <w:bookmarkEnd w:id="352"/>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根据《产业结构调整目录（2019年本）》（国家发改委令2019年第29号），项目属于“鼓励类”第一项“农林业”中第4条“畜禽标准化规模养殖技术开发与应用”。项目已取得</w:t>
      </w:r>
      <w:r>
        <w:rPr>
          <w:rFonts w:hint="eastAsia"/>
          <w:szCs w:val="22"/>
        </w:rPr>
        <w:t>“内蒙古春园满循环农业科技有限公司肉羊养殖园区项目</w:t>
      </w:r>
      <w:r>
        <w:rPr>
          <w:szCs w:val="22"/>
        </w:rPr>
        <w:t>的备案通知书</w:t>
      </w:r>
      <w:r>
        <w:rPr>
          <w:rFonts w:hint="eastAsia"/>
        </w:rPr>
        <w:t>》</w:t>
      </w:r>
      <w:r>
        <w:rPr>
          <w:rFonts w:hint="eastAsia"/>
          <w:szCs w:val="22"/>
        </w:rPr>
        <w:t>（</w:t>
      </w:r>
      <w:r>
        <w:rPr>
          <w:szCs w:val="22"/>
        </w:rPr>
        <w:t>备案号</w:t>
      </w:r>
      <w:r>
        <w:rPr>
          <w:rFonts w:hint="eastAsia"/>
          <w:szCs w:val="22"/>
        </w:rPr>
        <w:t>2302</w:t>
      </w:r>
      <w:r>
        <w:rPr>
          <w:szCs w:val="22"/>
        </w:rPr>
        <w:t>-150821-0</w:t>
      </w:r>
      <w:r>
        <w:rPr>
          <w:rFonts w:hint="eastAsia"/>
          <w:szCs w:val="22"/>
        </w:rPr>
        <w:t>4</w:t>
      </w:r>
      <w:r>
        <w:rPr>
          <w:szCs w:val="22"/>
        </w:rPr>
        <w:t>-01-</w:t>
      </w:r>
      <w:r>
        <w:rPr>
          <w:rFonts w:hint="eastAsia"/>
          <w:szCs w:val="22"/>
        </w:rPr>
        <w:t>991520）</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因此，本项目建设符合国家的产业政策。</w:t>
      </w:r>
    </w:p>
    <w:p>
      <w:pPr>
        <w:pStyle w:val="4"/>
        <w:rPr>
          <w:color w:val="000000" w:themeColor="text1"/>
          <w14:textFill>
            <w14:solidFill>
              <w14:schemeClr w14:val="tx1"/>
            </w14:solidFill>
          </w14:textFill>
        </w:rPr>
      </w:pPr>
      <w:bookmarkStart w:id="353" w:name="_Toc101428576"/>
      <w:r>
        <w:rPr>
          <w:rFonts w:hint="eastAsia"/>
          <w:color w:val="000000" w:themeColor="text1"/>
          <w14:textFill>
            <w14:solidFill>
              <w14:schemeClr w14:val="tx1"/>
            </w14:solidFill>
          </w14:textFill>
        </w:rPr>
        <w:t>选址与相关规划符合性分析结论</w:t>
      </w:r>
      <w:bookmarkEnd w:id="353"/>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项目选址与《畜禽养殖业污染治理工程技术规范》（HJ497-2009）和《畜禽规模养殖污染防治条例》（中华人民共和国国务院令第643号）等中相关要求相符。</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项目选址不属于五原县划定的禁养区和限养区的范围，项目选址符合畜禽养殖相关规定。</w:t>
      </w:r>
    </w:p>
    <w:p>
      <w:pPr>
        <w:pStyle w:val="4"/>
        <w:rPr>
          <w:color w:val="000000" w:themeColor="text1"/>
          <w14:textFill>
            <w14:solidFill>
              <w14:schemeClr w14:val="tx1"/>
            </w14:solidFill>
          </w14:textFill>
        </w:rPr>
      </w:pPr>
      <w:bookmarkStart w:id="354" w:name="_Toc101428577"/>
      <w:r>
        <w:rPr>
          <w:rFonts w:hint="eastAsia"/>
          <w:color w:val="000000" w:themeColor="text1"/>
          <w14:textFill>
            <w14:solidFill>
              <w14:schemeClr w14:val="tx1"/>
            </w14:solidFill>
          </w14:textFill>
        </w:rPr>
        <w:t>平面布局合理性分析结论</w:t>
      </w:r>
      <w:bookmarkEnd w:id="354"/>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本项目养殖区和生活办公区功能分区布置相对独立，通过合理组织功能分区，合理布置养殖区及</w:t>
      </w:r>
      <w:r>
        <w:rPr>
          <w:rFonts w:hint="eastAsia"/>
          <w:color w:val="92D050"/>
          <w:lang w:eastAsia="zh-CN"/>
        </w:rPr>
        <w:t>有机肥堆场</w:t>
      </w:r>
      <w:r>
        <w:rPr>
          <w:rFonts w:hint="eastAsia"/>
          <w:color w:val="000000" w:themeColor="text1"/>
          <w14:textFill>
            <w14:solidFill>
              <w14:schemeClr w14:val="tx1"/>
            </w14:solidFill>
          </w14:textFill>
        </w:rPr>
        <w:t>，合理组织交通运输使物料运输方便快捷；保证生产工艺流程畅通。场界四周及养殖区四周种植高大乔木，尽可能减轻恶臭气体对居民的影响因素。保证场区平面布置符合环境保护、安全生产、卫生防疫、绿化要求。</w:t>
      </w:r>
    </w:p>
    <w:p>
      <w:pPr>
        <w:pStyle w:val="3"/>
        <w:spacing w:before="120" w:after="120"/>
        <w:rPr>
          <w:color w:val="000000" w:themeColor="text1"/>
          <w14:textFill>
            <w14:solidFill>
              <w14:schemeClr w14:val="tx1"/>
            </w14:solidFill>
          </w14:textFill>
        </w:rPr>
      </w:pPr>
      <w:bookmarkStart w:id="355" w:name="_Toc494206416"/>
      <w:bookmarkStart w:id="356" w:name="_Toc101428578"/>
      <w:bookmarkStart w:id="357" w:name="_Toc487188694"/>
      <w:bookmarkStart w:id="358" w:name="_Toc523322413"/>
      <w:bookmarkStart w:id="359" w:name="_Toc20936"/>
      <w:r>
        <w:rPr>
          <w:color w:val="000000" w:themeColor="text1"/>
          <w14:textFill>
            <w14:solidFill>
              <w14:schemeClr w14:val="tx1"/>
            </w14:solidFill>
          </w14:textFill>
        </w:rPr>
        <w:t>环境质量现状</w:t>
      </w:r>
      <w:bookmarkEnd w:id="355"/>
      <w:bookmarkEnd w:id="356"/>
      <w:bookmarkEnd w:id="357"/>
      <w:bookmarkEnd w:id="358"/>
      <w:bookmarkEnd w:id="359"/>
    </w:p>
    <w:p>
      <w:pPr>
        <w:ind w:firstLine="480"/>
        <w:rPr>
          <w:color w:val="000000" w:themeColor="text1"/>
          <w14:textFill>
            <w14:solidFill>
              <w14:schemeClr w14:val="tx1"/>
            </w14:solidFill>
          </w14:textFill>
        </w:rPr>
      </w:pPr>
      <w:bookmarkStart w:id="360" w:name="_Toc487188695"/>
      <w:bookmarkStart w:id="361" w:name="_Toc494206417"/>
      <w:r>
        <w:rPr>
          <w:rFonts w:hint="eastAsia"/>
          <w:color w:val="000000" w:themeColor="text1"/>
          <w14:textFill>
            <w14:solidFill>
              <w14:schemeClr w14:val="tx1"/>
            </w14:solidFill>
          </w14:textFill>
        </w:rPr>
        <w:t>（1）环境空气</w:t>
      </w:r>
    </w:p>
    <w:p>
      <w:pPr>
        <w:ind w:firstLine="480"/>
        <w:rPr>
          <w:color w:val="000000" w:themeColor="text1"/>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14:textFill>
            <w14:solidFill>
              <w14:schemeClr w14:val="tx1"/>
            </w14:solidFill>
          </w14:textFill>
        </w:rPr>
        <w:t>《巴彦淖尔市2020年度环境质量状况公报》中五原县隆兴昌镇监测数据</w:t>
      </w:r>
      <w:r>
        <w:rPr>
          <w:color w:val="000000" w:themeColor="text1"/>
          <w14:textFill>
            <w14:solidFill>
              <w14:schemeClr w14:val="tx1"/>
            </w14:solidFill>
          </w14:textFill>
        </w:rPr>
        <w:t>，20</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年</w:t>
      </w:r>
      <w:r>
        <w:rPr>
          <w:rFonts w:hint="eastAsia"/>
          <w:color w:val="000000" w:themeColor="text1"/>
          <w14:textFill>
            <w14:solidFill>
              <w14:schemeClr w14:val="tx1"/>
            </w14:solidFill>
          </w14:textFill>
        </w:rPr>
        <w:t>五原县</w:t>
      </w: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年均浓度、CO</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第95百分位浓度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（日最大8小时，第90百分位浓度）分别为</w:t>
      </w:r>
      <w:r>
        <w:rPr>
          <w:rFonts w:hint="eastAsia"/>
          <w:color w:val="000000" w:themeColor="text1"/>
          <w14:textFill>
            <w14:solidFill>
              <w14:schemeClr w14:val="tx1"/>
            </w14:solidFill>
          </w14:textFill>
        </w:rPr>
        <w:t>17</w:t>
      </w: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56</w:t>
      </w: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34</w:t>
      </w: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2.2</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144</w:t>
      </w: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各污染物平均浓度均优于《环境空气质量标准》（GB3095-2012）中二级标准限值</w:t>
      </w:r>
      <w:r>
        <w:rPr>
          <w:color w:val="000000" w:themeColor="text1"/>
          <w14:textFill>
            <w14:solidFill>
              <w14:schemeClr w14:val="tx1"/>
            </w14:solidFill>
          </w14:textFill>
        </w:rPr>
        <w:t>，因此项目所在地为达标区</w:t>
      </w:r>
      <w:r>
        <w:rPr>
          <w:rFonts w:hint="eastAsia"/>
          <w:color w:val="000000" w:themeColor="text1"/>
          <w14:textFill>
            <w14:solidFill>
              <w14:schemeClr w14:val="tx1"/>
            </w14:solidFill>
          </w14:textFill>
        </w:rPr>
        <w:t>；TSP满足《环境空气质量标准》（GB3095-2012）中二级标准限值，</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S、NH</w:t>
      </w:r>
      <w:r>
        <w:rPr>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检测</w:t>
      </w:r>
      <w:r>
        <w:rPr>
          <w:color w:val="000000" w:themeColor="text1"/>
          <w14:textFill>
            <w14:solidFill>
              <w14:schemeClr w14:val="tx1"/>
            </w14:solidFill>
          </w14:textFill>
        </w:rPr>
        <w:t>浓度</w:t>
      </w:r>
      <w:r>
        <w:rPr>
          <w:rFonts w:hint="eastAsia"/>
          <w:color w:val="000000" w:themeColor="text1"/>
          <w14:textFill>
            <w14:solidFill>
              <w14:schemeClr w14:val="tx1"/>
            </w14:solidFill>
          </w14:textFill>
        </w:rPr>
        <w:t>均</w:t>
      </w:r>
      <w:r>
        <w:rPr>
          <w:color w:val="000000" w:themeColor="text1"/>
          <w14:textFill>
            <w14:solidFill>
              <w14:schemeClr w14:val="tx1"/>
            </w14:solidFill>
          </w14:textFill>
        </w:rPr>
        <w:t>符合《环境影响评价技术导则 大气环境》（HJ2.2－2018）附录D其他污染物空气质量浓度参考限值</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（2）地下水环境</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根据检测结果，各监测点各项监测指标均满足《地下水质量标准》（GB/T14848-2017）</w:t>
      </w:r>
      <w:r>
        <w:rPr>
          <w:color w:val="000000" w:themeColor="text1"/>
          <w14:textFill>
            <w14:solidFill>
              <w14:schemeClr w14:val="tx1"/>
            </w14:solidFill>
          </w14:textFill>
        </w:rPr>
        <w:t>Ⅲ</w:t>
      </w:r>
      <w:r>
        <w:rPr>
          <w:rFonts w:hint="eastAsia"/>
          <w:color w:val="000000" w:themeColor="text1"/>
          <w14:textFill>
            <w14:solidFill>
              <w14:schemeClr w14:val="tx1"/>
            </w14:solidFill>
          </w14:textFill>
        </w:rPr>
        <w:t>类标准的要求，地下水环境质量现状良好。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（3）土壤环境</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根据检测结果，用地范围内及用地范围外各监测点各项监测指标均满足《土壤环境质量 农用地土壤污染风险管控标准（试行）》（GB15618-2018）表1农用地土壤污染风险筛选值中其他用地，p</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的标准要求，项目所在地土壤环境质量良好。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（4）声环境</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根据本次噪声现状监测结果，项目区周围厂界各监测点昼间、夜间噪声值均满足《声环境质量标准》（GB3096-2008）2类标准，项目区域声环境质量较好。</w:t>
      </w:r>
    </w:p>
    <w:bookmarkEnd w:id="360"/>
    <w:bookmarkEnd w:id="361"/>
    <w:p>
      <w:pPr>
        <w:pStyle w:val="3"/>
        <w:spacing w:before="120" w:after="120"/>
        <w:rPr>
          <w:color w:val="000000" w:themeColor="text1"/>
          <w14:textFill>
            <w14:solidFill>
              <w14:schemeClr w14:val="tx1"/>
            </w14:solidFill>
          </w14:textFill>
        </w:rPr>
      </w:pPr>
      <w:bookmarkStart w:id="362" w:name="_Toc101428579"/>
      <w:bookmarkStart w:id="363" w:name="_Toc523322414"/>
      <w:bookmarkStart w:id="364" w:name="_Toc32608"/>
      <w:r>
        <w:rPr>
          <w:rFonts w:hint="eastAsia"/>
          <w:color w:val="000000" w:themeColor="text1"/>
          <w14:textFill>
            <w14:solidFill>
              <w14:schemeClr w14:val="tx1"/>
            </w14:solidFill>
          </w14:textFill>
        </w:rPr>
        <w:t>环境影响分析结论</w:t>
      </w:r>
      <w:bookmarkEnd w:id="362"/>
      <w:bookmarkEnd w:id="363"/>
      <w:bookmarkEnd w:id="364"/>
    </w:p>
    <w:p>
      <w:pPr>
        <w:pStyle w:val="4"/>
        <w:rPr>
          <w:color w:val="000000" w:themeColor="text1"/>
          <w14:textFill>
            <w14:solidFill>
              <w14:schemeClr w14:val="tx1"/>
            </w14:solidFill>
          </w14:textFill>
        </w:rPr>
      </w:pPr>
      <w:bookmarkStart w:id="365" w:name="_Toc471227933"/>
      <w:bookmarkStart w:id="366" w:name="_Toc523322415"/>
      <w:bookmarkStart w:id="367" w:name="_Toc101428580"/>
      <w:r>
        <w:rPr>
          <w:rFonts w:hint="eastAsia"/>
          <w:color w:val="000000" w:themeColor="text1"/>
          <w14:textFill>
            <w14:solidFill>
              <w14:schemeClr w14:val="tx1"/>
            </w14:solidFill>
          </w14:textFill>
        </w:rPr>
        <w:t>施工期环境影响</w:t>
      </w:r>
      <w:bookmarkEnd w:id="365"/>
      <w:bookmarkEnd w:id="366"/>
      <w:bookmarkEnd w:id="367"/>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在项目施工期间各项施工活动产生噪声、废水、扬尘和固体废弃物，有可能对周围环境产生短期的、局部的影响。项目方对产生噪声的机械设备采取减振、隔声措施，施工期生活废水依托当地旱厕，施工场地及运输道路定期洒水抑尘，材料堆放及运输粉状材料是采取遮盖等措施，产生建筑垃圾部分全部利用，生活垃圾分类收集后</w:t>
      </w:r>
      <w:r>
        <w:rPr>
          <w:rFonts w:hint="eastAsia"/>
          <w:color w:val="000000" w:themeColor="text1"/>
          <w:lang w:bidi="zh-CN"/>
          <w14:textFill>
            <w14:solidFill>
              <w14:schemeClr w14:val="tx1"/>
            </w14:solidFill>
          </w14:textFill>
        </w:rPr>
        <w:t>清运到指定地点委托丰裕办事处环卫部门集中处理</w:t>
      </w:r>
      <w:r>
        <w:rPr>
          <w:rFonts w:hint="eastAsia"/>
          <w:color w:val="000000" w:themeColor="text1"/>
          <w14:textFill>
            <w14:solidFill>
              <w14:schemeClr w14:val="tx1"/>
            </w14:solidFill>
          </w14:textFill>
        </w:rPr>
        <w:t>，本项目施工期对周围环境的影响可以接受。</w:t>
      </w:r>
    </w:p>
    <w:p>
      <w:pPr>
        <w:pStyle w:val="4"/>
        <w:rPr>
          <w:color w:val="000000" w:themeColor="text1"/>
          <w14:textFill>
            <w14:solidFill>
              <w14:schemeClr w14:val="tx1"/>
            </w14:solidFill>
          </w14:textFill>
        </w:rPr>
      </w:pPr>
      <w:bookmarkStart w:id="368" w:name="_Toc523322416"/>
      <w:bookmarkStart w:id="369" w:name="_Toc101428581"/>
      <w:r>
        <w:rPr>
          <w:rFonts w:hint="eastAsia"/>
          <w:color w:val="000000" w:themeColor="text1"/>
          <w14:textFill>
            <w14:solidFill>
              <w14:schemeClr w14:val="tx1"/>
            </w14:solidFill>
          </w14:textFill>
        </w:rPr>
        <w:t>运营期环境影响</w:t>
      </w:r>
      <w:bookmarkEnd w:id="368"/>
      <w:bookmarkEnd w:id="369"/>
    </w:p>
    <w:p>
      <w:pPr>
        <w:bidi w:val="0"/>
      </w:pPr>
      <w:bookmarkStart w:id="370" w:name="_Toc371696644"/>
      <w:bookmarkStart w:id="371" w:name="_Toc494206423"/>
      <w:bookmarkStart w:id="372" w:name="_Toc487188701"/>
      <w:r>
        <w:rPr>
          <w:rFonts w:hint="eastAsia"/>
        </w:rPr>
        <w:t>（1）</w:t>
      </w:r>
      <w:r>
        <w:t>大气环境影响评价</w:t>
      </w:r>
      <w:bookmarkEnd w:id="370"/>
      <w:bookmarkEnd w:id="371"/>
      <w:bookmarkEnd w:id="372"/>
    </w:p>
    <w:p>
      <w:pPr>
        <w:bidi w:val="0"/>
      </w:pPr>
      <w:bookmarkStart w:id="373" w:name="_Toc494206424"/>
      <w:bookmarkStart w:id="374" w:name="_Toc487188702"/>
      <w:bookmarkStart w:id="375" w:name="_Toc371696645"/>
      <w:r>
        <w:rPr>
          <w:rFonts w:hint="eastAsia"/>
        </w:rPr>
        <w:t>根据估算模式计算可知，本项目所产生的污染物的最大落地浓度的占标率均未超过10%，其中本项目栏舍无组织排放源M2排放的氨的最大地面空气质量浓度占标率为</w:t>
      </w:r>
      <w:r>
        <w:rPr>
          <w:rFonts w:hint="eastAsia"/>
          <w:lang w:val="en-US" w:eastAsia="zh-CN"/>
        </w:rPr>
        <w:t>6</w:t>
      </w:r>
      <w:r>
        <w:rPr>
          <w:rFonts w:hint="eastAsia"/>
        </w:rPr>
        <w:t>.22</w:t>
      </w:r>
      <w:r>
        <w:t>%</w:t>
      </w:r>
      <w:r>
        <w:rPr>
          <w:rFonts w:hint="eastAsia"/>
        </w:rPr>
        <w:t>，其它的均相对较低，因此本项目产生的污染对周围环境产生的影响不大。</w:t>
      </w:r>
    </w:p>
    <w:p>
      <w:pPr>
        <w:bidi w:val="0"/>
      </w:pPr>
      <w:r>
        <w:rPr>
          <w:rFonts w:hint="eastAsia"/>
        </w:rPr>
        <w:t>（2）</w:t>
      </w:r>
      <w:r>
        <w:t>地表水环境影响评价</w:t>
      </w:r>
      <w:bookmarkEnd w:id="373"/>
      <w:bookmarkEnd w:id="374"/>
      <w:bookmarkEnd w:id="375"/>
    </w:p>
    <w:p>
      <w:pPr>
        <w:bidi w:val="0"/>
      </w:pPr>
      <w:r>
        <w:rPr>
          <w:rFonts w:hint="eastAsia"/>
        </w:rPr>
        <w:t>场区运营期实行严格的雨污分流制度；本项目不对羊舍进行清洗，羊尿液随粪便一起进入积粪池，最终进入</w:t>
      </w:r>
      <w:r>
        <w:rPr>
          <w:rFonts w:hint="eastAsia"/>
          <w:lang w:eastAsia="zh-CN"/>
        </w:rPr>
        <w:t>有机肥堆场</w:t>
      </w:r>
      <w:r>
        <w:rPr>
          <w:rFonts w:hint="eastAsia"/>
        </w:rPr>
        <w:t>生产有机肥；生活污水经化粪池处理后定期委托</w:t>
      </w:r>
      <w:r>
        <w:rPr>
          <w:rFonts w:hint="eastAsia"/>
          <w:highlight w:val="green"/>
        </w:rPr>
        <w:t>五原县</w:t>
      </w:r>
      <w:r>
        <w:rPr>
          <w:rFonts w:hint="eastAsia"/>
          <w:highlight w:val="green"/>
          <w:lang w:eastAsia="zh-CN"/>
        </w:rPr>
        <w:t>塔尔湖</w:t>
      </w:r>
      <w:r>
        <w:rPr>
          <w:rFonts w:hint="eastAsia"/>
          <w:highlight w:val="green"/>
        </w:rPr>
        <w:t>污水处理厂</w:t>
      </w:r>
      <w:r>
        <w:rPr>
          <w:rFonts w:hint="eastAsia"/>
        </w:rPr>
        <w:t>采用罐车清运处理，因此对区域水环境影响很小。</w:t>
      </w:r>
    </w:p>
    <w:p>
      <w:pPr>
        <w:ind w:firstLine="480"/>
        <w:rPr>
          <w:color w:val="000000" w:themeColor="text1"/>
          <w14:textFill>
            <w14:solidFill>
              <w14:schemeClr w14:val="tx1"/>
            </w14:solidFill>
          </w14:textFill>
        </w:rPr>
      </w:pPr>
      <w:bookmarkStart w:id="376" w:name="_Toc494206425"/>
      <w:bookmarkStart w:id="377" w:name="_Toc371696646"/>
      <w:bookmarkStart w:id="378" w:name="_Toc487188703"/>
      <w:r>
        <w:rPr>
          <w:rFonts w:hint="eastAsia"/>
          <w:color w:val="000000" w:themeColor="text1"/>
          <w14:textFill>
            <w14:solidFill>
              <w14:schemeClr w14:val="tx1"/>
            </w14:solidFill>
          </w14:textFill>
        </w:rPr>
        <w:t>（3）</w:t>
      </w:r>
      <w:r>
        <w:rPr>
          <w:color w:val="000000" w:themeColor="text1"/>
          <w14:textFill>
            <w14:solidFill>
              <w14:schemeClr w14:val="tx1"/>
            </w14:solidFill>
          </w14:textFill>
        </w:rPr>
        <w:t>地下水环境影响评价</w:t>
      </w:r>
      <w:bookmarkEnd w:id="376"/>
      <w:bookmarkEnd w:id="377"/>
      <w:bookmarkEnd w:id="378"/>
    </w:p>
    <w:p>
      <w:pPr>
        <w:ind w:firstLine="480"/>
        <w:rPr>
          <w:color w:val="000000" w:themeColor="text1"/>
          <w14:textFill>
            <w14:solidFill>
              <w14:schemeClr w14:val="tx1"/>
            </w14:solidFill>
          </w14:textFill>
        </w:rPr>
      </w:pPr>
      <w:r>
        <w:rPr>
          <w:rFonts w:hint="eastAsia"/>
          <w:color w:val="FF0000"/>
        </w:rPr>
        <w:t>医疗废物暂存间</w:t>
      </w:r>
      <w:r>
        <w:rPr>
          <w:rFonts w:hint="eastAsia"/>
          <w:color w:val="000000" w:themeColor="text1"/>
          <w14:textFill>
            <w14:solidFill>
              <w14:schemeClr w14:val="tx1"/>
            </w14:solidFill>
          </w14:textFill>
        </w:rPr>
        <w:t>等场区</w:t>
      </w:r>
      <w:bookmarkStart w:id="419" w:name="_GoBack"/>
      <w:r>
        <w:rPr>
          <w:rFonts w:hint="eastAsia"/>
          <w:color w:val="000000" w:themeColor="text1"/>
          <w14:textFill>
            <w14:solidFill>
              <w14:schemeClr w14:val="tx1"/>
            </w14:solidFill>
          </w14:textFill>
        </w:rPr>
        <w:t>重点防渗区</w:t>
      </w:r>
      <w:bookmarkEnd w:id="419"/>
      <w:r>
        <w:rPr>
          <w:rFonts w:hint="eastAsia"/>
          <w:color w:val="000000" w:themeColor="text1"/>
          <w14:textFill>
            <w14:solidFill>
              <w14:schemeClr w14:val="tx1"/>
            </w14:solidFill>
          </w14:textFill>
        </w:rPr>
        <w:t>渗透系数要求小于1.0×10</w:t>
      </w:r>
      <w:r>
        <w:rPr>
          <w:rFonts w:hint="eastAsia"/>
          <w:color w:val="000000" w:themeColor="text1"/>
          <w:vertAlign w:val="superscript"/>
          <w14:textFill>
            <w14:solidFill>
              <w14:schemeClr w14:val="tx1"/>
            </w14:solidFill>
          </w14:textFill>
        </w:rPr>
        <w:t>-10</w:t>
      </w:r>
      <w:r>
        <w:rPr>
          <w:rFonts w:hint="eastAsia"/>
          <w:color w:val="000000" w:themeColor="text1"/>
          <w14:textFill>
            <w14:solidFill>
              <w14:schemeClr w14:val="tx1"/>
            </w14:solidFill>
          </w14:textFill>
        </w:rPr>
        <w:t>cm/s；羊舍粪污通道及</w:t>
      </w:r>
      <w:r>
        <w:rPr>
          <w:rFonts w:hint="eastAsia"/>
          <w:color w:val="92D050"/>
          <w:lang w:eastAsia="zh-CN"/>
        </w:rPr>
        <w:t>有机肥堆场</w:t>
      </w:r>
      <w:r>
        <w:rPr>
          <w:rFonts w:hint="eastAsia"/>
          <w:color w:val="000000" w:themeColor="text1"/>
          <w14:textFill>
            <w14:solidFill>
              <w14:schemeClr w14:val="tx1"/>
            </w14:solidFill>
          </w14:textFill>
        </w:rPr>
        <w:t>等一般防渗区渗透系数要求小于1.0×10</w:t>
      </w:r>
      <w:r>
        <w:rPr>
          <w:rFonts w:hint="eastAsia"/>
          <w:color w:val="000000" w:themeColor="text1"/>
          <w:vertAlign w:val="superscript"/>
          <w14:textFill>
            <w14:solidFill>
              <w14:schemeClr w14:val="tx1"/>
            </w14:solidFill>
          </w14:textFill>
        </w:rPr>
        <w:t>-7</w:t>
      </w:r>
      <w:r>
        <w:rPr>
          <w:rFonts w:hint="eastAsia"/>
          <w:color w:val="000000" w:themeColor="text1"/>
          <w14:textFill>
            <w14:solidFill>
              <w14:schemeClr w14:val="tx1"/>
            </w14:solidFill>
          </w14:textFill>
        </w:rPr>
        <w:t>cm/s，对于消毒室、青贮平台、场区道路、羊舍饲料通道等生产区，铺设防渗混凝土地面进行防渗。经防渗措施处理后该项目不会对附近地下水造成不良影响。</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综上所述，项目在采用相应的措施后，对区域地下水产生的影响较小。</w:t>
      </w:r>
    </w:p>
    <w:p>
      <w:pPr>
        <w:ind w:firstLine="480"/>
        <w:rPr>
          <w:color w:val="000000" w:themeColor="text1"/>
          <w14:textFill>
            <w14:solidFill>
              <w14:schemeClr w14:val="tx1"/>
            </w14:solidFill>
          </w14:textFill>
        </w:rPr>
      </w:pPr>
      <w:bookmarkStart w:id="379" w:name="_Toc371696647"/>
      <w:bookmarkStart w:id="380" w:name="_Toc494206426"/>
      <w:bookmarkStart w:id="381" w:name="_Toc487188704"/>
      <w:r>
        <w:rPr>
          <w:rFonts w:hint="eastAsia"/>
          <w:color w:val="000000" w:themeColor="text1"/>
          <w14:textFill>
            <w14:solidFill>
              <w14:schemeClr w14:val="tx1"/>
            </w14:solidFill>
          </w14:textFill>
        </w:rPr>
        <w:t>（4）</w:t>
      </w:r>
      <w:r>
        <w:rPr>
          <w:color w:val="000000" w:themeColor="text1"/>
          <w14:textFill>
            <w14:solidFill>
              <w14:schemeClr w14:val="tx1"/>
            </w14:solidFill>
          </w14:textFill>
        </w:rPr>
        <w:t>声环境影响评价</w:t>
      </w:r>
      <w:bookmarkEnd w:id="379"/>
      <w:bookmarkEnd w:id="380"/>
      <w:bookmarkEnd w:id="381"/>
    </w:p>
    <w:p>
      <w:pPr>
        <w:ind w:firstLine="480"/>
        <w:rPr>
          <w:color w:val="000000" w:themeColor="text1"/>
          <w14:textFill>
            <w14:solidFill>
              <w14:schemeClr w14:val="tx1"/>
            </w14:solidFill>
          </w14:textFill>
        </w:rPr>
      </w:pPr>
      <w:r>
        <w:rPr>
          <w:color w:val="000000" w:themeColor="text1"/>
          <w14:textFill>
            <w14:solidFill>
              <w14:schemeClr w14:val="tx1"/>
            </w14:solidFill>
          </w14:textFill>
        </w:rPr>
        <w:t>由预测结果可见，采取措施后，本项目厂界噪声昼夜间均可满足《工业企业厂界环境噪声排放标准》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GB12348-2008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对应的</w:t>
      </w:r>
      <w:r>
        <w:rPr>
          <w:rFonts w:hint="eastAsia"/>
          <w:color w:val="000000" w:themeColor="text1"/>
          <w14:textFill>
            <w14:solidFill>
              <w14:schemeClr w14:val="tx1"/>
            </w14:solidFill>
          </w14:textFill>
        </w:rPr>
        <w:t>2类</w:t>
      </w:r>
      <w:r>
        <w:rPr>
          <w:color w:val="000000" w:themeColor="text1"/>
          <w14:textFill>
            <w14:solidFill>
              <w14:schemeClr w14:val="tx1"/>
            </w14:solidFill>
          </w14:textFill>
        </w:rPr>
        <w:t>区标准限值，声环境影响可接受。</w:t>
      </w:r>
    </w:p>
    <w:p>
      <w:pPr>
        <w:ind w:firstLine="480"/>
        <w:rPr>
          <w:color w:val="000000" w:themeColor="text1"/>
          <w14:textFill>
            <w14:solidFill>
              <w14:schemeClr w14:val="tx1"/>
            </w14:solidFill>
          </w14:textFill>
        </w:rPr>
      </w:pPr>
      <w:bookmarkStart w:id="382" w:name="_Toc487188705"/>
      <w:bookmarkStart w:id="383" w:name="_Toc494206427"/>
      <w:r>
        <w:rPr>
          <w:rFonts w:hint="eastAsia"/>
          <w:color w:val="000000" w:themeColor="text1"/>
          <w14:textFill>
            <w14:solidFill>
              <w14:schemeClr w14:val="tx1"/>
            </w14:solidFill>
          </w14:textFill>
        </w:rPr>
        <w:t>（5）</w:t>
      </w:r>
      <w:r>
        <w:rPr>
          <w:color w:val="000000" w:themeColor="text1"/>
          <w14:textFill>
            <w14:solidFill>
              <w14:schemeClr w14:val="tx1"/>
            </w14:solidFill>
          </w14:textFill>
        </w:rPr>
        <w:t>固体废物影响评价</w:t>
      </w:r>
      <w:bookmarkEnd w:id="382"/>
      <w:bookmarkEnd w:id="383"/>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项目养殖过程由于疾病等原因产生的动物尸体及胞衣进行无害化处理后残渣用于有机肥制作；运营过程产生的医疗废弃物</w:t>
      </w:r>
      <w:r>
        <w:rPr>
          <w:rFonts w:hint="eastAsia"/>
          <w:color w:val="000000" w:themeColor="text1"/>
          <w:lang w:val="en-US" w:eastAsia="zh-CN"/>
          <w14:textFill>
            <w14:solidFill>
              <w14:schemeClr w14:val="tx1"/>
            </w14:solidFill>
          </w14:textFill>
        </w:rPr>
        <w:t>送至医疗废物暂存间后，</w:t>
      </w:r>
      <w:r>
        <w:t>经临时储存后</w:t>
      </w:r>
      <w:r>
        <w:rPr>
          <w:rFonts w:hint="eastAsia"/>
        </w:rPr>
        <w:t>定期</w:t>
      </w:r>
      <w:r>
        <w:t>交由有医疗废物处理资质的单位进行集中清运、处理</w:t>
      </w:r>
      <w:r>
        <w:rPr>
          <w:rFonts w:hint="eastAsia"/>
          <w:color w:val="000000" w:themeColor="text1"/>
          <w14:textFill>
            <w14:solidFill>
              <w14:schemeClr w14:val="tx1"/>
            </w14:solidFill>
          </w14:textFill>
        </w:rPr>
        <w:t>。羊粪用于有机肥制作进行资源化利用；生活垃圾分类收集后</w:t>
      </w:r>
      <w:r>
        <w:rPr>
          <w:rFonts w:hint="eastAsia"/>
          <w:color w:val="000000" w:themeColor="text1"/>
          <w:lang w:bidi="zh-CN"/>
          <w14:textFill>
            <w14:solidFill>
              <w14:schemeClr w14:val="tx1"/>
            </w14:solidFill>
          </w14:textFill>
        </w:rPr>
        <w:t>清运到指定地点委托环卫部门集中处理</w:t>
      </w:r>
      <w:r>
        <w:rPr>
          <w:rFonts w:hint="eastAsia"/>
          <w:color w:val="000000" w:themeColor="text1"/>
          <w14:textFill>
            <w14:solidFill>
              <w14:schemeClr w14:val="tx1"/>
            </w14:solidFill>
          </w14:textFill>
        </w:rPr>
        <w:t>。</w:t>
      </w:r>
    </w:p>
    <w:p>
      <w:pPr>
        <w:ind w:firstLine="480"/>
        <w:rPr>
          <w:color w:val="000000" w:themeColor="text1"/>
          <w14:textFill>
            <w14:solidFill>
              <w14:schemeClr w14:val="tx1"/>
            </w14:solidFill>
          </w14:textFill>
        </w:rPr>
      </w:pPr>
      <w:bookmarkStart w:id="384" w:name="_Toc371696648"/>
      <w:bookmarkStart w:id="385" w:name="_Toc494206429"/>
      <w:bookmarkStart w:id="386" w:name="_Toc487188707"/>
      <w:bookmarkStart w:id="387" w:name="_Toc523322418"/>
      <w:r>
        <w:rPr>
          <w:color w:val="000000" w:themeColor="text1"/>
          <w14:textFill>
            <w14:solidFill>
              <w14:schemeClr w14:val="tx1"/>
            </w14:solidFill>
          </w14:textFill>
        </w:rPr>
        <w:t>本项目根据固体废物的不同性质采取了不同的处理措施，能利用的废物均被有效利用，不能利用的固废也均能得到妥善处置，因此本项目固体废物处置合理，基本不会对周围环境产生影响。</w:t>
      </w:r>
    </w:p>
    <w:p>
      <w:pPr>
        <w:pStyle w:val="3"/>
        <w:spacing w:before="120" w:after="120"/>
        <w:rPr>
          <w:color w:val="000000" w:themeColor="text1"/>
          <w14:textFill>
            <w14:solidFill>
              <w14:schemeClr w14:val="tx1"/>
            </w14:solidFill>
          </w14:textFill>
        </w:rPr>
      </w:pPr>
      <w:bookmarkStart w:id="388" w:name="_Toc101428582"/>
      <w:bookmarkStart w:id="389" w:name="_Toc17475"/>
      <w:r>
        <w:rPr>
          <w:color w:val="000000" w:themeColor="text1"/>
          <w14:textFill>
            <w14:solidFill>
              <w14:schemeClr w14:val="tx1"/>
            </w14:solidFill>
          </w14:textFill>
        </w:rPr>
        <w:t>污染防治措施</w:t>
      </w:r>
      <w:bookmarkEnd w:id="384"/>
      <w:bookmarkEnd w:id="385"/>
      <w:bookmarkEnd w:id="386"/>
      <w:bookmarkEnd w:id="387"/>
      <w:bookmarkEnd w:id="388"/>
      <w:bookmarkEnd w:id="389"/>
    </w:p>
    <w:p>
      <w:pPr>
        <w:bidi w:val="0"/>
      </w:pPr>
      <w:bookmarkStart w:id="390" w:name="_Toc494206430"/>
      <w:bookmarkStart w:id="391" w:name="_Toc487188708"/>
      <w:bookmarkStart w:id="392" w:name="_Toc371696649"/>
      <w:bookmarkStart w:id="393" w:name="_Toc523322419"/>
      <w:r>
        <w:rPr>
          <w:rFonts w:hint="eastAsia"/>
        </w:rPr>
        <w:t>（1）大气污染防治措施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本项目对养殖过程产生的无组织恶臭采用科学喂养，饲料添加EM剂、干清粪、粪污及时清理、加强羊舍通风、喷洒生物除臭剂等治理措施；</w:t>
      </w:r>
      <w:r>
        <w:rPr>
          <w:rFonts w:hint="eastAsia"/>
          <w:color w:val="92D050"/>
          <w:lang w:eastAsia="zh-CN"/>
        </w:rPr>
        <w:t>有机肥堆场</w:t>
      </w:r>
      <w:r>
        <w:rPr>
          <w:rFonts w:hint="eastAsia"/>
          <w:color w:val="000000" w:themeColor="text1"/>
          <w14:textFill>
            <w14:solidFill>
              <w14:schemeClr w14:val="tx1"/>
            </w14:solidFill>
          </w14:textFill>
        </w:rPr>
        <w:t>从饲料中添加EM菌群，能够从源头上减少氨气和硫化氢的产生，并及时对粪便进行清理，同时在栏舍范围内采用生物除臭技术，利用微生物菌群的分解、固化作用对已产生的臭气进行去除，同时加强四周场地绿化，在加强管理的前提下可有效减少恶臭污染物的排放</w:t>
      </w:r>
      <w:r>
        <w:rPr>
          <w:rFonts w:hint="eastAsia"/>
          <w:color w:val="000000" w:themeColor="text1"/>
          <w:lang w:eastAsia="zh-CN"/>
          <w14:textFill>
            <w14:solidFill>
              <w14:schemeClr w14:val="tx1"/>
            </w14:solidFill>
          </w14:textFill>
        </w:rPr>
        <w:t>；动物尸体无害化车间</w:t>
      </w:r>
      <w:r>
        <w:rPr>
          <w:rFonts w:hint="eastAsia"/>
          <w:color w:val="000000" w:themeColor="text1"/>
          <w:lang w:val="en-US" w:eastAsia="zh-CN"/>
          <w14:textFill>
            <w14:solidFill>
              <w14:schemeClr w14:val="tx1"/>
            </w14:solidFill>
          </w14:textFill>
        </w:rPr>
        <w:t>内设置</w:t>
      </w:r>
      <w:r>
        <w:rPr>
          <w:rFonts w:hint="eastAsia"/>
          <w:color w:val="000000" w:themeColor="text1"/>
          <w:lang w:eastAsia="zh-CN"/>
          <w14:textFill>
            <w14:solidFill>
              <w14:schemeClr w14:val="tx1"/>
            </w14:solidFill>
          </w14:textFill>
        </w:rPr>
        <w:t>密闭车间，做顶部集气装置，</w:t>
      </w:r>
      <w:r>
        <w:rPr>
          <w:rFonts w:hint="eastAsia"/>
          <w:color w:val="000000" w:themeColor="text1"/>
          <w:lang w:val="en-US" w:eastAsia="zh-CN"/>
          <w14:textFill>
            <w14:solidFill>
              <w14:schemeClr w14:val="tx1"/>
            </w14:solidFill>
          </w14:textFill>
        </w:rPr>
        <w:t>产生的废气</w:t>
      </w:r>
      <w:r>
        <w:rPr>
          <w:rFonts w:hint="eastAsia"/>
          <w:color w:val="000000" w:themeColor="text1"/>
          <w:lang w:eastAsia="zh-CN"/>
          <w14:textFill>
            <w14:solidFill>
              <w14:schemeClr w14:val="tx1"/>
            </w14:solidFill>
          </w14:textFill>
        </w:rPr>
        <w:t>通过一套生物除臭塔进行处理后由车间排气筒DA001（15m高）排放。</w:t>
      </w:r>
      <w:r>
        <w:rPr>
          <w:rFonts w:hint="eastAsia"/>
          <w:color w:val="000000" w:themeColor="text1"/>
          <w:lang w:val="en-US" w:eastAsia="zh-CN"/>
          <w14:textFill>
            <w14:solidFill>
              <w14:schemeClr w14:val="tx1"/>
            </w14:solidFill>
          </w14:textFill>
        </w:rPr>
        <w:t>除此之外，在厂区内部加强</w:t>
      </w:r>
      <w:r>
        <w:rPr>
          <w:rFonts w:hint="eastAsia"/>
          <w:color w:val="000000" w:themeColor="text1"/>
          <w14:textFill>
            <w14:solidFill>
              <w14:schemeClr w14:val="tx1"/>
            </w14:solidFill>
          </w14:textFill>
        </w:rPr>
        <w:t>绿化，使企业厂界无组织排放源强满足《恶臭污染物排放标准》（</w:t>
      </w:r>
      <w:r>
        <w:rPr>
          <w:color w:val="000000" w:themeColor="text1"/>
          <w14:textFill>
            <w14:solidFill>
              <w14:schemeClr w14:val="tx1"/>
            </w14:solidFill>
          </w14:textFill>
        </w:rPr>
        <w:t>GB14554-93</w:t>
      </w:r>
      <w:r>
        <w:rPr>
          <w:rFonts w:hint="eastAsia"/>
          <w:color w:val="000000" w:themeColor="text1"/>
          <w14:textFill>
            <w14:solidFill>
              <w14:schemeClr w14:val="tx1"/>
            </w14:solidFill>
          </w14:textFill>
        </w:rPr>
        <w:t>）厂界二级标准及《畜禽养殖业污染物排放标准》（GB18596-2001）中臭气浓度的限值要求。</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（2）水污染防治措施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kern w:val="0"/>
          <w14:textFill>
            <w14:solidFill>
              <w14:schemeClr w14:val="tx1"/>
            </w14:solidFill>
          </w14:textFill>
        </w:rPr>
        <w:t>项目不单独对羊尿进行收集，随粪便漏入羊舍下层粪污通道后，采用干清粪法将其一同清入堆肥平台进行发酵</w:t>
      </w:r>
      <w:r>
        <w:rPr>
          <w:rFonts w:hint="eastAsia"/>
          <w:color w:val="000000" w:themeColor="text1"/>
          <w14:textFill>
            <w14:solidFill>
              <w14:schemeClr w14:val="tx1"/>
            </w14:solidFill>
          </w14:textFill>
        </w:rPr>
        <w:t>；生活污水经化粪池处理后定期委托</w:t>
      </w:r>
      <w:r>
        <w:rPr>
          <w:rFonts w:hint="eastAsia"/>
          <w:color w:val="000000" w:themeColor="text1"/>
          <w:lang w:eastAsia="zh-CN"/>
          <w14:textFill>
            <w14:solidFill>
              <w14:schemeClr w14:val="tx1"/>
            </w14:solidFill>
          </w14:textFill>
        </w:rPr>
        <w:t>五原县塔尔湖污水处理厂</w:t>
      </w:r>
      <w:r>
        <w:rPr>
          <w:rFonts w:hint="eastAsia"/>
          <w:color w:val="000000" w:themeColor="text1"/>
          <w14:textFill>
            <w14:solidFill>
              <w14:schemeClr w14:val="tx1"/>
            </w14:solidFill>
          </w14:textFill>
        </w:rPr>
        <w:t>采用罐车清运处理</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无害化冷凝水</w:t>
      </w:r>
      <w:r>
        <w:rPr>
          <w:rFonts w:hint="eastAsia"/>
          <w:color w:val="000000" w:themeColor="text1"/>
          <w14:textFill>
            <w14:solidFill>
              <w14:schemeClr w14:val="tx1"/>
            </w14:solidFill>
          </w14:textFill>
        </w:rPr>
        <w:t>用于有机肥制</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不外排</w:t>
      </w:r>
      <w:r>
        <w:rPr>
          <w:rFonts w:hint="eastAsia"/>
          <w:color w:val="000000" w:themeColor="text1"/>
          <w14:textFill>
            <w14:solidFill>
              <w14:schemeClr w14:val="tx1"/>
            </w14:solidFill>
          </w14:textFill>
        </w:rPr>
        <w:t>作</w:t>
      </w:r>
      <w:r>
        <w:rPr>
          <w:rFonts w:hint="eastAsia"/>
          <w:color w:val="000000" w:themeColor="text1"/>
          <w:lang w:val="en-US" w:eastAsia="zh-CN"/>
          <w14:textFill>
            <w14:solidFill>
              <w14:schemeClr w14:val="tx1"/>
            </w14:solidFill>
          </w14:textFill>
        </w:rPr>
        <w:t>好氧堆肥</w:t>
      </w:r>
      <w:r>
        <w:rPr>
          <w:rFonts w:hint="eastAsia"/>
          <w:color w:val="000000" w:themeColor="text1"/>
          <w14:textFill>
            <w14:solidFill>
              <w14:schemeClr w14:val="tx1"/>
            </w14:solidFill>
          </w14:textFill>
        </w:rPr>
        <w:t>补水</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同时项目设置严格的分区防渗措施并在场地下游设置1眼地下水监控井，综上项目水污染防治措施是可行的。</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）噪声污染防治措施</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主要通过合理布局、优先选择低噪声设备，将设备置于室内，并进行基础减振。对于水泵，在水泵底部安装减震垫、使用软性接头，设置于独立的泵房内；将噪声大的噪声源远离厂界和敏感点，通过距离衰减降噪。同时可在养殖场周围种植高大树木，起到吸声降噪的效果。</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）固体废物污染防治措施</w:t>
      </w:r>
    </w:p>
    <w:bookmarkEnd w:id="390"/>
    <w:bookmarkEnd w:id="391"/>
    <w:bookmarkEnd w:id="392"/>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固废按照“无害化、资源化、减量化”原则实行管理，羊粪用于制作有机肥；病死羊及胞衣动物尸体及胞衣进行无害化处理后残渣用于有机肥制作；</w:t>
      </w:r>
      <w:r>
        <w:rPr>
          <w:rFonts w:hint="eastAsia"/>
          <w:color w:val="000000" w:themeColor="text1"/>
          <w:kern w:val="0"/>
          <w14:textFill>
            <w14:solidFill>
              <w14:schemeClr w14:val="tx1"/>
            </w14:solidFill>
          </w14:textFill>
        </w:rPr>
        <w:t>医疗废物</w:t>
      </w:r>
      <w:r>
        <w:rPr>
          <w:rFonts w:hint="eastAsia"/>
          <w:color w:val="000000" w:themeColor="text1"/>
          <w:kern w:val="0"/>
          <w:lang w:val="en-US" w:eastAsia="zh-CN"/>
          <w14:textFill>
            <w14:solidFill>
              <w14:schemeClr w14:val="tx1"/>
            </w14:solidFill>
          </w14:textFill>
        </w:rPr>
        <w:t>采用</w:t>
      </w:r>
      <w:r>
        <w:rPr>
          <w:rFonts w:hint="eastAsia"/>
          <w:color w:val="000000" w:themeColor="text1"/>
          <w14:textFill>
            <w14:solidFill>
              <w14:schemeClr w14:val="tx1"/>
            </w14:solidFill>
          </w14:textFill>
        </w:rPr>
        <w:t>密闭包装暂存于医疗废物暂存间</w:t>
      </w:r>
      <w:r>
        <w:rPr>
          <w:rFonts w:hint="eastAsia"/>
          <w:color w:val="000000" w:themeColor="text1"/>
          <w:lang w:val="en-US" w:eastAsia="zh-CN"/>
          <w14:textFill>
            <w14:solidFill>
              <w14:schemeClr w14:val="tx1"/>
            </w14:solidFill>
          </w14:textFill>
        </w:rPr>
        <w:t>定期交有资质单位处理</w:t>
      </w:r>
      <w:r>
        <w:rPr>
          <w:rFonts w:hint="eastAsia"/>
          <w:color w:val="000000" w:themeColor="text1"/>
          <w14:textFill>
            <w14:solidFill>
              <w14:schemeClr w14:val="tx1"/>
            </w14:solidFill>
          </w14:textFill>
        </w:rPr>
        <w:t>。本项目根据固体废物的性质采取了不同的处理措施，能利用的废物均被有效利用，不能利用的固废也均能得到妥善处置，不会产生二次污染。</w:t>
      </w:r>
    </w:p>
    <w:p>
      <w:pPr>
        <w:pStyle w:val="3"/>
        <w:spacing w:before="120" w:after="120"/>
        <w:rPr>
          <w:color w:val="000000" w:themeColor="text1"/>
          <w14:textFill>
            <w14:solidFill>
              <w14:schemeClr w14:val="tx1"/>
            </w14:solidFill>
          </w14:textFill>
        </w:rPr>
      </w:pPr>
      <w:bookmarkStart w:id="394" w:name="_Toc101428583"/>
      <w:bookmarkStart w:id="395" w:name="_Toc28871"/>
      <w:r>
        <w:rPr>
          <w:rFonts w:hint="eastAsia"/>
          <w:color w:val="000000" w:themeColor="text1"/>
          <w14:textFill>
            <w14:solidFill>
              <w14:schemeClr w14:val="tx1"/>
            </w14:solidFill>
          </w14:textFill>
        </w:rPr>
        <w:t>总量控制指标</w:t>
      </w:r>
      <w:bookmarkEnd w:id="393"/>
      <w:bookmarkEnd w:id="394"/>
      <w:bookmarkEnd w:id="395"/>
    </w:p>
    <w:p>
      <w:pPr>
        <w:bidi w:val="0"/>
      </w:pPr>
      <w:bookmarkStart w:id="396" w:name="_Toc523322420"/>
      <w:r>
        <w:rPr>
          <w:rFonts w:hint="eastAsia"/>
        </w:rPr>
        <w:t>项目不涉及SO</w:t>
      </w:r>
      <w:r>
        <w:rPr>
          <w:rFonts w:hint="eastAsia"/>
          <w:vertAlign w:val="subscript"/>
        </w:rPr>
        <w:t>2</w:t>
      </w:r>
      <w:r>
        <w:rPr>
          <w:rFonts w:hint="eastAsia"/>
        </w:rPr>
        <w:t>、NO</w:t>
      </w:r>
      <w:r>
        <w:rPr>
          <w:rFonts w:hint="eastAsia"/>
          <w:vertAlign w:val="subscript"/>
        </w:rPr>
        <w:t>X</w:t>
      </w:r>
      <w:r>
        <w:rPr>
          <w:rFonts w:hint="eastAsia"/>
        </w:rPr>
        <w:t>、烟（粉）尘、挥发性有机物、</w:t>
      </w:r>
      <w:r>
        <w:t>COD</w:t>
      </w:r>
      <w:r>
        <w:rPr>
          <w:rFonts w:hint="eastAsia"/>
        </w:rPr>
        <w:t>、</w:t>
      </w:r>
      <w:r>
        <w:t>NH</w:t>
      </w:r>
      <w:r>
        <w:rPr>
          <w:vertAlign w:val="subscript"/>
        </w:rPr>
        <w:t>3</w:t>
      </w:r>
      <w:r>
        <w:t>-N</w:t>
      </w:r>
      <w:r>
        <w:rPr>
          <w:rFonts w:hint="eastAsia"/>
        </w:rPr>
        <w:t>等污染物总量排放，无需申请总量。</w:t>
      </w:r>
    </w:p>
    <w:p>
      <w:pPr>
        <w:pStyle w:val="3"/>
        <w:spacing w:before="120" w:after="120"/>
        <w:rPr>
          <w:color w:val="000000" w:themeColor="text1"/>
          <w14:textFill>
            <w14:solidFill>
              <w14:schemeClr w14:val="tx1"/>
            </w14:solidFill>
          </w14:textFill>
        </w:rPr>
      </w:pPr>
      <w:bookmarkStart w:id="397" w:name="_Toc101428584"/>
      <w:bookmarkStart w:id="398" w:name="_Toc22547"/>
      <w:r>
        <w:rPr>
          <w:rFonts w:hint="eastAsia"/>
          <w:color w:val="000000" w:themeColor="text1"/>
          <w14:textFill>
            <w14:solidFill>
              <w14:schemeClr w14:val="tx1"/>
            </w14:solidFill>
          </w14:textFill>
        </w:rPr>
        <w:t>环境影响经济损益分析</w:t>
      </w:r>
      <w:bookmarkEnd w:id="396"/>
      <w:bookmarkEnd w:id="397"/>
      <w:bookmarkEnd w:id="398"/>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本项目总投资88</w:t>
      </w:r>
      <w:r>
        <w:rPr>
          <w:color w:val="000000" w:themeColor="text1"/>
          <w14:textFill>
            <w14:solidFill>
              <w14:schemeClr w14:val="tx1"/>
            </w14:solidFill>
          </w14:textFill>
        </w:rPr>
        <w:t>000</w:t>
      </w:r>
      <w:r>
        <w:rPr>
          <w:rFonts w:hint="eastAsia"/>
          <w:color w:val="000000" w:themeColor="text1"/>
          <w14:textFill>
            <w14:solidFill>
              <w14:schemeClr w14:val="tx1"/>
            </w14:solidFill>
          </w14:textFill>
        </w:rPr>
        <w:t>万元，环保投资</w:t>
      </w:r>
      <w:r>
        <w:rPr>
          <w:rFonts w:hint="eastAsia"/>
          <w:color w:val="000000" w:themeColor="text1"/>
          <w:lang w:eastAsia="zh-CN"/>
          <w14:textFill>
            <w14:solidFill>
              <w14:schemeClr w14:val="tx1"/>
            </w14:solidFill>
          </w14:textFill>
        </w:rPr>
        <w:t>1033</w:t>
      </w:r>
      <w:r>
        <w:rPr>
          <w:rFonts w:hint="eastAsia"/>
          <w:color w:val="000000" w:themeColor="text1"/>
          <w14:textFill>
            <w14:solidFill>
              <w14:schemeClr w14:val="tx1"/>
            </w14:solidFill>
          </w14:textFill>
        </w:rPr>
        <w:t>万元，占总投资</w:t>
      </w:r>
      <w:r>
        <w:rPr>
          <w:rFonts w:hint="eastAsia"/>
          <w:color w:val="000000" w:themeColor="text1"/>
          <w:lang w:eastAsia="zh-CN"/>
          <w14:textFill>
            <w14:solidFill>
              <w14:schemeClr w14:val="tx1"/>
            </w14:solidFill>
          </w14:textFill>
        </w:rPr>
        <w:t>1.17</w:t>
      </w:r>
      <w:r>
        <w:rPr>
          <w:rFonts w:hint="eastAsia"/>
          <w:color w:val="000000" w:themeColor="text1"/>
          <w14:textFill>
            <w14:solidFill>
              <w14:schemeClr w14:val="tx1"/>
            </w14:solidFill>
          </w14:textFill>
        </w:rPr>
        <w:t>%。项目建设具有良好的经济效益和社会效益，但对环境的损害是有影响的。建设单位要加强污染防治的投资与环境管理，把污染控制在最低限度，保证项目经济效益、社会效益和环境效益的同步发展。</w:t>
      </w:r>
    </w:p>
    <w:p>
      <w:pPr>
        <w:pStyle w:val="3"/>
        <w:spacing w:before="120" w:after="120"/>
        <w:rPr>
          <w:color w:val="000000" w:themeColor="text1"/>
          <w14:textFill>
            <w14:solidFill>
              <w14:schemeClr w14:val="tx1"/>
            </w14:solidFill>
          </w14:textFill>
        </w:rPr>
      </w:pPr>
      <w:bookmarkStart w:id="399" w:name="_Toc101428585"/>
      <w:bookmarkStart w:id="400" w:name="_Toc17967"/>
      <w:bookmarkStart w:id="401" w:name="_Toc523322422"/>
      <w:r>
        <w:rPr>
          <w:rFonts w:hint="eastAsia"/>
          <w:color w:val="000000" w:themeColor="text1"/>
          <w14:textFill>
            <w14:solidFill>
              <w14:schemeClr w14:val="tx1"/>
            </w14:solidFill>
          </w14:textFill>
        </w:rPr>
        <w:t>环境管理和监测计划</w:t>
      </w:r>
      <w:bookmarkEnd w:id="399"/>
      <w:bookmarkEnd w:id="400"/>
      <w:bookmarkEnd w:id="401"/>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企业应配置环保管理机构、监测人员等。按环境影响报告书的要求严格落实环保要求，明确职责，专人管理，切实搞好环境管理和监测、验收工作，保证环保设施的正常运行，规范各排污口。</w:t>
      </w:r>
    </w:p>
    <w:p>
      <w:pPr>
        <w:pStyle w:val="3"/>
        <w:spacing w:before="120" w:after="120"/>
        <w:rPr>
          <w:color w:val="000000" w:themeColor="text1"/>
          <w14:textFill>
            <w14:solidFill>
              <w14:schemeClr w14:val="tx1"/>
            </w14:solidFill>
          </w14:textFill>
        </w:rPr>
      </w:pPr>
      <w:bookmarkStart w:id="402" w:name="_Toc16945"/>
      <w:bookmarkStart w:id="403" w:name="_Toc101428586"/>
      <w:r>
        <w:rPr>
          <w:rFonts w:hint="eastAsia"/>
          <w:color w:val="000000" w:themeColor="text1"/>
          <w14:textFill>
            <w14:solidFill>
              <w14:schemeClr w14:val="tx1"/>
            </w14:solidFill>
          </w14:textFill>
        </w:rPr>
        <w:t>公众参与情况</w:t>
      </w:r>
      <w:bookmarkEnd w:id="402"/>
      <w:bookmarkEnd w:id="403"/>
    </w:p>
    <w:p>
      <w:pPr>
        <w:bidi w:val="0"/>
        <w:rPr>
          <w:color w:val="FF0000"/>
        </w:rPr>
      </w:pPr>
      <w:bookmarkStart w:id="404" w:name="_Toc371696657"/>
      <w:bookmarkStart w:id="405" w:name="_Toc523322423"/>
      <w:bookmarkStart w:id="406" w:name="_Toc494206436"/>
      <w:bookmarkStart w:id="407" w:name="_Toc487188715"/>
      <w:r>
        <w:rPr>
          <w:rFonts w:hint="eastAsia"/>
          <w:color w:val="FF0000"/>
        </w:rPr>
        <w:t>本次公众参与采用首次公示（网络公示）、征求意见稿公示（网络、公示期间报纸公示2次、张贴公示）。公众参与情况见下表。</w:t>
      </w:r>
    </w:p>
    <w:p>
      <w:pPr>
        <w:bidi w:val="0"/>
        <w:rPr>
          <w:rFonts w:hint="eastAsia"/>
          <w:color w:val="FF0000"/>
        </w:rPr>
        <w:sectPr>
          <w:headerReference r:id="rId22" w:type="default"/>
          <w:footerReference r:id="rId23" w:type="default"/>
          <w:pgSz w:w="11906" w:h="16838"/>
          <w:pgMar w:top="1440" w:right="1800" w:bottom="1440" w:left="1800" w:header="851" w:footer="992" w:gutter="0"/>
          <w:pgNumType w:fmt="decimal"/>
          <w:cols w:space="425" w:num="1"/>
          <w:docGrid w:type="lines" w:linePitch="312" w:charSpace="0"/>
        </w:sectPr>
      </w:pPr>
    </w:p>
    <w:p>
      <w:pPr>
        <w:pStyle w:val="6"/>
        <w:bidi w:val="0"/>
        <w:rPr>
          <w:color w:val="FF0000"/>
        </w:rPr>
      </w:pPr>
      <w:r>
        <w:rPr>
          <w:rFonts w:hint="eastAsia"/>
          <w:color w:val="FF0000"/>
          <w:lang w:val="en-US" w:eastAsia="zh-CN"/>
        </w:rPr>
        <w:t xml:space="preserve">表10.9-1  </w:t>
      </w:r>
      <w:r>
        <w:rPr>
          <w:rFonts w:hint="eastAsia"/>
          <w:color w:val="FF0000"/>
        </w:rPr>
        <w:t>公众参与情况一览表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419"/>
        <w:gridCol w:w="1398"/>
        <w:gridCol w:w="3735"/>
        <w:gridCol w:w="1167"/>
        <w:gridCol w:w="1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3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形式</w:t>
            </w:r>
          </w:p>
        </w:tc>
        <w:tc>
          <w:tcPr>
            <w:tcW w:w="139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时间</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地点</w:t>
            </w:r>
          </w:p>
        </w:tc>
        <w:tc>
          <w:tcPr>
            <w:tcW w:w="11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参与人员</w:t>
            </w:r>
          </w:p>
        </w:tc>
        <w:tc>
          <w:tcPr>
            <w:tcW w:w="138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首次</w:t>
            </w:r>
            <w:r>
              <w:rPr>
                <w:color w:val="FF0000"/>
                <w:sz w:val="21"/>
                <w:szCs w:val="21"/>
              </w:rPr>
              <w:t>公示</w:t>
            </w:r>
          </w:p>
        </w:tc>
        <w:tc>
          <w:tcPr>
            <w:tcW w:w="139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FF0000"/>
                <w:sz w:val="21"/>
                <w:szCs w:val="21"/>
              </w:rPr>
            </w:pPr>
            <w:r>
              <w:rPr>
                <w:rFonts w:hint="eastAsia"/>
                <w:color w:val="FF0000"/>
                <w:sz w:val="21"/>
                <w:szCs w:val="21"/>
              </w:rPr>
              <w:t>202</w:t>
            </w:r>
            <w:r>
              <w:rPr>
                <w:rFonts w:hint="eastAsia"/>
                <w:color w:val="FF0000"/>
                <w:sz w:val="21"/>
                <w:szCs w:val="21"/>
                <w:lang w:val="en-US" w:eastAsia="zh-CN"/>
              </w:rPr>
              <w:t>3</w:t>
            </w:r>
            <w:r>
              <w:rPr>
                <w:rFonts w:hint="eastAsia"/>
                <w:color w:val="FF0000"/>
                <w:sz w:val="21"/>
                <w:szCs w:val="21"/>
              </w:rPr>
              <w:t>.8.</w:t>
            </w:r>
            <w:r>
              <w:rPr>
                <w:rFonts w:hint="eastAsia"/>
                <w:color w:val="FF0000"/>
                <w:sz w:val="21"/>
                <w:szCs w:val="21"/>
                <w:lang w:val="en-US" w:eastAsia="zh-CN"/>
              </w:rPr>
              <w:t>1</w:t>
            </w:r>
            <w:r>
              <w:rPr>
                <w:rFonts w:hint="eastAsia"/>
                <w:color w:val="FF0000"/>
                <w:sz w:val="21"/>
                <w:szCs w:val="21"/>
              </w:rPr>
              <w:t>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color w:val="FF0000"/>
                <w:sz w:val="21"/>
                <w:szCs w:val="21"/>
              </w:rPr>
              <w:t>~20</w:t>
            </w:r>
            <w:r>
              <w:rPr>
                <w:rFonts w:hint="eastAsia"/>
                <w:color w:val="FF0000"/>
                <w:sz w:val="21"/>
                <w:szCs w:val="21"/>
              </w:rPr>
              <w:t>2</w:t>
            </w:r>
            <w:r>
              <w:rPr>
                <w:rFonts w:hint="eastAsia"/>
                <w:color w:val="FF0000"/>
                <w:sz w:val="21"/>
                <w:szCs w:val="21"/>
                <w:lang w:val="en-US" w:eastAsia="zh-CN"/>
              </w:rPr>
              <w:t>3</w:t>
            </w:r>
            <w:r>
              <w:rPr>
                <w:rFonts w:hint="eastAsia"/>
                <w:color w:val="FF0000"/>
                <w:sz w:val="21"/>
                <w:szCs w:val="21"/>
              </w:rPr>
              <w:t>.</w:t>
            </w:r>
            <w:r>
              <w:rPr>
                <w:rFonts w:hint="eastAsia"/>
                <w:color w:val="FF0000"/>
                <w:sz w:val="21"/>
                <w:szCs w:val="21"/>
                <w:lang w:val="en-US" w:eastAsia="zh-CN"/>
              </w:rPr>
              <w:t>8</w:t>
            </w:r>
            <w:r>
              <w:rPr>
                <w:rFonts w:hint="eastAsia"/>
                <w:color w:val="FF0000"/>
                <w:sz w:val="21"/>
                <w:szCs w:val="21"/>
              </w:rPr>
              <w:t>.</w:t>
            </w:r>
            <w:r>
              <w:rPr>
                <w:rFonts w:hint="eastAsia"/>
                <w:color w:val="FF0000"/>
                <w:sz w:val="21"/>
                <w:szCs w:val="21"/>
                <w:lang w:val="en-US" w:eastAsia="zh-CN"/>
              </w:rPr>
              <w:t>24</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lang w:val="en-US" w:eastAsia="zh-CN"/>
              </w:rPr>
              <w:t>五原县人民政府网站</w:t>
            </w:r>
            <w:r>
              <w:rPr>
                <w:rFonts w:hint="eastAsia"/>
                <w:color w:val="FF0000"/>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http://www.wuyuan.gov.cn/tzgg/43579.html</w:t>
            </w:r>
          </w:p>
        </w:tc>
        <w:tc>
          <w:tcPr>
            <w:tcW w:w="11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社会公众</w:t>
            </w:r>
          </w:p>
        </w:tc>
        <w:tc>
          <w:tcPr>
            <w:tcW w:w="138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公示时间 10 个工作日，无信息反馈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征求意见稿</w:t>
            </w:r>
            <w:r>
              <w:rPr>
                <w:color w:val="FF0000"/>
                <w:sz w:val="21"/>
                <w:szCs w:val="21"/>
              </w:rPr>
              <w:t>公示</w:t>
            </w:r>
          </w:p>
        </w:tc>
        <w:tc>
          <w:tcPr>
            <w:tcW w:w="41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网络平台</w:t>
            </w:r>
          </w:p>
        </w:tc>
        <w:tc>
          <w:tcPr>
            <w:tcW w:w="139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FF0000"/>
                <w:sz w:val="21"/>
                <w:szCs w:val="21"/>
                <w:lang w:val="en-US" w:eastAsia="zh-CN"/>
              </w:rPr>
            </w:pPr>
            <w:r>
              <w:rPr>
                <w:rFonts w:hint="eastAsia"/>
                <w:color w:val="FF0000"/>
                <w:sz w:val="21"/>
                <w:szCs w:val="21"/>
              </w:rPr>
              <w:t>202</w:t>
            </w:r>
            <w:r>
              <w:rPr>
                <w:rFonts w:hint="eastAsia"/>
                <w:color w:val="FF0000"/>
                <w:sz w:val="21"/>
                <w:szCs w:val="21"/>
                <w:lang w:val="en-US" w:eastAsia="zh-CN"/>
              </w:rPr>
              <w:t>3</w:t>
            </w:r>
            <w:r>
              <w:rPr>
                <w:rFonts w:hint="eastAsia"/>
                <w:color w:val="FF0000"/>
                <w:sz w:val="21"/>
                <w:szCs w:val="21"/>
              </w:rPr>
              <w:t>.</w:t>
            </w:r>
            <w:r>
              <w:rPr>
                <w:rFonts w:hint="eastAsia"/>
                <w:color w:val="FF0000"/>
                <w:sz w:val="21"/>
                <w:szCs w:val="21"/>
                <w:lang w:val="en-US" w:eastAsia="zh-CN"/>
              </w:rPr>
              <w:t>9</w:t>
            </w:r>
            <w:r>
              <w:rPr>
                <w:rFonts w:hint="eastAsia"/>
                <w:color w:val="FF0000"/>
                <w:sz w:val="21"/>
                <w:szCs w:val="21"/>
              </w:rPr>
              <w:t>.</w:t>
            </w:r>
            <w:r>
              <w:rPr>
                <w:rFonts w:hint="eastAsia"/>
                <w:color w:val="FF0000"/>
                <w:sz w:val="21"/>
                <w:szCs w:val="21"/>
                <w:lang w:val="en-US" w:eastAsia="zh-CN"/>
              </w:rPr>
              <w:t>11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rFonts w:hint="eastAsia"/>
                <w:color w:val="FF0000"/>
                <w:sz w:val="21"/>
                <w:szCs w:val="21"/>
              </w:rPr>
              <w:t>~20</w:t>
            </w:r>
            <w:r>
              <w:rPr>
                <w:rFonts w:hint="eastAsia"/>
                <w:color w:val="FF0000"/>
                <w:sz w:val="21"/>
                <w:szCs w:val="21"/>
                <w:lang w:val="en-US" w:eastAsia="zh-CN"/>
              </w:rPr>
              <w:t>23.9.22</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lang w:val="en-US" w:eastAsia="zh-CN"/>
              </w:rPr>
              <w:t>五原县人民政府网站</w:t>
            </w:r>
            <w:r>
              <w:rPr>
                <w:rFonts w:hint="eastAsia"/>
                <w:color w:val="FF0000"/>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http://www.wuyuan.gov.cn/yjzj/43898.html</w:t>
            </w:r>
          </w:p>
        </w:tc>
        <w:tc>
          <w:tcPr>
            <w:tcW w:w="11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社会公众</w:t>
            </w:r>
          </w:p>
        </w:tc>
        <w:tc>
          <w:tcPr>
            <w:tcW w:w="138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公示时间 10 个工作日，无信息反馈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41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张贴公示</w:t>
            </w:r>
          </w:p>
        </w:tc>
        <w:tc>
          <w:tcPr>
            <w:tcW w:w="139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FF0000"/>
                <w:sz w:val="21"/>
                <w:szCs w:val="21"/>
                <w:lang w:val="en-US" w:eastAsia="zh-CN"/>
              </w:rPr>
            </w:pPr>
            <w:r>
              <w:rPr>
                <w:rFonts w:hint="eastAsia"/>
                <w:color w:val="FF0000"/>
                <w:sz w:val="21"/>
                <w:szCs w:val="21"/>
              </w:rPr>
              <w:t>202</w:t>
            </w:r>
            <w:r>
              <w:rPr>
                <w:rFonts w:hint="eastAsia"/>
                <w:color w:val="FF0000"/>
                <w:sz w:val="21"/>
                <w:szCs w:val="21"/>
                <w:lang w:val="en-US" w:eastAsia="zh-CN"/>
              </w:rPr>
              <w:t>3</w:t>
            </w:r>
            <w:r>
              <w:rPr>
                <w:rFonts w:hint="eastAsia"/>
                <w:color w:val="FF0000"/>
                <w:sz w:val="21"/>
                <w:szCs w:val="21"/>
              </w:rPr>
              <w:t>.</w:t>
            </w:r>
            <w:r>
              <w:rPr>
                <w:rFonts w:hint="eastAsia"/>
                <w:color w:val="FF0000"/>
                <w:sz w:val="21"/>
                <w:szCs w:val="21"/>
                <w:lang w:val="en-US" w:eastAsia="zh-CN"/>
              </w:rPr>
              <w:t>9.12</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rFonts w:hint="eastAsia"/>
                <w:color w:val="FF0000"/>
                <w:sz w:val="21"/>
                <w:szCs w:val="21"/>
              </w:rPr>
              <w:t>~202</w:t>
            </w:r>
            <w:r>
              <w:rPr>
                <w:rFonts w:hint="eastAsia"/>
                <w:color w:val="FF0000"/>
                <w:sz w:val="21"/>
                <w:szCs w:val="21"/>
                <w:lang w:val="en-US" w:eastAsia="zh-CN"/>
              </w:rPr>
              <w:t>3</w:t>
            </w:r>
            <w:r>
              <w:rPr>
                <w:rFonts w:hint="eastAsia"/>
                <w:color w:val="FF0000"/>
                <w:sz w:val="21"/>
                <w:szCs w:val="21"/>
              </w:rPr>
              <w:t>.</w:t>
            </w:r>
            <w:r>
              <w:rPr>
                <w:rFonts w:hint="eastAsia"/>
                <w:color w:val="FF0000"/>
                <w:sz w:val="21"/>
                <w:szCs w:val="21"/>
                <w:lang w:val="en-US" w:eastAsia="zh-CN"/>
              </w:rPr>
              <w:t>9</w:t>
            </w:r>
            <w:r>
              <w:rPr>
                <w:rFonts w:hint="eastAsia"/>
                <w:color w:val="FF0000"/>
                <w:sz w:val="21"/>
                <w:szCs w:val="21"/>
              </w:rPr>
              <w:t>.</w:t>
            </w:r>
            <w:r>
              <w:rPr>
                <w:rFonts w:hint="eastAsia"/>
                <w:color w:val="FF0000"/>
                <w:sz w:val="21"/>
                <w:szCs w:val="21"/>
                <w:lang w:val="en-US" w:eastAsia="zh-CN"/>
              </w:rPr>
              <w:t>25</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塔尔湖镇常丰村村民委员会</w:t>
            </w:r>
          </w:p>
        </w:tc>
        <w:tc>
          <w:tcPr>
            <w:tcW w:w="11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社会公众</w:t>
            </w:r>
          </w:p>
        </w:tc>
        <w:tc>
          <w:tcPr>
            <w:tcW w:w="138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无信息反馈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p>
        </w:tc>
        <w:tc>
          <w:tcPr>
            <w:tcW w:w="41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报纸</w:t>
            </w:r>
          </w:p>
        </w:tc>
        <w:tc>
          <w:tcPr>
            <w:tcW w:w="139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rFonts w:hint="eastAsia"/>
                <w:color w:val="FF0000"/>
                <w:sz w:val="21"/>
                <w:szCs w:val="21"/>
              </w:rPr>
              <w:t>202</w:t>
            </w:r>
            <w:r>
              <w:rPr>
                <w:rFonts w:hint="eastAsia"/>
                <w:color w:val="FF0000"/>
                <w:sz w:val="21"/>
                <w:szCs w:val="21"/>
                <w:lang w:val="en-US" w:eastAsia="zh-CN"/>
              </w:rPr>
              <w:t>3</w:t>
            </w:r>
            <w:r>
              <w:rPr>
                <w:rFonts w:hint="eastAsia"/>
                <w:color w:val="FF0000"/>
                <w:sz w:val="21"/>
                <w:szCs w:val="21"/>
              </w:rPr>
              <w:t>.</w:t>
            </w:r>
            <w:r>
              <w:rPr>
                <w:rFonts w:hint="eastAsia"/>
                <w:color w:val="FF0000"/>
                <w:sz w:val="21"/>
                <w:szCs w:val="21"/>
                <w:lang w:val="en-US" w:eastAsia="zh-CN"/>
              </w:rPr>
              <w:t>9</w:t>
            </w:r>
            <w:r>
              <w:rPr>
                <w:rFonts w:hint="eastAsia"/>
                <w:color w:val="FF0000"/>
                <w:sz w:val="21"/>
                <w:szCs w:val="21"/>
              </w:rPr>
              <w:t>.</w:t>
            </w:r>
            <w:r>
              <w:rPr>
                <w:rFonts w:hint="eastAsia"/>
                <w:color w:val="FF0000"/>
                <w:sz w:val="21"/>
                <w:szCs w:val="21"/>
                <w:lang w:val="en-US" w:eastAsia="zh-CN"/>
              </w:rPr>
              <w:t>12</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202</w:t>
            </w:r>
            <w:r>
              <w:rPr>
                <w:rFonts w:hint="eastAsia"/>
                <w:color w:val="FF0000"/>
                <w:sz w:val="21"/>
                <w:szCs w:val="21"/>
                <w:lang w:val="en-US" w:eastAsia="zh-CN"/>
              </w:rPr>
              <w:t>3</w:t>
            </w:r>
            <w:r>
              <w:rPr>
                <w:rFonts w:hint="eastAsia"/>
                <w:color w:val="FF0000"/>
                <w:sz w:val="21"/>
                <w:szCs w:val="21"/>
              </w:rPr>
              <w:t>.</w:t>
            </w:r>
            <w:r>
              <w:rPr>
                <w:rFonts w:hint="eastAsia"/>
                <w:color w:val="FF0000"/>
                <w:sz w:val="21"/>
                <w:szCs w:val="21"/>
                <w:lang w:val="en-US" w:eastAsia="zh-CN"/>
              </w:rPr>
              <w:t>9</w:t>
            </w:r>
            <w:r>
              <w:rPr>
                <w:rFonts w:hint="eastAsia"/>
                <w:color w:val="FF0000"/>
                <w:sz w:val="21"/>
                <w:szCs w:val="21"/>
              </w:rPr>
              <w:t>.</w:t>
            </w:r>
            <w:r>
              <w:rPr>
                <w:rFonts w:hint="eastAsia"/>
                <w:color w:val="FF0000"/>
                <w:sz w:val="21"/>
                <w:szCs w:val="21"/>
                <w:lang w:val="en-US" w:eastAsia="zh-CN"/>
              </w:rPr>
              <w:t>1</w:t>
            </w:r>
            <w:r>
              <w:rPr>
                <w:rFonts w:hint="eastAsia"/>
                <w:color w:val="FF0000"/>
                <w:sz w:val="21"/>
                <w:szCs w:val="21"/>
              </w:rPr>
              <w:t>3</w:t>
            </w:r>
          </w:p>
        </w:tc>
        <w:tc>
          <w:tcPr>
            <w:tcW w:w="3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FF0000"/>
                <w:sz w:val="21"/>
                <w:szCs w:val="21"/>
                <w:lang w:val="en-US" w:eastAsia="zh-CN"/>
              </w:rPr>
            </w:pPr>
            <w:r>
              <w:rPr>
                <w:rFonts w:hint="eastAsia"/>
                <w:color w:val="FF0000"/>
                <w:sz w:val="21"/>
                <w:szCs w:val="21"/>
                <w:lang w:val="en-US" w:eastAsia="zh-CN"/>
              </w:rPr>
              <w:t>巴彦淖尔日报</w:t>
            </w:r>
          </w:p>
        </w:tc>
        <w:tc>
          <w:tcPr>
            <w:tcW w:w="11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color w:val="FF0000"/>
                <w:sz w:val="21"/>
                <w:szCs w:val="21"/>
              </w:rPr>
              <w:t>社会公众</w:t>
            </w:r>
          </w:p>
        </w:tc>
        <w:tc>
          <w:tcPr>
            <w:tcW w:w="138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FF0000"/>
                <w:sz w:val="21"/>
                <w:szCs w:val="21"/>
              </w:rPr>
            </w:pPr>
            <w:r>
              <w:rPr>
                <w:rFonts w:hint="eastAsia"/>
                <w:color w:val="FF0000"/>
                <w:sz w:val="21"/>
                <w:szCs w:val="21"/>
              </w:rPr>
              <w:t>共登报2次，无信息反馈</w:t>
            </w:r>
          </w:p>
        </w:tc>
      </w:tr>
    </w:tbl>
    <w:p>
      <w:pPr>
        <w:ind w:firstLine="480"/>
        <w:rPr>
          <w:rFonts w:hint="eastAsia"/>
          <w:color w:val="FF0000"/>
        </w:rPr>
      </w:pPr>
    </w:p>
    <w:p>
      <w:pPr>
        <w:ind w:firstLine="480"/>
        <w:rPr>
          <w:color w:val="FF0000"/>
        </w:rPr>
      </w:pPr>
      <w:r>
        <w:rPr>
          <w:rFonts w:hint="eastAsia"/>
          <w:color w:val="FF0000"/>
        </w:rPr>
        <w:t>对于本项目的建设，无公众不赞同项目建设，无公众提出文字性意见和建议。建设单位已编制公众参与说明书，其相关内容详见说明书。</w:t>
      </w:r>
    </w:p>
    <w:p>
      <w:pPr>
        <w:pStyle w:val="3"/>
        <w:spacing w:before="120" w:after="120"/>
        <w:rPr>
          <w:color w:val="000000" w:themeColor="text1"/>
          <w14:textFill>
            <w14:solidFill>
              <w14:schemeClr w14:val="tx1"/>
            </w14:solidFill>
          </w14:textFill>
        </w:rPr>
      </w:pPr>
      <w:bookmarkStart w:id="408" w:name="_Toc101428587"/>
      <w:bookmarkStart w:id="409" w:name="_Toc8601"/>
      <w:r>
        <w:rPr>
          <w:rFonts w:hint="eastAsia"/>
          <w:color w:val="000000" w:themeColor="text1"/>
          <w14:textFill>
            <w14:solidFill>
              <w14:schemeClr w14:val="tx1"/>
            </w14:solidFill>
          </w14:textFill>
        </w:rPr>
        <w:t>总</w:t>
      </w:r>
      <w:r>
        <w:rPr>
          <w:color w:val="000000" w:themeColor="text1"/>
          <w14:textFill>
            <w14:solidFill>
              <w14:schemeClr w14:val="tx1"/>
            </w14:solidFill>
          </w14:textFill>
        </w:rPr>
        <w:t>结论</w:t>
      </w:r>
      <w:bookmarkEnd w:id="404"/>
      <w:bookmarkEnd w:id="405"/>
      <w:bookmarkEnd w:id="406"/>
      <w:bookmarkEnd w:id="407"/>
      <w:bookmarkEnd w:id="408"/>
      <w:bookmarkEnd w:id="409"/>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（1）结论</w:t>
      </w:r>
    </w:p>
    <w:p>
      <w:pPr>
        <w:ind w:firstLine="480"/>
        <w:rPr>
          <w:color w:val="000000" w:themeColor="text1"/>
          <w14:textFill>
            <w14:solidFill>
              <w14:schemeClr w14:val="tx1"/>
            </w14:solidFill>
          </w14:textFill>
        </w:rPr>
      </w:pPr>
      <w:r>
        <w:rPr>
          <w:rFonts w:hint="eastAsia"/>
        </w:rPr>
        <w:t>内蒙古春园满循环农业科技有限公司肉羊养殖园区项目</w:t>
      </w:r>
      <w:r>
        <w:rPr>
          <w:rFonts w:hint="eastAsia"/>
          <w:color w:val="000000" w:themeColor="text1"/>
          <w14:textFill>
            <w14:solidFill>
              <w14:schemeClr w14:val="tx1"/>
            </w14:solidFill>
          </w14:textFill>
        </w:rPr>
        <w:t>采用农业循环经济发展模式进行肉羊养殖并实现粪污资源化利用，符合国家当前产业政策及内蒙古自治区农业发展规划的要求，其选址不属于五原县禁养区和限养区范围内，场址选址可行，具有良好的社会经济效益。</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的建设符合巴彦淖尔市“三线一单”的管控原则，拟定的各项环保措施可行有效，项目所产生的污染物均能达标排放并满足总量控制要求，对周边环境影响较小；项目发生环境风险事故的概率较低，其潜在的风险水平可以接受。因此，只要该项目在下一步的建设和运行中，认真落实本报告提出的各项环保措施，并严格执行环保“三同时”制度，本次评价认为：从环境保护的角度分析，该项目建设是可行的。</w:t>
      </w:r>
    </w:p>
    <w:p>
      <w:pPr>
        <w:ind w:firstLine="480"/>
        <w:rPr>
          <w:color w:val="000000" w:themeColor="text1"/>
          <w14:textFill>
            <w14:solidFill>
              <w14:schemeClr w14:val="tx1"/>
            </w14:solidFill>
          </w14:textFill>
        </w:rPr>
      </w:pPr>
      <w:bookmarkStart w:id="410" w:name="_Toc19199707"/>
      <w:r>
        <w:rPr>
          <w:rFonts w:hint="eastAsia"/>
          <w:color w:val="000000" w:themeColor="text1"/>
          <w14:textFill>
            <w14:solidFill>
              <w14:schemeClr w14:val="tx1"/>
            </w14:solidFill>
          </w14:textFill>
        </w:rPr>
        <w:t>（2）</w:t>
      </w:r>
      <w:r>
        <w:rPr>
          <w:color w:val="000000" w:themeColor="text1"/>
          <w14:textFill>
            <w14:solidFill>
              <w14:schemeClr w14:val="tx1"/>
            </w14:solidFill>
          </w14:textFill>
        </w:rPr>
        <w:t>建议</w:t>
      </w:r>
      <w:bookmarkEnd w:id="410"/>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w:t>
      </w:r>
      <w:r>
        <w:rPr>
          <w:color w:val="000000" w:themeColor="text1"/>
          <w14:textFill>
            <w14:solidFill>
              <w14:schemeClr w14:val="tx1"/>
            </w14:solidFill>
          </w14:textFill>
        </w:rPr>
        <w:t>污染</w:t>
      </w:r>
      <w:r>
        <w:rPr>
          <w:color w:val="000000" w:themeColor="text1"/>
          <w:szCs w:val="16"/>
          <w14:textFill>
            <w14:solidFill>
              <w14:schemeClr w14:val="tx1"/>
            </w14:solidFill>
          </w14:textFill>
        </w:rPr>
        <w:t>防治措施必须与项目主体工程同时设计、同时施工、同时投产使用。</w:t>
      </w:r>
      <w:r>
        <w:rPr>
          <w:color w:val="000000" w:themeColor="text1"/>
          <w14:textFill>
            <w14:solidFill>
              <w14:schemeClr w14:val="tx1"/>
            </w14:solidFill>
          </w14:textFill>
        </w:rPr>
        <w:t>运行期间保证环保设施的正常运行，确保污染物达标排放</w:t>
      </w:r>
      <w:r>
        <w:rPr>
          <w:rFonts w:hint="eastAsia"/>
          <w:color w:val="000000" w:themeColor="text1"/>
          <w14:textFill>
            <w14:solidFill>
              <w14:schemeClr w14:val="tx1"/>
            </w14:solidFill>
          </w14:textFill>
        </w:rPr>
        <w:t>或合规利用</w:t>
      </w:r>
      <w:r>
        <w:rPr>
          <w:color w:val="000000" w:themeColor="text1"/>
          <w14:textFill>
            <w14:solidFill>
              <w14:schemeClr w14:val="tx1"/>
            </w14:solidFill>
          </w14:textFill>
        </w:rPr>
        <w:t>。</w:t>
      </w:r>
    </w:p>
    <w:p>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②针对养殖过程对周边居民生活的影响，恶臭产生单元喷洒除臭剂，减少恶奏气体的扩散；加强场区边界恶臭污染因子浓度监测，保证项目场区边界及周围各敏感点恶臭污染因子浓度达标。</w:t>
      </w:r>
    </w:p>
    <w:p>
      <w:pPr>
        <w:ind w:firstLine="480"/>
        <w:rPr>
          <w:color w:val="000000" w:themeColor="text1"/>
          <w:sz w:val="28"/>
          <w:szCs w:val="28"/>
          <w14:textFill>
            <w14:solidFill>
              <w14:schemeClr w14:val="tx1"/>
            </w14:solidFill>
          </w14:textFill>
        </w:rPr>
      </w:pPr>
      <w:r>
        <w:rPr>
          <w:rFonts w:hint="eastAsia"/>
          <w:color w:val="000000" w:themeColor="text1"/>
          <w14:textFill>
            <w14:solidFill>
              <w14:schemeClr w14:val="tx1"/>
            </w14:solidFill>
          </w14:textFill>
        </w:rPr>
        <w:t>③企业应建立健全的环保规章制度，配备专职环保人员，加强管理，强化设备、管道等各项治污措施的定期检修和维护工作。做好病死畜、危险废物管理制度。</w:t>
      </w:r>
    </w:p>
    <w:p>
      <w:pPr>
        <w:ind w:firstLine="480"/>
        <w:rPr>
          <w:color w:val="000000" w:themeColor="text1"/>
          <w14:textFill>
            <w14:solidFill>
              <w14:schemeClr w14:val="tx1"/>
            </w14:solidFill>
          </w14:textFill>
        </w:rPr>
      </w:pPr>
    </w:p>
    <w:p>
      <w:pPr>
        <w:ind w:firstLine="480"/>
        <w:rPr>
          <w:color w:val="000000" w:themeColor="text1"/>
          <w14:textFill>
            <w14:solidFill>
              <w14:schemeClr w14:val="tx1"/>
            </w14:solidFill>
          </w14:textFill>
        </w:rPr>
        <w:sectPr>
          <w:pgSz w:w="11906" w:h="16838"/>
          <w:pgMar w:top="1418" w:right="1418" w:bottom="1247" w:left="1701" w:header="851" w:footer="680" w:gutter="0"/>
          <w:pgNumType w:fmt="decimal"/>
          <w:cols w:space="425" w:num="1"/>
          <w:docGrid w:linePitch="326" w:charSpace="0"/>
        </w:sectPr>
      </w:pPr>
    </w:p>
    <w:p>
      <w:pPr>
        <w:pStyle w:val="2"/>
        <w:spacing w:before="120" w:after="120"/>
      </w:pPr>
      <w:bookmarkStart w:id="411" w:name="_Toc21967"/>
      <w:r>
        <w:rPr>
          <w:rFonts w:hint="eastAsia"/>
        </w:rPr>
        <w:t>附件</w:t>
      </w:r>
      <w:bookmarkEnd w:id="411"/>
    </w:p>
    <w:p>
      <w:pPr>
        <w:pStyle w:val="3"/>
        <w:spacing w:before="120" w:after="120"/>
      </w:pPr>
      <w:bookmarkStart w:id="412" w:name="_Toc7123"/>
      <w:r>
        <w:rPr>
          <w:rFonts w:hint="eastAsia"/>
        </w:rPr>
        <w:t>附件一  委托书</w:t>
      </w:r>
      <w:bookmarkEnd w:id="412"/>
    </w:p>
    <w:p>
      <w:pPr>
        <w:keepNext w:val="0"/>
        <w:keepLines w:val="0"/>
        <w:pageBreakBefore w:val="0"/>
        <w:widowControl w:val="0"/>
        <w:kinsoku/>
        <w:wordWrap/>
        <w:overflowPunct/>
        <w:topLinePunct w:val="0"/>
        <w:autoSpaceDE/>
        <w:autoSpaceDN/>
        <w:bidi w:val="0"/>
        <w:adjustRightInd w:val="0"/>
        <w:snapToGrid/>
        <w:spacing w:line="360" w:lineRule="atLeast"/>
        <w:ind w:firstLine="0" w:firstLineChars="0"/>
        <w:jc w:val="center"/>
        <w:textAlignment w:val="baseline"/>
        <w:rPr>
          <w:b/>
          <w:color w:val="000000"/>
          <w:kern w:val="0"/>
          <w:sz w:val="52"/>
          <w:szCs w:val="52"/>
        </w:rPr>
      </w:pPr>
      <w:r>
        <w:rPr>
          <w:rFonts w:hint="eastAsia"/>
          <w:b/>
          <w:color w:val="000000"/>
          <w:kern w:val="0"/>
          <w:sz w:val="52"/>
          <w:szCs w:val="52"/>
        </w:rPr>
        <w:t>委托书</w:t>
      </w:r>
    </w:p>
    <w:p>
      <w:pPr>
        <w:tabs>
          <w:tab w:val="left" w:pos="4830"/>
        </w:tabs>
        <w:topLinePunct w:val="0"/>
        <w:autoSpaceDE/>
        <w:adjustRightInd w:val="0"/>
        <w:spacing w:line="480" w:lineRule="auto"/>
        <w:ind w:firstLine="0" w:firstLineChars="0"/>
        <w:jc w:val="left"/>
        <w:textAlignment w:val="baseline"/>
        <w:rPr>
          <w:b/>
          <w:color w:val="000000"/>
          <w:kern w:val="0"/>
          <w:sz w:val="32"/>
          <w:szCs w:val="32"/>
        </w:rPr>
      </w:pPr>
    </w:p>
    <w:p>
      <w:pPr>
        <w:tabs>
          <w:tab w:val="left" w:pos="4830"/>
        </w:tabs>
        <w:topLinePunct w:val="0"/>
        <w:autoSpaceDE/>
        <w:adjustRightInd w:val="0"/>
        <w:spacing w:line="480" w:lineRule="auto"/>
        <w:ind w:firstLine="0" w:firstLineChars="0"/>
        <w:jc w:val="left"/>
        <w:textAlignment w:val="baseline"/>
        <w:rPr>
          <w:b/>
          <w:color w:val="000000"/>
          <w:kern w:val="0"/>
          <w:sz w:val="32"/>
          <w:szCs w:val="32"/>
        </w:rPr>
      </w:pPr>
      <w:r>
        <w:rPr>
          <w:rFonts w:hint="eastAsia"/>
          <w:b/>
          <w:color w:val="000000"/>
          <w:kern w:val="0"/>
          <w:sz w:val="32"/>
          <w:szCs w:val="32"/>
        </w:rPr>
        <w:t>内蒙古百霖环保科技有限公司：</w:t>
      </w:r>
    </w:p>
    <w:p>
      <w:pPr>
        <w:topLinePunct w:val="0"/>
        <w:autoSpaceDE/>
        <w:adjustRightInd w:val="0"/>
        <w:snapToGrid w:val="0"/>
        <w:spacing w:line="360" w:lineRule="auto"/>
        <w:ind w:firstLine="560"/>
        <w:jc w:val="left"/>
        <w:textAlignment w:val="baseline"/>
        <w:rPr>
          <w:color w:val="000000"/>
          <w:kern w:val="0"/>
          <w:sz w:val="28"/>
          <w:szCs w:val="28"/>
        </w:rPr>
      </w:pPr>
      <w:r>
        <w:rPr>
          <w:rFonts w:hint="eastAsia"/>
          <w:color w:val="000000"/>
          <w:kern w:val="0"/>
          <w:sz w:val="28"/>
          <w:szCs w:val="28"/>
        </w:rPr>
        <w:t>根据《中华人民共和国环境影响评价法》、《建设项目环境保护管理条例》（国务院第682号令）和《建设项目环境影响评价分类管理名录》（原环境保护部令第</w:t>
      </w:r>
      <w:r>
        <w:rPr>
          <w:color w:val="000000"/>
          <w:kern w:val="0"/>
          <w:sz w:val="28"/>
          <w:szCs w:val="28"/>
        </w:rPr>
        <w:t>44</w:t>
      </w:r>
      <w:r>
        <w:rPr>
          <w:rFonts w:hint="eastAsia"/>
          <w:color w:val="000000"/>
          <w:kern w:val="0"/>
          <w:sz w:val="28"/>
          <w:szCs w:val="28"/>
        </w:rPr>
        <w:t>号及生态环境部</w:t>
      </w:r>
      <w:r>
        <w:rPr>
          <w:color w:val="000000"/>
          <w:kern w:val="0"/>
          <w:sz w:val="28"/>
          <w:szCs w:val="28"/>
        </w:rPr>
        <w:t>1</w:t>
      </w:r>
      <w:r>
        <w:rPr>
          <w:rFonts w:hint="eastAsia"/>
          <w:color w:val="000000"/>
          <w:kern w:val="0"/>
          <w:sz w:val="28"/>
          <w:szCs w:val="28"/>
        </w:rPr>
        <w:t>号令）有关规定，</w:t>
      </w:r>
      <w:r>
        <w:rPr>
          <w:rFonts w:hint="eastAsia"/>
          <w:color w:val="000000"/>
          <w:kern w:val="0"/>
          <w:sz w:val="28"/>
          <w:szCs w:val="28"/>
          <w:u w:val="single"/>
        </w:rPr>
        <w:t>内蒙古春园满循环农业科技有限公司肉羊养殖园区项目</w:t>
      </w:r>
      <w:r>
        <w:rPr>
          <w:rFonts w:hint="eastAsia"/>
          <w:color w:val="000000"/>
          <w:kern w:val="0"/>
          <w:sz w:val="28"/>
          <w:szCs w:val="28"/>
        </w:rPr>
        <w:t>需要编写环境影响评价报告及办理相关手续，现委托贵单位进行环境影响评价工作。</w:t>
      </w:r>
    </w:p>
    <w:p>
      <w:pPr>
        <w:tabs>
          <w:tab w:val="left" w:pos="4830"/>
        </w:tabs>
        <w:topLinePunct w:val="0"/>
        <w:autoSpaceDE/>
        <w:adjustRightInd w:val="0"/>
        <w:spacing w:line="360" w:lineRule="auto"/>
        <w:ind w:firstLine="0" w:firstLineChars="0"/>
        <w:jc w:val="left"/>
        <w:textAlignment w:val="baseline"/>
        <w:rPr>
          <w:color w:val="000000"/>
          <w:kern w:val="0"/>
          <w:szCs w:val="20"/>
        </w:rPr>
      </w:pPr>
    </w:p>
    <w:p>
      <w:pPr>
        <w:tabs>
          <w:tab w:val="left" w:pos="4830"/>
        </w:tabs>
        <w:topLinePunct w:val="0"/>
        <w:autoSpaceDE/>
        <w:adjustRightInd w:val="0"/>
        <w:spacing w:line="360" w:lineRule="auto"/>
        <w:ind w:firstLine="480" w:firstLineChars="0"/>
        <w:jc w:val="left"/>
        <w:textAlignment w:val="baseline"/>
        <w:rPr>
          <w:color w:val="000000"/>
          <w:kern w:val="0"/>
          <w:szCs w:val="20"/>
        </w:rPr>
      </w:pPr>
    </w:p>
    <w:p>
      <w:pPr>
        <w:tabs>
          <w:tab w:val="left" w:pos="4830"/>
        </w:tabs>
        <w:topLinePunct w:val="0"/>
        <w:autoSpaceDE/>
        <w:adjustRightInd w:val="0"/>
        <w:spacing w:line="360" w:lineRule="auto"/>
        <w:ind w:firstLine="480" w:firstLineChars="0"/>
        <w:jc w:val="left"/>
        <w:textAlignment w:val="baseline"/>
        <w:rPr>
          <w:color w:val="000000"/>
          <w:kern w:val="0"/>
          <w:szCs w:val="20"/>
        </w:rPr>
      </w:pPr>
    </w:p>
    <w:p>
      <w:pPr>
        <w:topLinePunct w:val="0"/>
        <w:autoSpaceDE/>
        <w:adjustRightInd w:val="0"/>
        <w:snapToGrid w:val="0"/>
        <w:spacing w:line="360" w:lineRule="auto"/>
        <w:ind w:firstLine="560"/>
        <w:jc w:val="left"/>
        <w:textAlignment w:val="baseline"/>
        <w:rPr>
          <w:color w:val="000000"/>
          <w:kern w:val="0"/>
          <w:sz w:val="28"/>
          <w:szCs w:val="28"/>
        </w:rPr>
      </w:pPr>
      <w:r>
        <w:rPr>
          <w:rFonts w:hint="eastAsia"/>
          <w:color w:val="000000"/>
          <w:kern w:val="0"/>
          <w:sz w:val="28"/>
          <w:szCs w:val="28"/>
        </w:rPr>
        <w:t>特此委托</w:t>
      </w:r>
    </w:p>
    <w:p>
      <w:pPr>
        <w:topLinePunct w:val="0"/>
        <w:autoSpaceDE/>
        <w:adjustRightInd w:val="0"/>
        <w:snapToGrid w:val="0"/>
        <w:spacing w:line="360" w:lineRule="auto"/>
        <w:ind w:firstLine="560"/>
        <w:jc w:val="left"/>
        <w:textAlignment w:val="baseline"/>
        <w:rPr>
          <w:color w:val="000000"/>
          <w:kern w:val="0"/>
          <w:sz w:val="28"/>
          <w:szCs w:val="28"/>
        </w:rPr>
      </w:pPr>
    </w:p>
    <w:p>
      <w:pPr>
        <w:topLinePunct w:val="0"/>
        <w:autoSpaceDE/>
        <w:adjustRightInd w:val="0"/>
        <w:snapToGrid w:val="0"/>
        <w:spacing w:line="360" w:lineRule="auto"/>
        <w:ind w:firstLine="560"/>
        <w:jc w:val="left"/>
        <w:textAlignment w:val="baseline"/>
        <w:rPr>
          <w:color w:val="000000"/>
          <w:kern w:val="0"/>
          <w:sz w:val="28"/>
          <w:szCs w:val="28"/>
        </w:rPr>
      </w:pPr>
    </w:p>
    <w:p>
      <w:pPr>
        <w:topLinePunct w:val="0"/>
        <w:autoSpaceDE/>
        <w:adjustRightInd w:val="0"/>
        <w:snapToGrid w:val="0"/>
        <w:spacing w:line="360" w:lineRule="auto"/>
        <w:ind w:firstLine="560"/>
        <w:jc w:val="left"/>
        <w:textAlignment w:val="baseline"/>
        <w:rPr>
          <w:color w:val="000000"/>
          <w:kern w:val="0"/>
          <w:sz w:val="28"/>
          <w:szCs w:val="28"/>
        </w:rPr>
      </w:pPr>
    </w:p>
    <w:p>
      <w:pPr>
        <w:tabs>
          <w:tab w:val="left" w:pos="6180"/>
        </w:tabs>
        <w:topLinePunct w:val="0"/>
        <w:autoSpaceDE/>
        <w:adjustRightInd w:val="0"/>
        <w:snapToGrid w:val="0"/>
        <w:spacing w:line="360" w:lineRule="auto"/>
        <w:ind w:firstLine="560"/>
        <w:textAlignment w:val="baseline"/>
        <w:rPr>
          <w:color w:val="000000"/>
          <w:kern w:val="0"/>
          <w:sz w:val="28"/>
          <w:szCs w:val="28"/>
        </w:rPr>
      </w:pPr>
      <w:r>
        <w:rPr>
          <w:color w:val="000000"/>
          <w:kern w:val="0"/>
          <w:sz w:val="28"/>
          <w:szCs w:val="28"/>
        </w:rPr>
        <w:tab/>
      </w:r>
    </w:p>
    <w:p>
      <w:pPr>
        <w:topLinePunct w:val="0"/>
        <w:autoSpaceDE/>
        <w:adjustRightInd w:val="0"/>
        <w:snapToGrid w:val="0"/>
        <w:spacing w:line="360" w:lineRule="auto"/>
        <w:ind w:firstLine="560"/>
        <w:jc w:val="right"/>
        <w:textAlignment w:val="baseline"/>
        <w:rPr>
          <w:b/>
          <w:color w:val="000000"/>
          <w:kern w:val="0"/>
          <w:sz w:val="28"/>
          <w:szCs w:val="28"/>
        </w:rPr>
      </w:pPr>
      <w:r>
        <w:rPr>
          <w:rFonts w:hint="eastAsia"/>
          <w:color w:val="000000"/>
          <w:kern w:val="0"/>
          <w:sz w:val="28"/>
          <w:szCs w:val="28"/>
        </w:rPr>
        <w:t xml:space="preserve">      委托单位（公章）：内蒙古春园满循环农业科技有限公司</w:t>
      </w:r>
    </w:p>
    <w:p>
      <w:pPr>
        <w:widowControl/>
        <w:topLinePunct w:val="0"/>
        <w:autoSpaceDE/>
        <w:spacing w:before="120" w:after="120"/>
        <w:ind w:firstLine="0" w:firstLineChars="0"/>
        <w:jc w:val="right"/>
      </w:pPr>
      <w:r>
        <w:rPr>
          <w:rFonts w:hint="eastAsia"/>
          <w:color w:val="000000"/>
          <w:kern w:val="0"/>
          <w:sz w:val="28"/>
          <w:szCs w:val="28"/>
        </w:rPr>
        <w:t xml:space="preserve">         </w:t>
      </w:r>
      <w:r>
        <w:rPr>
          <w:color w:val="000000"/>
          <w:kern w:val="0"/>
          <w:sz w:val="28"/>
          <w:szCs w:val="28"/>
        </w:rPr>
        <w:t>20</w:t>
      </w:r>
      <w:r>
        <w:rPr>
          <w:rFonts w:hint="eastAsia"/>
          <w:color w:val="000000"/>
          <w:kern w:val="0"/>
          <w:sz w:val="28"/>
          <w:szCs w:val="28"/>
        </w:rPr>
        <w:t>2</w:t>
      </w:r>
      <w:r>
        <w:rPr>
          <w:rFonts w:hint="eastAsia"/>
          <w:color w:val="000000"/>
          <w:kern w:val="0"/>
          <w:sz w:val="28"/>
          <w:szCs w:val="28"/>
          <w:lang w:val="en-US" w:eastAsia="zh-CN"/>
        </w:rPr>
        <w:t>3</w:t>
      </w:r>
      <w:r>
        <w:rPr>
          <w:rFonts w:hint="eastAsia"/>
          <w:color w:val="000000"/>
          <w:kern w:val="0"/>
          <w:sz w:val="28"/>
          <w:szCs w:val="28"/>
        </w:rPr>
        <w:t>年</w:t>
      </w:r>
      <w:r>
        <w:rPr>
          <w:rFonts w:hint="eastAsia"/>
          <w:color w:val="000000"/>
          <w:kern w:val="0"/>
          <w:sz w:val="28"/>
          <w:szCs w:val="28"/>
          <w:lang w:val="en-US" w:eastAsia="zh-CN"/>
        </w:rPr>
        <w:t>8</w:t>
      </w:r>
      <w:r>
        <w:rPr>
          <w:rFonts w:hint="eastAsia"/>
          <w:color w:val="000000"/>
          <w:kern w:val="0"/>
          <w:sz w:val="28"/>
          <w:szCs w:val="28"/>
        </w:rPr>
        <w:t>月</w:t>
      </w:r>
      <w:r>
        <w:rPr>
          <w:rFonts w:hint="eastAsia"/>
          <w:color w:val="000000"/>
          <w:kern w:val="0"/>
          <w:sz w:val="28"/>
          <w:szCs w:val="28"/>
          <w:lang w:val="en-US" w:eastAsia="zh-CN"/>
        </w:rPr>
        <w:t>5</w:t>
      </w:r>
      <w:r>
        <w:rPr>
          <w:rFonts w:hint="eastAsia"/>
          <w:color w:val="000000"/>
          <w:kern w:val="0"/>
          <w:sz w:val="28"/>
          <w:szCs w:val="28"/>
        </w:rPr>
        <w:t>日</w:t>
      </w:r>
    </w:p>
    <w:p>
      <w:pPr>
        <w:ind w:firstLine="480"/>
      </w:pPr>
    </w:p>
    <w:p>
      <w:pPr>
        <w:ind w:firstLine="480"/>
      </w:pPr>
    </w:p>
    <w:p>
      <w:pPr>
        <w:ind w:firstLine="480"/>
      </w:pPr>
    </w:p>
    <w:p>
      <w:pPr>
        <w:ind w:firstLine="480"/>
      </w:pPr>
    </w:p>
    <w:p>
      <w:pPr>
        <w:pStyle w:val="3"/>
        <w:spacing w:before="120" w:after="120"/>
      </w:pPr>
      <w:bookmarkStart w:id="413" w:name="_Toc21505"/>
      <w:r>
        <w:rPr>
          <w:rFonts w:hint="eastAsia"/>
        </w:rPr>
        <w:t xml:space="preserve">附件二  </w:t>
      </w:r>
      <w:r>
        <w:rPr>
          <w:rFonts w:hint="eastAsia"/>
          <w:lang w:val="en-US" w:eastAsia="zh-CN"/>
        </w:rPr>
        <w:t>项目备案告知书</w:t>
      </w:r>
      <w:bookmarkEnd w:id="413"/>
    </w:p>
    <w:p>
      <w:pPr>
        <w:keepNext/>
        <w:keepLines/>
        <w:adjustRightInd w:val="0"/>
        <w:snapToGrid w:val="0"/>
        <w:ind w:firstLine="0" w:firstLineChars="0"/>
      </w:pPr>
      <w:r>
        <w:drawing>
          <wp:inline distT="0" distB="0" distL="114300" distR="114300">
            <wp:extent cx="5029200" cy="6781800"/>
            <wp:effectExtent l="0" t="0" r="0" b="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94"/>
                    <a:stretch>
                      <a:fillRect/>
                    </a:stretch>
                  </pic:blipFill>
                  <pic:spPr>
                    <a:xfrm>
                      <a:off x="0" y="0"/>
                      <a:ext cx="5029200" cy="6781800"/>
                    </a:xfrm>
                    <a:prstGeom prst="rect">
                      <a:avLst/>
                    </a:prstGeom>
                    <a:noFill/>
                    <a:ln>
                      <a:noFill/>
                    </a:ln>
                  </pic:spPr>
                </pic:pic>
              </a:graphicData>
            </a:graphic>
          </wp:inline>
        </w:drawing>
      </w:r>
    </w:p>
    <w:p>
      <w:pPr>
        <w:ind w:firstLine="480"/>
      </w:pPr>
    </w:p>
    <w:p>
      <w:pPr>
        <w:ind w:firstLine="480"/>
      </w:pPr>
    </w:p>
    <w:p>
      <w:pPr>
        <w:pStyle w:val="3"/>
        <w:spacing w:before="120" w:after="120"/>
      </w:pPr>
      <w:bookmarkStart w:id="414" w:name="_Toc13878"/>
      <w:r>
        <w:rPr>
          <w:rFonts w:hint="eastAsia"/>
        </w:rPr>
        <w:t>附件三</w:t>
      </w:r>
      <w:r>
        <w:rPr>
          <w:rFonts w:hint="eastAsia"/>
          <w:lang w:val="en-US" w:eastAsia="zh-CN"/>
        </w:rPr>
        <w:t xml:space="preserve"> 农用地备案申请表</w:t>
      </w:r>
      <w:bookmarkEnd w:id="414"/>
    </w:p>
    <w:p>
      <w:pPr>
        <w:ind w:firstLine="480"/>
      </w:pPr>
      <w:r>
        <w:drawing>
          <wp:inline distT="0" distB="0" distL="114300" distR="114300">
            <wp:extent cx="5271770" cy="7334250"/>
            <wp:effectExtent l="0" t="0" r="5080" b="0"/>
            <wp:docPr id="30" name="图片 30" descr="设施农业用地案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设施农业用地案申报"/>
                    <pic:cNvPicPr>
                      <a:picLocks noChangeAspect="1"/>
                    </pic:cNvPicPr>
                  </pic:nvPicPr>
                  <pic:blipFill>
                    <a:blip r:embed="rId95"/>
                    <a:stretch>
                      <a:fillRect/>
                    </a:stretch>
                  </pic:blipFill>
                  <pic:spPr>
                    <a:xfrm>
                      <a:off x="0" y="0"/>
                      <a:ext cx="5271770" cy="7334250"/>
                    </a:xfrm>
                    <a:prstGeom prst="rect">
                      <a:avLst/>
                    </a:prstGeom>
                  </pic:spPr>
                </pic:pic>
              </a:graphicData>
            </a:graphic>
          </wp:inline>
        </w:drawing>
      </w:r>
    </w:p>
    <w:p>
      <w:pPr>
        <w:ind w:firstLine="480"/>
      </w:pPr>
    </w:p>
    <w:p>
      <w:pPr>
        <w:pStyle w:val="3"/>
        <w:spacing w:before="120" w:after="120"/>
      </w:pPr>
      <w:bookmarkStart w:id="415" w:name="_Toc13071"/>
      <w:r>
        <w:rPr>
          <w:rFonts w:hint="eastAsia"/>
        </w:rPr>
        <w:t>附件四</w:t>
      </w:r>
      <w:r>
        <w:rPr>
          <w:rFonts w:hint="eastAsia"/>
          <w:lang w:val="en-US" w:eastAsia="zh-CN"/>
        </w:rPr>
        <w:t xml:space="preserve"> 不在生态保护红线范围说明</w:t>
      </w:r>
      <w:bookmarkEnd w:id="415"/>
    </w:p>
    <w:p>
      <w:pPr>
        <w:ind w:firstLine="480"/>
      </w:pPr>
      <w:r>
        <w:drawing>
          <wp:inline distT="0" distB="0" distL="114300" distR="114300">
            <wp:extent cx="5269865" cy="7637780"/>
            <wp:effectExtent l="0" t="0" r="6985" b="127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pic:cNvPicPr>
                  </pic:nvPicPr>
                  <pic:blipFill>
                    <a:blip r:embed="rId96"/>
                    <a:stretch>
                      <a:fillRect/>
                    </a:stretch>
                  </pic:blipFill>
                  <pic:spPr>
                    <a:xfrm>
                      <a:off x="0" y="0"/>
                      <a:ext cx="5269865" cy="7637780"/>
                    </a:xfrm>
                    <a:prstGeom prst="rect">
                      <a:avLst/>
                    </a:prstGeom>
                    <a:noFill/>
                    <a:ln>
                      <a:noFill/>
                    </a:ln>
                  </pic:spPr>
                </pic:pic>
              </a:graphicData>
            </a:graphic>
          </wp:inline>
        </w:drawing>
      </w:r>
    </w:p>
    <w:p>
      <w:pPr>
        <w:pStyle w:val="3"/>
        <w:spacing w:before="120" w:after="120"/>
      </w:pPr>
      <w:bookmarkStart w:id="416" w:name="_Toc18186"/>
      <w:r>
        <w:rPr>
          <w:rFonts w:hint="eastAsia"/>
        </w:rPr>
        <w:t xml:space="preserve">附件五 </w:t>
      </w:r>
      <w:r>
        <w:rPr>
          <w:rFonts w:hint="eastAsia"/>
          <w:lang w:val="en-US" w:eastAsia="zh-CN"/>
        </w:rPr>
        <w:t>粉煤灰建筑地基评估报备申请回复</w:t>
      </w:r>
      <w:bookmarkEnd w:id="416"/>
    </w:p>
    <w:p>
      <w:pPr>
        <w:ind w:firstLine="480"/>
      </w:pPr>
      <w:r>
        <w:rPr>
          <w:rFonts w:hint="eastAsia"/>
        </w:rPr>
        <w:drawing>
          <wp:inline distT="0" distB="0" distL="114300" distR="114300">
            <wp:extent cx="5274310" cy="7519670"/>
            <wp:effectExtent l="0" t="0" r="2540" b="5080"/>
            <wp:docPr id="45" name="图片 45" descr="地基评估报告回复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地基评估报告回复_00"/>
                    <pic:cNvPicPr>
                      <a:picLocks noChangeAspect="1"/>
                    </pic:cNvPicPr>
                  </pic:nvPicPr>
                  <pic:blipFill>
                    <a:blip r:embed="rId97"/>
                    <a:stretch>
                      <a:fillRect/>
                    </a:stretch>
                  </pic:blipFill>
                  <pic:spPr>
                    <a:xfrm>
                      <a:off x="0" y="0"/>
                      <a:ext cx="5274310" cy="7519670"/>
                    </a:xfrm>
                    <a:prstGeom prst="rect">
                      <a:avLst/>
                    </a:prstGeom>
                  </pic:spPr>
                </pic:pic>
              </a:graphicData>
            </a:graphic>
          </wp:inline>
        </w:drawing>
      </w:r>
    </w:p>
    <w:p>
      <w:pPr>
        <w:ind w:firstLine="480"/>
      </w:pPr>
    </w:p>
    <w:p>
      <w:pPr>
        <w:ind w:firstLine="480"/>
      </w:pPr>
    </w:p>
    <w:p>
      <w:pPr>
        <w:ind w:firstLine="480"/>
      </w:pPr>
    </w:p>
    <w:p>
      <w:pPr>
        <w:pStyle w:val="3"/>
        <w:spacing w:before="120" w:after="120"/>
        <w:rPr>
          <w:color w:val="auto"/>
          <w:highlight w:val="green"/>
        </w:rPr>
      </w:pPr>
      <w:bookmarkStart w:id="417" w:name="_Toc19636"/>
      <w:r>
        <w:rPr>
          <w:rFonts w:hint="eastAsia"/>
          <w:color w:val="auto"/>
          <w:highlight w:val="green"/>
        </w:rPr>
        <w:t>附件</w:t>
      </w:r>
      <w:r>
        <w:rPr>
          <w:rFonts w:hint="eastAsia"/>
          <w:color w:val="auto"/>
          <w:highlight w:val="green"/>
          <w:lang w:val="en-US" w:eastAsia="zh-CN"/>
        </w:rPr>
        <w:t>六</w:t>
      </w:r>
      <w:r>
        <w:rPr>
          <w:rFonts w:hint="eastAsia"/>
          <w:color w:val="auto"/>
          <w:highlight w:val="green"/>
        </w:rPr>
        <w:t xml:space="preserve"> </w:t>
      </w:r>
      <w:r>
        <w:rPr>
          <w:rFonts w:hint="eastAsia"/>
          <w:color w:val="auto"/>
          <w:highlight w:val="green"/>
          <w:lang w:val="en-US" w:eastAsia="zh-CN"/>
        </w:rPr>
        <w:t>生活污水处理协议</w:t>
      </w:r>
      <w:bookmarkEnd w:id="417"/>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5275580" cy="7523480"/>
            <wp:effectExtent l="0" t="0" r="1270" b="1270"/>
            <wp:docPr id="101" name="图片 101" descr="e63850550e6d839498ded6e840e2f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e63850550e6d839498ded6e840e2fb6"/>
                    <pic:cNvPicPr>
                      <a:picLocks noChangeAspect="1"/>
                    </pic:cNvPicPr>
                  </pic:nvPicPr>
                  <pic:blipFill>
                    <a:blip r:embed="rId98"/>
                    <a:stretch>
                      <a:fillRect/>
                    </a:stretch>
                  </pic:blipFill>
                  <pic:spPr>
                    <a:xfrm>
                      <a:off x="0" y="0"/>
                      <a:ext cx="5275580" cy="75234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5267960" cy="7869555"/>
            <wp:effectExtent l="0" t="0" r="8890" b="17145"/>
            <wp:docPr id="102" name="图片 102" descr="911123b1ce2e7caf98815de74ebd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911123b1ce2e7caf98815de74ebd359"/>
                    <pic:cNvPicPr>
                      <a:picLocks noChangeAspect="1"/>
                    </pic:cNvPicPr>
                  </pic:nvPicPr>
                  <pic:blipFill>
                    <a:blip r:embed="rId99"/>
                    <a:stretch>
                      <a:fillRect/>
                    </a:stretch>
                  </pic:blipFill>
                  <pic:spPr>
                    <a:xfrm>
                      <a:off x="0" y="0"/>
                      <a:ext cx="5267960" cy="78695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p>
    <w:p>
      <w:pPr>
        <w:pStyle w:val="3"/>
        <w:spacing w:before="120" w:after="120"/>
        <w:rPr>
          <w:color w:val="auto"/>
          <w:highlight w:val="green"/>
        </w:rPr>
      </w:pPr>
      <w:bookmarkStart w:id="418" w:name="_Toc4946"/>
      <w:r>
        <w:rPr>
          <w:rFonts w:hint="eastAsia"/>
          <w:color w:val="auto"/>
          <w:highlight w:val="green"/>
        </w:rPr>
        <w:t>附件</w:t>
      </w:r>
      <w:r>
        <w:rPr>
          <w:rFonts w:hint="eastAsia"/>
          <w:color w:val="auto"/>
          <w:highlight w:val="green"/>
          <w:lang w:val="en-US" w:eastAsia="zh-CN"/>
        </w:rPr>
        <w:t>七</w:t>
      </w:r>
      <w:r>
        <w:rPr>
          <w:rFonts w:hint="eastAsia"/>
          <w:color w:val="auto"/>
          <w:highlight w:val="green"/>
        </w:rPr>
        <w:t xml:space="preserve"> </w:t>
      </w:r>
      <w:r>
        <w:rPr>
          <w:rFonts w:hint="eastAsia"/>
          <w:color w:val="auto"/>
          <w:highlight w:val="green"/>
          <w:lang w:val="en-US" w:eastAsia="zh-CN"/>
        </w:rPr>
        <w:t>医疗废物处理协议</w:t>
      </w:r>
      <w:bookmarkEnd w:id="418"/>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6011545" cy="4248150"/>
            <wp:effectExtent l="0" t="0" r="0" b="8255"/>
            <wp:docPr id="108" name="图片 108" descr="34、医疗废物处理协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34、医疗废物处理协议_00"/>
                    <pic:cNvPicPr>
                      <a:picLocks noChangeAspect="1"/>
                    </pic:cNvPicPr>
                  </pic:nvPicPr>
                  <pic:blipFill>
                    <a:blip r:embed="rId100"/>
                    <a:stretch>
                      <a:fillRect/>
                    </a:stretch>
                  </pic:blipFill>
                  <pic:spPr>
                    <a:xfrm rot="16200000">
                      <a:off x="0" y="0"/>
                      <a:ext cx="6011545" cy="4248150"/>
                    </a:xfrm>
                    <a:prstGeom prst="rect">
                      <a:avLst/>
                    </a:prstGeom>
                  </pic:spPr>
                </pic:pic>
              </a:graphicData>
            </a:graphic>
          </wp:inline>
        </w:drawing>
      </w:r>
      <w:r>
        <w:rPr>
          <w:rFonts w:hint="eastAsia" w:eastAsia="宋体"/>
          <w:lang w:eastAsia="zh-CN"/>
        </w:rPr>
        <w:drawing>
          <wp:inline distT="0" distB="0" distL="114300" distR="114300">
            <wp:extent cx="5275580" cy="7463155"/>
            <wp:effectExtent l="0" t="0" r="1270" b="4445"/>
            <wp:docPr id="107" name="图片 107" descr="34、医疗废物处理协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34、医疗废物处理协议_01"/>
                    <pic:cNvPicPr>
                      <a:picLocks noChangeAspect="1"/>
                    </pic:cNvPicPr>
                  </pic:nvPicPr>
                  <pic:blipFill>
                    <a:blip r:embed="rId101"/>
                    <a:stretch>
                      <a:fillRect/>
                    </a:stretch>
                  </pic:blipFill>
                  <pic:spPr>
                    <a:xfrm>
                      <a:off x="0" y="0"/>
                      <a:ext cx="5275580" cy="7463155"/>
                    </a:xfrm>
                    <a:prstGeom prst="rect">
                      <a:avLst/>
                    </a:prstGeom>
                  </pic:spPr>
                </pic:pic>
              </a:graphicData>
            </a:graphic>
          </wp:inline>
        </w:drawing>
      </w:r>
      <w:r>
        <w:rPr>
          <w:rFonts w:hint="eastAsia" w:eastAsia="宋体"/>
          <w:lang w:eastAsia="zh-CN"/>
        </w:rPr>
        <w:drawing>
          <wp:inline distT="0" distB="0" distL="114300" distR="114300">
            <wp:extent cx="5275580" cy="7463155"/>
            <wp:effectExtent l="0" t="0" r="1270" b="4445"/>
            <wp:docPr id="106" name="图片 106" descr="34、医疗废物处理协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34、医疗废物处理协议_02"/>
                    <pic:cNvPicPr>
                      <a:picLocks noChangeAspect="1"/>
                    </pic:cNvPicPr>
                  </pic:nvPicPr>
                  <pic:blipFill>
                    <a:blip r:embed="rId102"/>
                    <a:stretch>
                      <a:fillRect/>
                    </a:stretch>
                  </pic:blipFill>
                  <pic:spPr>
                    <a:xfrm>
                      <a:off x="0" y="0"/>
                      <a:ext cx="5275580" cy="7463155"/>
                    </a:xfrm>
                    <a:prstGeom prst="rect">
                      <a:avLst/>
                    </a:prstGeom>
                  </pic:spPr>
                </pic:pic>
              </a:graphicData>
            </a:graphic>
          </wp:inline>
        </w:drawing>
      </w:r>
      <w:r>
        <w:rPr>
          <w:rFonts w:hint="eastAsia" w:eastAsia="宋体"/>
          <w:lang w:eastAsia="zh-CN"/>
        </w:rPr>
        <w:drawing>
          <wp:inline distT="0" distB="0" distL="114300" distR="114300">
            <wp:extent cx="5275580" cy="7466330"/>
            <wp:effectExtent l="0" t="0" r="1270" b="1270"/>
            <wp:docPr id="105" name="图片 105" descr="34、医疗废物处理协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34、医疗废物处理协议_03"/>
                    <pic:cNvPicPr>
                      <a:picLocks noChangeAspect="1"/>
                    </pic:cNvPicPr>
                  </pic:nvPicPr>
                  <pic:blipFill>
                    <a:blip r:embed="rId103"/>
                    <a:stretch>
                      <a:fillRect/>
                    </a:stretch>
                  </pic:blipFill>
                  <pic:spPr>
                    <a:xfrm>
                      <a:off x="0" y="0"/>
                      <a:ext cx="5275580" cy="7466330"/>
                    </a:xfrm>
                    <a:prstGeom prst="rect">
                      <a:avLst/>
                    </a:prstGeom>
                  </pic:spPr>
                </pic:pic>
              </a:graphicData>
            </a:graphic>
          </wp:inline>
        </w:drawing>
      </w:r>
      <w:r>
        <w:rPr>
          <w:rFonts w:hint="eastAsia" w:eastAsia="宋体"/>
          <w:lang w:eastAsia="zh-CN"/>
        </w:rPr>
        <w:drawing>
          <wp:inline distT="0" distB="0" distL="114300" distR="114300">
            <wp:extent cx="5275580" cy="7463155"/>
            <wp:effectExtent l="0" t="0" r="1270" b="4445"/>
            <wp:docPr id="104" name="图片 104" descr="34、医疗废物处理协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34、医疗废物处理协议_04"/>
                    <pic:cNvPicPr>
                      <a:picLocks noChangeAspect="1"/>
                    </pic:cNvPicPr>
                  </pic:nvPicPr>
                  <pic:blipFill>
                    <a:blip r:embed="rId104"/>
                    <a:stretch>
                      <a:fillRect/>
                    </a:stretch>
                  </pic:blipFill>
                  <pic:spPr>
                    <a:xfrm>
                      <a:off x="0" y="0"/>
                      <a:ext cx="5275580" cy="7463155"/>
                    </a:xfrm>
                    <a:prstGeom prst="rect">
                      <a:avLst/>
                    </a:prstGeom>
                  </pic:spPr>
                </pic:pic>
              </a:graphicData>
            </a:graphic>
          </wp:inline>
        </w:drawing>
      </w:r>
    </w:p>
    <w:sectPr>
      <w:pgSz w:w="11906" w:h="16838"/>
      <w:pgMar w:top="1440" w:right="1797" w:bottom="1440" w:left="1797" w:header="851" w:footer="992" w:gutter="0"/>
      <w:pgNumType w:fmt="decimal"/>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行楷">
    <w:panose1 w:val="02010800040101010101"/>
    <w:charset w:val="86"/>
    <w:family w:val="auto"/>
    <w:pitch w:val="default"/>
    <w:sig w:usb0="00000001" w:usb1="080F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MingLiU">
    <w:altName w:val="PMingLiU-ExtB"/>
    <w:panose1 w:val="02010609000101010101"/>
    <w:charset w:val="88"/>
    <w:family w:val="modern"/>
    <w:pitch w:val="default"/>
    <w:sig w:usb0="00000000" w:usb1="00000000" w:usb2="00000016" w:usb3="00000000" w:csb0="00100001" w:csb1="00000000"/>
  </w:font>
  <w:font w:name="方正大黑简体">
    <w:altName w:val="黑体"/>
    <w:panose1 w:val="00000000000000000000"/>
    <w:charset w:val="86"/>
    <w:family w:val="auto"/>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p>
    <w:pPr>
      <w:ind w:left="480"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E67A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FJJopVPz04/vp&#10;58Pp1zeCMwjUWj9D3L1FZOjemQ5tM5x7HEbeXeVU/IIRgR9Yx4u8oguEx0vTyXSaw8XhGzbAzx6v&#10;W+fDe2EUiUZBHeqXZGWHjQ996BASs2mzbqRMNZSatAW9ev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e8TrsCwCAABXBAAADgAAAAAAAAABACAAAAAfAQAAZHJzL2Uyb0RvYy54bWxQSwUGAAAAAAYA&#10;BgBZAQAAvQ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W/Ec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5b8RywCAABXBAAADgAAAAAAAAABACAAAAAfAQAAZHJzL2Uyb0RvYy54bWxQSwUGAAAAAAYA&#10;BgBZAQAAvQ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JuPAsAgAAVwQAAA4AAABkcnMvZTJvRG9jLnhtbK1UzY7TMBC+I/EO&#10;lu80aRFL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LdjSjRT6Pjpx/fT&#10;z4fTr28EZxCotX6GuHuLyNC9Mx3GZjj3OIy8u8qp+AUjAj/kPV7kFV0gPF6aTqbTHC4O37ABfvZ4&#10;3Tof3gujSDQK6tC/JCs7bHzoQ4eQmE2bdSNl6qHUpC3o1es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4m48CwCAABXBAAADgAAAAAAAAABACAAAAAfAQAAZHJzL2Uyb0RvYy54bWxQSwUGAAAAAAYA&#10;BgBZAQAAvQ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left w:val="none" w:color="auto" w:sz="0" w:space="0"/>
        <w:bottom w:val="none" w:color="auto" w:sz="0" w:space="0"/>
        <w:right w:val="none" w:color="auto" w:sz="0" w:space="0"/>
      </w:pBd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fTTA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tfTTAtAgAAVwQAAA4AAAAAAAAAAQAgAAAAHwEAAGRycy9lMm9Eb2MueG1sUEsFBgAAAAAG&#10;AAYAWQEAAL4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rPr>
        <w:rFonts w:eastAsia="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SHnA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MSHnAtAgAAVwQAAA4AAAAAAAAAAQAgAAAAHwEAAGRycy9lMm9Eb2MueG1sUEsFBgAAAAAG&#10;AAYAWQEAAL4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rPr>
        <w:rFonts w:ascii="Calibri" w:hAnsi="Calibri" w:eastAsia="Calibri" w:cs="Calibri"/>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4"/>
                          </w:pPr>
                          <w:r>
                            <w:fldChar w:fldCharType="begin"/>
                          </w:r>
                          <w:r>
                            <w:instrText xml:space="preserve"> PAGE  \* MERGEFORMAT </w:instrText>
                          </w:r>
                          <w:r>
                            <w:fldChar w:fldCharType="separate"/>
                          </w:r>
                          <w:r>
                            <w:t>152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aIpMoBAACb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fU+K4xYmff/44//pz/v2d&#10;oA8F6gPUmHcfMDMN7/yAazP7AZ2Z96CizV9kRDCO8p4u8sohEZEfrZarVYUhgbH5gvjs4XmIkN5L&#10;b0k2GhpxfkVWfvwIaUydU3I15++0MWWGxv3jQMzsYbn3scdspWE3TIR2vj0hnx5H31CHm06J+eBQ&#10;2bwlsxFnYzcbhxD1vitrlOtBuD0kbKL0liuMsFNhnFlhN+1XXorH95L18E9t/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TaIpMoBAACbAwAADgAAAAAAAAABACAAAAAeAQAAZHJzL2Uyb0Rv&#10;Yy54bWxQSwUGAAAAAAYABgBZAQAAWgUAAAAA&#10;">
              <v:fill on="f" focussize="0,0"/>
              <v:stroke on="f"/>
              <v:imagedata o:title=""/>
              <o:lock v:ext="edit" aspectratio="f"/>
              <v:textbox inset="0mm,0mm,0mm,0mm" style="mso-fit-shape-to-text:t;">
                <w:txbxContent>
                  <w:p>
                    <w:pPr>
                      <w:pStyle w:val="24"/>
                    </w:pPr>
                    <w:r>
                      <w:fldChar w:fldCharType="begin"/>
                    </w:r>
                    <w:r>
                      <w:instrText xml:space="preserve"> PAGE  \* MERGEFORMAT </w:instrText>
                    </w:r>
                    <w:r>
                      <w:fldChar w:fldCharType="separate"/>
                    </w:r>
                    <w:r>
                      <w:t>152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Bdr>
                              <w:top w:val="none" w:color="auto" w:sz="0" w:space="1"/>
                              <w:left w:val="none" w:color="auto" w:sz="0" w:space="0"/>
                              <w:bottom w:val="none" w:color="auto" w:sz="0" w:space="0"/>
                              <w:right w:val="none" w:color="auto" w:sz="0" w:space="0"/>
                              <w:between w:val="none" w:color="auto" w:sz="0" w:space="0"/>
                            </w:pBdr>
                          </w:pPr>
                          <w:r>
                            <w:fldChar w:fldCharType="begin"/>
                          </w:r>
                          <w:r>
                            <w:instrText xml:space="preserve"> PAGE  \* MERGEFORMAT </w:instrText>
                          </w:r>
                          <w:r>
                            <w:fldChar w:fldCharType="separate"/>
                          </w:r>
                          <w:r>
                            <w:t>213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24"/>
                      <w:pBdr>
                        <w:top w:val="none" w:color="auto" w:sz="0" w:space="1"/>
                        <w:left w:val="none" w:color="auto" w:sz="0" w:space="0"/>
                        <w:bottom w:val="none" w:color="auto" w:sz="0" w:space="0"/>
                        <w:right w:val="none" w:color="auto" w:sz="0" w:space="0"/>
                        <w:between w:val="none" w:color="auto" w:sz="0" w:space="0"/>
                      </w:pBdr>
                    </w:pPr>
                    <w:r>
                      <w:fldChar w:fldCharType="begin"/>
                    </w:r>
                    <w:r>
                      <w:instrText xml:space="preserve"> PAGE  \* MERGEFORMAT </w:instrText>
                    </w:r>
                    <w:r>
                      <w:fldChar w:fldCharType="separate"/>
                    </w:r>
                    <w:r>
                      <w:t>213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rFonts w:eastAsia="宋体"/>
      </w:rPr>
    </w:pPr>
    <w:r>
      <w:rPr>
        <w:rFonts w:hint="eastAsia" w:eastAsia="宋体"/>
      </w:rPr>
      <w:t>内蒙古春园满循环农业科技有限公司肉羊养殖园区项目环境影响报告书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rFonts w:eastAsia="宋体"/>
      </w:rPr>
    </w:pPr>
    <w:r>
      <w:rPr>
        <w:rFonts w:hint="eastAsia" w:eastAsia="宋体"/>
      </w:rPr>
      <w:t>内蒙古春园满循环农业科技有限公司肉羊养殖111园区项目环境影响报告书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rFonts w:eastAsia="宋体"/>
      </w:rPr>
    </w:pPr>
    <w:r>
      <w:rPr>
        <w:rFonts w:hint="eastAsia" w:eastAsia="宋体"/>
      </w:rPr>
      <w:t>内蒙古春园满循环农业科技有限公司肉羊养殖园区项目环境影响报告书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w:rPr>
        <w:rFonts w:hint="eastAsia"/>
      </w:rPr>
      <w:t>内蒙古春园满循环农业科技有限公司肉羊养殖园区项目环境影响报告书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1"/>
      </w:pBdr>
    </w:pPr>
    <w:r>
      <w:rPr>
        <w:rFonts w:hint="eastAsia"/>
      </w:rPr>
      <w:t>内蒙古春园满循环农业科技有限公司肉羊养殖园区项目环境影响评价</w:t>
    </w:r>
    <w:r>
      <w:rPr>
        <w:rFonts w:hint="eastAsia"/>
        <w:kern w:val="0"/>
      </w:rPr>
      <w:t>公众参与说明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C1C77"/>
    <w:multiLevelType w:val="singleLevel"/>
    <w:tmpl w:val="800C1C77"/>
    <w:lvl w:ilvl="0" w:tentative="0">
      <w:start w:val="3"/>
      <w:numFmt w:val="chineseCounting"/>
      <w:suff w:val="nothing"/>
      <w:lvlText w:val="%1、"/>
      <w:lvlJc w:val="left"/>
      <w:rPr>
        <w:rFonts w:hint="eastAsia"/>
      </w:rPr>
    </w:lvl>
  </w:abstractNum>
  <w:abstractNum w:abstractNumId="1">
    <w:nsid w:val="93089ECF"/>
    <w:multiLevelType w:val="singleLevel"/>
    <w:tmpl w:val="93089ECF"/>
    <w:lvl w:ilvl="0" w:tentative="0">
      <w:start w:val="1"/>
      <w:numFmt w:val="decimal"/>
      <w:suff w:val="nothing"/>
      <w:lvlText w:val="（%1）"/>
      <w:lvlJc w:val="left"/>
    </w:lvl>
  </w:abstractNum>
  <w:abstractNum w:abstractNumId="2">
    <w:nsid w:val="9AFCEB97"/>
    <w:multiLevelType w:val="singleLevel"/>
    <w:tmpl w:val="9AFCEB97"/>
    <w:lvl w:ilvl="0" w:tentative="0">
      <w:start w:val="1"/>
      <w:numFmt w:val="decimal"/>
      <w:suff w:val="nothing"/>
      <w:lvlText w:val="（%1）"/>
      <w:lvlJc w:val="left"/>
    </w:lvl>
  </w:abstractNum>
  <w:abstractNum w:abstractNumId="3">
    <w:nsid w:val="A52BD69D"/>
    <w:multiLevelType w:val="singleLevel"/>
    <w:tmpl w:val="A52BD69D"/>
    <w:lvl w:ilvl="0" w:tentative="0">
      <w:start w:val="2"/>
      <w:numFmt w:val="decimal"/>
      <w:suff w:val="nothing"/>
      <w:lvlText w:val="（%1）"/>
      <w:lvlJc w:val="left"/>
    </w:lvl>
  </w:abstractNum>
  <w:abstractNum w:abstractNumId="4">
    <w:nsid w:val="A7CA4535"/>
    <w:multiLevelType w:val="singleLevel"/>
    <w:tmpl w:val="A7CA4535"/>
    <w:lvl w:ilvl="0" w:tentative="0">
      <w:start w:val="1"/>
      <w:numFmt w:val="decimal"/>
      <w:suff w:val="nothing"/>
      <w:lvlText w:val="（%1）"/>
      <w:lvlJc w:val="left"/>
    </w:lvl>
  </w:abstractNum>
  <w:abstractNum w:abstractNumId="5">
    <w:nsid w:val="D7AF8359"/>
    <w:multiLevelType w:val="singleLevel"/>
    <w:tmpl w:val="D7AF8359"/>
    <w:lvl w:ilvl="0" w:tentative="0">
      <w:start w:val="1"/>
      <w:numFmt w:val="decimal"/>
      <w:suff w:val="nothing"/>
      <w:lvlText w:val="（%1）"/>
      <w:lvlJc w:val="left"/>
    </w:lvl>
  </w:abstractNum>
  <w:abstractNum w:abstractNumId="6">
    <w:nsid w:val="E9E28DFC"/>
    <w:multiLevelType w:val="singleLevel"/>
    <w:tmpl w:val="E9E28DFC"/>
    <w:lvl w:ilvl="0" w:tentative="0">
      <w:start w:val="1"/>
      <w:numFmt w:val="decimal"/>
      <w:suff w:val="nothing"/>
      <w:lvlText w:val="（%1）"/>
      <w:lvlJc w:val="left"/>
    </w:lvl>
  </w:abstractNum>
  <w:abstractNum w:abstractNumId="7">
    <w:nsid w:val="EA645301"/>
    <w:multiLevelType w:val="singleLevel"/>
    <w:tmpl w:val="EA645301"/>
    <w:lvl w:ilvl="0" w:tentative="0">
      <w:start w:val="1"/>
      <w:numFmt w:val="decimal"/>
      <w:suff w:val="nothing"/>
      <w:lvlText w:val="（%1）"/>
      <w:lvlJc w:val="left"/>
    </w:lvl>
  </w:abstractNum>
  <w:abstractNum w:abstractNumId="8">
    <w:nsid w:val="FCC53DCB"/>
    <w:multiLevelType w:val="singleLevel"/>
    <w:tmpl w:val="FCC53DCB"/>
    <w:lvl w:ilvl="0" w:tentative="0">
      <w:start w:val="1"/>
      <w:numFmt w:val="decimal"/>
      <w:suff w:val="nothing"/>
      <w:lvlText w:val="（%1）"/>
      <w:lvlJc w:val="left"/>
    </w:lvl>
  </w:abstractNum>
  <w:abstractNum w:abstractNumId="9">
    <w:nsid w:val="1BB09092"/>
    <w:multiLevelType w:val="singleLevel"/>
    <w:tmpl w:val="1BB09092"/>
    <w:lvl w:ilvl="0" w:tentative="0">
      <w:start w:val="2"/>
      <w:numFmt w:val="decimal"/>
      <w:suff w:val="nothing"/>
      <w:lvlText w:val="（%1）"/>
      <w:lvlJc w:val="left"/>
    </w:lvl>
  </w:abstractNum>
  <w:abstractNum w:abstractNumId="10">
    <w:nsid w:val="41C327CD"/>
    <w:multiLevelType w:val="multilevel"/>
    <w:tmpl w:val="41C327CD"/>
    <w:lvl w:ilvl="0" w:tentative="0">
      <w:start w:val="1"/>
      <w:numFmt w:val="decimal"/>
      <w:pStyle w:val="2"/>
      <w:suff w:val="space"/>
      <w:lvlText w:val="%1."/>
      <w:lvlJc w:val="left"/>
      <w:pPr>
        <w:ind w:left="562" w:hanging="420"/>
      </w:pPr>
      <w:rPr>
        <w:rFonts w:hint="eastAsia" w:ascii="黑体" w:hAnsi="Times New Roman" w:eastAsia="黑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1" w:tentative="0">
      <w:start w:val="1"/>
      <w:numFmt w:val="decimal"/>
      <w:pStyle w:val="3"/>
      <w:suff w:val="space"/>
      <w:lvlText w:val="%1.%2"/>
      <w:lvlJc w:val="left"/>
      <w:pPr>
        <w:ind w:left="1994" w:hanging="576"/>
      </w:pPr>
      <w:rPr>
        <w:rFonts w:hint="eastAsia" w:ascii="黑体" w:hAnsi="Times New Roman" w:eastAsia="黑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tentative="0">
      <w:start w:val="1"/>
      <w:numFmt w:val="decimal"/>
      <w:pStyle w:val="4"/>
      <w:suff w:val="space"/>
      <w:lvlText w:val="%1.%2.%3"/>
      <w:lvlJc w:val="left"/>
      <w:pPr>
        <w:ind w:left="720" w:hanging="7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5"/>
      <w:suff w:val="nothing"/>
      <w:lvlText w:val="%1.%2.%3.%4"/>
      <w:lvlJc w:val="left"/>
      <w:pPr>
        <w:ind w:left="1148" w:hanging="864"/>
      </w:pPr>
      <w:rPr>
        <w:rFonts w:hint="eastAsia" w:ascii="黑体" w:hAnsi="Times New Roman" w:eastAsia="黑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4" w:tentative="0">
      <w:start w:val="1"/>
      <w:numFmt w:val="decimal"/>
      <w:lvlText w:val="%1.%2.%3.%4.%5"/>
      <w:lvlJc w:val="left"/>
      <w:pPr>
        <w:tabs>
          <w:tab w:val="left" w:pos="1178"/>
        </w:tabs>
        <w:ind w:left="1178" w:hanging="1008"/>
      </w:pPr>
      <w:rPr>
        <w:rFonts w:hint="eastAsia"/>
      </w:rPr>
    </w:lvl>
    <w:lvl w:ilvl="5" w:tentative="0">
      <w:start w:val="1"/>
      <w:numFmt w:val="decimal"/>
      <w:lvlText w:val="%1.%2.%3.%4.%5.%6"/>
      <w:lvlJc w:val="left"/>
      <w:pPr>
        <w:tabs>
          <w:tab w:val="left" w:pos="1322"/>
        </w:tabs>
        <w:ind w:left="1322" w:hanging="1152"/>
      </w:pPr>
      <w:rPr>
        <w:rFonts w:hint="eastAsia"/>
      </w:rPr>
    </w:lvl>
    <w:lvl w:ilvl="6" w:tentative="0">
      <w:start w:val="1"/>
      <w:numFmt w:val="decimal"/>
      <w:lvlText w:val="%1.%2.%3.%4.%5.%6.%7"/>
      <w:lvlJc w:val="left"/>
      <w:pPr>
        <w:tabs>
          <w:tab w:val="left" w:pos="1466"/>
        </w:tabs>
        <w:ind w:left="1466" w:hanging="1296"/>
      </w:pPr>
      <w:rPr>
        <w:rFonts w:hint="eastAsia"/>
      </w:rPr>
    </w:lvl>
    <w:lvl w:ilvl="7" w:tentative="0">
      <w:start w:val="1"/>
      <w:numFmt w:val="decimal"/>
      <w:lvlText w:val="%1.%2.%3.%4.%5.%6.%7.%8"/>
      <w:lvlJc w:val="left"/>
      <w:pPr>
        <w:tabs>
          <w:tab w:val="left" w:pos="1610"/>
        </w:tabs>
        <w:ind w:left="1610" w:hanging="1440"/>
      </w:pPr>
      <w:rPr>
        <w:rFonts w:hint="eastAsia"/>
      </w:rPr>
    </w:lvl>
    <w:lvl w:ilvl="8" w:tentative="0">
      <w:start w:val="1"/>
      <w:numFmt w:val="decimal"/>
      <w:lvlText w:val="%1.%2.%3.%4.%5.%6.%7.%8.%9"/>
      <w:lvlJc w:val="left"/>
      <w:pPr>
        <w:tabs>
          <w:tab w:val="left" w:pos="1754"/>
        </w:tabs>
        <w:ind w:left="1754" w:hanging="1584"/>
      </w:pPr>
      <w:rPr>
        <w:rFonts w:hint="eastAsia"/>
      </w:rPr>
    </w:lvl>
  </w:abstractNum>
  <w:abstractNum w:abstractNumId="11">
    <w:nsid w:val="565874D3"/>
    <w:multiLevelType w:val="singleLevel"/>
    <w:tmpl w:val="565874D3"/>
    <w:lvl w:ilvl="0" w:tentative="0">
      <w:start w:val="1"/>
      <w:numFmt w:val="decimal"/>
      <w:suff w:val="nothing"/>
      <w:lvlText w:val="（%1）"/>
      <w:lvlJc w:val="left"/>
    </w:lvl>
  </w:abstractNum>
  <w:abstractNum w:abstractNumId="12">
    <w:nsid w:val="5E62D74F"/>
    <w:multiLevelType w:val="singleLevel"/>
    <w:tmpl w:val="5E62D74F"/>
    <w:lvl w:ilvl="0" w:tentative="0">
      <w:start w:val="1"/>
      <w:numFmt w:val="decimal"/>
      <w:suff w:val="nothing"/>
      <w:lvlText w:val="（%1）"/>
      <w:lvlJc w:val="left"/>
    </w:lvl>
  </w:abstractNum>
  <w:abstractNum w:abstractNumId="13">
    <w:nsid w:val="60EB556E"/>
    <w:multiLevelType w:val="singleLevel"/>
    <w:tmpl w:val="60EB556E"/>
    <w:lvl w:ilvl="0" w:tentative="0">
      <w:start w:val="1"/>
      <w:numFmt w:val="decimal"/>
      <w:suff w:val="nothing"/>
      <w:lvlText w:val="（%1）"/>
      <w:lvlJc w:val="left"/>
    </w:lvl>
  </w:abstractNum>
  <w:abstractNum w:abstractNumId="14">
    <w:nsid w:val="6813A43D"/>
    <w:multiLevelType w:val="singleLevel"/>
    <w:tmpl w:val="6813A43D"/>
    <w:lvl w:ilvl="0" w:tentative="0">
      <w:start w:val="1"/>
      <w:numFmt w:val="decimal"/>
      <w:suff w:val="nothing"/>
      <w:lvlText w:val="（%1）"/>
      <w:lvlJc w:val="left"/>
    </w:lvl>
  </w:abstractNum>
  <w:abstractNum w:abstractNumId="15">
    <w:nsid w:val="72A23ED2"/>
    <w:multiLevelType w:val="singleLevel"/>
    <w:tmpl w:val="72A23ED2"/>
    <w:lvl w:ilvl="0" w:tentative="0">
      <w:start w:val="1"/>
      <w:numFmt w:val="decimal"/>
      <w:suff w:val="nothing"/>
      <w:lvlText w:val="（%1）"/>
      <w:lvlJc w:val="left"/>
    </w:lvl>
  </w:abstractNum>
  <w:abstractNum w:abstractNumId="16">
    <w:nsid w:val="7DE764B5"/>
    <w:multiLevelType w:val="multilevel"/>
    <w:tmpl w:val="7DE764B5"/>
    <w:lvl w:ilvl="0" w:tentative="0">
      <w:start w:val="1"/>
      <w:numFmt w:val="decimal"/>
      <w:pStyle w:val="82"/>
      <w:lvlText w:val="图4.1-%1."/>
      <w:lvlJc w:val="left"/>
      <w:pPr>
        <w:tabs>
          <w:tab w:val="left" w:pos="1614"/>
        </w:tabs>
        <w:ind w:left="1614" w:hanging="1134"/>
      </w:pPr>
      <w:rPr>
        <w:rFonts w:hint="eastAsia" w:eastAsia="黑体"/>
        <w:b w:val="0"/>
        <w:i w:val="0"/>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0"/>
  </w:num>
  <w:num w:numId="2">
    <w:abstractNumId w:val="16"/>
  </w:num>
  <w:num w:numId="3">
    <w:abstractNumId w:val="0"/>
  </w:num>
  <w:num w:numId="4">
    <w:abstractNumId w:val="14"/>
  </w:num>
  <w:num w:numId="5">
    <w:abstractNumId w:val="9"/>
  </w:num>
  <w:num w:numId="6">
    <w:abstractNumId w:val="3"/>
  </w:num>
  <w:num w:numId="7">
    <w:abstractNumId w:val="11"/>
  </w:num>
  <w:num w:numId="8">
    <w:abstractNumId w:val="12"/>
  </w:num>
  <w:num w:numId="9">
    <w:abstractNumId w:val="2"/>
  </w:num>
  <w:num w:numId="10">
    <w:abstractNumId w:val="1"/>
  </w:num>
  <w:num w:numId="11">
    <w:abstractNumId w:val="6"/>
  </w:num>
  <w:num w:numId="12">
    <w:abstractNumId w:val="15"/>
  </w:num>
  <w:num w:numId="13">
    <w:abstractNumId w:val="7"/>
  </w:num>
  <w:num w:numId="14">
    <w:abstractNumId w:val="4"/>
  </w:num>
  <w:num w:numId="15">
    <w:abstractNumId w:val="8"/>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displayBackgroundShape w:val="1"/>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xNDRlYjFiNDhjNWFkOWM2MTlhODA0YzBmNDU5MjMifQ=="/>
  </w:docVars>
  <w:rsids>
    <w:rsidRoot w:val="00172A27"/>
    <w:rsid w:val="0000007B"/>
    <w:rsid w:val="00000942"/>
    <w:rsid w:val="00000CD7"/>
    <w:rsid w:val="00000E17"/>
    <w:rsid w:val="000013BB"/>
    <w:rsid w:val="0000195F"/>
    <w:rsid w:val="000019F0"/>
    <w:rsid w:val="00001C77"/>
    <w:rsid w:val="00001C92"/>
    <w:rsid w:val="00001CC2"/>
    <w:rsid w:val="000027A5"/>
    <w:rsid w:val="0000291B"/>
    <w:rsid w:val="00003457"/>
    <w:rsid w:val="00003670"/>
    <w:rsid w:val="00003D03"/>
    <w:rsid w:val="00003D34"/>
    <w:rsid w:val="00004614"/>
    <w:rsid w:val="00004B0B"/>
    <w:rsid w:val="00005AAA"/>
    <w:rsid w:val="00005E14"/>
    <w:rsid w:val="000063BB"/>
    <w:rsid w:val="000072A7"/>
    <w:rsid w:val="000077FF"/>
    <w:rsid w:val="00010011"/>
    <w:rsid w:val="0001168C"/>
    <w:rsid w:val="000127DF"/>
    <w:rsid w:val="0001317F"/>
    <w:rsid w:val="00013269"/>
    <w:rsid w:val="00013CF3"/>
    <w:rsid w:val="000145A5"/>
    <w:rsid w:val="00014985"/>
    <w:rsid w:val="00014AF8"/>
    <w:rsid w:val="00014C16"/>
    <w:rsid w:val="0001527E"/>
    <w:rsid w:val="00015A14"/>
    <w:rsid w:val="00016250"/>
    <w:rsid w:val="00016476"/>
    <w:rsid w:val="00017A1F"/>
    <w:rsid w:val="00017E6A"/>
    <w:rsid w:val="00020335"/>
    <w:rsid w:val="00020628"/>
    <w:rsid w:val="0002110F"/>
    <w:rsid w:val="000213B8"/>
    <w:rsid w:val="00021F6C"/>
    <w:rsid w:val="00023769"/>
    <w:rsid w:val="00023F35"/>
    <w:rsid w:val="00024930"/>
    <w:rsid w:val="00024B25"/>
    <w:rsid w:val="00024CD0"/>
    <w:rsid w:val="0002527B"/>
    <w:rsid w:val="0002561C"/>
    <w:rsid w:val="00026421"/>
    <w:rsid w:val="000265FC"/>
    <w:rsid w:val="00027144"/>
    <w:rsid w:val="0002722C"/>
    <w:rsid w:val="00027337"/>
    <w:rsid w:val="0002757C"/>
    <w:rsid w:val="00030658"/>
    <w:rsid w:val="00030A95"/>
    <w:rsid w:val="00030CC5"/>
    <w:rsid w:val="00030EAD"/>
    <w:rsid w:val="000310F8"/>
    <w:rsid w:val="00031BA3"/>
    <w:rsid w:val="000328ED"/>
    <w:rsid w:val="000329E7"/>
    <w:rsid w:val="00032F52"/>
    <w:rsid w:val="00033666"/>
    <w:rsid w:val="00033D2E"/>
    <w:rsid w:val="00033EA5"/>
    <w:rsid w:val="0003495E"/>
    <w:rsid w:val="00034992"/>
    <w:rsid w:val="00035826"/>
    <w:rsid w:val="00035DF6"/>
    <w:rsid w:val="000364D2"/>
    <w:rsid w:val="00036D08"/>
    <w:rsid w:val="00036EEB"/>
    <w:rsid w:val="00037A0D"/>
    <w:rsid w:val="00037E83"/>
    <w:rsid w:val="00040373"/>
    <w:rsid w:val="000403F1"/>
    <w:rsid w:val="00040E30"/>
    <w:rsid w:val="0004131E"/>
    <w:rsid w:val="00041B9D"/>
    <w:rsid w:val="00041D10"/>
    <w:rsid w:val="00041F34"/>
    <w:rsid w:val="000422CA"/>
    <w:rsid w:val="00042638"/>
    <w:rsid w:val="00043954"/>
    <w:rsid w:val="00043AB2"/>
    <w:rsid w:val="0004568D"/>
    <w:rsid w:val="00045C06"/>
    <w:rsid w:val="00046979"/>
    <w:rsid w:val="00046FCE"/>
    <w:rsid w:val="000474EE"/>
    <w:rsid w:val="00050577"/>
    <w:rsid w:val="0005079A"/>
    <w:rsid w:val="00050AA8"/>
    <w:rsid w:val="00051920"/>
    <w:rsid w:val="00054992"/>
    <w:rsid w:val="00054D41"/>
    <w:rsid w:val="00055555"/>
    <w:rsid w:val="00055961"/>
    <w:rsid w:val="00055FF5"/>
    <w:rsid w:val="00056433"/>
    <w:rsid w:val="00056987"/>
    <w:rsid w:val="0005706A"/>
    <w:rsid w:val="0006008E"/>
    <w:rsid w:val="00060894"/>
    <w:rsid w:val="00060B7A"/>
    <w:rsid w:val="000616F0"/>
    <w:rsid w:val="00061700"/>
    <w:rsid w:val="00062131"/>
    <w:rsid w:val="00062560"/>
    <w:rsid w:val="00062F55"/>
    <w:rsid w:val="00063206"/>
    <w:rsid w:val="000632B7"/>
    <w:rsid w:val="00063B19"/>
    <w:rsid w:val="00063FD3"/>
    <w:rsid w:val="00064262"/>
    <w:rsid w:val="00064287"/>
    <w:rsid w:val="000658E7"/>
    <w:rsid w:val="0006620C"/>
    <w:rsid w:val="0006635F"/>
    <w:rsid w:val="00066625"/>
    <w:rsid w:val="000671CB"/>
    <w:rsid w:val="00067ADA"/>
    <w:rsid w:val="00067DFB"/>
    <w:rsid w:val="0007059E"/>
    <w:rsid w:val="00070BD9"/>
    <w:rsid w:val="00070C08"/>
    <w:rsid w:val="00070DF2"/>
    <w:rsid w:val="00070E4E"/>
    <w:rsid w:val="000718E9"/>
    <w:rsid w:val="00071F89"/>
    <w:rsid w:val="00072B7F"/>
    <w:rsid w:val="00072C0C"/>
    <w:rsid w:val="00072E15"/>
    <w:rsid w:val="0007345D"/>
    <w:rsid w:val="000745DF"/>
    <w:rsid w:val="00074F51"/>
    <w:rsid w:val="00075816"/>
    <w:rsid w:val="00077478"/>
    <w:rsid w:val="000774C5"/>
    <w:rsid w:val="00080A9C"/>
    <w:rsid w:val="00081F91"/>
    <w:rsid w:val="00082827"/>
    <w:rsid w:val="00082D6C"/>
    <w:rsid w:val="000834B8"/>
    <w:rsid w:val="000843DB"/>
    <w:rsid w:val="0008492B"/>
    <w:rsid w:val="000849B8"/>
    <w:rsid w:val="00085233"/>
    <w:rsid w:val="0008526B"/>
    <w:rsid w:val="000856A2"/>
    <w:rsid w:val="00086382"/>
    <w:rsid w:val="000867BB"/>
    <w:rsid w:val="00086C8A"/>
    <w:rsid w:val="00087236"/>
    <w:rsid w:val="000875BC"/>
    <w:rsid w:val="00087763"/>
    <w:rsid w:val="000902C0"/>
    <w:rsid w:val="000902F4"/>
    <w:rsid w:val="00091680"/>
    <w:rsid w:val="000921E1"/>
    <w:rsid w:val="0009237C"/>
    <w:rsid w:val="00093A3A"/>
    <w:rsid w:val="00093D49"/>
    <w:rsid w:val="00093E8E"/>
    <w:rsid w:val="00094966"/>
    <w:rsid w:val="00095091"/>
    <w:rsid w:val="00095156"/>
    <w:rsid w:val="00095408"/>
    <w:rsid w:val="000963C8"/>
    <w:rsid w:val="00096F7F"/>
    <w:rsid w:val="00097596"/>
    <w:rsid w:val="000978FC"/>
    <w:rsid w:val="00097F32"/>
    <w:rsid w:val="000A0695"/>
    <w:rsid w:val="000A0B72"/>
    <w:rsid w:val="000A13B8"/>
    <w:rsid w:val="000A17F7"/>
    <w:rsid w:val="000A1E5D"/>
    <w:rsid w:val="000A1E6A"/>
    <w:rsid w:val="000A2059"/>
    <w:rsid w:val="000A22E8"/>
    <w:rsid w:val="000A2B8F"/>
    <w:rsid w:val="000A2C49"/>
    <w:rsid w:val="000A3F1C"/>
    <w:rsid w:val="000A4BC0"/>
    <w:rsid w:val="000A5058"/>
    <w:rsid w:val="000A517C"/>
    <w:rsid w:val="000A56E9"/>
    <w:rsid w:val="000A6311"/>
    <w:rsid w:val="000A68EA"/>
    <w:rsid w:val="000A6915"/>
    <w:rsid w:val="000A798C"/>
    <w:rsid w:val="000A7B8D"/>
    <w:rsid w:val="000B0354"/>
    <w:rsid w:val="000B0419"/>
    <w:rsid w:val="000B0426"/>
    <w:rsid w:val="000B0514"/>
    <w:rsid w:val="000B067E"/>
    <w:rsid w:val="000B08F4"/>
    <w:rsid w:val="000B2096"/>
    <w:rsid w:val="000B285F"/>
    <w:rsid w:val="000B2EFC"/>
    <w:rsid w:val="000B54F6"/>
    <w:rsid w:val="000B5991"/>
    <w:rsid w:val="000B5F88"/>
    <w:rsid w:val="000B78E3"/>
    <w:rsid w:val="000C0057"/>
    <w:rsid w:val="000C08B1"/>
    <w:rsid w:val="000C090F"/>
    <w:rsid w:val="000C0A6E"/>
    <w:rsid w:val="000C0F75"/>
    <w:rsid w:val="000C1658"/>
    <w:rsid w:val="000C1BF1"/>
    <w:rsid w:val="000C1D01"/>
    <w:rsid w:val="000C2150"/>
    <w:rsid w:val="000C25A9"/>
    <w:rsid w:val="000C2862"/>
    <w:rsid w:val="000C2D98"/>
    <w:rsid w:val="000C37CB"/>
    <w:rsid w:val="000C3D6F"/>
    <w:rsid w:val="000C3E01"/>
    <w:rsid w:val="000C3EB1"/>
    <w:rsid w:val="000C476C"/>
    <w:rsid w:val="000C50C8"/>
    <w:rsid w:val="000C534C"/>
    <w:rsid w:val="000C56FE"/>
    <w:rsid w:val="000C6A05"/>
    <w:rsid w:val="000C6F3E"/>
    <w:rsid w:val="000D0416"/>
    <w:rsid w:val="000D0A28"/>
    <w:rsid w:val="000D193C"/>
    <w:rsid w:val="000D1AD0"/>
    <w:rsid w:val="000D3127"/>
    <w:rsid w:val="000D3139"/>
    <w:rsid w:val="000D32AF"/>
    <w:rsid w:val="000D334B"/>
    <w:rsid w:val="000D37E7"/>
    <w:rsid w:val="000D38A8"/>
    <w:rsid w:val="000D3DCB"/>
    <w:rsid w:val="000D4C0F"/>
    <w:rsid w:val="000D535C"/>
    <w:rsid w:val="000D56F8"/>
    <w:rsid w:val="000D5C06"/>
    <w:rsid w:val="000D5C25"/>
    <w:rsid w:val="000D6298"/>
    <w:rsid w:val="000D6A4C"/>
    <w:rsid w:val="000D70A6"/>
    <w:rsid w:val="000D73C9"/>
    <w:rsid w:val="000D73E6"/>
    <w:rsid w:val="000D7A45"/>
    <w:rsid w:val="000D7BE0"/>
    <w:rsid w:val="000E0465"/>
    <w:rsid w:val="000E05AA"/>
    <w:rsid w:val="000E0AE4"/>
    <w:rsid w:val="000E1E75"/>
    <w:rsid w:val="000E20E4"/>
    <w:rsid w:val="000E2359"/>
    <w:rsid w:val="000E23DF"/>
    <w:rsid w:val="000E272E"/>
    <w:rsid w:val="000E2EA4"/>
    <w:rsid w:val="000E3394"/>
    <w:rsid w:val="000E39A0"/>
    <w:rsid w:val="000E39E2"/>
    <w:rsid w:val="000E44D3"/>
    <w:rsid w:val="000E4A59"/>
    <w:rsid w:val="000E585F"/>
    <w:rsid w:val="000E5E8A"/>
    <w:rsid w:val="000E6140"/>
    <w:rsid w:val="000E6AF8"/>
    <w:rsid w:val="000E6D5B"/>
    <w:rsid w:val="000E6D93"/>
    <w:rsid w:val="000E7150"/>
    <w:rsid w:val="000E7333"/>
    <w:rsid w:val="000E79B7"/>
    <w:rsid w:val="000E7E3E"/>
    <w:rsid w:val="000F0633"/>
    <w:rsid w:val="000F0E89"/>
    <w:rsid w:val="000F0F51"/>
    <w:rsid w:val="000F0F7B"/>
    <w:rsid w:val="000F2186"/>
    <w:rsid w:val="000F2306"/>
    <w:rsid w:val="000F2391"/>
    <w:rsid w:val="000F25C7"/>
    <w:rsid w:val="000F339E"/>
    <w:rsid w:val="000F3513"/>
    <w:rsid w:val="000F3639"/>
    <w:rsid w:val="000F3C7F"/>
    <w:rsid w:val="000F3CBF"/>
    <w:rsid w:val="000F4F60"/>
    <w:rsid w:val="000F53F1"/>
    <w:rsid w:val="000F54CB"/>
    <w:rsid w:val="000F557A"/>
    <w:rsid w:val="000F5D0F"/>
    <w:rsid w:val="000F6475"/>
    <w:rsid w:val="000F6D3A"/>
    <w:rsid w:val="000F738B"/>
    <w:rsid w:val="000F74CB"/>
    <w:rsid w:val="000F7B0A"/>
    <w:rsid w:val="000F7F08"/>
    <w:rsid w:val="00100807"/>
    <w:rsid w:val="00100823"/>
    <w:rsid w:val="00100B85"/>
    <w:rsid w:val="00100EB8"/>
    <w:rsid w:val="00101C6A"/>
    <w:rsid w:val="0010203C"/>
    <w:rsid w:val="00102347"/>
    <w:rsid w:val="00102DEE"/>
    <w:rsid w:val="00102FC4"/>
    <w:rsid w:val="001031F3"/>
    <w:rsid w:val="00103CA1"/>
    <w:rsid w:val="0010415B"/>
    <w:rsid w:val="00104B42"/>
    <w:rsid w:val="001051D1"/>
    <w:rsid w:val="001054FA"/>
    <w:rsid w:val="0010574D"/>
    <w:rsid w:val="00105AFB"/>
    <w:rsid w:val="00106117"/>
    <w:rsid w:val="00107A73"/>
    <w:rsid w:val="00107C65"/>
    <w:rsid w:val="00107F0D"/>
    <w:rsid w:val="00110193"/>
    <w:rsid w:val="0011024C"/>
    <w:rsid w:val="00110941"/>
    <w:rsid w:val="00110B72"/>
    <w:rsid w:val="00111407"/>
    <w:rsid w:val="001118EF"/>
    <w:rsid w:val="00111AC1"/>
    <w:rsid w:val="00111B7C"/>
    <w:rsid w:val="00111ED4"/>
    <w:rsid w:val="001129D6"/>
    <w:rsid w:val="00112A8C"/>
    <w:rsid w:val="00112C56"/>
    <w:rsid w:val="001131ED"/>
    <w:rsid w:val="00113F9A"/>
    <w:rsid w:val="001141B1"/>
    <w:rsid w:val="001142E4"/>
    <w:rsid w:val="00114C44"/>
    <w:rsid w:val="00115349"/>
    <w:rsid w:val="00116186"/>
    <w:rsid w:val="00116350"/>
    <w:rsid w:val="00116C7E"/>
    <w:rsid w:val="0011704C"/>
    <w:rsid w:val="00117424"/>
    <w:rsid w:val="00117C6F"/>
    <w:rsid w:val="001204A3"/>
    <w:rsid w:val="0012095E"/>
    <w:rsid w:val="00120DB7"/>
    <w:rsid w:val="001214EB"/>
    <w:rsid w:val="00121D68"/>
    <w:rsid w:val="00122186"/>
    <w:rsid w:val="00123511"/>
    <w:rsid w:val="00123F21"/>
    <w:rsid w:val="00124314"/>
    <w:rsid w:val="00125716"/>
    <w:rsid w:val="00126AF5"/>
    <w:rsid w:val="00126DFD"/>
    <w:rsid w:val="00126F3C"/>
    <w:rsid w:val="00127479"/>
    <w:rsid w:val="001276FC"/>
    <w:rsid w:val="001279EA"/>
    <w:rsid w:val="00127E5C"/>
    <w:rsid w:val="001301D5"/>
    <w:rsid w:val="00130287"/>
    <w:rsid w:val="0013084B"/>
    <w:rsid w:val="001322AE"/>
    <w:rsid w:val="001322CB"/>
    <w:rsid w:val="001325CA"/>
    <w:rsid w:val="00132E67"/>
    <w:rsid w:val="00132FC9"/>
    <w:rsid w:val="00133381"/>
    <w:rsid w:val="0013346E"/>
    <w:rsid w:val="00133663"/>
    <w:rsid w:val="00133A16"/>
    <w:rsid w:val="001348F1"/>
    <w:rsid w:val="001356C5"/>
    <w:rsid w:val="00135A96"/>
    <w:rsid w:val="00135B6A"/>
    <w:rsid w:val="00135D17"/>
    <w:rsid w:val="00135D80"/>
    <w:rsid w:val="00137BA9"/>
    <w:rsid w:val="001402C5"/>
    <w:rsid w:val="0014052E"/>
    <w:rsid w:val="00140AC4"/>
    <w:rsid w:val="00141241"/>
    <w:rsid w:val="00141A0C"/>
    <w:rsid w:val="00141FF1"/>
    <w:rsid w:val="0014211B"/>
    <w:rsid w:val="00142D68"/>
    <w:rsid w:val="00143BF3"/>
    <w:rsid w:val="00144164"/>
    <w:rsid w:val="00145628"/>
    <w:rsid w:val="00146668"/>
    <w:rsid w:val="001466E2"/>
    <w:rsid w:val="00147441"/>
    <w:rsid w:val="00147B8C"/>
    <w:rsid w:val="00150260"/>
    <w:rsid w:val="00150279"/>
    <w:rsid w:val="00152536"/>
    <w:rsid w:val="00152E75"/>
    <w:rsid w:val="001531BB"/>
    <w:rsid w:val="001533C8"/>
    <w:rsid w:val="0015397C"/>
    <w:rsid w:val="001543BB"/>
    <w:rsid w:val="001544DA"/>
    <w:rsid w:val="00156BC1"/>
    <w:rsid w:val="00157944"/>
    <w:rsid w:val="00157CE2"/>
    <w:rsid w:val="00160149"/>
    <w:rsid w:val="00160172"/>
    <w:rsid w:val="001611E0"/>
    <w:rsid w:val="0016340E"/>
    <w:rsid w:val="00163444"/>
    <w:rsid w:val="0016416D"/>
    <w:rsid w:val="00164AB3"/>
    <w:rsid w:val="00165987"/>
    <w:rsid w:val="00165AE5"/>
    <w:rsid w:val="00166B3B"/>
    <w:rsid w:val="00166E57"/>
    <w:rsid w:val="00167E0A"/>
    <w:rsid w:val="001702E0"/>
    <w:rsid w:val="0017034A"/>
    <w:rsid w:val="001703FF"/>
    <w:rsid w:val="00170507"/>
    <w:rsid w:val="001709FE"/>
    <w:rsid w:val="00170C3A"/>
    <w:rsid w:val="0017224C"/>
    <w:rsid w:val="001723DF"/>
    <w:rsid w:val="00172A27"/>
    <w:rsid w:val="00172E60"/>
    <w:rsid w:val="00173391"/>
    <w:rsid w:val="00173BD4"/>
    <w:rsid w:val="00174D21"/>
    <w:rsid w:val="00177B33"/>
    <w:rsid w:val="00180495"/>
    <w:rsid w:val="0018075B"/>
    <w:rsid w:val="001809C0"/>
    <w:rsid w:val="00181DC1"/>
    <w:rsid w:val="00182243"/>
    <w:rsid w:val="00182375"/>
    <w:rsid w:val="0018247C"/>
    <w:rsid w:val="00182B0F"/>
    <w:rsid w:val="00182C4C"/>
    <w:rsid w:val="00183BCE"/>
    <w:rsid w:val="00183DD1"/>
    <w:rsid w:val="00183F17"/>
    <w:rsid w:val="0018413C"/>
    <w:rsid w:val="00185D0C"/>
    <w:rsid w:val="00185DD2"/>
    <w:rsid w:val="00186081"/>
    <w:rsid w:val="001862FB"/>
    <w:rsid w:val="001866A8"/>
    <w:rsid w:val="00187211"/>
    <w:rsid w:val="00187406"/>
    <w:rsid w:val="001903B7"/>
    <w:rsid w:val="001903FA"/>
    <w:rsid w:val="00190502"/>
    <w:rsid w:val="001909D1"/>
    <w:rsid w:val="00192094"/>
    <w:rsid w:val="001927B1"/>
    <w:rsid w:val="00192A53"/>
    <w:rsid w:val="00193038"/>
    <w:rsid w:val="0019338D"/>
    <w:rsid w:val="00194567"/>
    <w:rsid w:val="00194A45"/>
    <w:rsid w:val="00195498"/>
    <w:rsid w:val="00197232"/>
    <w:rsid w:val="00197658"/>
    <w:rsid w:val="001977DB"/>
    <w:rsid w:val="00197A19"/>
    <w:rsid w:val="00197AF5"/>
    <w:rsid w:val="00197BEB"/>
    <w:rsid w:val="00197E73"/>
    <w:rsid w:val="001A06FC"/>
    <w:rsid w:val="001A10A9"/>
    <w:rsid w:val="001A1538"/>
    <w:rsid w:val="001A2514"/>
    <w:rsid w:val="001A25BD"/>
    <w:rsid w:val="001A2D20"/>
    <w:rsid w:val="001A2EE4"/>
    <w:rsid w:val="001A330E"/>
    <w:rsid w:val="001A35D8"/>
    <w:rsid w:val="001A3835"/>
    <w:rsid w:val="001A3E7C"/>
    <w:rsid w:val="001A4460"/>
    <w:rsid w:val="001A49F0"/>
    <w:rsid w:val="001A4C0C"/>
    <w:rsid w:val="001A54C2"/>
    <w:rsid w:val="001A54FF"/>
    <w:rsid w:val="001A5761"/>
    <w:rsid w:val="001A5BF9"/>
    <w:rsid w:val="001A5ECB"/>
    <w:rsid w:val="001A67D4"/>
    <w:rsid w:val="001A6CC4"/>
    <w:rsid w:val="001A6CC6"/>
    <w:rsid w:val="001A6F59"/>
    <w:rsid w:val="001A714F"/>
    <w:rsid w:val="001A7583"/>
    <w:rsid w:val="001A7848"/>
    <w:rsid w:val="001A7C71"/>
    <w:rsid w:val="001B093A"/>
    <w:rsid w:val="001B0B52"/>
    <w:rsid w:val="001B13D4"/>
    <w:rsid w:val="001B188A"/>
    <w:rsid w:val="001B2424"/>
    <w:rsid w:val="001B2712"/>
    <w:rsid w:val="001B288C"/>
    <w:rsid w:val="001B2CA3"/>
    <w:rsid w:val="001B3408"/>
    <w:rsid w:val="001B437C"/>
    <w:rsid w:val="001B51AB"/>
    <w:rsid w:val="001B5842"/>
    <w:rsid w:val="001B60B1"/>
    <w:rsid w:val="001B612E"/>
    <w:rsid w:val="001B6542"/>
    <w:rsid w:val="001B6CAF"/>
    <w:rsid w:val="001B725A"/>
    <w:rsid w:val="001B78A7"/>
    <w:rsid w:val="001B78E9"/>
    <w:rsid w:val="001C0067"/>
    <w:rsid w:val="001C2215"/>
    <w:rsid w:val="001C2263"/>
    <w:rsid w:val="001C259A"/>
    <w:rsid w:val="001C27A1"/>
    <w:rsid w:val="001C2808"/>
    <w:rsid w:val="001C288C"/>
    <w:rsid w:val="001C2E33"/>
    <w:rsid w:val="001C45DF"/>
    <w:rsid w:val="001C5584"/>
    <w:rsid w:val="001C56B1"/>
    <w:rsid w:val="001C575D"/>
    <w:rsid w:val="001C5AA8"/>
    <w:rsid w:val="001C5BD8"/>
    <w:rsid w:val="001C67B5"/>
    <w:rsid w:val="001C719A"/>
    <w:rsid w:val="001C7AC5"/>
    <w:rsid w:val="001C7C14"/>
    <w:rsid w:val="001D07BE"/>
    <w:rsid w:val="001D0908"/>
    <w:rsid w:val="001D0ECF"/>
    <w:rsid w:val="001D1687"/>
    <w:rsid w:val="001D1B76"/>
    <w:rsid w:val="001D1CDC"/>
    <w:rsid w:val="001D20A0"/>
    <w:rsid w:val="001D22D4"/>
    <w:rsid w:val="001D2FB0"/>
    <w:rsid w:val="001D3332"/>
    <w:rsid w:val="001D37F5"/>
    <w:rsid w:val="001D3F46"/>
    <w:rsid w:val="001D482A"/>
    <w:rsid w:val="001D4D28"/>
    <w:rsid w:val="001D4E2B"/>
    <w:rsid w:val="001D53E8"/>
    <w:rsid w:val="001D5597"/>
    <w:rsid w:val="001D5996"/>
    <w:rsid w:val="001D61BF"/>
    <w:rsid w:val="001D665A"/>
    <w:rsid w:val="001D70BC"/>
    <w:rsid w:val="001D71F8"/>
    <w:rsid w:val="001D7849"/>
    <w:rsid w:val="001E0B35"/>
    <w:rsid w:val="001E0CD6"/>
    <w:rsid w:val="001E1472"/>
    <w:rsid w:val="001E190D"/>
    <w:rsid w:val="001E1D38"/>
    <w:rsid w:val="001E1E9F"/>
    <w:rsid w:val="001E20CB"/>
    <w:rsid w:val="001E260C"/>
    <w:rsid w:val="001E2AB0"/>
    <w:rsid w:val="001E3009"/>
    <w:rsid w:val="001E3C88"/>
    <w:rsid w:val="001E4E20"/>
    <w:rsid w:val="001E53B5"/>
    <w:rsid w:val="001E6632"/>
    <w:rsid w:val="001E66D7"/>
    <w:rsid w:val="001E6F01"/>
    <w:rsid w:val="001E6FD3"/>
    <w:rsid w:val="001E7042"/>
    <w:rsid w:val="001E7622"/>
    <w:rsid w:val="001F01B3"/>
    <w:rsid w:val="001F076D"/>
    <w:rsid w:val="001F0B80"/>
    <w:rsid w:val="001F1626"/>
    <w:rsid w:val="001F1D7F"/>
    <w:rsid w:val="001F281A"/>
    <w:rsid w:val="001F2C38"/>
    <w:rsid w:val="001F3FD6"/>
    <w:rsid w:val="001F4BA2"/>
    <w:rsid w:val="00200798"/>
    <w:rsid w:val="00200A78"/>
    <w:rsid w:val="00200DA2"/>
    <w:rsid w:val="002010D1"/>
    <w:rsid w:val="00201214"/>
    <w:rsid w:val="00201223"/>
    <w:rsid w:val="002012CB"/>
    <w:rsid w:val="00201B7C"/>
    <w:rsid w:val="002023DF"/>
    <w:rsid w:val="00202B7E"/>
    <w:rsid w:val="00202FD8"/>
    <w:rsid w:val="0020353C"/>
    <w:rsid w:val="00203C39"/>
    <w:rsid w:val="00204314"/>
    <w:rsid w:val="00204DB3"/>
    <w:rsid w:val="002051F0"/>
    <w:rsid w:val="002054D4"/>
    <w:rsid w:val="00205554"/>
    <w:rsid w:val="00205897"/>
    <w:rsid w:val="0020603B"/>
    <w:rsid w:val="00206938"/>
    <w:rsid w:val="00206A81"/>
    <w:rsid w:val="0020753B"/>
    <w:rsid w:val="002079BC"/>
    <w:rsid w:val="00207B9B"/>
    <w:rsid w:val="00207DAF"/>
    <w:rsid w:val="00207FB2"/>
    <w:rsid w:val="0021049C"/>
    <w:rsid w:val="002104BB"/>
    <w:rsid w:val="00210729"/>
    <w:rsid w:val="00210840"/>
    <w:rsid w:val="00210CA3"/>
    <w:rsid w:val="002111FE"/>
    <w:rsid w:val="0021181C"/>
    <w:rsid w:val="00211A85"/>
    <w:rsid w:val="00211CD6"/>
    <w:rsid w:val="002126E3"/>
    <w:rsid w:val="002135C6"/>
    <w:rsid w:val="002143AE"/>
    <w:rsid w:val="0021464D"/>
    <w:rsid w:val="0021513C"/>
    <w:rsid w:val="00215660"/>
    <w:rsid w:val="00216378"/>
    <w:rsid w:val="002168BD"/>
    <w:rsid w:val="00216BEA"/>
    <w:rsid w:val="002174DD"/>
    <w:rsid w:val="002200E7"/>
    <w:rsid w:val="002202A9"/>
    <w:rsid w:val="002203B2"/>
    <w:rsid w:val="0022070E"/>
    <w:rsid w:val="00220A39"/>
    <w:rsid w:val="00220D94"/>
    <w:rsid w:val="002211E5"/>
    <w:rsid w:val="002213FE"/>
    <w:rsid w:val="00221B95"/>
    <w:rsid w:val="00221E37"/>
    <w:rsid w:val="002220AB"/>
    <w:rsid w:val="0022244D"/>
    <w:rsid w:val="002229A3"/>
    <w:rsid w:val="002229C4"/>
    <w:rsid w:val="00222CD5"/>
    <w:rsid w:val="00223B6B"/>
    <w:rsid w:val="00224232"/>
    <w:rsid w:val="00224864"/>
    <w:rsid w:val="002258E5"/>
    <w:rsid w:val="00226932"/>
    <w:rsid w:val="0022730C"/>
    <w:rsid w:val="00227858"/>
    <w:rsid w:val="00231395"/>
    <w:rsid w:val="00231E56"/>
    <w:rsid w:val="00232350"/>
    <w:rsid w:val="00232697"/>
    <w:rsid w:val="00233210"/>
    <w:rsid w:val="00233C2E"/>
    <w:rsid w:val="00234E8B"/>
    <w:rsid w:val="00235C22"/>
    <w:rsid w:val="00235F42"/>
    <w:rsid w:val="002362E3"/>
    <w:rsid w:val="0023648B"/>
    <w:rsid w:val="00237523"/>
    <w:rsid w:val="00237819"/>
    <w:rsid w:val="002403F2"/>
    <w:rsid w:val="00240C0C"/>
    <w:rsid w:val="00241C90"/>
    <w:rsid w:val="002436F5"/>
    <w:rsid w:val="00243845"/>
    <w:rsid w:val="00243954"/>
    <w:rsid w:val="0024398D"/>
    <w:rsid w:val="00243C2F"/>
    <w:rsid w:val="00245C99"/>
    <w:rsid w:val="00245CA1"/>
    <w:rsid w:val="00245E52"/>
    <w:rsid w:val="00246E0A"/>
    <w:rsid w:val="002470B8"/>
    <w:rsid w:val="00247BBC"/>
    <w:rsid w:val="002511BA"/>
    <w:rsid w:val="002515AA"/>
    <w:rsid w:val="00251946"/>
    <w:rsid w:val="0025207C"/>
    <w:rsid w:val="00252793"/>
    <w:rsid w:val="00252F38"/>
    <w:rsid w:val="0025342F"/>
    <w:rsid w:val="0025343C"/>
    <w:rsid w:val="0025349C"/>
    <w:rsid w:val="00253577"/>
    <w:rsid w:val="00253B77"/>
    <w:rsid w:val="00253BDC"/>
    <w:rsid w:val="002542FC"/>
    <w:rsid w:val="0025475A"/>
    <w:rsid w:val="00254D3D"/>
    <w:rsid w:val="0025517B"/>
    <w:rsid w:val="00255201"/>
    <w:rsid w:val="00255593"/>
    <w:rsid w:val="00255EAB"/>
    <w:rsid w:val="002560C3"/>
    <w:rsid w:val="002565B0"/>
    <w:rsid w:val="00256722"/>
    <w:rsid w:val="00256E29"/>
    <w:rsid w:val="00257741"/>
    <w:rsid w:val="00257AB6"/>
    <w:rsid w:val="00260953"/>
    <w:rsid w:val="00261990"/>
    <w:rsid w:val="00261FAD"/>
    <w:rsid w:val="00262157"/>
    <w:rsid w:val="002624DE"/>
    <w:rsid w:val="00262A06"/>
    <w:rsid w:val="00262DFF"/>
    <w:rsid w:val="00263034"/>
    <w:rsid w:val="0026322C"/>
    <w:rsid w:val="00263293"/>
    <w:rsid w:val="00263975"/>
    <w:rsid w:val="00263F66"/>
    <w:rsid w:val="00264490"/>
    <w:rsid w:val="00264513"/>
    <w:rsid w:val="00264AFE"/>
    <w:rsid w:val="00264DC3"/>
    <w:rsid w:val="0026500A"/>
    <w:rsid w:val="002652AC"/>
    <w:rsid w:val="002654BC"/>
    <w:rsid w:val="00265726"/>
    <w:rsid w:val="002661E2"/>
    <w:rsid w:val="0026686D"/>
    <w:rsid w:val="00266E8D"/>
    <w:rsid w:val="0026781D"/>
    <w:rsid w:val="00267EE3"/>
    <w:rsid w:val="00267F41"/>
    <w:rsid w:val="00270F02"/>
    <w:rsid w:val="002714BC"/>
    <w:rsid w:val="00272E31"/>
    <w:rsid w:val="00272FDC"/>
    <w:rsid w:val="00273448"/>
    <w:rsid w:val="00275316"/>
    <w:rsid w:val="0027629D"/>
    <w:rsid w:val="00276FB4"/>
    <w:rsid w:val="00277232"/>
    <w:rsid w:val="0027742A"/>
    <w:rsid w:val="00277A51"/>
    <w:rsid w:val="00280747"/>
    <w:rsid w:val="00281414"/>
    <w:rsid w:val="0028158D"/>
    <w:rsid w:val="0028160B"/>
    <w:rsid w:val="00281EF5"/>
    <w:rsid w:val="00282396"/>
    <w:rsid w:val="00282AE2"/>
    <w:rsid w:val="00282FD2"/>
    <w:rsid w:val="00283CB1"/>
    <w:rsid w:val="00284680"/>
    <w:rsid w:val="00284EF1"/>
    <w:rsid w:val="00285B1F"/>
    <w:rsid w:val="00286B37"/>
    <w:rsid w:val="00287530"/>
    <w:rsid w:val="00287F19"/>
    <w:rsid w:val="00290666"/>
    <w:rsid w:val="00290936"/>
    <w:rsid w:val="002909D3"/>
    <w:rsid w:val="00290A2D"/>
    <w:rsid w:val="00291176"/>
    <w:rsid w:val="002912F2"/>
    <w:rsid w:val="002925DB"/>
    <w:rsid w:val="00292DC5"/>
    <w:rsid w:val="00293402"/>
    <w:rsid w:val="00293566"/>
    <w:rsid w:val="002938BF"/>
    <w:rsid w:val="00293B8C"/>
    <w:rsid w:val="002944C4"/>
    <w:rsid w:val="00294944"/>
    <w:rsid w:val="002949CC"/>
    <w:rsid w:val="002955F6"/>
    <w:rsid w:val="00296049"/>
    <w:rsid w:val="0029627E"/>
    <w:rsid w:val="002965F2"/>
    <w:rsid w:val="002966C3"/>
    <w:rsid w:val="00296E39"/>
    <w:rsid w:val="00297A01"/>
    <w:rsid w:val="00297EB2"/>
    <w:rsid w:val="002A01AB"/>
    <w:rsid w:val="002A0AF0"/>
    <w:rsid w:val="002A1317"/>
    <w:rsid w:val="002A185E"/>
    <w:rsid w:val="002A1B7C"/>
    <w:rsid w:val="002A2504"/>
    <w:rsid w:val="002A2755"/>
    <w:rsid w:val="002A2F32"/>
    <w:rsid w:val="002A40B3"/>
    <w:rsid w:val="002A4842"/>
    <w:rsid w:val="002A5051"/>
    <w:rsid w:val="002A66CA"/>
    <w:rsid w:val="002A6EE2"/>
    <w:rsid w:val="002A709C"/>
    <w:rsid w:val="002B0068"/>
    <w:rsid w:val="002B0099"/>
    <w:rsid w:val="002B0463"/>
    <w:rsid w:val="002B0490"/>
    <w:rsid w:val="002B05B0"/>
    <w:rsid w:val="002B0EA3"/>
    <w:rsid w:val="002B1522"/>
    <w:rsid w:val="002B1A26"/>
    <w:rsid w:val="002B1FF7"/>
    <w:rsid w:val="002B303E"/>
    <w:rsid w:val="002B3A53"/>
    <w:rsid w:val="002B4EC6"/>
    <w:rsid w:val="002B4ECB"/>
    <w:rsid w:val="002B5788"/>
    <w:rsid w:val="002B61E3"/>
    <w:rsid w:val="002B682B"/>
    <w:rsid w:val="002B6A5B"/>
    <w:rsid w:val="002B6D9B"/>
    <w:rsid w:val="002B7B79"/>
    <w:rsid w:val="002C0231"/>
    <w:rsid w:val="002C0A53"/>
    <w:rsid w:val="002C0B65"/>
    <w:rsid w:val="002C0C0A"/>
    <w:rsid w:val="002C0CE0"/>
    <w:rsid w:val="002C0E39"/>
    <w:rsid w:val="002C13FC"/>
    <w:rsid w:val="002C1F22"/>
    <w:rsid w:val="002C224D"/>
    <w:rsid w:val="002C2482"/>
    <w:rsid w:val="002C32AA"/>
    <w:rsid w:val="002C3876"/>
    <w:rsid w:val="002C3B3E"/>
    <w:rsid w:val="002C4200"/>
    <w:rsid w:val="002C4826"/>
    <w:rsid w:val="002C54CF"/>
    <w:rsid w:val="002C72C4"/>
    <w:rsid w:val="002C7564"/>
    <w:rsid w:val="002C7D58"/>
    <w:rsid w:val="002D03D6"/>
    <w:rsid w:val="002D0A81"/>
    <w:rsid w:val="002D1CE3"/>
    <w:rsid w:val="002D254D"/>
    <w:rsid w:val="002D28B1"/>
    <w:rsid w:val="002D2F7E"/>
    <w:rsid w:val="002D343F"/>
    <w:rsid w:val="002D499D"/>
    <w:rsid w:val="002D5009"/>
    <w:rsid w:val="002D537A"/>
    <w:rsid w:val="002D55A3"/>
    <w:rsid w:val="002D5CCB"/>
    <w:rsid w:val="002D5DBE"/>
    <w:rsid w:val="002D60CE"/>
    <w:rsid w:val="002D788E"/>
    <w:rsid w:val="002D7E8A"/>
    <w:rsid w:val="002E08F8"/>
    <w:rsid w:val="002E1001"/>
    <w:rsid w:val="002E21EE"/>
    <w:rsid w:val="002E29BB"/>
    <w:rsid w:val="002E2A00"/>
    <w:rsid w:val="002E2B97"/>
    <w:rsid w:val="002E2F8D"/>
    <w:rsid w:val="002E357F"/>
    <w:rsid w:val="002E3905"/>
    <w:rsid w:val="002E4612"/>
    <w:rsid w:val="002E4C8A"/>
    <w:rsid w:val="002E694D"/>
    <w:rsid w:val="002E6B73"/>
    <w:rsid w:val="002E6B9C"/>
    <w:rsid w:val="002F042F"/>
    <w:rsid w:val="002F1C30"/>
    <w:rsid w:val="002F24C6"/>
    <w:rsid w:val="002F2A6A"/>
    <w:rsid w:val="002F2C97"/>
    <w:rsid w:val="002F3A88"/>
    <w:rsid w:val="002F3D06"/>
    <w:rsid w:val="002F5021"/>
    <w:rsid w:val="002F50BA"/>
    <w:rsid w:val="002F53AE"/>
    <w:rsid w:val="002F68A7"/>
    <w:rsid w:val="002F68C6"/>
    <w:rsid w:val="002F7920"/>
    <w:rsid w:val="002F7971"/>
    <w:rsid w:val="002F7B00"/>
    <w:rsid w:val="002F7E01"/>
    <w:rsid w:val="0030254B"/>
    <w:rsid w:val="00302581"/>
    <w:rsid w:val="003029F4"/>
    <w:rsid w:val="00302AD6"/>
    <w:rsid w:val="00302FCE"/>
    <w:rsid w:val="0030399B"/>
    <w:rsid w:val="00303CB4"/>
    <w:rsid w:val="00303E0C"/>
    <w:rsid w:val="00303F94"/>
    <w:rsid w:val="00304562"/>
    <w:rsid w:val="00306653"/>
    <w:rsid w:val="00306705"/>
    <w:rsid w:val="00306A0F"/>
    <w:rsid w:val="00306E23"/>
    <w:rsid w:val="003070FB"/>
    <w:rsid w:val="003079CA"/>
    <w:rsid w:val="00310156"/>
    <w:rsid w:val="003104AA"/>
    <w:rsid w:val="003106CF"/>
    <w:rsid w:val="00311294"/>
    <w:rsid w:val="00311D56"/>
    <w:rsid w:val="00311EAF"/>
    <w:rsid w:val="00312204"/>
    <w:rsid w:val="0031299E"/>
    <w:rsid w:val="00313881"/>
    <w:rsid w:val="00313AE3"/>
    <w:rsid w:val="00313D2D"/>
    <w:rsid w:val="0031451B"/>
    <w:rsid w:val="00314546"/>
    <w:rsid w:val="00314AB4"/>
    <w:rsid w:val="00314F64"/>
    <w:rsid w:val="00315F6C"/>
    <w:rsid w:val="003160E6"/>
    <w:rsid w:val="00316B3C"/>
    <w:rsid w:val="00316F94"/>
    <w:rsid w:val="00317704"/>
    <w:rsid w:val="0031775D"/>
    <w:rsid w:val="00320504"/>
    <w:rsid w:val="00320AD7"/>
    <w:rsid w:val="0032134A"/>
    <w:rsid w:val="003218B6"/>
    <w:rsid w:val="003219B6"/>
    <w:rsid w:val="00321C06"/>
    <w:rsid w:val="003220FB"/>
    <w:rsid w:val="00322542"/>
    <w:rsid w:val="00323103"/>
    <w:rsid w:val="003241D6"/>
    <w:rsid w:val="0032484F"/>
    <w:rsid w:val="00324930"/>
    <w:rsid w:val="0032528C"/>
    <w:rsid w:val="00325C4A"/>
    <w:rsid w:val="00326DF8"/>
    <w:rsid w:val="00326E4E"/>
    <w:rsid w:val="0032724A"/>
    <w:rsid w:val="00327898"/>
    <w:rsid w:val="00327E58"/>
    <w:rsid w:val="003306E5"/>
    <w:rsid w:val="00331116"/>
    <w:rsid w:val="00331197"/>
    <w:rsid w:val="0033119D"/>
    <w:rsid w:val="003318DC"/>
    <w:rsid w:val="00332202"/>
    <w:rsid w:val="003327B5"/>
    <w:rsid w:val="00332C34"/>
    <w:rsid w:val="00333B99"/>
    <w:rsid w:val="00333BDB"/>
    <w:rsid w:val="00334513"/>
    <w:rsid w:val="00334603"/>
    <w:rsid w:val="00334E31"/>
    <w:rsid w:val="00335ED6"/>
    <w:rsid w:val="003365DC"/>
    <w:rsid w:val="00336D14"/>
    <w:rsid w:val="00336F6F"/>
    <w:rsid w:val="0033700D"/>
    <w:rsid w:val="003372A6"/>
    <w:rsid w:val="003376D9"/>
    <w:rsid w:val="0033771B"/>
    <w:rsid w:val="003378E6"/>
    <w:rsid w:val="00337D5A"/>
    <w:rsid w:val="003402A6"/>
    <w:rsid w:val="00340510"/>
    <w:rsid w:val="00340B0A"/>
    <w:rsid w:val="00340CE7"/>
    <w:rsid w:val="00340F25"/>
    <w:rsid w:val="0034105E"/>
    <w:rsid w:val="00341E4D"/>
    <w:rsid w:val="003428B9"/>
    <w:rsid w:val="00342EB6"/>
    <w:rsid w:val="00343E29"/>
    <w:rsid w:val="00343FD6"/>
    <w:rsid w:val="00344104"/>
    <w:rsid w:val="003444FD"/>
    <w:rsid w:val="003448B0"/>
    <w:rsid w:val="00344B59"/>
    <w:rsid w:val="00344C1B"/>
    <w:rsid w:val="0034518A"/>
    <w:rsid w:val="003458F3"/>
    <w:rsid w:val="00345BEF"/>
    <w:rsid w:val="00345CC3"/>
    <w:rsid w:val="0034662A"/>
    <w:rsid w:val="00347995"/>
    <w:rsid w:val="00350245"/>
    <w:rsid w:val="00350615"/>
    <w:rsid w:val="0035103A"/>
    <w:rsid w:val="0035109B"/>
    <w:rsid w:val="0035160A"/>
    <w:rsid w:val="00351B20"/>
    <w:rsid w:val="003520AA"/>
    <w:rsid w:val="0035335C"/>
    <w:rsid w:val="00353C7C"/>
    <w:rsid w:val="0035433D"/>
    <w:rsid w:val="003543AF"/>
    <w:rsid w:val="00354779"/>
    <w:rsid w:val="0035565E"/>
    <w:rsid w:val="00355CB6"/>
    <w:rsid w:val="00356130"/>
    <w:rsid w:val="00356238"/>
    <w:rsid w:val="00356BF6"/>
    <w:rsid w:val="003572D6"/>
    <w:rsid w:val="003603EA"/>
    <w:rsid w:val="0036053D"/>
    <w:rsid w:val="0036076A"/>
    <w:rsid w:val="0036085B"/>
    <w:rsid w:val="00360CBA"/>
    <w:rsid w:val="00360FA3"/>
    <w:rsid w:val="003612C6"/>
    <w:rsid w:val="00361639"/>
    <w:rsid w:val="003626B5"/>
    <w:rsid w:val="00362ECE"/>
    <w:rsid w:val="0036383B"/>
    <w:rsid w:val="00363E75"/>
    <w:rsid w:val="00365E85"/>
    <w:rsid w:val="003662B0"/>
    <w:rsid w:val="00366362"/>
    <w:rsid w:val="003663BE"/>
    <w:rsid w:val="00366A2B"/>
    <w:rsid w:val="00367C2E"/>
    <w:rsid w:val="00367F6E"/>
    <w:rsid w:val="00370623"/>
    <w:rsid w:val="0037103A"/>
    <w:rsid w:val="003720FF"/>
    <w:rsid w:val="003723AC"/>
    <w:rsid w:val="00372C66"/>
    <w:rsid w:val="00372F83"/>
    <w:rsid w:val="0037396E"/>
    <w:rsid w:val="00373CB7"/>
    <w:rsid w:val="00374166"/>
    <w:rsid w:val="0037433C"/>
    <w:rsid w:val="003743EF"/>
    <w:rsid w:val="003748D6"/>
    <w:rsid w:val="00375818"/>
    <w:rsid w:val="00375AE8"/>
    <w:rsid w:val="00376248"/>
    <w:rsid w:val="00376311"/>
    <w:rsid w:val="00376991"/>
    <w:rsid w:val="00376BA4"/>
    <w:rsid w:val="00376CFF"/>
    <w:rsid w:val="00376D77"/>
    <w:rsid w:val="00376E29"/>
    <w:rsid w:val="003773B8"/>
    <w:rsid w:val="00377661"/>
    <w:rsid w:val="00377E76"/>
    <w:rsid w:val="00380F8C"/>
    <w:rsid w:val="0038103F"/>
    <w:rsid w:val="0038118A"/>
    <w:rsid w:val="0038179C"/>
    <w:rsid w:val="00381E3B"/>
    <w:rsid w:val="0038210F"/>
    <w:rsid w:val="00382FC9"/>
    <w:rsid w:val="003842D6"/>
    <w:rsid w:val="00384574"/>
    <w:rsid w:val="00384D27"/>
    <w:rsid w:val="00384DA0"/>
    <w:rsid w:val="003853EA"/>
    <w:rsid w:val="003855D0"/>
    <w:rsid w:val="00385E0F"/>
    <w:rsid w:val="00386361"/>
    <w:rsid w:val="00386F57"/>
    <w:rsid w:val="00387FB2"/>
    <w:rsid w:val="00387FE5"/>
    <w:rsid w:val="00390118"/>
    <w:rsid w:val="003903D9"/>
    <w:rsid w:val="003907A3"/>
    <w:rsid w:val="00390F42"/>
    <w:rsid w:val="00391598"/>
    <w:rsid w:val="0039161C"/>
    <w:rsid w:val="00392108"/>
    <w:rsid w:val="003923CF"/>
    <w:rsid w:val="00392A9F"/>
    <w:rsid w:val="00392B2B"/>
    <w:rsid w:val="00392BAD"/>
    <w:rsid w:val="00392ED2"/>
    <w:rsid w:val="003947F8"/>
    <w:rsid w:val="0039480A"/>
    <w:rsid w:val="00394BAC"/>
    <w:rsid w:val="003950C3"/>
    <w:rsid w:val="00396785"/>
    <w:rsid w:val="003A028D"/>
    <w:rsid w:val="003A043B"/>
    <w:rsid w:val="003A0BAC"/>
    <w:rsid w:val="003A1019"/>
    <w:rsid w:val="003A2575"/>
    <w:rsid w:val="003A27A3"/>
    <w:rsid w:val="003A29AB"/>
    <w:rsid w:val="003A2EFE"/>
    <w:rsid w:val="003A47D0"/>
    <w:rsid w:val="003A4C05"/>
    <w:rsid w:val="003A4EAA"/>
    <w:rsid w:val="003A545A"/>
    <w:rsid w:val="003A5550"/>
    <w:rsid w:val="003A55A7"/>
    <w:rsid w:val="003A55B5"/>
    <w:rsid w:val="003A5700"/>
    <w:rsid w:val="003A5B94"/>
    <w:rsid w:val="003A68F8"/>
    <w:rsid w:val="003A6D02"/>
    <w:rsid w:val="003A6D3C"/>
    <w:rsid w:val="003B10F8"/>
    <w:rsid w:val="003B192B"/>
    <w:rsid w:val="003B19D6"/>
    <w:rsid w:val="003B233B"/>
    <w:rsid w:val="003B24AE"/>
    <w:rsid w:val="003B2719"/>
    <w:rsid w:val="003B29D0"/>
    <w:rsid w:val="003B443C"/>
    <w:rsid w:val="003B45A2"/>
    <w:rsid w:val="003B494F"/>
    <w:rsid w:val="003B52E8"/>
    <w:rsid w:val="003B57EA"/>
    <w:rsid w:val="003B591A"/>
    <w:rsid w:val="003B5C1E"/>
    <w:rsid w:val="003B66E0"/>
    <w:rsid w:val="003B6EDB"/>
    <w:rsid w:val="003B70A1"/>
    <w:rsid w:val="003B73ED"/>
    <w:rsid w:val="003B76B3"/>
    <w:rsid w:val="003B7AF3"/>
    <w:rsid w:val="003B7F97"/>
    <w:rsid w:val="003C0357"/>
    <w:rsid w:val="003C071A"/>
    <w:rsid w:val="003C0AB8"/>
    <w:rsid w:val="003C0CA3"/>
    <w:rsid w:val="003C0E7D"/>
    <w:rsid w:val="003C0EAD"/>
    <w:rsid w:val="003C14AE"/>
    <w:rsid w:val="003C1C4A"/>
    <w:rsid w:val="003C2588"/>
    <w:rsid w:val="003C3BE8"/>
    <w:rsid w:val="003C401A"/>
    <w:rsid w:val="003C4FD8"/>
    <w:rsid w:val="003C5E57"/>
    <w:rsid w:val="003C621C"/>
    <w:rsid w:val="003C6333"/>
    <w:rsid w:val="003C681D"/>
    <w:rsid w:val="003C71D0"/>
    <w:rsid w:val="003C7483"/>
    <w:rsid w:val="003C7A5F"/>
    <w:rsid w:val="003C7C90"/>
    <w:rsid w:val="003C7E90"/>
    <w:rsid w:val="003D0883"/>
    <w:rsid w:val="003D0B82"/>
    <w:rsid w:val="003D1000"/>
    <w:rsid w:val="003D1456"/>
    <w:rsid w:val="003D1BCA"/>
    <w:rsid w:val="003D1EE3"/>
    <w:rsid w:val="003D203C"/>
    <w:rsid w:val="003D2602"/>
    <w:rsid w:val="003D2CEB"/>
    <w:rsid w:val="003D388A"/>
    <w:rsid w:val="003D38EB"/>
    <w:rsid w:val="003D3C1D"/>
    <w:rsid w:val="003D4750"/>
    <w:rsid w:val="003D4780"/>
    <w:rsid w:val="003D4A03"/>
    <w:rsid w:val="003D4B1F"/>
    <w:rsid w:val="003D4C88"/>
    <w:rsid w:val="003D4CBC"/>
    <w:rsid w:val="003D505A"/>
    <w:rsid w:val="003D5CD7"/>
    <w:rsid w:val="003D6169"/>
    <w:rsid w:val="003D6210"/>
    <w:rsid w:val="003D6336"/>
    <w:rsid w:val="003D68FE"/>
    <w:rsid w:val="003D7FBE"/>
    <w:rsid w:val="003E0518"/>
    <w:rsid w:val="003E065C"/>
    <w:rsid w:val="003E06F3"/>
    <w:rsid w:val="003E08E3"/>
    <w:rsid w:val="003E0B1F"/>
    <w:rsid w:val="003E1730"/>
    <w:rsid w:val="003E1C14"/>
    <w:rsid w:val="003E1F6A"/>
    <w:rsid w:val="003E29CE"/>
    <w:rsid w:val="003E2C85"/>
    <w:rsid w:val="003E3C64"/>
    <w:rsid w:val="003E3CC0"/>
    <w:rsid w:val="003E4445"/>
    <w:rsid w:val="003E4551"/>
    <w:rsid w:val="003E4FDE"/>
    <w:rsid w:val="003E5A78"/>
    <w:rsid w:val="003E5CD0"/>
    <w:rsid w:val="003E6561"/>
    <w:rsid w:val="003E666C"/>
    <w:rsid w:val="003E6D55"/>
    <w:rsid w:val="003E707C"/>
    <w:rsid w:val="003E73F9"/>
    <w:rsid w:val="003E75DE"/>
    <w:rsid w:val="003F01B8"/>
    <w:rsid w:val="003F0B0A"/>
    <w:rsid w:val="003F143F"/>
    <w:rsid w:val="003F1992"/>
    <w:rsid w:val="003F1F96"/>
    <w:rsid w:val="003F21A0"/>
    <w:rsid w:val="003F2305"/>
    <w:rsid w:val="003F27AD"/>
    <w:rsid w:val="003F2B59"/>
    <w:rsid w:val="003F2CC3"/>
    <w:rsid w:val="003F31E5"/>
    <w:rsid w:val="003F3C39"/>
    <w:rsid w:val="003F47E1"/>
    <w:rsid w:val="003F58A6"/>
    <w:rsid w:val="003F5F5A"/>
    <w:rsid w:val="003F7633"/>
    <w:rsid w:val="00400DA2"/>
    <w:rsid w:val="00401046"/>
    <w:rsid w:val="004011C1"/>
    <w:rsid w:val="00401C2C"/>
    <w:rsid w:val="00401E6A"/>
    <w:rsid w:val="0040234B"/>
    <w:rsid w:val="004024F5"/>
    <w:rsid w:val="00402905"/>
    <w:rsid w:val="00402A2A"/>
    <w:rsid w:val="004035A3"/>
    <w:rsid w:val="00404265"/>
    <w:rsid w:val="00404610"/>
    <w:rsid w:val="0040511C"/>
    <w:rsid w:val="0040544C"/>
    <w:rsid w:val="004069D7"/>
    <w:rsid w:val="00406D6E"/>
    <w:rsid w:val="004073FD"/>
    <w:rsid w:val="004101A8"/>
    <w:rsid w:val="0041065C"/>
    <w:rsid w:val="00411EE9"/>
    <w:rsid w:val="00412386"/>
    <w:rsid w:val="004125D0"/>
    <w:rsid w:val="0041298B"/>
    <w:rsid w:val="00412DB3"/>
    <w:rsid w:val="00412EBB"/>
    <w:rsid w:val="00413052"/>
    <w:rsid w:val="00413B22"/>
    <w:rsid w:val="0041450E"/>
    <w:rsid w:val="00414C93"/>
    <w:rsid w:val="00415B92"/>
    <w:rsid w:val="00416191"/>
    <w:rsid w:val="004163F0"/>
    <w:rsid w:val="004171F0"/>
    <w:rsid w:val="00417675"/>
    <w:rsid w:val="004178A2"/>
    <w:rsid w:val="00417978"/>
    <w:rsid w:val="00417BEA"/>
    <w:rsid w:val="00417F96"/>
    <w:rsid w:val="004201AF"/>
    <w:rsid w:val="004201FD"/>
    <w:rsid w:val="00420694"/>
    <w:rsid w:val="00421115"/>
    <w:rsid w:val="00421AB2"/>
    <w:rsid w:val="00421B54"/>
    <w:rsid w:val="00421C79"/>
    <w:rsid w:val="00422856"/>
    <w:rsid w:val="004231E4"/>
    <w:rsid w:val="00423F2B"/>
    <w:rsid w:val="0042437D"/>
    <w:rsid w:val="004247AD"/>
    <w:rsid w:val="0042745B"/>
    <w:rsid w:val="00427672"/>
    <w:rsid w:val="0043072B"/>
    <w:rsid w:val="00431597"/>
    <w:rsid w:val="00431873"/>
    <w:rsid w:val="00432A59"/>
    <w:rsid w:val="00432BE8"/>
    <w:rsid w:val="00433299"/>
    <w:rsid w:val="0043346E"/>
    <w:rsid w:val="0043369A"/>
    <w:rsid w:val="004339BC"/>
    <w:rsid w:val="00433A42"/>
    <w:rsid w:val="00434725"/>
    <w:rsid w:val="00434D6F"/>
    <w:rsid w:val="00436070"/>
    <w:rsid w:val="004361E2"/>
    <w:rsid w:val="004368AD"/>
    <w:rsid w:val="00437BB4"/>
    <w:rsid w:val="00437D2F"/>
    <w:rsid w:val="00440334"/>
    <w:rsid w:val="00440DF1"/>
    <w:rsid w:val="004416E4"/>
    <w:rsid w:val="00442E4B"/>
    <w:rsid w:val="00443FAB"/>
    <w:rsid w:val="00444278"/>
    <w:rsid w:val="00445B41"/>
    <w:rsid w:val="00445D31"/>
    <w:rsid w:val="00446476"/>
    <w:rsid w:val="004465F5"/>
    <w:rsid w:val="004470A6"/>
    <w:rsid w:val="004470FF"/>
    <w:rsid w:val="00447612"/>
    <w:rsid w:val="00447CE6"/>
    <w:rsid w:val="00450067"/>
    <w:rsid w:val="00450BF1"/>
    <w:rsid w:val="00450F35"/>
    <w:rsid w:val="004510EB"/>
    <w:rsid w:val="00451312"/>
    <w:rsid w:val="004514A4"/>
    <w:rsid w:val="004522C0"/>
    <w:rsid w:val="00452F72"/>
    <w:rsid w:val="004531C0"/>
    <w:rsid w:val="004533B2"/>
    <w:rsid w:val="00453834"/>
    <w:rsid w:val="00453A67"/>
    <w:rsid w:val="00453EFB"/>
    <w:rsid w:val="004548BF"/>
    <w:rsid w:val="00454DFE"/>
    <w:rsid w:val="00455DB9"/>
    <w:rsid w:val="00456130"/>
    <w:rsid w:val="004561F0"/>
    <w:rsid w:val="00456CF8"/>
    <w:rsid w:val="00456F88"/>
    <w:rsid w:val="004570DC"/>
    <w:rsid w:val="0045723C"/>
    <w:rsid w:val="00460DF3"/>
    <w:rsid w:val="00461660"/>
    <w:rsid w:val="004616DF"/>
    <w:rsid w:val="00461CD8"/>
    <w:rsid w:val="00461CED"/>
    <w:rsid w:val="00461EF2"/>
    <w:rsid w:val="00461F23"/>
    <w:rsid w:val="00462595"/>
    <w:rsid w:val="00463A6D"/>
    <w:rsid w:val="004645D7"/>
    <w:rsid w:val="0046563B"/>
    <w:rsid w:val="00465D51"/>
    <w:rsid w:val="00467C2F"/>
    <w:rsid w:val="0047032C"/>
    <w:rsid w:val="00470742"/>
    <w:rsid w:val="004712CE"/>
    <w:rsid w:val="00471529"/>
    <w:rsid w:val="00471D7A"/>
    <w:rsid w:val="004725CD"/>
    <w:rsid w:val="004727D7"/>
    <w:rsid w:val="00472F32"/>
    <w:rsid w:val="00473765"/>
    <w:rsid w:val="0047413F"/>
    <w:rsid w:val="0047422D"/>
    <w:rsid w:val="004750F8"/>
    <w:rsid w:val="00475B4B"/>
    <w:rsid w:val="0047609B"/>
    <w:rsid w:val="004764CA"/>
    <w:rsid w:val="004767D5"/>
    <w:rsid w:val="0047687B"/>
    <w:rsid w:val="00476D08"/>
    <w:rsid w:val="00477138"/>
    <w:rsid w:val="00477A77"/>
    <w:rsid w:val="00480ED2"/>
    <w:rsid w:val="00482C90"/>
    <w:rsid w:val="00482DAF"/>
    <w:rsid w:val="00483BD4"/>
    <w:rsid w:val="00483E81"/>
    <w:rsid w:val="00483F63"/>
    <w:rsid w:val="0048468F"/>
    <w:rsid w:val="00484CE5"/>
    <w:rsid w:val="00485163"/>
    <w:rsid w:val="00485255"/>
    <w:rsid w:val="00485328"/>
    <w:rsid w:val="00485964"/>
    <w:rsid w:val="00486B7F"/>
    <w:rsid w:val="00486D77"/>
    <w:rsid w:val="00486EA7"/>
    <w:rsid w:val="00487315"/>
    <w:rsid w:val="00487FEF"/>
    <w:rsid w:val="00490285"/>
    <w:rsid w:val="00490C06"/>
    <w:rsid w:val="004913D0"/>
    <w:rsid w:val="00491818"/>
    <w:rsid w:val="004918A6"/>
    <w:rsid w:val="00491A23"/>
    <w:rsid w:val="00492319"/>
    <w:rsid w:val="0049256B"/>
    <w:rsid w:val="004925A5"/>
    <w:rsid w:val="00492B2E"/>
    <w:rsid w:val="00492B4D"/>
    <w:rsid w:val="00492DFB"/>
    <w:rsid w:val="00492F6D"/>
    <w:rsid w:val="0049352E"/>
    <w:rsid w:val="00493F40"/>
    <w:rsid w:val="004941F0"/>
    <w:rsid w:val="0049456C"/>
    <w:rsid w:val="00494908"/>
    <w:rsid w:val="00494E63"/>
    <w:rsid w:val="00495133"/>
    <w:rsid w:val="00495D41"/>
    <w:rsid w:val="004A0733"/>
    <w:rsid w:val="004A0AB0"/>
    <w:rsid w:val="004A11F8"/>
    <w:rsid w:val="004A13AB"/>
    <w:rsid w:val="004A19A7"/>
    <w:rsid w:val="004A1A07"/>
    <w:rsid w:val="004A2007"/>
    <w:rsid w:val="004A24E2"/>
    <w:rsid w:val="004A2756"/>
    <w:rsid w:val="004A33D2"/>
    <w:rsid w:val="004A3850"/>
    <w:rsid w:val="004A397D"/>
    <w:rsid w:val="004A460B"/>
    <w:rsid w:val="004A4BFE"/>
    <w:rsid w:val="004A4D10"/>
    <w:rsid w:val="004A681B"/>
    <w:rsid w:val="004A69E2"/>
    <w:rsid w:val="004A7519"/>
    <w:rsid w:val="004A7A63"/>
    <w:rsid w:val="004A7F98"/>
    <w:rsid w:val="004B0078"/>
    <w:rsid w:val="004B01F6"/>
    <w:rsid w:val="004B0575"/>
    <w:rsid w:val="004B0CE1"/>
    <w:rsid w:val="004B1698"/>
    <w:rsid w:val="004B2091"/>
    <w:rsid w:val="004B30D4"/>
    <w:rsid w:val="004B31A9"/>
    <w:rsid w:val="004B363D"/>
    <w:rsid w:val="004B36E7"/>
    <w:rsid w:val="004B3BBF"/>
    <w:rsid w:val="004B406C"/>
    <w:rsid w:val="004B42A4"/>
    <w:rsid w:val="004B47B5"/>
    <w:rsid w:val="004B4B50"/>
    <w:rsid w:val="004B4ED7"/>
    <w:rsid w:val="004B5E48"/>
    <w:rsid w:val="004B5EA3"/>
    <w:rsid w:val="004B6741"/>
    <w:rsid w:val="004B680E"/>
    <w:rsid w:val="004B69C0"/>
    <w:rsid w:val="004B7351"/>
    <w:rsid w:val="004B7AC0"/>
    <w:rsid w:val="004C0559"/>
    <w:rsid w:val="004C0668"/>
    <w:rsid w:val="004C0855"/>
    <w:rsid w:val="004C162E"/>
    <w:rsid w:val="004C231C"/>
    <w:rsid w:val="004C241D"/>
    <w:rsid w:val="004C2E3A"/>
    <w:rsid w:val="004C3197"/>
    <w:rsid w:val="004C3794"/>
    <w:rsid w:val="004C3796"/>
    <w:rsid w:val="004C430C"/>
    <w:rsid w:val="004C474B"/>
    <w:rsid w:val="004C5032"/>
    <w:rsid w:val="004C57F8"/>
    <w:rsid w:val="004C5D00"/>
    <w:rsid w:val="004C6850"/>
    <w:rsid w:val="004C7199"/>
    <w:rsid w:val="004C724A"/>
    <w:rsid w:val="004C7275"/>
    <w:rsid w:val="004D0924"/>
    <w:rsid w:val="004D1749"/>
    <w:rsid w:val="004D17C8"/>
    <w:rsid w:val="004D186B"/>
    <w:rsid w:val="004D218C"/>
    <w:rsid w:val="004D21C7"/>
    <w:rsid w:val="004D2525"/>
    <w:rsid w:val="004D259B"/>
    <w:rsid w:val="004D2D44"/>
    <w:rsid w:val="004D31DC"/>
    <w:rsid w:val="004D40AB"/>
    <w:rsid w:val="004D4137"/>
    <w:rsid w:val="004D46B1"/>
    <w:rsid w:val="004D4DC9"/>
    <w:rsid w:val="004D4FB0"/>
    <w:rsid w:val="004D56AB"/>
    <w:rsid w:val="004D59AA"/>
    <w:rsid w:val="004D5D99"/>
    <w:rsid w:val="004D60BD"/>
    <w:rsid w:val="004D6AF9"/>
    <w:rsid w:val="004D72E7"/>
    <w:rsid w:val="004D735B"/>
    <w:rsid w:val="004D79DC"/>
    <w:rsid w:val="004E037F"/>
    <w:rsid w:val="004E0AA0"/>
    <w:rsid w:val="004E0D5C"/>
    <w:rsid w:val="004E1044"/>
    <w:rsid w:val="004E1224"/>
    <w:rsid w:val="004E1872"/>
    <w:rsid w:val="004E1912"/>
    <w:rsid w:val="004E2710"/>
    <w:rsid w:val="004E2E81"/>
    <w:rsid w:val="004E327C"/>
    <w:rsid w:val="004E346D"/>
    <w:rsid w:val="004E45E7"/>
    <w:rsid w:val="004E5231"/>
    <w:rsid w:val="004E5C91"/>
    <w:rsid w:val="004E5F77"/>
    <w:rsid w:val="004E62ED"/>
    <w:rsid w:val="004E6ABC"/>
    <w:rsid w:val="004E6DEF"/>
    <w:rsid w:val="004E78CF"/>
    <w:rsid w:val="004E7B4F"/>
    <w:rsid w:val="004E7C4D"/>
    <w:rsid w:val="004E7C50"/>
    <w:rsid w:val="004F0444"/>
    <w:rsid w:val="004F1240"/>
    <w:rsid w:val="004F1A8C"/>
    <w:rsid w:val="004F25DA"/>
    <w:rsid w:val="004F30AC"/>
    <w:rsid w:val="004F3FA6"/>
    <w:rsid w:val="004F41BF"/>
    <w:rsid w:val="004F41F3"/>
    <w:rsid w:val="004F47A8"/>
    <w:rsid w:val="004F598B"/>
    <w:rsid w:val="004F5B27"/>
    <w:rsid w:val="004F5BE1"/>
    <w:rsid w:val="004F5CF2"/>
    <w:rsid w:val="004F6278"/>
    <w:rsid w:val="004F667B"/>
    <w:rsid w:val="004F6EA0"/>
    <w:rsid w:val="004F72B1"/>
    <w:rsid w:val="004F7759"/>
    <w:rsid w:val="005001DD"/>
    <w:rsid w:val="005003BC"/>
    <w:rsid w:val="0050155F"/>
    <w:rsid w:val="00503E2B"/>
    <w:rsid w:val="0050488B"/>
    <w:rsid w:val="00504B3F"/>
    <w:rsid w:val="00504DBE"/>
    <w:rsid w:val="00505DFA"/>
    <w:rsid w:val="00505F59"/>
    <w:rsid w:val="00506F89"/>
    <w:rsid w:val="00507306"/>
    <w:rsid w:val="00507726"/>
    <w:rsid w:val="00507A2D"/>
    <w:rsid w:val="005100CA"/>
    <w:rsid w:val="005106F4"/>
    <w:rsid w:val="00510F2C"/>
    <w:rsid w:val="00510F73"/>
    <w:rsid w:val="0051273D"/>
    <w:rsid w:val="00512B8F"/>
    <w:rsid w:val="00512D51"/>
    <w:rsid w:val="00512FBB"/>
    <w:rsid w:val="00513D57"/>
    <w:rsid w:val="00515713"/>
    <w:rsid w:val="00515800"/>
    <w:rsid w:val="005158F0"/>
    <w:rsid w:val="005159CA"/>
    <w:rsid w:val="00516512"/>
    <w:rsid w:val="00516B78"/>
    <w:rsid w:val="00517607"/>
    <w:rsid w:val="0052008C"/>
    <w:rsid w:val="00520944"/>
    <w:rsid w:val="00520A63"/>
    <w:rsid w:val="00520D92"/>
    <w:rsid w:val="005212F6"/>
    <w:rsid w:val="00521537"/>
    <w:rsid w:val="0052195A"/>
    <w:rsid w:val="00521BA0"/>
    <w:rsid w:val="00521CCB"/>
    <w:rsid w:val="00523742"/>
    <w:rsid w:val="005237B8"/>
    <w:rsid w:val="00524629"/>
    <w:rsid w:val="0052671B"/>
    <w:rsid w:val="00526903"/>
    <w:rsid w:val="00526F6D"/>
    <w:rsid w:val="005272A2"/>
    <w:rsid w:val="00527F1D"/>
    <w:rsid w:val="005302E0"/>
    <w:rsid w:val="00530B30"/>
    <w:rsid w:val="00531A18"/>
    <w:rsid w:val="00531CA7"/>
    <w:rsid w:val="00532D84"/>
    <w:rsid w:val="00532EAF"/>
    <w:rsid w:val="005331A1"/>
    <w:rsid w:val="005333BE"/>
    <w:rsid w:val="00533643"/>
    <w:rsid w:val="005340DE"/>
    <w:rsid w:val="005341E1"/>
    <w:rsid w:val="00534F2D"/>
    <w:rsid w:val="00535001"/>
    <w:rsid w:val="0053519F"/>
    <w:rsid w:val="00535DD0"/>
    <w:rsid w:val="00535DDA"/>
    <w:rsid w:val="00535ED8"/>
    <w:rsid w:val="00535F13"/>
    <w:rsid w:val="00536274"/>
    <w:rsid w:val="00536639"/>
    <w:rsid w:val="005366B3"/>
    <w:rsid w:val="005379B5"/>
    <w:rsid w:val="00537F3F"/>
    <w:rsid w:val="00540530"/>
    <w:rsid w:val="005410E5"/>
    <w:rsid w:val="00541DDE"/>
    <w:rsid w:val="005423FD"/>
    <w:rsid w:val="00542BA2"/>
    <w:rsid w:val="00543F13"/>
    <w:rsid w:val="00544292"/>
    <w:rsid w:val="005442D7"/>
    <w:rsid w:val="00544D8C"/>
    <w:rsid w:val="00544E4E"/>
    <w:rsid w:val="00545B37"/>
    <w:rsid w:val="00546204"/>
    <w:rsid w:val="005463F4"/>
    <w:rsid w:val="00546E7B"/>
    <w:rsid w:val="005479D8"/>
    <w:rsid w:val="00547C21"/>
    <w:rsid w:val="00547CBE"/>
    <w:rsid w:val="00550944"/>
    <w:rsid w:val="00550F93"/>
    <w:rsid w:val="005511D3"/>
    <w:rsid w:val="005520D8"/>
    <w:rsid w:val="0055299F"/>
    <w:rsid w:val="00552B88"/>
    <w:rsid w:val="0055349B"/>
    <w:rsid w:val="005547E5"/>
    <w:rsid w:val="00554E84"/>
    <w:rsid w:val="005554E7"/>
    <w:rsid w:val="0055559A"/>
    <w:rsid w:val="00555815"/>
    <w:rsid w:val="005565AE"/>
    <w:rsid w:val="005567D3"/>
    <w:rsid w:val="00556BF2"/>
    <w:rsid w:val="00556E7F"/>
    <w:rsid w:val="00557590"/>
    <w:rsid w:val="00560112"/>
    <w:rsid w:val="00560F4B"/>
    <w:rsid w:val="0056155C"/>
    <w:rsid w:val="00562468"/>
    <w:rsid w:val="00562B0E"/>
    <w:rsid w:val="005631C3"/>
    <w:rsid w:val="00563316"/>
    <w:rsid w:val="00563EB8"/>
    <w:rsid w:val="00563F79"/>
    <w:rsid w:val="00563FC7"/>
    <w:rsid w:val="00565470"/>
    <w:rsid w:val="0056572A"/>
    <w:rsid w:val="00566577"/>
    <w:rsid w:val="00567280"/>
    <w:rsid w:val="005702B8"/>
    <w:rsid w:val="00570ED5"/>
    <w:rsid w:val="00572F58"/>
    <w:rsid w:val="00573105"/>
    <w:rsid w:val="00573F3D"/>
    <w:rsid w:val="00574154"/>
    <w:rsid w:val="005741FD"/>
    <w:rsid w:val="00574574"/>
    <w:rsid w:val="00575578"/>
    <w:rsid w:val="00575F90"/>
    <w:rsid w:val="00575F9F"/>
    <w:rsid w:val="00576BA4"/>
    <w:rsid w:val="00576DA7"/>
    <w:rsid w:val="00576E1D"/>
    <w:rsid w:val="00577844"/>
    <w:rsid w:val="005779AB"/>
    <w:rsid w:val="00580373"/>
    <w:rsid w:val="00580768"/>
    <w:rsid w:val="0058084D"/>
    <w:rsid w:val="00580C99"/>
    <w:rsid w:val="0058122B"/>
    <w:rsid w:val="0058172C"/>
    <w:rsid w:val="00581D64"/>
    <w:rsid w:val="00581EC7"/>
    <w:rsid w:val="0058221D"/>
    <w:rsid w:val="005823D7"/>
    <w:rsid w:val="005841D8"/>
    <w:rsid w:val="00585298"/>
    <w:rsid w:val="00585B05"/>
    <w:rsid w:val="00585C52"/>
    <w:rsid w:val="00586042"/>
    <w:rsid w:val="00586B57"/>
    <w:rsid w:val="00586CB8"/>
    <w:rsid w:val="00587E35"/>
    <w:rsid w:val="0059039E"/>
    <w:rsid w:val="005904CE"/>
    <w:rsid w:val="00591B3A"/>
    <w:rsid w:val="00591E02"/>
    <w:rsid w:val="0059274E"/>
    <w:rsid w:val="00592853"/>
    <w:rsid w:val="00592B57"/>
    <w:rsid w:val="00592CD9"/>
    <w:rsid w:val="00592CE0"/>
    <w:rsid w:val="00593305"/>
    <w:rsid w:val="00593475"/>
    <w:rsid w:val="0059374E"/>
    <w:rsid w:val="00593E9E"/>
    <w:rsid w:val="0059431F"/>
    <w:rsid w:val="0059584D"/>
    <w:rsid w:val="005963BC"/>
    <w:rsid w:val="005968F5"/>
    <w:rsid w:val="00596AF7"/>
    <w:rsid w:val="00596BB6"/>
    <w:rsid w:val="00596E88"/>
    <w:rsid w:val="00597380"/>
    <w:rsid w:val="005974AB"/>
    <w:rsid w:val="00597586"/>
    <w:rsid w:val="00597738"/>
    <w:rsid w:val="0059785B"/>
    <w:rsid w:val="005A0E55"/>
    <w:rsid w:val="005A0EE3"/>
    <w:rsid w:val="005A105E"/>
    <w:rsid w:val="005A14A1"/>
    <w:rsid w:val="005A14E6"/>
    <w:rsid w:val="005A1C7F"/>
    <w:rsid w:val="005A24A2"/>
    <w:rsid w:val="005A25B9"/>
    <w:rsid w:val="005A2785"/>
    <w:rsid w:val="005A2E91"/>
    <w:rsid w:val="005A4230"/>
    <w:rsid w:val="005A4C6C"/>
    <w:rsid w:val="005A4D2B"/>
    <w:rsid w:val="005A5593"/>
    <w:rsid w:val="005A5F3C"/>
    <w:rsid w:val="005A63EE"/>
    <w:rsid w:val="005A791A"/>
    <w:rsid w:val="005A7F86"/>
    <w:rsid w:val="005B0460"/>
    <w:rsid w:val="005B06D7"/>
    <w:rsid w:val="005B0920"/>
    <w:rsid w:val="005B0971"/>
    <w:rsid w:val="005B174B"/>
    <w:rsid w:val="005B1FA3"/>
    <w:rsid w:val="005B241C"/>
    <w:rsid w:val="005B2478"/>
    <w:rsid w:val="005B278F"/>
    <w:rsid w:val="005B3874"/>
    <w:rsid w:val="005B484E"/>
    <w:rsid w:val="005B4E13"/>
    <w:rsid w:val="005B4FA9"/>
    <w:rsid w:val="005B50C7"/>
    <w:rsid w:val="005B58FE"/>
    <w:rsid w:val="005B5B65"/>
    <w:rsid w:val="005B5D7E"/>
    <w:rsid w:val="005B62C6"/>
    <w:rsid w:val="005B6582"/>
    <w:rsid w:val="005B6F05"/>
    <w:rsid w:val="005B70C5"/>
    <w:rsid w:val="005B7958"/>
    <w:rsid w:val="005B7CBB"/>
    <w:rsid w:val="005B7DB8"/>
    <w:rsid w:val="005B7E41"/>
    <w:rsid w:val="005B7FAD"/>
    <w:rsid w:val="005C0457"/>
    <w:rsid w:val="005C0AB2"/>
    <w:rsid w:val="005C0C48"/>
    <w:rsid w:val="005C0E1F"/>
    <w:rsid w:val="005C197B"/>
    <w:rsid w:val="005C1DB0"/>
    <w:rsid w:val="005C1E7B"/>
    <w:rsid w:val="005C277A"/>
    <w:rsid w:val="005C282C"/>
    <w:rsid w:val="005C31FC"/>
    <w:rsid w:val="005C35E4"/>
    <w:rsid w:val="005C3BBA"/>
    <w:rsid w:val="005C46A8"/>
    <w:rsid w:val="005C4929"/>
    <w:rsid w:val="005C496B"/>
    <w:rsid w:val="005C4EA5"/>
    <w:rsid w:val="005C5829"/>
    <w:rsid w:val="005C61CB"/>
    <w:rsid w:val="005C6742"/>
    <w:rsid w:val="005C6863"/>
    <w:rsid w:val="005C6C6A"/>
    <w:rsid w:val="005C6EF8"/>
    <w:rsid w:val="005D0EDB"/>
    <w:rsid w:val="005D1084"/>
    <w:rsid w:val="005D113D"/>
    <w:rsid w:val="005D150F"/>
    <w:rsid w:val="005D1AAD"/>
    <w:rsid w:val="005D1DF6"/>
    <w:rsid w:val="005D1FEA"/>
    <w:rsid w:val="005D2507"/>
    <w:rsid w:val="005D282F"/>
    <w:rsid w:val="005D2BBD"/>
    <w:rsid w:val="005D32BD"/>
    <w:rsid w:val="005D3C20"/>
    <w:rsid w:val="005D403F"/>
    <w:rsid w:val="005D4497"/>
    <w:rsid w:val="005D4585"/>
    <w:rsid w:val="005D4E5D"/>
    <w:rsid w:val="005D4FE6"/>
    <w:rsid w:val="005D5409"/>
    <w:rsid w:val="005D55BA"/>
    <w:rsid w:val="005D596C"/>
    <w:rsid w:val="005D59B7"/>
    <w:rsid w:val="005D5CE9"/>
    <w:rsid w:val="005D5DA4"/>
    <w:rsid w:val="005D6217"/>
    <w:rsid w:val="005D69A6"/>
    <w:rsid w:val="005D70F4"/>
    <w:rsid w:val="005D7F92"/>
    <w:rsid w:val="005D7FD4"/>
    <w:rsid w:val="005E032E"/>
    <w:rsid w:val="005E0503"/>
    <w:rsid w:val="005E1070"/>
    <w:rsid w:val="005E1208"/>
    <w:rsid w:val="005E1E51"/>
    <w:rsid w:val="005E2425"/>
    <w:rsid w:val="005E26C2"/>
    <w:rsid w:val="005E2C81"/>
    <w:rsid w:val="005E353E"/>
    <w:rsid w:val="005E3A15"/>
    <w:rsid w:val="005E5557"/>
    <w:rsid w:val="005E66C3"/>
    <w:rsid w:val="005E67D0"/>
    <w:rsid w:val="005E69A1"/>
    <w:rsid w:val="005E6AC2"/>
    <w:rsid w:val="005E6F08"/>
    <w:rsid w:val="005E718C"/>
    <w:rsid w:val="005F008F"/>
    <w:rsid w:val="005F00E2"/>
    <w:rsid w:val="005F0ED4"/>
    <w:rsid w:val="005F0EF3"/>
    <w:rsid w:val="005F0F1D"/>
    <w:rsid w:val="005F0F5A"/>
    <w:rsid w:val="005F1060"/>
    <w:rsid w:val="005F1ABE"/>
    <w:rsid w:val="005F1BCC"/>
    <w:rsid w:val="005F2291"/>
    <w:rsid w:val="005F27B2"/>
    <w:rsid w:val="005F2A4F"/>
    <w:rsid w:val="005F2DC3"/>
    <w:rsid w:val="005F3046"/>
    <w:rsid w:val="005F347B"/>
    <w:rsid w:val="005F3B91"/>
    <w:rsid w:val="005F4B2F"/>
    <w:rsid w:val="005F5157"/>
    <w:rsid w:val="005F6D50"/>
    <w:rsid w:val="005F6D89"/>
    <w:rsid w:val="005F7688"/>
    <w:rsid w:val="005F78E5"/>
    <w:rsid w:val="005F79A3"/>
    <w:rsid w:val="005F7B34"/>
    <w:rsid w:val="005F7D99"/>
    <w:rsid w:val="00600A2C"/>
    <w:rsid w:val="00601455"/>
    <w:rsid w:val="00601AB3"/>
    <w:rsid w:val="00601CAB"/>
    <w:rsid w:val="006023E1"/>
    <w:rsid w:val="006026F2"/>
    <w:rsid w:val="006030C5"/>
    <w:rsid w:val="0060446A"/>
    <w:rsid w:val="0060502C"/>
    <w:rsid w:val="00605FAB"/>
    <w:rsid w:val="00606644"/>
    <w:rsid w:val="0061160E"/>
    <w:rsid w:val="006119FC"/>
    <w:rsid w:val="00611D96"/>
    <w:rsid w:val="0061286C"/>
    <w:rsid w:val="00612F14"/>
    <w:rsid w:val="00614E5F"/>
    <w:rsid w:val="00615BEE"/>
    <w:rsid w:val="0061622B"/>
    <w:rsid w:val="006165A0"/>
    <w:rsid w:val="00616655"/>
    <w:rsid w:val="00617F34"/>
    <w:rsid w:val="0062015C"/>
    <w:rsid w:val="006202FE"/>
    <w:rsid w:val="006205A6"/>
    <w:rsid w:val="006207FC"/>
    <w:rsid w:val="006219BE"/>
    <w:rsid w:val="00621F30"/>
    <w:rsid w:val="00622F16"/>
    <w:rsid w:val="006233C4"/>
    <w:rsid w:val="00623BB9"/>
    <w:rsid w:val="00623F24"/>
    <w:rsid w:val="00623F87"/>
    <w:rsid w:val="00624ED5"/>
    <w:rsid w:val="00625AA0"/>
    <w:rsid w:val="0062620D"/>
    <w:rsid w:val="006262C3"/>
    <w:rsid w:val="00626E27"/>
    <w:rsid w:val="00627767"/>
    <w:rsid w:val="00630368"/>
    <w:rsid w:val="00630714"/>
    <w:rsid w:val="00631B20"/>
    <w:rsid w:val="006328DA"/>
    <w:rsid w:val="00632C50"/>
    <w:rsid w:val="00632EF6"/>
    <w:rsid w:val="00633399"/>
    <w:rsid w:val="006335B5"/>
    <w:rsid w:val="006337CB"/>
    <w:rsid w:val="00633ACB"/>
    <w:rsid w:val="00633E65"/>
    <w:rsid w:val="006342FD"/>
    <w:rsid w:val="00634A92"/>
    <w:rsid w:val="00634BDB"/>
    <w:rsid w:val="00636A16"/>
    <w:rsid w:val="00636EC1"/>
    <w:rsid w:val="0063799E"/>
    <w:rsid w:val="00637FEC"/>
    <w:rsid w:val="00640703"/>
    <w:rsid w:val="006407E6"/>
    <w:rsid w:val="006410D1"/>
    <w:rsid w:val="00641253"/>
    <w:rsid w:val="006414D2"/>
    <w:rsid w:val="00641A8B"/>
    <w:rsid w:val="00641CB5"/>
    <w:rsid w:val="0064289E"/>
    <w:rsid w:val="00642EA8"/>
    <w:rsid w:val="00642F67"/>
    <w:rsid w:val="0064313E"/>
    <w:rsid w:val="00643ED0"/>
    <w:rsid w:val="00644573"/>
    <w:rsid w:val="006448D2"/>
    <w:rsid w:val="00644B8B"/>
    <w:rsid w:val="006450B6"/>
    <w:rsid w:val="0064512E"/>
    <w:rsid w:val="006455E6"/>
    <w:rsid w:val="00646214"/>
    <w:rsid w:val="006464BD"/>
    <w:rsid w:val="00646D6A"/>
    <w:rsid w:val="0064701C"/>
    <w:rsid w:val="0064709B"/>
    <w:rsid w:val="00647179"/>
    <w:rsid w:val="00647C7D"/>
    <w:rsid w:val="00647E5C"/>
    <w:rsid w:val="0065012A"/>
    <w:rsid w:val="006516EE"/>
    <w:rsid w:val="0065265E"/>
    <w:rsid w:val="00653252"/>
    <w:rsid w:val="00654C52"/>
    <w:rsid w:val="00654DCB"/>
    <w:rsid w:val="00655830"/>
    <w:rsid w:val="00655EAC"/>
    <w:rsid w:val="00656088"/>
    <w:rsid w:val="00656C88"/>
    <w:rsid w:val="00657DD5"/>
    <w:rsid w:val="00660A55"/>
    <w:rsid w:val="00660B47"/>
    <w:rsid w:val="0066170B"/>
    <w:rsid w:val="00661892"/>
    <w:rsid w:val="00661ED5"/>
    <w:rsid w:val="00662076"/>
    <w:rsid w:val="0066230E"/>
    <w:rsid w:val="00662CAA"/>
    <w:rsid w:val="0066332D"/>
    <w:rsid w:val="0066381A"/>
    <w:rsid w:val="00663C89"/>
    <w:rsid w:val="00664203"/>
    <w:rsid w:val="0066446B"/>
    <w:rsid w:val="006647EE"/>
    <w:rsid w:val="00664CC3"/>
    <w:rsid w:val="00665126"/>
    <w:rsid w:val="0066582E"/>
    <w:rsid w:val="00665B2A"/>
    <w:rsid w:val="006660E1"/>
    <w:rsid w:val="00666A47"/>
    <w:rsid w:val="00666B5E"/>
    <w:rsid w:val="00666FD0"/>
    <w:rsid w:val="00667257"/>
    <w:rsid w:val="00667275"/>
    <w:rsid w:val="006678CF"/>
    <w:rsid w:val="00667AEC"/>
    <w:rsid w:val="00667F82"/>
    <w:rsid w:val="006703F3"/>
    <w:rsid w:val="00670A6C"/>
    <w:rsid w:val="00670AEB"/>
    <w:rsid w:val="0067110F"/>
    <w:rsid w:val="006717B3"/>
    <w:rsid w:val="00671A8A"/>
    <w:rsid w:val="00671DCF"/>
    <w:rsid w:val="00671EE0"/>
    <w:rsid w:val="0067283D"/>
    <w:rsid w:val="00672F09"/>
    <w:rsid w:val="0067316F"/>
    <w:rsid w:val="00674CC7"/>
    <w:rsid w:val="00674E00"/>
    <w:rsid w:val="006750CA"/>
    <w:rsid w:val="00675B87"/>
    <w:rsid w:val="006761FB"/>
    <w:rsid w:val="006768E4"/>
    <w:rsid w:val="00676AB0"/>
    <w:rsid w:val="00676CB2"/>
    <w:rsid w:val="00677E9E"/>
    <w:rsid w:val="0068004A"/>
    <w:rsid w:val="0068036D"/>
    <w:rsid w:val="00680F3B"/>
    <w:rsid w:val="006812BD"/>
    <w:rsid w:val="00681379"/>
    <w:rsid w:val="006814F4"/>
    <w:rsid w:val="0068261A"/>
    <w:rsid w:val="00683B5B"/>
    <w:rsid w:val="00684E88"/>
    <w:rsid w:val="006852F3"/>
    <w:rsid w:val="00686097"/>
    <w:rsid w:val="0068705E"/>
    <w:rsid w:val="00687C2B"/>
    <w:rsid w:val="00687E6A"/>
    <w:rsid w:val="006901A1"/>
    <w:rsid w:val="00690875"/>
    <w:rsid w:val="00690C26"/>
    <w:rsid w:val="00690C99"/>
    <w:rsid w:val="006913CD"/>
    <w:rsid w:val="0069186E"/>
    <w:rsid w:val="00691B9C"/>
    <w:rsid w:val="0069213B"/>
    <w:rsid w:val="006940CA"/>
    <w:rsid w:val="006941A5"/>
    <w:rsid w:val="0069513C"/>
    <w:rsid w:val="00695D7A"/>
    <w:rsid w:val="006967D8"/>
    <w:rsid w:val="0069698B"/>
    <w:rsid w:val="00696C42"/>
    <w:rsid w:val="00697026"/>
    <w:rsid w:val="00697CF0"/>
    <w:rsid w:val="006A058E"/>
    <w:rsid w:val="006A0F74"/>
    <w:rsid w:val="006A0FCC"/>
    <w:rsid w:val="006A1060"/>
    <w:rsid w:val="006A142E"/>
    <w:rsid w:val="006A1735"/>
    <w:rsid w:val="006A1A31"/>
    <w:rsid w:val="006A1ECA"/>
    <w:rsid w:val="006A208F"/>
    <w:rsid w:val="006A20A2"/>
    <w:rsid w:val="006A20A8"/>
    <w:rsid w:val="006A2268"/>
    <w:rsid w:val="006A2E52"/>
    <w:rsid w:val="006A33AB"/>
    <w:rsid w:val="006A3B2F"/>
    <w:rsid w:val="006A533B"/>
    <w:rsid w:val="006A536A"/>
    <w:rsid w:val="006A61C5"/>
    <w:rsid w:val="006A65DB"/>
    <w:rsid w:val="006A7614"/>
    <w:rsid w:val="006A7BDC"/>
    <w:rsid w:val="006B0574"/>
    <w:rsid w:val="006B094E"/>
    <w:rsid w:val="006B0A74"/>
    <w:rsid w:val="006B15B8"/>
    <w:rsid w:val="006B17D0"/>
    <w:rsid w:val="006B1954"/>
    <w:rsid w:val="006B1970"/>
    <w:rsid w:val="006B1ABB"/>
    <w:rsid w:val="006B1BDA"/>
    <w:rsid w:val="006B1CD4"/>
    <w:rsid w:val="006B1F2B"/>
    <w:rsid w:val="006B2A5E"/>
    <w:rsid w:val="006B398E"/>
    <w:rsid w:val="006B3B3F"/>
    <w:rsid w:val="006B501A"/>
    <w:rsid w:val="006B5BAC"/>
    <w:rsid w:val="006C06F1"/>
    <w:rsid w:val="006C09DD"/>
    <w:rsid w:val="006C1AE5"/>
    <w:rsid w:val="006C213E"/>
    <w:rsid w:val="006C2744"/>
    <w:rsid w:val="006C27B9"/>
    <w:rsid w:val="006C2E09"/>
    <w:rsid w:val="006C33D9"/>
    <w:rsid w:val="006C33FE"/>
    <w:rsid w:val="006C3EF4"/>
    <w:rsid w:val="006C4BDE"/>
    <w:rsid w:val="006C5BB6"/>
    <w:rsid w:val="006C623E"/>
    <w:rsid w:val="006C6831"/>
    <w:rsid w:val="006C69E6"/>
    <w:rsid w:val="006C6BD4"/>
    <w:rsid w:val="006C6F16"/>
    <w:rsid w:val="006C74F7"/>
    <w:rsid w:val="006C7D11"/>
    <w:rsid w:val="006D0715"/>
    <w:rsid w:val="006D0B2F"/>
    <w:rsid w:val="006D0DF1"/>
    <w:rsid w:val="006D0F5C"/>
    <w:rsid w:val="006D0F8F"/>
    <w:rsid w:val="006D17E5"/>
    <w:rsid w:val="006D1E2C"/>
    <w:rsid w:val="006D2274"/>
    <w:rsid w:val="006D25A2"/>
    <w:rsid w:val="006D28E1"/>
    <w:rsid w:val="006D2CF0"/>
    <w:rsid w:val="006D306C"/>
    <w:rsid w:val="006D3602"/>
    <w:rsid w:val="006D3A32"/>
    <w:rsid w:val="006D3BA8"/>
    <w:rsid w:val="006D400D"/>
    <w:rsid w:val="006D4211"/>
    <w:rsid w:val="006D4F7A"/>
    <w:rsid w:val="006D54DF"/>
    <w:rsid w:val="006D5B98"/>
    <w:rsid w:val="006D6C71"/>
    <w:rsid w:val="006D728F"/>
    <w:rsid w:val="006D7861"/>
    <w:rsid w:val="006E005A"/>
    <w:rsid w:val="006E0226"/>
    <w:rsid w:val="006E0601"/>
    <w:rsid w:val="006E09D0"/>
    <w:rsid w:val="006E0E7D"/>
    <w:rsid w:val="006E0EAD"/>
    <w:rsid w:val="006E142F"/>
    <w:rsid w:val="006E2281"/>
    <w:rsid w:val="006E228E"/>
    <w:rsid w:val="006E2D4D"/>
    <w:rsid w:val="006E2EC5"/>
    <w:rsid w:val="006E3344"/>
    <w:rsid w:val="006E3CCB"/>
    <w:rsid w:val="006E3CF6"/>
    <w:rsid w:val="006E3E93"/>
    <w:rsid w:val="006E3EEA"/>
    <w:rsid w:val="006E4562"/>
    <w:rsid w:val="006E46EF"/>
    <w:rsid w:val="006E55DF"/>
    <w:rsid w:val="006E6666"/>
    <w:rsid w:val="006E6E2E"/>
    <w:rsid w:val="006E6EF3"/>
    <w:rsid w:val="006E75F1"/>
    <w:rsid w:val="006E7EF7"/>
    <w:rsid w:val="006F0A47"/>
    <w:rsid w:val="006F12CA"/>
    <w:rsid w:val="006F1853"/>
    <w:rsid w:val="006F1B7B"/>
    <w:rsid w:val="006F1CB2"/>
    <w:rsid w:val="006F1D9D"/>
    <w:rsid w:val="006F2651"/>
    <w:rsid w:val="006F2789"/>
    <w:rsid w:val="006F2CE1"/>
    <w:rsid w:val="006F3522"/>
    <w:rsid w:val="006F3811"/>
    <w:rsid w:val="006F41FB"/>
    <w:rsid w:val="006F47BA"/>
    <w:rsid w:val="006F4B92"/>
    <w:rsid w:val="006F56EE"/>
    <w:rsid w:val="006F57B8"/>
    <w:rsid w:val="006F57F0"/>
    <w:rsid w:val="006F5FC5"/>
    <w:rsid w:val="006F672A"/>
    <w:rsid w:val="006F6801"/>
    <w:rsid w:val="006F70E7"/>
    <w:rsid w:val="006F746B"/>
    <w:rsid w:val="006F7CE4"/>
    <w:rsid w:val="0070072D"/>
    <w:rsid w:val="007009B3"/>
    <w:rsid w:val="007026C0"/>
    <w:rsid w:val="00702BBC"/>
    <w:rsid w:val="00702C61"/>
    <w:rsid w:val="0070316F"/>
    <w:rsid w:val="00703E78"/>
    <w:rsid w:val="00704A33"/>
    <w:rsid w:val="00704CB4"/>
    <w:rsid w:val="00705F80"/>
    <w:rsid w:val="00706130"/>
    <w:rsid w:val="0070636D"/>
    <w:rsid w:val="0070666D"/>
    <w:rsid w:val="007066A2"/>
    <w:rsid w:val="00706DD8"/>
    <w:rsid w:val="007079BE"/>
    <w:rsid w:val="007106C2"/>
    <w:rsid w:val="00710ADD"/>
    <w:rsid w:val="00711180"/>
    <w:rsid w:val="007116C7"/>
    <w:rsid w:val="00712915"/>
    <w:rsid w:val="00713089"/>
    <w:rsid w:val="007131E0"/>
    <w:rsid w:val="00713286"/>
    <w:rsid w:val="0071329E"/>
    <w:rsid w:val="007132D9"/>
    <w:rsid w:val="007134EF"/>
    <w:rsid w:val="007135A8"/>
    <w:rsid w:val="00713E26"/>
    <w:rsid w:val="00713E53"/>
    <w:rsid w:val="00713FD1"/>
    <w:rsid w:val="0071598F"/>
    <w:rsid w:val="00716CE9"/>
    <w:rsid w:val="00717497"/>
    <w:rsid w:val="00717B45"/>
    <w:rsid w:val="00720866"/>
    <w:rsid w:val="00721364"/>
    <w:rsid w:val="00721845"/>
    <w:rsid w:val="00722026"/>
    <w:rsid w:val="00722A23"/>
    <w:rsid w:val="00722EC5"/>
    <w:rsid w:val="007231C6"/>
    <w:rsid w:val="007238A3"/>
    <w:rsid w:val="00723925"/>
    <w:rsid w:val="00723D43"/>
    <w:rsid w:val="00723D7B"/>
    <w:rsid w:val="00723DA3"/>
    <w:rsid w:val="007249A5"/>
    <w:rsid w:val="007249A9"/>
    <w:rsid w:val="00725AC8"/>
    <w:rsid w:val="00726409"/>
    <w:rsid w:val="00726911"/>
    <w:rsid w:val="00727C4F"/>
    <w:rsid w:val="007305A9"/>
    <w:rsid w:val="007305DD"/>
    <w:rsid w:val="007306D1"/>
    <w:rsid w:val="00730822"/>
    <w:rsid w:val="00730A3A"/>
    <w:rsid w:val="00730D10"/>
    <w:rsid w:val="007317F2"/>
    <w:rsid w:val="0073188B"/>
    <w:rsid w:val="0073231D"/>
    <w:rsid w:val="00732817"/>
    <w:rsid w:val="00732C4E"/>
    <w:rsid w:val="007330DC"/>
    <w:rsid w:val="0073328C"/>
    <w:rsid w:val="00733E26"/>
    <w:rsid w:val="00733E9E"/>
    <w:rsid w:val="00734675"/>
    <w:rsid w:val="00734ADD"/>
    <w:rsid w:val="00735747"/>
    <w:rsid w:val="007359F1"/>
    <w:rsid w:val="00735CF4"/>
    <w:rsid w:val="00737411"/>
    <w:rsid w:val="007377C2"/>
    <w:rsid w:val="0074221A"/>
    <w:rsid w:val="00742347"/>
    <w:rsid w:val="00742D9D"/>
    <w:rsid w:val="00742E43"/>
    <w:rsid w:val="00743D47"/>
    <w:rsid w:val="00743E80"/>
    <w:rsid w:val="00743EF3"/>
    <w:rsid w:val="00744533"/>
    <w:rsid w:val="007448C6"/>
    <w:rsid w:val="00745C81"/>
    <w:rsid w:val="00745D94"/>
    <w:rsid w:val="0074693E"/>
    <w:rsid w:val="00746AE2"/>
    <w:rsid w:val="00746DDB"/>
    <w:rsid w:val="0074797C"/>
    <w:rsid w:val="00747B8E"/>
    <w:rsid w:val="007501F2"/>
    <w:rsid w:val="0075042E"/>
    <w:rsid w:val="00750563"/>
    <w:rsid w:val="00751BA5"/>
    <w:rsid w:val="00752191"/>
    <w:rsid w:val="007539CB"/>
    <w:rsid w:val="007541C2"/>
    <w:rsid w:val="007546B7"/>
    <w:rsid w:val="007549CA"/>
    <w:rsid w:val="00754E75"/>
    <w:rsid w:val="00755FF4"/>
    <w:rsid w:val="00756648"/>
    <w:rsid w:val="0075757C"/>
    <w:rsid w:val="007579B5"/>
    <w:rsid w:val="00757A8F"/>
    <w:rsid w:val="00757DA1"/>
    <w:rsid w:val="0076026F"/>
    <w:rsid w:val="0076138D"/>
    <w:rsid w:val="00761EF1"/>
    <w:rsid w:val="00762DB2"/>
    <w:rsid w:val="00762E7C"/>
    <w:rsid w:val="00763144"/>
    <w:rsid w:val="00763410"/>
    <w:rsid w:val="00763B15"/>
    <w:rsid w:val="00763E68"/>
    <w:rsid w:val="0076426F"/>
    <w:rsid w:val="0076543D"/>
    <w:rsid w:val="00765AB5"/>
    <w:rsid w:val="00765D4F"/>
    <w:rsid w:val="00766450"/>
    <w:rsid w:val="007665A4"/>
    <w:rsid w:val="00766834"/>
    <w:rsid w:val="00766A41"/>
    <w:rsid w:val="00766E65"/>
    <w:rsid w:val="00767849"/>
    <w:rsid w:val="00767A82"/>
    <w:rsid w:val="007703EC"/>
    <w:rsid w:val="00770B2A"/>
    <w:rsid w:val="0077111C"/>
    <w:rsid w:val="0077138C"/>
    <w:rsid w:val="007715BA"/>
    <w:rsid w:val="00771AB6"/>
    <w:rsid w:val="00771DDB"/>
    <w:rsid w:val="00771F78"/>
    <w:rsid w:val="00772545"/>
    <w:rsid w:val="007733F0"/>
    <w:rsid w:val="00773E75"/>
    <w:rsid w:val="00774228"/>
    <w:rsid w:val="00774639"/>
    <w:rsid w:val="00774FDA"/>
    <w:rsid w:val="00775064"/>
    <w:rsid w:val="007765CB"/>
    <w:rsid w:val="007771B3"/>
    <w:rsid w:val="00777A75"/>
    <w:rsid w:val="007804EC"/>
    <w:rsid w:val="0078076D"/>
    <w:rsid w:val="0078089D"/>
    <w:rsid w:val="00780CD7"/>
    <w:rsid w:val="007819B1"/>
    <w:rsid w:val="00781E4F"/>
    <w:rsid w:val="0078213E"/>
    <w:rsid w:val="00782F19"/>
    <w:rsid w:val="00783A5E"/>
    <w:rsid w:val="007843FB"/>
    <w:rsid w:val="007849F0"/>
    <w:rsid w:val="00784A8F"/>
    <w:rsid w:val="00784E04"/>
    <w:rsid w:val="0078580D"/>
    <w:rsid w:val="007902A6"/>
    <w:rsid w:val="0079121E"/>
    <w:rsid w:val="00791FBE"/>
    <w:rsid w:val="007923E5"/>
    <w:rsid w:val="00792BAB"/>
    <w:rsid w:val="00792C03"/>
    <w:rsid w:val="00793143"/>
    <w:rsid w:val="0079353C"/>
    <w:rsid w:val="00793853"/>
    <w:rsid w:val="00793AE6"/>
    <w:rsid w:val="0079436C"/>
    <w:rsid w:val="00794B20"/>
    <w:rsid w:val="00794B3B"/>
    <w:rsid w:val="00794BA3"/>
    <w:rsid w:val="00794FE6"/>
    <w:rsid w:val="007959EB"/>
    <w:rsid w:val="00795C5F"/>
    <w:rsid w:val="00795D60"/>
    <w:rsid w:val="00796035"/>
    <w:rsid w:val="007967ED"/>
    <w:rsid w:val="00796D27"/>
    <w:rsid w:val="00797360"/>
    <w:rsid w:val="007A0A39"/>
    <w:rsid w:val="007A0F10"/>
    <w:rsid w:val="007A1AC5"/>
    <w:rsid w:val="007A1E8D"/>
    <w:rsid w:val="007A20C0"/>
    <w:rsid w:val="007A2B23"/>
    <w:rsid w:val="007A317B"/>
    <w:rsid w:val="007A35B1"/>
    <w:rsid w:val="007A38F1"/>
    <w:rsid w:val="007A3CC6"/>
    <w:rsid w:val="007A4112"/>
    <w:rsid w:val="007A52ED"/>
    <w:rsid w:val="007A5FC2"/>
    <w:rsid w:val="007A60F5"/>
    <w:rsid w:val="007A644C"/>
    <w:rsid w:val="007A65AF"/>
    <w:rsid w:val="007A7E6A"/>
    <w:rsid w:val="007B0F7E"/>
    <w:rsid w:val="007B114A"/>
    <w:rsid w:val="007B1839"/>
    <w:rsid w:val="007B1B68"/>
    <w:rsid w:val="007B495D"/>
    <w:rsid w:val="007B49D2"/>
    <w:rsid w:val="007B50BD"/>
    <w:rsid w:val="007B528F"/>
    <w:rsid w:val="007B534A"/>
    <w:rsid w:val="007B5AC6"/>
    <w:rsid w:val="007B5ED3"/>
    <w:rsid w:val="007B6789"/>
    <w:rsid w:val="007B67EA"/>
    <w:rsid w:val="007B7174"/>
    <w:rsid w:val="007B769C"/>
    <w:rsid w:val="007B7962"/>
    <w:rsid w:val="007C0214"/>
    <w:rsid w:val="007C0FA5"/>
    <w:rsid w:val="007C1001"/>
    <w:rsid w:val="007C1270"/>
    <w:rsid w:val="007C1577"/>
    <w:rsid w:val="007C1F92"/>
    <w:rsid w:val="007C2032"/>
    <w:rsid w:val="007C2273"/>
    <w:rsid w:val="007C316A"/>
    <w:rsid w:val="007C3960"/>
    <w:rsid w:val="007C3C77"/>
    <w:rsid w:val="007C5C05"/>
    <w:rsid w:val="007C6008"/>
    <w:rsid w:val="007C641F"/>
    <w:rsid w:val="007C71C1"/>
    <w:rsid w:val="007C76F3"/>
    <w:rsid w:val="007C780B"/>
    <w:rsid w:val="007D08A5"/>
    <w:rsid w:val="007D0C50"/>
    <w:rsid w:val="007D0E9A"/>
    <w:rsid w:val="007D2F19"/>
    <w:rsid w:val="007D3213"/>
    <w:rsid w:val="007D33D7"/>
    <w:rsid w:val="007D3F6B"/>
    <w:rsid w:val="007D424D"/>
    <w:rsid w:val="007D42C5"/>
    <w:rsid w:val="007D5B1D"/>
    <w:rsid w:val="007D6656"/>
    <w:rsid w:val="007D7A9E"/>
    <w:rsid w:val="007D7EAF"/>
    <w:rsid w:val="007E00D0"/>
    <w:rsid w:val="007E14C3"/>
    <w:rsid w:val="007E1586"/>
    <w:rsid w:val="007E1A47"/>
    <w:rsid w:val="007E26B1"/>
    <w:rsid w:val="007E26C8"/>
    <w:rsid w:val="007E2899"/>
    <w:rsid w:val="007E2A33"/>
    <w:rsid w:val="007E2B44"/>
    <w:rsid w:val="007E2D3B"/>
    <w:rsid w:val="007E3D84"/>
    <w:rsid w:val="007E41F5"/>
    <w:rsid w:val="007E47FE"/>
    <w:rsid w:val="007E53A1"/>
    <w:rsid w:val="007E5F8A"/>
    <w:rsid w:val="007E764C"/>
    <w:rsid w:val="007E7C1A"/>
    <w:rsid w:val="007E7E0A"/>
    <w:rsid w:val="007E7F0E"/>
    <w:rsid w:val="007F09BA"/>
    <w:rsid w:val="007F105A"/>
    <w:rsid w:val="007F1090"/>
    <w:rsid w:val="007F2637"/>
    <w:rsid w:val="007F3054"/>
    <w:rsid w:val="007F3463"/>
    <w:rsid w:val="007F3D1F"/>
    <w:rsid w:val="007F4007"/>
    <w:rsid w:val="007F4B93"/>
    <w:rsid w:val="007F4BCA"/>
    <w:rsid w:val="007F4C56"/>
    <w:rsid w:val="007F4E46"/>
    <w:rsid w:val="007F52FB"/>
    <w:rsid w:val="007F567F"/>
    <w:rsid w:val="007F6D1C"/>
    <w:rsid w:val="007F749B"/>
    <w:rsid w:val="007F77B7"/>
    <w:rsid w:val="007F7AB1"/>
    <w:rsid w:val="007F7C90"/>
    <w:rsid w:val="007F7CB8"/>
    <w:rsid w:val="007F7D04"/>
    <w:rsid w:val="0080048F"/>
    <w:rsid w:val="00800B47"/>
    <w:rsid w:val="00800CBE"/>
    <w:rsid w:val="00800E59"/>
    <w:rsid w:val="00801517"/>
    <w:rsid w:val="008028A2"/>
    <w:rsid w:val="00804082"/>
    <w:rsid w:val="00806461"/>
    <w:rsid w:val="00806850"/>
    <w:rsid w:val="00807617"/>
    <w:rsid w:val="008076A1"/>
    <w:rsid w:val="00807DF0"/>
    <w:rsid w:val="0081063E"/>
    <w:rsid w:val="00810909"/>
    <w:rsid w:val="00810C05"/>
    <w:rsid w:val="00810FA1"/>
    <w:rsid w:val="00811593"/>
    <w:rsid w:val="008140AC"/>
    <w:rsid w:val="00814282"/>
    <w:rsid w:val="00814588"/>
    <w:rsid w:val="008147CC"/>
    <w:rsid w:val="00814AAB"/>
    <w:rsid w:val="00814EA5"/>
    <w:rsid w:val="00814EDC"/>
    <w:rsid w:val="0081535F"/>
    <w:rsid w:val="00815568"/>
    <w:rsid w:val="00815CC0"/>
    <w:rsid w:val="00815F36"/>
    <w:rsid w:val="008163E2"/>
    <w:rsid w:val="00816C21"/>
    <w:rsid w:val="00816F69"/>
    <w:rsid w:val="008200BB"/>
    <w:rsid w:val="00820193"/>
    <w:rsid w:val="00820417"/>
    <w:rsid w:val="008209F3"/>
    <w:rsid w:val="00821227"/>
    <w:rsid w:val="00821F57"/>
    <w:rsid w:val="00822240"/>
    <w:rsid w:val="008234CF"/>
    <w:rsid w:val="008240CF"/>
    <w:rsid w:val="008241EE"/>
    <w:rsid w:val="00825D2A"/>
    <w:rsid w:val="00826D54"/>
    <w:rsid w:val="00826DD1"/>
    <w:rsid w:val="00826F7E"/>
    <w:rsid w:val="00826F93"/>
    <w:rsid w:val="00827E76"/>
    <w:rsid w:val="008306CA"/>
    <w:rsid w:val="00830C76"/>
    <w:rsid w:val="00831076"/>
    <w:rsid w:val="00832D91"/>
    <w:rsid w:val="00833181"/>
    <w:rsid w:val="00833730"/>
    <w:rsid w:val="008341F9"/>
    <w:rsid w:val="00835616"/>
    <w:rsid w:val="008356EF"/>
    <w:rsid w:val="0083680D"/>
    <w:rsid w:val="00837A0C"/>
    <w:rsid w:val="008406E6"/>
    <w:rsid w:val="0084070A"/>
    <w:rsid w:val="00840C5F"/>
    <w:rsid w:val="00840F36"/>
    <w:rsid w:val="008410E0"/>
    <w:rsid w:val="0084178E"/>
    <w:rsid w:val="00841DFB"/>
    <w:rsid w:val="00841F58"/>
    <w:rsid w:val="00842895"/>
    <w:rsid w:val="00842EA6"/>
    <w:rsid w:val="00843424"/>
    <w:rsid w:val="008434A7"/>
    <w:rsid w:val="00843837"/>
    <w:rsid w:val="00843BE8"/>
    <w:rsid w:val="00843F21"/>
    <w:rsid w:val="008451DC"/>
    <w:rsid w:val="00845358"/>
    <w:rsid w:val="00845598"/>
    <w:rsid w:val="00845E40"/>
    <w:rsid w:val="008463BE"/>
    <w:rsid w:val="008468A2"/>
    <w:rsid w:val="00847020"/>
    <w:rsid w:val="0084744F"/>
    <w:rsid w:val="00847BE5"/>
    <w:rsid w:val="00850274"/>
    <w:rsid w:val="008502D8"/>
    <w:rsid w:val="00850572"/>
    <w:rsid w:val="0085096B"/>
    <w:rsid w:val="00850A34"/>
    <w:rsid w:val="00851DB6"/>
    <w:rsid w:val="00852076"/>
    <w:rsid w:val="00852598"/>
    <w:rsid w:val="00852B61"/>
    <w:rsid w:val="00853215"/>
    <w:rsid w:val="0085341B"/>
    <w:rsid w:val="00854696"/>
    <w:rsid w:val="00854A88"/>
    <w:rsid w:val="00854B95"/>
    <w:rsid w:val="00855247"/>
    <w:rsid w:val="00855CA4"/>
    <w:rsid w:val="00856373"/>
    <w:rsid w:val="008563DD"/>
    <w:rsid w:val="00856A04"/>
    <w:rsid w:val="00856C30"/>
    <w:rsid w:val="008571E0"/>
    <w:rsid w:val="00857C5D"/>
    <w:rsid w:val="008617AD"/>
    <w:rsid w:val="0086289E"/>
    <w:rsid w:val="00863551"/>
    <w:rsid w:val="0086365F"/>
    <w:rsid w:val="008645D1"/>
    <w:rsid w:val="00864725"/>
    <w:rsid w:val="0086478C"/>
    <w:rsid w:val="008647CE"/>
    <w:rsid w:val="00864C13"/>
    <w:rsid w:val="00865BC8"/>
    <w:rsid w:val="00866000"/>
    <w:rsid w:val="0086627E"/>
    <w:rsid w:val="008668ED"/>
    <w:rsid w:val="00867290"/>
    <w:rsid w:val="008672BE"/>
    <w:rsid w:val="00867FD7"/>
    <w:rsid w:val="00870404"/>
    <w:rsid w:val="008706A9"/>
    <w:rsid w:val="00870B81"/>
    <w:rsid w:val="00870F0E"/>
    <w:rsid w:val="00871CA0"/>
    <w:rsid w:val="00871FDE"/>
    <w:rsid w:val="00872926"/>
    <w:rsid w:val="00872D10"/>
    <w:rsid w:val="00872FAB"/>
    <w:rsid w:val="00873750"/>
    <w:rsid w:val="00874118"/>
    <w:rsid w:val="00874126"/>
    <w:rsid w:val="008742A6"/>
    <w:rsid w:val="008742AD"/>
    <w:rsid w:val="008770BD"/>
    <w:rsid w:val="00877129"/>
    <w:rsid w:val="00877752"/>
    <w:rsid w:val="00877B8E"/>
    <w:rsid w:val="0088003D"/>
    <w:rsid w:val="00880C0E"/>
    <w:rsid w:val="00880DE9"/>
    <w:rsid w:val="00880E85"/>
    <w:rsid w:val="00882527"/>
    <w:rsid w:val="0088308D"/>
    <w:rsid w:val="008838F8"/>
    <w:rsid w:val="00884075"/>
    <w:rsid w:val="00884BE0"/>
    <w:rsid w:val="00885815"/>
    <w:rsid w:val="00885900"/>
    <w:rsid w:val="008866A3"/>
    <w:rsid w:val="008866F0"/>
    <w:rsid w:val="00886835"/>
    <w:rsid w:val="0088688A"/>
    <w:rsid w:val="00887DCE"/>
    <w:rsid w:val="00887E10"/>
    <w:rsid w:val="008908E7"/>
    <w:rsid w:val="008926E6"/>
    <w:rsid w:val="0089338F"/>
    <w:rsid w:val="0089418C"/>
    <w:rsid w:val="00894CF0"/>
    <w:rsid w:val="00895031"/>
    <w:rsid w:val="0089527B"/>
    <w:rsid w:val="0089542C"/>
    <w:rsid w:val="00895507"/>
    <w:rsid w:val="008977B2"/>
    <w:rsid w:val="0089782B"/>
    <w:rsid w:val="00897D4A"/>
    <w:rsid w:val="008A033C"/>
    <w:rsid w:val="008A035E"/>
    <w:rsid w:val="008A07B5"/>
    <w:rsid w:val="008A16BB"/>
    <w:rsid w:val="008A1E92"/>
    <w:rsid w:val="008A218C"/>
    <w:rsid w:val="008A24CE"/>
    <w:rsid w:val="008A283F"/>
    <w:rsid w:val="008A2DBD"/>
    <w:rsid w:val="008A36A0"/>
    <w:rsid w:val="008A411A"/>
    <w:rsid w:val="008A420B"/>
    <w:rsid w:val="008A4C42"/>
    <w:rsid w:val="008A4F55"/>
    <w:rsid w:val="008A5AB9"/>
    <w:rsid w:val="008A6524"/>
    <w:rsid w:val="008A67EA"/>
    <w:rsid w:val="008A680F"/>
    <w:rsid w:val="008A6D07"/>
    <w:rsid w:val="008A7038"/>
    <w:rsid w:val="008A7922"/>
    <w:rsid w:val="008A7C47"/>
    <w:rsid w:val="008A7CF8"/>
    <w:rsid w:val="008B0E51"/>
    <w:rsid w:val="008B110E"/>
    <w:rsid w:val="008B1A6D"/>
    <w:rsid w:val="008B1F57"/>
    <w:rsid w:val="008B2187"/>
    <w:rsid w:val="008B2678"/>
    <w:rsid w:val="008B28B4"/>
    <w:rsid w:val="008B2A3E"/>
    <w:rsid w:val="008B2BEF"/>
    <w:rsid w:val="008B3166"/>
    <w:rsid w:val="008B363C"/>
    <w:rsid w:val="008B3704"/>
    <w:rsid w:val="008B3715"/>
    <w:rsid w:val="008B3EF4"/>
    <w:rsid w:val="008B4088"/>
    <w:rsid w:val="008B5506"/>
    <w:rsid w:val="008B631A"/>
    <w:rsid w:val="008B736B"/>
    <w:rsid w:val="008C0049"/>
    <w:rsid w:val="008C1BE4"/>
    <w:rsid w:val="008C2E6E"/>
    <w:rsid w:val="008C32F2"/>
    <w:rsid w:val="008C376D"/>
    <w:rsid w:val="008C4AA6"/>
    <w:rsid w:val="008C52EC"/>
    <w:rsid w:val="008C53F0"/>
    <w:rsid w:val="008C5927"/>
    <w:rsid w:val="008C5A7C"/>
    <w:rsid w:val="008C5E6D"/>
    <w:rsid w:val="008C5F24"/>
    <w:rsid w:val="008C6784"/>
    <w:rsid w:val="008C775D"/>
    <w:rsid w:val="008C78B9"/>
    <w:rsid w:val="008C7EDA"/>
    <w:rsid w:val="008D0129"/>
    <w:rsid w:val="008D0603"/>
    <w:rsid w:val="008D06DF"/>
    <w:rsid w:val="008D07F8"/>
    <w:rsid w:val="008D09CF"/>
    <w:rsid w:val="008D117B"/>
    <w:rsid w:val="008D1AF4"/>
    <w:rsid w:val="008D2464"/>
    <w:rsid w:val="008D2553"/>
    <w:rsid w:val="008D2DA2"/>
    <w:rsid w:val="008D36C3"/>
    <w:rsid w:val="008D36EC"/>
    <w:rsid w:val="008D3788"/>
    <w:rsid w:val="008D3E7D"/>
    <w:rsid w:val="008D3F1D"/>
    <w:rsid w:val="008D426D"/>
    <w:rsid w:val="008D4786"/>
    <w:rsid w:val="008D618D"/>
    <w:rsid w:val="008D686F"/>
    <w:rsid w:val="008D6950"/>
    <w:rsid w:val="008D755E"/>
    <w:rsid w:val="008E0944"/>
    <w:rsid w:val="008E18D8"/>
    <w:rsid w:val="008E1BFF"/>
    <w:rsid w:val="008E2C53"/>
    <w:rsid w:val="008E2FF5"/>
    <w:rsid w:val="008E3388"/>
    <w:rsid w:val="008E36E9"/>
    <w:rsid w:val="008E3D07"/>
    <w:rsid w:val="008E3DC7"/>
    <w:rsid w:val="008E5459"/>
    <w:rsid w:val="008E5D62"/>
    <w:rsid w:val="008E69AA"/>
    <w:rsid w:val="008E6B27"/>
    <w:rsid w:val="008E6D61"/>
    <w:rsid w:val="008E70C8"/>
    <w:rsid w:val="008E7A8C"/>
    <w:rsid w:val="008F0025"/>
    <w:rsid w:val="008F08E6"/>
    <w:rsid w:val="008F09DA"/>
    <w:rsid w:val="008F0BAD"/>
    <w:rsid w:val="008F0C60"/>
    <w:rsid w:val="008F1215"/>
    <w:rsid w:val="008F1260"/>
    <w:rsid w:val="008F1362"/>
    <w:rsid w:val="008F1F92"/>
    <w:rsid w:val="008F22E8"/>
    <w:rsid w:val="008F283F"/>
    <w:rsid w:val="008F2E81"/>
    <w:rsid w:val="008F2EB0"/>
    <w:rsid w:val="008F43B3"/>
    <w:rsid w:val="008F4C77"/>
    <w:rsid w:val="008F4D4B"/>
    <w:rsid w:val="008F5646"/>
    <w:rsid w:val="008F5CC5"/>
    <w:rsid w:val="008F5D3A"/>
    <w:rsid w:val="008F61C6"/>
    <w:rsid w:val="008F6891"/>
    <w:rsid w:val="008F6BB2"/>
    <w:rsid w:val="008F6D7F"/>
    <w:rsid w:val="008F7EFE"/>
    <w:rsid w:val="0090045A"/>
    <w:rsid w:val="00900D8A"/>
    <w:rsid w:val="00901161"/>
    <w:rsid w:val="009011F6"/>
    <w:rsid w:val="00901C36"/>
    <w:rsid w:val="0090225D"/>
    <w:rsid w:val="00902747"/>
    <w:rsid w:val="009038F4"/>
    <w:rsid w:val="00903D01"/>
    <w:rsid w:val="00904198"/>
    <w:rsid w:val="00904243"/>
    <w:rsid w:val="00904921"/>
    <w:rsid w:val="00904CB4"/>
    <w:rsid w:val="00904DEC"/>
    <w:rsid w:val="009072BE"/>
    <w:rsid w:val="009078F3"/>
    <w:rsid w:val="009100A5"/>
    <w:rsid w:val="00910487"/>
    <w:rsid w:val="00910A2F"/>
    <w:rsid w:val="00910D5B"/>
    <w:rsid w:val="00911394"/>
    <w:rsid w:val="009117DD"/>
    <w:rsid w:val="00911CC9"/>
    <w:rsid w:val="00911E2E"/>
    <w:rsid w:val="00912F74"/>
    <w:rsid w:val="00913513"/>
    <w:rsid w:val="00913F74"/>
    <w:rsid w:val="00913F87"/>
    <w:rsid w:val="00913FB3"/>
    <w:rsid w:val="009140C2"/>
    <w:rsid w:val="00914470"/>
    <w:rsid w:val="00914E34"/>
    <w:rsid w:val="00914F2A"/>
    <w:rsid w:val="009173C6"/>
    <w:rsid w:val="009175C0"/>
    <w:rsid w:val="00917A85"/>
    <w:rsid w:val="00917D5E"/>
    <w:rsid w:val="009208F5"/>
    <w:rsid w:val="00920A41"/>
    <w:rsid w:val="0092109F"/>
    <w:rsid w:val="009213D2"/>
    <w:rsid w:val="0092144D"/>
    <w:rsid w:val="00921C33"/>
    <w:rsid w:val="00922F3B"/>
    <w:rsid w:val="00923423"/>
    <w:rsid w:val="00924598"/>
    <w:rsid w:val="009245DC"/>
    <w:rsid w:val="0092479F"/>
    <w:rsid w:val="00924BF2"/>
    <w:rsid w:val="00924C77"/>
    <w:rsid w:val="00924DD3"/>
    <w:rsid w:val="00926DDE"/>
    <w:rsid w:val="0092746F"/>
    <w:rsid w:val="009300F6"/>
    <w:rsid w:val="00930AAB"/>
    <w:rsid w:val="009311D4"/>
    <w:rsid w:val="009319D9"/>
    <w:rsid w:val="00931AB4"/>
    <w:rsid w:val="00931C54"/>
    <w:rsid w:val="00931EE1"/>
    <w:rsid w:val="00931F79"/>
    <w:rsid w:val="0093208C"/>
    <w:rsid w:val="009326BF"/>
    <w:rsid w:val="0093270D"/>
    <w:rsid w:val="009338A4"/>
    <w:rsid w:val="00934086"/>
    <w:rsid w:val="009340CA"/>
    <w:rsid w:val="009346A1"/>
    <w:rsid w:val="009346B7"/>
    <w:rsid w:val="00934A82"/>
    <w:rsid w:val="00934CD6"/>
    <w:rsid w:val="00935712"/>
    <w:rsid w:val="00935B1F"/>
    <w:rsid w:val="00935B6A"/>
    <w:rsid w:val="0093678F"/>
    <w:rsid w:val="009368E4"/>
    <w:rsid w:val="00937C9F"/>
    <w:rsid w:val="009408E3"/>
    <w:rsid w:val="00940914"/>
    <w:rsid w:val="00941192"/>
    <w:rsid w:val="00941BEC"/>
    <w:rsid w:val="00941D7C"/>
    <w:rsid w:val="00943D6C"/>
    <w:rsid w:val="0094422A"/>
    <w:rsid w:val="0094493B"/>
    <w:rsid w:val="00944941"/>
    <w:rsid w:val="00945350"/>
    <w:rsid w:val="0094584F"/>
    <w:rsid w:val="009459E8"/>
    <w:rsid w:val="009464CD"/>
    <w:rsid w:val="00946939"/>
    <w:rsid w:val="009473C4"/>
    <w:rsid w:val="009475D5"/>
    <w:rsid w:val="009477AD"/>
    <w:rsid w:val="009477B8"/>
    <w:rsid w:val="00947F0B"/>
    <w:rsid w:val="00950C5D"/>
    <w:rsid w:val="00950EA3"/>
    <w:rsid w:val="009513B6"/>
    <w:rsid w:val="0095261A"/>
    <w:rsid w:val="00953D5D"/>
    <w:rsid w:val="009543F9"/>
    <w:rsid w:val="00954B87"/>
    <w:rsid w:val="00954E21"/>
    <w:rsid w:val="00954F1D"/>
    <w:rsid w:val="009555EE"/>
    <w:rsid w:val="00955683"/>
    <w:rsid w:val="00955758"/>
    <w:rsid w:val="00955A99"/>
    <w:rsid w:val="0095644D"/>
    <w:rsid w:val="00956DFA"/>
    <w:rsid w:val="00957540"/>
    <w:rsid w:val="00957961"/>
    <w:rsid w:val="00957B62"/>
    <w:rsid w:val="009602E7"/>
    <w:rsid w:val="009603A2"/>
    <w:rsid w:val="00960718"/>
    <w:rsid w:val="0096114F"/>
    <w:rsid w:val="009611E4"/>
    <w:rsid w:val="009614BA"/>
    <w:rsid w:val="0096192A"/>
    <w:rsid w:val="00961F49"/>
    <w:rsid w:val="00961FD7"/>
    <w:rsid w:val="009623A5"/>
    <w:rsid w:val="00962934"/>
    <w:rsid w:val="009632A1"/>
    <w:rsid w:val="00963314"/>
    <w:rsid w:val="00963328"/>
    <w:rsid w:val="00963791"/>
    <w:rsid w:val="00963C7A"/>
    <w:rsid w:val="009644D9"/>
    <w:rsid w:val="009644F2"/>
    <w:rsid w:val="00964C58"/>
    <w:rsid w:val="00964F7F"/>
    <w:rsid w:val="0096551C"/>
    <w:rsid w:val="009659FC"/>
    <w:rsid w:val="00965DD2"/>
    <w:rsid w:val="00965E62"/>
    <w:rsid w:val="00966156"/>
    <w:rsid w:val="009668F1"/>
    <w:rsid w:val="00967043"/>
    <w:rsid w:val="009670DB"/>
    <w:rsid w:val="00967342"/>
    <w:rsid w:val="009676E8"/>
    <w:rsid w:val="00970C1E"/>
    <w:rsid w:val="00970FC1"/>
    <w:rsid w:val="00971018"/>
    <w:rsid w:val="009721CD"/>
    <w:rsid w:val="0097243F"/>
    <w:rsid w:val="00972796"/>
    <w:rsid w:val="00972977"/>
    <w:rsid w:val="00974C16"/>
    <w:rsid w:val="0097537A"/>
    <w:rsid w:val="00976122"/>
    <w:rsid w:val="009774D2"/>
    <w:rsid w:val="0097786C"/>
    <w:rsid w:val="00977977"/>
    <w:rsid w:val="00977F96"/>
    <w:rsid w:val="009802D5"/>
    <w:rsid w:val="0098066F"/>
    <w:rsid w:val="00981395"/>
    <w:rsid w:val="00981B66"/>
    <w:rsid w:val="009825C4"/>
    <w:rsid w:val="009826A0"/>
    <w:rsid w:val="009826FB"/>
    <w:rsid w:val="00982A5A"/>
    <w:rsid w:val="00982CD0"/>
    <w:rsid w:val="009839CA"/>
    <w:rsid w:val="00983EEA"/>
    <w:rsid w:val="00983F07"/>
    <w:rsid w:val="0098400D"/>
    <w:rsid w:val="00984E4C"/>
    <w:rsid w:val="00985C8C"/>
    <w:rsid w:val="0098613A"/>
    <w:rsid w:val="009865D7"/>
    <w:rsid w:val="00986B45"/>
    <w:rsid w:val="00986E7E"/>
    <w:rsid w:val="0098722C"/>
    <w:rsid w:val="009872FB"/>
    <w:rsid w:val="009876D5"/>
    <w:rsid w:val="00987889"/>
    <w:rsid w:val="009879A1"/>
    <w:rsid w:val="00987A9B"/>
    <w:rsid w:val="00990338"/>
    <w:rsid w:val="00990B16"/>
    <w:rsid w:val="00990BE4"/>
    <w:rsid w:val="00990F65"/>
    <w:rsid w:val="0099139E"/>
    <w:rsid w:val="00991433"/>
    <w:rsid w:val="009916B6"/>
    <w:rsid w:val="00991981"/>
    <w:rsid w:val="009932E3"/>
    <w:rsid w:val="00993B49"/>
    <w:rsid w:val="00993FCC"/>
    <w:rsid w:val="0099465C"/>
    <w:rsid w:val="0099482E"/>
    <w:rsid w:val="00994B71"/>
    <w:rsid w:val="00994ED8"/>
    <w:rsid w:val="00995678"/>
    <w:rsid w:val="00995829"/>
    <w:rsid w:val="009962DB"/>
    <w:rsid w:val="0099715A"/>
    <w:rsid w:val="00997812"/>
    <w:rsid w:val="00997C30"/>
    <w:rsid w:val="00997F0C"/>
    <w:rsid w:val="009A049E"/>
    <w:rsid w:val="009A1EBF"/>
    <w:rsid w:val="009A2B56"/>
    <w:rsid w:val="009A2B5C"/>
    <w:rsid w:val="009A2E11"/>
    <w:rsid w:val="009A33B8"/>
    <w:rsid w:val="009A3400"/>
    <w:rsid w:val="009A379A"/>
    <w:rsid w:val="009A4692"/>
    <w:rsid w:val="009A4F3A"/>
    <w:rsid w:val="009A4F9E"/>
    <w:rsid w:val="009A6359"/>
    <w:rsid w:val="009A63CA"/>
    <w:rsid w:val="009A7291"/>
    <w:rsid w:val="009B0355"/>
    <w:rsid w:val="009B068E"/>
    <w:rsid w:val="009B10CF"/>
    <w:rsid w:val="009B1D57"/>
    <w:rsid w:val="009B260F"/>
    <w:rsid w:val="009B2DAD"/>
    <w:rsid w:val="009B315E"/>
    <w:rsid w:val="009B32DF"/>
    <w:rsid w:val="009B3AD3"/>
    <w:rsid w:val="009B435E"/>
    <w:rsid w:val="009B489F"/>
    <w:rsid w:val="009B5BA7"/>
    <w:rsid w:val="009B6172"/>
    <w:rsid w:val="009B7587"/>
    <w:rsid w:val="009B7D46"/>
    <w:rsid w:val="009C001B"/>
    <w:rsid w:val="009C0F6A"/>
    <w:rsid w:val="009C141D"/>
    <w:rsid w:val="009C2462"/>
    <w:rsid w:val="009C2D90"/>
    <w:rsid w:val="009C33D9"/>
    <w:rsid w:val="009C3731"/>
    <w:rsid w:val="009C3B79"/>
    <w:rsid w:val="009C574D"/>
    <w:rsid w:val="009C5761"/>
    <w:rsid w:val="009C5912"/>
    <w:rsid w:val="009C5A89"/>
    <w:rsid w:val="009C672C"/>
    <w:rsid w:val="009C67AA"/>
    <w:rsid w:val="009C6CB4"/>
    <w:rsid w:val="009C6D5F"/>
    <w:rsid w:val="009D03FB"/>
    <w:rsid w:val="009D06A7"/>
    <w:rsid w:val="009D06BE"/>
    <w:rsid w:val="009D0800"/>
    <w:rsid w:val="009D1E53"/>
    <w:rsid w:val="009D2ACD"/>
    <w:rsid w:val="009D3028"/>
    <w:rsid w:val="009D344E"/>
    <w:rsid w:val="009D34FB"/>
    <w:rsid w:val="009D3A58"/>
    <w:rsid w:val="009D3B1D"/>
    <w:rsid w:val="009D57F7"/>
    <w:rsid w:val="009D7873"/>
    <w:rsid w:val="009E1743"/>
    <w:rsid w:val="009E1AD6"/>
    <w:rsid w:val="009E24A3"/>
    <w:rsid w:val="009E3216"/>
    <w:rsid w:val="009E356C"/>
    <w:rsid w:val="009E394B"/>
    <w:rsid w:val="009E4EDE"/>
    <w:rsid w:val="009E5210"/>
    <w:rsid w:val="009E56EA"/>
    <w:rsid w:val="009E5A72"/>
    <w:rsid w:val="009E6184"/>
    <w:rsid w:val="009E65E0"/>
    <w:rsid w:val="009E6BC0"/>
    <w:rsid w:val="009F07BB"/>
    <w:rsid w:val="009F0B5A"/>
    <w:rsid w:val="009F0D88"/>
    <w:rsid w:val="009F137B"/>
    <w:rsid w:val="009F14AA"/>
    <w:rsid w:val="009F2452"/>
    <w:rsid w:val="009F250D"/>
    <w:rsid w:val="009F2576"/>
    <w:rsid w:val="009F2A6F"/>
    <w:rsid w:val="009F2CC2"/>
    <w:rsid w:val="009F377F"/>
    <w:rsid w:val="009F38E4"/>
    <w:rsid w:val="009F3A57"/>
    <w:rsid w:val="009F499E"/>
    <w:rsid w:val="009F49FA"/>
    <w:rsid w:val="009F4B61"/>
    <w:rsid w:val="009F50B9"/>
    <w:rsid w:val="009F5F9F"/>
    <w:rsid w:val="009F60FF"/>
    <w:rsid w:val="009F61BE"/>
    <w:rsid w:val="009F6413"/>
    <w:rsid w:val="009F646B"/>
    <w:rsid w:val="009F6872"/>
    <w:rsid w:val="00A009AF"/>
    <w:rsid w:val="00A00D75"/>
    <w:rsid w:val="00A016AD"/>
    <w:rsid w:val="00A02233"/>
    <w:rsid w:val="00A03E29"/>
    <w:rsid w:val="00A04039"/>
    <w:rsid w:val="00A04B27"/>
    <w:rsid w:val="00A04EBC"/>
    <w:rsid w:val="00A052D4"/>
    <w:rsid w:val="00A06892"/>
    <w:rsid w:val="00A06DE9"/>
    <w:rsid w:val="00A0742E"/>
    <w:rsid w:val="00A07BC4"/>
    <w:rsid w:val="00A10625"/>
    <w:rsid w:val="00A10921"/>
    <w:rsid w:val="00A1107A"/>
    <w:rsid w:val="00A11B05"/>
    <w:rsid w:val="00A124E2"/>
    <w:rsid w:val="00A126E8"/>
    <w:rsid w:val="00A1270A"/>
    <w:rsid w:val="00A128DB"/>
    <w:rsid w:val="00A12C2A"/>
    <w:rsid w:val="00A136F5"/>
    <w:rsid w:val="00A14580"/>
    <w:rsid w:val="00A1470B"/>
    <w:rsid w:val="00A14A53"/>
    <w:rsid w:val="00A157F7"/>
    <w:rsid w:val="00A1624D"/>
    <w:rsid w:val="00A1643A"/>
    <w:rsid w:val="00A171B4"/>
    <w:rsid w:val="00A2025F"/>
    <w:rsid w:val="00A20799"/>
    <w:rsid w:val="00A20B55"/>
    <w:rsid w:val="00A20F1E"/>
    <w:rsid w:val="00A2180A"/>
    <w:rsid w:val="00A224FE"/>
    <w:rsid w:val="00A2268E"/>
    <w:rsid w:val="00A2475B"/>
    <w:rsid w:val="00A247A7"/>
    <w:rsid w:val="00A2496D"/>
    <w:rsid w:val="00A252C2"/>
    <w:rsid w:val="00A25B57"/>
    <w:rsid w:val="00A25B90"/>
    <w:rsid w:val="00A2602B"/>
    <w:rsid w:val="00A266C3"/>
    <w:rsid w:val="00A26991"/>
    <w:rsid w:val="00A272E3"/>
    <w:rsid w:val="00A27572"/>
    <w:rsid w:val="00A27895"/>
    <w:rsid w:val="00A27B43"/>
    <w:rsid w:val="00A27BA7"/>
    <w:rsid w:val="00A30597"/>
    <w:rsid w:val="00A30C99"/>
    <w:rsid w:val="00A31AC0"/>
    <w:rsid w:val="00A32549"/>
    <w:rsid w:val="00A3334A"/>
    <w:rsid w:val="00A336DD"/>
    <w:rsid w:val="00A33854"/>
    <w:rsid w:val="00A33875"/>
    <w:rsid w:val="00A338F4"/>
    <w:rsid w:val="00A33BAA"/>
    <w:rsid w:val="00A34052"/>
    <w:rsid w:val="00A3478C"/>
    <w:rsid w:val="00A355E8"/>
    <w:rsid w:val="00A35787"/>
    <w:rsid w:val="00A35BC4"/>
    <w:rsid w:val="00A35D5A"/>
    <w:rsid w:val="00A35EA2"/>
    <w:rsid w:val="00A360D8"/>
    <w:rsid w:val="00A36142"/>
    <w:rsid w:val="00A36461"/>
    <w:rsid w:val="00A40183"/>
    <w:rsid w:val="00A4034D"/>
    <w:rsid w:val="00A40444"/>
    <w:rsid w:val="00A40770"/>
    <w:rsid w:val="00A40E9B"/>
    <w:rsid w:val="00A41123"/>
    <w:rsid w:val="00A41829"/>
    <w:rsid w:val="00A41C24"/>
    <w:rsid w:val="00A41D59"/>
    <w:rsid w:val="00A41E75"/>
    <w:rsid w:val="00A4236C"/>
    <w:rsid w:val="00A423FF"/>
    <w:rsid w:val="00A42508"/>
    <w:rsid w:val="00A42C6A"/>
    <w:rsid w:val="00A42FC8"/>
    <w:rsid w:val="00A43379"/>
    <w:rsid w:val="00A4347C"/>
    <w:rsid w:val="00A435DC"/>
    <w:rsid w:val="00A436E3"/>
    <w:rsid w:val="00A437E0"/>
    <w:rsid w:val="00A44C89"/>
    <w:rsid w:val="00A479B4"/>
    <w:rsid w:val="00A5041F"/>
    <w:rsid w:val="00A50DDD"/>
    <w:rsid w:val="00A51226"/>
    <w:rsid w:val="00A51483"/>
    <w:rsid w:val="00A52312"/>
    <w:rsid w:val="00A52816"/>
    <w:rsid w:val="00A53293"/>
    <w:rsid w:val="00A532BB"/>
    <w:rsid w:val="00A543E9"/>
    <w:rsid w:val="00A54718"/>
    <w:rsid w:val="00A54782"/>
    <w:rsid w:val="00A54A7C"/>
    <w:rsid w:val="00A55571"/>
    <w:rsid w:val="00A5631C"/>
    <w:rsid w:val="00A56523"/>
    <w:rsid w:val="00A56965"/>
    <w:rsid w:val="00A572A5"/>
    <w:rsid w:val="00A5743D"/>
    <w:rsid w:val="00A57EAC"/>
    <w:rsid w:val="00A60328"/>
    <w:rsid w:val="00A60336"/>
    <w:rsid w:val="00A60457"/>
    <w:rsid w:val="00A60686"/>
    <w:rsid w:val="00A6094A"/>
    <w:rsid w:val="00A61B6A"/>
    <w:rsid w:val="00A62378"/>
    <w:rsid w:val="00A62C7A"/>
    <w:rsid w:val="00A6458D"/>
    <w:rsid w:val="00A64B21"/>
    <w:rsid w:val="00A64B78"/>
    <w:rsid w:val="00A6511D"/>
    <w:rsid w:val="00A653B7"/>
    <w:rsid w:val="00A65A81"/>
    <w:rsid w:val="00A6603B"/>
    <w:rsid w:val="00A6617D"/>
    <w:rsid w:val="00A668A1"/>
    <w:rsid w:val="00A678EC"/>
    <w:rsid w:val="00A67DF0"/>
    <w:rsid w:val="00A70261"/>
    <w:rsid w:val="00A70265"/>
    <w:rsid w:val="00A70531"/>
    <w:rsid w:val="00A70541"/>
    <w:rsid w:val="00A70966"/>
    <w:rsid w:val="00A70E83"/>
    <w:rsid w:val="00A71843"/>
    <w:rsid w:val="00A72366"/>
    <w:rsid w:val="00A725CF"/>
    <w:rsid w:val="00A727B8"/>
    <w:rsid w:val="00A72C7C"/>
    <w:rsid w:val="00A72D01"/>
    <w:rsid w:val="00A7413B"/>
    <w:rsid w:val="00A7500B"/>
    <w:rsid w:val="00A756D9"/>
    <w:rsid w:val="00A75EE0"/>
    <w:rsid w:val="00A7655A"/>
    <w:rsid w:val="00A76AD4"/>
    <w:rsid w:val="00A808AD"/>
    <w:rsid w:val="00A81122"/>
    <w:rsid w:val="00A81B7C"/>
    <w:rsid w:val="00A824EB"/>
    <w:rsid w:val="00A82587"/>
    <w:rsid w:val="00A8295C"/>
    <w:rsid w:val="00A8447E"/>
    <w:rsid w:val="00A85050"/>
    <w:rsid w:val="00A851D9"/>
    <w:rsid w:val="00A85ED2"/>
    <w:rsid w:val="00A9040D"/>
    <w:rsid w:val="00A91346"/>
    <w:rsid w:val="00A91C03"/>
    <w:rsid w:val="00A92837"/>
    <w:rsid w:val="00A92D0A"/>
    <w:rsid w:val="00A934A4"/>
    <w:rsid w:val="00A93B89"/>
    <w:rsid w:val="00A93D2A"/>
    <w:rsid w:val="00A93D3B"/>
    <w:rsid w:val="00A94B63"/>
    <w:rsid w:val="00A95146"/>
    <w:rsid w:val="00A95672"/>
    <w:rsid w:val="00A95675"/>
    <w:rsid w:val="00A95B93"/>
    <w:rsid w:val="00A97758"/>
    <w:rsid w:val="00A977EB"/>
    <w:rsid w:val="00A97AD3"/>
    <w:rsid w:val="00AA0500"/>
    <w:rsid w:val="00AA11DF"/>
    <w:rsid w:val="00AA297B"/>
    <w:rsid w:val="00AA2B3F"/>
    <w:rsid w:val="00AA3D67"/>
    <w:rsid w:val="00AA4E01"/>
    <w:rsid w:val="00AA4E19"/>
    <w:rsid w:val="00AA532B"/>
    <w:rsid w:val="00AA57AB"/>
    <w:rsid w:val="00AA5815"/>
    <w:rsid w:val="00AA5D6E"/>
    <w:rsid w:val="00AA5DDD"/>
    <w:rsid w:val="00AA5E23"/>
    <w:rsid w:val="00AA64DB"/>
    <w:rsid w:val="00AA71DE"/>
    <w:rsid w:val="00AA7C83"/>
    <w:rsid w:val="00AB02D4"/>
    <w:rsid w:val="00AB04FC"/>
    <w:rsid w:val="00AB08D9"/>
    <w:rsid w:val="00AB0A0C"/>
    <w:rsid w:val="00AB0D18"/>
    <w:rsid w:val="00AB12A9"/>
    <w:rsid w:val="00AB169A"/>
    <w:rsid w:val="00AB19BC"/>
    <w:rsid w:val="00AB24BD"/>
    <w:rsid w:val="00AB2D90"/>
    <w:rsid w:val="00AB2E87"/>
    <w:rsid w:val="00AB3752"/>
    <w:rsid w:val="00AB39E1"/>
    <w:rsid w:val="00AB4978"/>
    <w:rsid w:val="00AB50CE"/>
    <w:rsid w:val="00AB5A03"/>
    <w:rsid w:val="00AB68DD"/>
    <w:rsid w:val="00AB7234"/>
    <w:rsid w:val="00AB7310"/>
    <w:rsid w:val="00AB7CDF"/>
    <w:rsid w:val="00AB7DE2"/>
    <w:rsid w:val="00AC13C1"/>
    <w:rsid w:val="00AC158E"/>
    <w:rsid w:val="00AC162C"/>
    <w:rsid w:val="00AC19E2"/>
    <w:rsid w:val="00AC1BC0"/>
    <w:rsid w:val="00AC1D16"/>
    <w:rsid w:val="00AC2696"/>
    <w:rsid w:val="00AC26A3"/>
    <w:rsid w:val="00AC2CD5"/>
    <w:rsid w:val="00AC3971"/>
    <w:rsid w:val="00AC3DF5"/>
    <w:rsid w:val="00AC4202"/>
    <w:rsid w:val="00AC44BE"/>
    <w:rsid w:val="00AC459A"/>
    <w:rsid w:val="00AC51F8"/>
    <w:rsid w:val="00AC528D"/>
    <w:rsid w:val="00AC52C4"/>
    <w:rsid w:val="00AC52DF"/>
    <w:rsid w:val="00AC5C73"/>
    <w:rsid w:val="00AC6FE0"/>
    <w:rsid w:val="00AC7490"/>
    <w:rsid w:val="00AC7E36"/>
    <w:rsid w:val="00AD05B8"/>
    <w:rsid w:val="00AD1420"/>
    <w:rsid w:val="00AD14D2"/>
    <w:rsid w:val="00AD1570"/>
    <w:rsid w:val="00AD16E0"/>
    <w:rsid w:val="00AD27EE"/>
    <w:rsid w:val="00AD2C75"/>
    <w:rsid w:val="00AD367C"/>
    <w:rsid w:val="00AD39CF"/>
    <w:rsid w:val="00AD3B1A"/>
    <w:rsid w:val="00AD414C"/>
    <w:rsid w:val="00AD43E1"/>
    <w:rsid w:val="00AD4F2D"/>
    <w:rsid w:val="00AD6268"/>
    <w:rsid w:val="00AD68D3"/>
    <w:rsid w:val="00AD6B58"/>
    <w:rsid w:val="00AD6C2F"/>
    <w:rsid w:val="00AD6E10"/>
    <w:rsid w:val="00AD72E4"/>
    <w:rsid w:val="00AD79E3"/>
    <w:rsid w:val="00AD7F18"/>
    <w:rsid w:val="00AD7F97"/>
    <w:rsid w:val="00AE04E5"/>
    <w:rsid w:val="00AE152B"/>
    <w:rsid w:val="00AE26FD"/>
    <w:rsid w:val="00AE277D"/>
    <w:rsid w:val="00AE2AA3"/>
    <w:rsid w:val="00AE2BA1"/>
    <w:rsid w:val="00AE30E6"/>
    <w:rsid w:val="00AE319D"/>
    <w:rsid w:val="00AE31B2"/>
    <w:rsid w:val="00AE3404"/>
    <w:rsid w:val="00AE4388"/>
    <w:rsid w:val="00AE4A86"/>
    <w:rsid w:val="00AE4AEF"/>
    <w:rsid w:val="00AE5533"/>
    <w:rsid w:val="00AE5AE0"/>
    <w:rsid w:val="00AE64FF"/>
    <w:rsid w:val="00AE79C6"/>
    <w:rsid w:val="00AE7C05"/>
    <w:rsid w:val="00AF00C6"/>
    <w:rsid w:val="00AF0843"/>
    <w:rsid w:val="00AF0E09"/>
    <w:rsid w:val="00AF1C11"/>
    <w:rsid w:val="00AF210F"/>
    <w:rsid w:val="00AF2CE2"/>
    <w:rsid w:val="00AF2E9A"/>
    <w:rsid w:val="00AF4559"/>
    <w:rsid w:val="00AF480E"/>
    <w:rsid w:val="00AF5691"/>
    <w:rsid w:val="00AF59C4"/>
    <w:rsid w:val="00AF5B11"/>
    <w:rsid w:val="00AF5D9C"/>
    <w:rsid w:val="00AF5DF7"/>
    <w:rsid w:val="00AF704D"/>
    <w:rsid w:val="00AF74D7"/>
    <w:rsid w:val="00AF7906"/>
    <w:rsid w:val="00AF7BAD"/>
    <w:rsid w:val="00AF7D4E"/>
    <w:rsid w:val="00B003AE"/>
    <w:rsid w:val="00B0081C"/>
    <w:rsid w:val="00B010A0"/>
    <w:rsid w:val="00B018F1"/>
    <w:rsid w:val="00B028FD"/>
    <w:rsid w:val="00B02DBF"/>
    <w:rsid w:val="00B02F5D"/>
    <w:rsid w:val="00B02F9F"/>
    <w:rsid w:val="00B031B9"/>
    <w:rsid w:val="00B032B0"/>
    <w:rsid w:val="00B03355"/>
    <w:rsid w:val="00B0455A"/>
    <w:rsid w:val="00B05374"/>
    <w:rsid w:val="00B054C0"/>
    <w:rsid w:val="00B05585"/>
    <w:rsid w:val="00B05ABB"/>
    <w:rsid w:val="00B067A1"/>
    <w:rsid w:val="00B06BAF"/>
    <w:rsid w:val="00B06BBC"/>
    <w:rsid w:val="00B07668"/>
    <w:rsid w:val="00B0778C"/>
    <w:rsid w:val="00B07A09"/>
    <w:rsid w:val="00B10460"/>
    <w:rsid w:val="00B105FA"/>
    <w:rsid w:val="00B10873"/>
    <w:rsid w:val="00B10915"/>
    <w:rsid w:val="00B110FC"/>
    <w:rsid w:val="00B11D3C"/>
    <w:rsid w:val="00B12689"/>
    <w:rsid w:val="00B13202"/>
    <w:rsid w:val="00B13707"/>
    <w:rsid w:val="00B138B4"/>
    <w:rsid w:val="00B1566C"/>
    <w:rsid w:val="00B16269"/>
    <w:rsid w:val="00B1631B"/>
    <w:rsid w:val="00B163E0"/>
    <w:rsid w:val="00B16751"/>
    <w:rsid w:val="00B16E56"/>
    <w:rsid w:val="00B17761"/>
    <w:rsid w:val="00B17AF5"/>
    <w:rsid w:val="00B20BB2"/>
    <w:rsid w:val="00B217A0"/>
    <w:rsid w:val="00B21B6D"/>
    <w:rsid w:val="00B22BB5"/>
    <w:rsid w:val="00B22EDC"/>
    <w:rsid w:val="00B231BD"/>
    <w:rsid w:val="00B23A44"/>
    <w:rsid w:val="00B24119"/>
    <w:rsid w:val="00B243F7"/>
    <w:rsid w:val="00B24DF3"/>
    <w:rsid w:val="00B2534F"/>
    <w:rsid w:val="00B2597D"/>
    <w:rsid w:val="00B25D95"/>
    <w:rsid w:val="00B2618B"/>
    <w:rsid w:val="00B26927"/>
    <w:rsid w:val="00B26B02"/>
    <w:rsid w:val="00B30506"/>
    <w:rsid w:val="00B31AAB"/>
    <w:rsid w:val="00B3234B"/>
    <w:rsid w:val="00B325B9"/>
    <w:rsid w:val="00B331CE"/>
    <w:rsid w:val="00B334BD"/>
    <w:rsid w:val="00B33781"/>
    <w:rsid w:val="00B3414A"/>
    <w:rsid w:val="00B347F5"/>
    <w:rsid w:val="00B3504D"/>
    <w:rsid w:val="00B35B8D"/>
    <w:rsid w:val="00B35D92"/>
    <w:rsid w:val="00B35FAB"/>
    <w:rsid w:val="00B3662A"/>
    <w:rsid w:val="00B36934"/>
    <w:rsid w:val="00B3796A"/>
    <w:rsid w:val="00B40B04"/>
    <w:rsid w:val="00B40BDC"/>
    <w:rsid w:val="00B411A2"/>
    <w:rsid w:val="00B411D4"/>
    <w:rsid w:val="00B41650"/>
    <w:rsid w:val="00B41C98"/>
    <w:rsid w:val="00B422AF"/>
    <w:rsid w:val="00B42622"/>
    <w:rsid w:val="00B42E48"/>
    <w:rsid w:val="00B4457D"/>
    <w:rsid w:val="00B44662"/>
    <w:rsid w:val="00B44948"/>
    <w:rsid w:val="00B449E8"/>
    <w:rsid w:val="00B44C27"/>
    <w:rsid w:val="00B452D8"/>
    <w:rsid w:val="00B454FD"/>
    <w:rsid w:val="00B456B6"/>
    <w:rsid w:val="00B45F51"/>
    <w:rsid w:val="00B465B1"/>
    <w:rsid w:val="00B46B2C"/>
    <w:rsid w:val="00B46D8C"/>
    <w:rsid w:val="00B476B6"/>
    <w:rsid w:val="00B50726"/>
    <w:rsid w:val="00B507F2"/>
    <w:rsid w:val="00B517DB"/>
    <w:rsid w:val="00B51B52"/>
    <w:rsid w:val="00B5290B"/>
    <w:rsid w:val="00B53268"/>
    <w:rsid w:val="00B5328F"/>
    <w:rsid w:val="00B5381A"/>
    <w:rsid w:val="00B54106"/>
    <w:rsid w:val="00B54D89"/>
    <w:rsid w:val="00B56018"/>
    <w:rsid w:val="00B561B7"/>
    <w:rsid w:val="00B56428"/>
    <w:rsid w:val="00B575C2"/>
    <w:rsid w:val="00B5776D"/>
    <w:rsid w:val="00B607E0"/>
    <w:rsid w:val="00B6090F"/>
    <w:rsid w:val="00B609BF"/>
    <w:rsid w:val="00B60CB2"/>
    <w:rsid w:val="00B60E87"/>
    <w:rsid w:val="00B62ABC"/>
    <w:rsid w:val="00B63158"/>
    <w:rsid w:val="00B633EE"/>
    <w:rsid w:val="00B63644"/>
    <w:rsid w:val="00B6376D"/>
    <w:rsid w:val="00B63A6C"/>
    <w:rsid w:val="00B63C4F"/>
    <w:rsid w:val="00B641BC"/>
    <w:rsid w:val="00B645EE"/>
    <w:rsid w:val="00B64AF2"/>
    <w:rsid w:val="00B64CC7"/>
    <w:rsid w:val="00B6610C"/>
    <w:rsid w:val="00B667B6"/>
    <w:rsid w:val="00B66947"/>
    <w:rsid w:val="00B67332"/>
    <w:rsid w:val="00B673B1"/>
    <w:rsid w:val="00B677DA"/>
    <w:rsid w:val="00B67E79"/>
    <w:rsid w:val="00B7106B"/>
    <w:rsid w:val="00B7194C"/>
    <w:rsid w:val="00B71CD0"/>
    <w:rsid w:val="00B71F0F"/>
    <w:rsid w:val="00B71F28"/>
    <w:rsid w:val="00B71FF4"/>
    <w:rsid w:val="00B727F7"/>
    <w:rsid w:val="00B73D8B"/>
    <w:rsid w:val="00B747DA"/>
    <w:rsid w:val="00B759FB"/>
    <w:rsid w:val="00B75A5C"/>
    <w:rsid w:val="00B75F7E"/>
    <w:rsid w:val="00B76061"/>
    <w:rsid w:val="00B76141"/>
    <w:rsid w:val="00B76227"/>
    <w:rsid w:val="00B765BB"/>
    <w:rsid w:val="00B76B12"/>
    <w:rsid w:val="00B76ED2"/>
    <w:rsid w:val="00B770D9"/>
    <w:rsid w:val="00B77AE2"/>
    <w:rsid w:val="00B77B07"/>
    <w:rsid w:val="00B82255"/>
    <w:rsid w:val="00B82B07"/>
    <w:rsid w:val="00B835D1"/>
    <w:rsid w:val="00B84143"/>
    <w:rsid w:val="00B845BC"/>
    <w:rsid w:val="00B8472C"/>
    <w:rsid w:val="00B84D1C"/>
    <w:rsid w:val="00B85378"/>
    <w:rsid w:val="00B857E1"/>
    <w:rsid w:val="00B859D9"/>
    <w:rsid w:val="00B85A52"/>
    <w:rsid w:val="00B86BD4"/>
    <w:rsid w:val="00B86D05"/>
    <w:rsid w:val="00B86F22"/>
    <w:rsid w:val="00B8718B"/>
    <w:rsid w:val="00B871D0"/>
    <w:rsid w:val="00B901D2"/>
    <w:rsid w:val="00B9085C"/>
    <w:rsid w:val="00B90AD0"/>
    <w:rsid w:val="00B915B4"/>
    <w:rsid w:val="00B91933"/>
    <w:rsid w:val="00B92C64"/>
    <w:rsid w:val="00B93093"/>
    <w:rsid w:val="00B933DD"/>
    <w:rsid w:val="00B93FB3"/>
    <w:rsid w:val="00B949D5"/>
    <w:rsid w:val="00B94A8C"/>
    <w:rsid w:val="00B95225"/>
    <w:rsid w:val="00B956A4"/>
    <w:rsid w:val="00B958BD"/>
    <w:rsid w:val="00B95F81"/>
    <w:rsid w:val="00B962F7"/>
    <w:rsid w:val="00B96DEE"/>
    <w:rsid w:val="00B9718C"/>
    <w:rsid w:val="00B97A93"/>
    <w:rsid w:val="00BA0771"/>
    <w:rsid w:val="00BA0A60"/>
    <w:rsid w:val="00BA0BC2"/>
    <w:rsid w:val="00BA0FBF"/>
    <w:rsid w:val="00BA1520"/>
    <w:rsid w:val="00BA32B2"/>
    <w:rsid w:val="00BA37AE"/>
    <w:rsid w:val="00BA397B"/>
    <w:rsid w:val="00BA4BE2"/>
    <w:rsid w:val="00BA5336"/>
    <w:rsid w:val="00BA5656"/>
    <w:rsid w:val="00BA5969"/>
    <w:rsid w:val="00BA5ED3"/>
    <w:rsid w:val="00BA6080"/>
    <w:rsid w:val="00BA60F6"/>
    <w:rsid w:val="00BA636C"/>
    <w:rsid w:val="00BA6F34"/>
    <w:rsid w:val="00BA7894"/>
    <w:rsid w:val="00BB0591"/>
    <w:rsid w:val="00BB0C59"/>
    <w:rsid w:val="00BB10FC"/>
    <w:rsid w:val="00BB1496"/>
    <w:rsid w:val="00BB1A78"/>
    <w:rsid w:val="00BB20F5"/>
    <w:rsid w:val="00BB2124"/>
    <w:rsid w:val="00BB2AED"/>
    <w:rsid w:val="00BB3151"/>
    <w:rsid w:val="00BB363D"/>
    <w:rsid w:val="00BB3A9E"/>
    <w:rsid w:val="00BB3CB5"/>
    <w:rsid w:val="00BB403F"/>
    <w:rsid w:val="00BB44B0"/>
    <w:rsid w:val="00BB4ACD"/>
    <w:rsid w:val="00BB51CD"/>
    <w:rsid w:val="00BB56DF"/>
    <w:rsid w:val="00BB5CE2"/>
    <w:rsid w:val="00BB60E2"/>
    <w:rsid w:val="00BB6AA5"/>
    <w:rsid w:val="00BB7A8A"/>
    <w:rsid w:val="00BB7E40"/>
    <w:rsid w:val="00BC027D"/>
    <w:rsid w:val="00BC0305"/>
    <w:rsid w:val="00BC0ED3"/>
    <w:rsid w:val="00BC1243"/>
    <w:rsid w:val="00BC13CD"/>
    <w:rsid w:val="00BC1A77"/>
    <w:rsid w:val="00BC4073"/>
    <w:rsid w:val="00BC47B1"/>
    <w:rsid w:val="00BC4FE0"/>
    <w:rsid w:val="00BC5017"/>
    <w:rsid w:val="00BC5108"/>
    <w:rsid w:val="00BC5338"/>
    <w:rsid w:val="00BC6524"/>
    <w:rsid w:val="00BC6F13"/>
    <w:rsid w:val="00BC73B4"/>
    <w:rsid w:val="00BC77A7"/>
    <w:rsid w:val="00BC7DCC"/>
    <w:rsid w:val="00BD121E"/>
    <w:rsid w:val="00BD17E8"/>
    <w:rsid w:val="00BD2018"/>
    <w:rsid w:val="00BD26B8"/>
    <w:rsid w:val="00BD26EA"/>
    <w:rsid w:val="00BD2774"/>
    <w:rsid w:val="00BD2CAB"/>
    <w:rsid w:val="00BD3064"/>
    <w:rsid w:val="00BD3569"/>
    <w:rsid w:val="00BD369A"/>
    <w:rsid w:val="00BD38E2"/>
    <w:rsid w:val="00BD38FC"/>
    <w:rsid w:val="00BD3E91"/>
    <w:rsid w:val="00BD4738"/>
    <w:rsid w:val="00BD4EEB"/>
    <w:rsid w:val="00BD4F04"/>
    <w:rsid w:val="00BD4FFA"/>
    <w:rsid w:val="00BD521A"/>
    <w:rsid w:val="00BD58FD"/>
    <w:rsid w:val="00BD5A3F"/>
    <w:rsid w:val="00BD5DE8"/>
    <w:rsid w:val="00BD5FAD"/>
    <w:rsid w:val="00BD646B"/>
    <w:rsid w:val="00BD6B45"/>
    <w:rsid w:val="00BD7793"/>
    <w:rsid w:val="00BD7F89"/>
    <w:rsid w:val="00BE17E6"/>
    <w:rsid w:val="00BE1BD0"/>
    <w:rsid w:val="00BE31B9"/>
    <w:rsid w:val="00BE4346"/>
    <w:rsid w:val="00BE58FC"/>
    <w:rsid w:val="00BE5DD5"/>
    <w:rsid w:val="00BE6221"/>
    <w:rsid w:val="00BE6F64"/>
    <w:rsid w:val="00BE7420"/>
    <w:rsid w:val="00BE77DC"/>
    <w:rsid w:val="00BE7ED0"/>
    <w:rsid w:val="00BF033C"/>
    <w:rsid w:val="00BF03E3"/>
    <w:rsid w:val="00BF05B0"/>
    <w:rsid w:val="00BF1101"/>
    <w:rsid w:val="00BF17B2"/>
    <w:rsid w:val="00BF1952"/>
    <w:rsid w:val="00BF1C90"/>
    <w:rsid w:val="00BF22F6"/>
    <w:rsid w:val="00BF250B"/>
    <w:rsid w:val="00BF30DB"/>
    <w:rsid w:val="00BF35B6"/>
    <w:rsid w:val="00BF38F7"/>
    <w:rsid w:val="00BF3C32"/>
    <w:rsid w:val="00BF4091"/>
    <w:rsid w:val="00BF463E"/>
    <w:rsid w:val="00BF47B8"/>
    <w:rsid w:val="00BF500E"/>
    <w:rsid w:val="00BF510B"/>
    <w:rsid w:val="00BF5141"/>
    <w:rsid w:val="00BF5D2F"/>
    <w:rsid w:val="00BF6328"/>
    <w:rsid w:val="00BF6808"/>
    <w:rsid w:val="00BF6A21"/>
    <w:rsid w:val="00BF7B4E"/>
    <w:rsid w:val="00BF7C1C"/>
    <w:rsid w:val="00C00232"/>
    <w:rsid w:val="00C00385"/>
    <w:rsid w:val="00C0074B"/>
    <w:rsid w:val="00C00D6B"/>
    <w:rsid w:val="00C0133C"/>
    <w:rsid w:val="00C014BD"/>
    <w:rsid w:val="00C01E86"/>
    <w:rsid w:val="00C02B3E"/>
    <w:rsid w:val="00C03359"/>
    <w:rsid w:val="00C033B0"/>
    <w:rsid w:val="00C04059"/>
    <w:rsid w:val="00C0410E"/>
    <w:rsid w:val="00C042C9"/>
    <w:rsid w:val="00C04682"/>
    <w:rsid w:val="00C05DA5"/>
    <w:rsid w:val="00C060D0"/>
    <w:rsid w:val="00C0637B"/>
    <w:rsid w:val="00C06C56"/>
    <w:rsid w:val="00C06D82"/>
    <w:rsid w:val="00C06D8B"/>
    <w:rsid w:val="00C06E55"/>
    <w:rsid w:val="00C07370"/>
    <w:rsid w:val="00C07F1B"/>
    <w:rsid w:val="00C100CB"/>
    <w:rsid w:val="00C10A5C"/>
    <w:rsid w:val="00C10F1F"/>
    <w:rsid w:val="00C11192"/>
    <w:rsid w:val="00C11748"/>
    <w:rsid w:val="00C1181E"/>
    <w:rsid w:val="00C11ACA"/>
    <w:rsid w:val="00C12373"/>
    <w:rsid w:val="00C12935"/>
    <w:rsid w:val="00C133C6"/>
    <w:rsid w:val="00C1366A"/>
    <w:rsid w:val="00C13706"/>
    <w:rsid w:val="00C13C23"/>
    <w:rsid w:val="00C14191"/>
    <w:rsid w:val="00C1502B"/>
    <w:rsid w:val="00C150BF"/>
    <w:rsid w:val="00C15956"/>
    <w:rsid w:val="00C15D01"/>
    <w:rsid w:val="00C16CF0"/>
    <w:rsid w:val="00C16EEF"/>
    <w:rsid w:val="00C177A4"/>
    <w:rsid w:val="00C17B88"/>
    <w:rsid w:val="00C17DDA"/>
    <w:rsid w:val="00C21871"/>
    <w:rsid w:val="00C21ED5"/>
    <w:rsid w:val="00C22478"/>
    <w:rsid w:val="00C23075"/>
    <w:rsid w:val="00C230BD"/>
    <w:rsid w:val="00C230C2"/>
    <w:rsid w:val="00C233DE"/>
    <w:rsid w:val="00C23613"/>
    <w:rsid w:val="00C239BF"/>
    <w:rsid w:val="00C24150"/>
    <w:rsid w:val="00C244C9"/>
    <w:rsid w:val="00C24AE2"/>
    <w:rsid w:val="00C24EA4"/>
    <w:rsid w:val="00C253D3"/>
    <w:rsid w:val="00C26E82"/>
    <w:rsid w:val="00C27247"/>
    <w:rsid w:val="00C274E0"/>
    <w:rsid w:val="00C27622"/>
    <w:rsid w:val="00C30DDC"/>
    <w:rsid w:val="00C30E9B"/>
    <w:rsid w:val="00C3151C"/>
    <w:rsid w:val="00C31C34"/>
    <w:rsid w:val="00C3270F"/>
    <w:rsid w:val="00C33DD8"/>
    <w:rsid w:val="00C3455A"/>
    <w:rsid w:val="00C34BA0"/>
    <w:rsid w:val="00C34F49"/>
    <w:rsid w:val="00C35EF8"/>
    <w:rsid w:val="00C362B8"/>
    <w:rsid w:val="00C36AFC"/>
    <w:rsid w:val="00C36B9E"/>
    <w:rsid w:val="00C40246"/>
    <w:rsid w:val="00C406F6"/>
    <w:rsid w:val="00C40A46"/>
    <w:rsid w:val="00C40BE8"/>
    <w:rsid w:val="00C40DDD"/>
    <w:rsid w:val="00C40EBB"/>
    <w:rsid w:val="00C417CC"/>
    <w:rsid w:val="00C41A0A"/>
    <w:rsid w:val="00C41CD0"/>
    <w:rsid w:val="00C42735"/>
    <w:rsid w:val="00C43855"/>
    <w:rsid w:val="00C44A3A"/>
    <w:rsid w:val="00C44B11"/>
    <w:rsid w:val="00C4545D"/>
    <w:rsid w:val="00C45823"/>
    <w:rsid w:val="00C45BC6"/>
    <w:rsid w:val="00C46286"/>
    <w:rsid w:val="00C46965"/>
    <w:rsid w:val="00C47021"/>
    <w:rsid w:val="00C50273"/>
    <w:rsid w:val="00C50294"/>
    <w:rsid w:val="00C50901"/>
    <w:rsid w:val="00C50AAC"/>
    <w:rsid w:val="00C50F5B"/>
    <w:rsid w:val="00C51109"/>
    <w:rsid w:val="00C52358"/>
    <w:rsid w:val="00C52446"/>
    <w:rsid w:val="00C52AB2"/>
    <w:rsid w:val="00C533E6"/>
    <w:rsid w:val="00C535CE"/>
    <w:rsid w:val="00C53C52"/>
    <w:rsid w:val="00C54AFD"/>
    <w:rsid w:val="00C55914"/>
    <w:rsid w:val="00C55AF7"/>
    <w:rsid w:val="00C55DEA"/>
    <w:rsid w:val="00C57045"/>
    <w:rsid w:val="00C572D0"/>
    <w:rsid w:val="00C575AD"/>
    <w:rsid w:val="00C57C81"/>
    <w:rsid w:val="00C57DC7"/>
    <w:rsid w:val="00C600EB"/>
    <w:rsid w:val="00C605B0"/>
    <w:rsid w:val="00C613C7"/>
    <w:rsid w:val="00C6145D"/>
    <w:rsid w:val="00C619E4"/>
    <w:rsid w:val="00C61CBA"/>
    <w:rsid w:val="00C6273E"/>
    <w:rsid w:val="00C628DA"/>
    <w:rsid w:val="00C62ABC"/>
    <w:rsid w:val="00C62DFD"/>
    <w:rsid w:val="00C62E34"/>
    <w:rsid w:val="00C6368B"/>
    <w:rsid w:val="00C63978"/>
    <w:rsid w:val="00C63A4E"/>
    <w:rsid w:val="00C63A94"/>
    <w:rsid w:val="00C63BA5"/>
    <w:rsid w:val="00C63FA9"/>
    <w:rsid w:val="00C64137"/>
    <w:rsid w:val="00C65AB7"/>
    <w:rsid w:val="00C71577"/>
    <w:rsid w:val="00C7164E"/>
    <w:rsid w:val="00C7186B"/>
    <w:rsid w:val="00C71BE5"/>
    <w:rsid w:val="00C71F6A"/>
    <w:rsid w:val="00C72C06"/>
    <w:rsid w:val="00C72E26"/>
    <w:rsid w:val="00C73570"/>
    <w:rsid w:val="00C74185"/>
    <w:rsid w:val="00C741E4"/>
    <w:rsid w:val="00C7486E"/>
    <w:rsid w:val="00C74888"/>
    <w:rsid w:val="00C75372"/>
    <w:rsid w:val="00C75992"/>
    <w:rsid w:val="00C762C3"/>
    <w:rsid w:val="00C766E1"/>
    <w:rsid w:val="00C76AE8"/>
    <w:rsid w:val="00C77776"/>
    <w:rsid w:val="00C777CC"/>
    <w:rsid w:val="00C809AB"/>
    <w:rsid w:val="00C809FE"/>
    <w:rsid w:val="00C80AEA"/>
    <w:rsid w:val="00C8214C"/>
    <w:rsid w:val="00C83355"/>
    <w:rsid w:val="00C83581"/>
    <w:rsid w:val="00C83DF5"/>
    <w:rsid w:val="00C84088"/>
    <w:rsid w:val="00C8465B"/>
    <w:rsid w:val="00C84C16"/>
    <w:rsid w:val="00C84E47"/>
    <w:rsid w:val="00C857F8"/>
    <w:rsid w:val="00C85B8A"/>
    <w:rsid w:val="00C86C78"/>
    <w:rsid w:val="00C86DD7"/>
    <w:rsid w:val="00C879E9"/>
    <w:rsid w:val="00C87C4F"/>
    <w:rsid w:val="00C87DB6"/>
    <w:rsid w:val="00C90197"/>
    <w:rsid w:val="00C903B7"/>
    <w:rsid w:val="00C907F0"/>
    <w:rsid w:val="00C909EC"/>
    <w:rsid w:val="00C91672"/>
    <w:rsid w:val="00C916F9"/>
    <w:rsid w:val="00C91AA6"/>
    <w:rsid w:val="00C92697"/>
    <w:rsid w:val="00C943BD"/>
    <w:rsid w:val="00C94870"/>
    <w:rsid w:val="00C94929"/>
    <w:rsid w:val="00C9523A"/>
    <w:rsid w:val="00C957D8"/>
    <w:rsid w:val="00C95AA3"/>
    <w:rsid w:val="00C97142"/>
    <w:rsid w:val="00C9780A"/>
    <w:rsid w:val="00C97908"/>
    <w:rsid w:val="00C97C97"/>
    <w:rsid w:val="00C97F01"/>
    <w:rsid w:val="00C97FCB"/>
    <w:rsid w:val="00CA0FFD"/>
    <w:rsid w:val="00CA14BA"/>
    <w:rsid w:val="00CA16FC"/>
    <w:rsid w:val="00CA1BBC"/>
    <w:rsid w:val="00CA2277"/>
    <w:rsid w:val="00CA2340"/>
    <w:rsid w:val="00CA25E4"/>
    <w:rsid w:val="00CA3047"/>
    <w:rsid w:val="00CA304E"/>
    <w:rsid w:val="00CA3163"/>
    <w:rsid w:val="00CA39C6"/>
    <w:rsid w:val="00CA4E4E"/>
    <w:rsid w:val="00CA6A80"/>
    <w:rsid w:val="00CA732F"/>
    <w:rsid w:val="00CA74B0"/>
    <w:rsid w:val="00CA77F8"/>
    <w:rsid w:val="00CA7A8F"/>
    <w:rsid w:val="00CB0DE3"/>
    <w:rsid w:val="00CB1345"/>
    <w:rsid w:val="00CB16D0"/>
    <w:rsid w:val="00CB1ABE"/>
    <w:rsid w:val="00CB1EC6"/>
    <w:rsid w:val="00CB2AFF"/>
    <w:rsid w:val="00CB2BFB"/>
    <w:rsid w:val="00CB3253"/>
    <w:rsid w:val="00CB360C"/>
    <w:rsid w:val="00CB40BA"/>
    <w:rsid w:val="00CB47BC"/>
    <w:rsid w:val="00CB4D30"/>
    <w:rsid w:val="00CB558D"/>
    <w:rsid w:val="00CB5E73"/>
    <w:rsid w:val="00CB6312"/>
    <w:rsid w:val="00CB6649"/>
    <w:rsid w:val="00CB6B7C"/>
    <w:rsid w:val="00CB6BBD"/>
    <w:rsid w:val="00CB6E6F"/>
    <w:rsid w:val="00CB7DE5"/>
    <w:rsid w:val="00CB7EB3"/>
    <w:rsid w:val="00CC01AB"/>
    <w:rsid w:val="00CC08E4"/>
    <w:rsid w:val="00CC0AF9"/>
    <w:rsid w:val="00CC0C46"/>
    <w:rsid w:val="00CC1FCE"/>
    <w:rsid w:val="00CC3458"/>
    <w:rsid w:val="00CC3524"/>
    <w:rsid w:val="00CC363E"/>
    <w:rsid w:val="00CC3990"/>
    <w:rsid w:val="00CC3B7F"/>
    <w:rsid w:val="00CC4D17"/>
    <w:rsid w:val="00CC4D3B"/>
    <w:rsid w:val="00CC5224"/>
    <w:rsid w:val="00CC530D"/>
    <w:rsid w:val="00CC54F4"/>
    <w:rsid w:val="00CC6263"/>
    <w:rsid w:val="00CC7126"/>
    <w:rsid w:val="00CD0C2C"/>
    <w:rsid w:val="00CD0D55"/>
    <w:rsid w:val="00CD0E1E"/>
    <w:rsid w:val="00CD1CB4"/>
    <w:rsid w:val="00CD1E79"/>
    <w:rsid w:val="00CD2156"/>
    <w:rsid w:val="00CD22A0"/>
    <w:rsid w:val="00CD2C4C"/>
    <w:rsid w:val="00CD2D1D"/>
    <w:rsid w:val="00CD2E76"/>
    <w:rsid w:val="00CD3159"/>
    <w:rsid w:val="00CD3D2B"/>
    <w:rsid w:val="00CD3D88"/>
    <w:rsid w:val="00CD444C"/>
    <w:rsid w:val="00CD44EA"/>
    <w:rsid w:val="00CD4D4D"/>
    <w:rsid w:val="00CD4FC4"/>
    <w:rsid w:val="00CD52B5"/>
    <w:rsid w:val="00CD5C7C"/>
    <w:rsid w:val="00CD5E82"/>
    <w:rsid w:val="00CD6316"/>
    <w:rsid w:val="00CD6839"/>
    <w:rsid w:val="00CD7193"/>
    <w:rsid w:val="00CD73AF"/>
    <w:rsid w:val="00CD74A6"/>
    <w:rsid w:val="00CD7BF0"/>
    <w:rsid w:val="00CE023E"/>
    <w:rsid w:val="00CE0E58"/>
    <w:rsid w:val="00CE14D0"/>
    <w:rsid w:val="00CE1D2D"/>
    <w:rsid w:val="00CE23D9"/>
    <w:rsid w:val="00CE272A"/>
    <w:rsid w:val="00CE3BA5"/>
    <w:rsid w:val="00CE5658"/>
    <w:rsid w:val="00CE5BBE"/>
    <w:rsid w:val="00CE60DD"/>
    <w:rsid w:val="00CE6409"/>
    <w:rsid w:val="00CE66C4"/>
    <w:rsid w:val="00CE6B80"/>
    <w:rsid w:val="00CE6FD2"/>
    <w:rsid w:val="00CE744B"/>
    <w:rsid w:val="00CF0111"/>
    <w:rsid w:val="00CF0685"/>
    <w:rsid w:val="00CF07BD"/>
    <w:rsid w:val="00CF0968"/>
    <w:rsid w:val="00CF19BC"/>
    <w:rsid w:val="00CF1B9C"/>
    <w:rsid w:val="00CF245E"/>
    <w:rsid w:val="00CF2AA1"/>
    <w:rsid w:val="00CF37B8"/>
    <w:rsid w:val="00CF47E4"/>
    <w:rsid w:val="00CF480E"/>
    <w:rsid w:val="00CF4938"/>
    <w:rsid w:val="00CF4EA8"/>
    <w:rsid w:val="00CF522F"/>
    <w:rsid w:val="00CF5BA1"/>
    <w:rsid w:val="00CF5C11"/>
    <w:rsid w:val="00CF7F51"/>
    <w:rsid w:val="00CF7F7D"/>
    <w:rsid w:val="00CF7FCF"/>
    <w:rsid w:val="00D001D4"/>
    <w:rsid w:val="00D005AC"/>
    <w:rsid w:val="00D00641"/>
    <w:rsid w:val="00D0195C"/>
    <w:rsid w:val="00D01CE5"/>
    <w:rsid w:val="00D022AE"/>
    <w:rsid w:val="00D037F3"/>
    <w:rsid w:val="00D03904"/>
    <w:rsid w:val="00D03A70"/>
    <w:rsid w:val="00D03AD1"/>
    <w:rsid w:val="00D03D98"/>
    <w:rsid w:val="00D03DF1"/>
    <w:rsid w:val="00D04362"/>
    <w:rsid w:val="00D04799"/>
    <w:rsid w:val="00D048B4"/>
    <w:rsid w:val="00D056DC"/>
    <w:rsid w:val="00D05E2D"/>
    <w:rsid w:val="00D06054"/>
    <w:rsid w:val="00D065F3"/>
    <w:rsid w:val="00D06C0B"/>
    <w:rsid w:val="00D06DDD"/>
    <w:rsid w:val="00D07013"/>
    <w:rsid w:val="00D07AA5"/>
    <w:rsid w:val="00D07AB2"/>
    <w:rsid w:val="00D101E3"/>
    <w:rsid w:val="00D10317"/>
    <w:rsid w:val="00D10505"/>
    <w:rsid w:val="00D10542"/>
    <w:rsid w:val="00D1131D"/>
    <w:rsid w:val="00D13B2C"/>
    <w:rsid w:val="00D13D92"/>
    <w:rsid w:val="00D14609"/>
    <w:rsid w:val="00D14BB4"/>
    <w:rsid w:val="00D15308"/>
    <w:rsid w:val="00D1561A"/>
    <w:rsid w:val="00D16169"/>
    <w:rsid w:val="00D1649E"/>
    <w:rsid w:val="00D16648"/>
    <w:rsid w:val="00D166F5"/>
    <w:rsid w:val="00D16988"/>
    <w:rsid w:val="00D1717E"/>
    <w:rsid w:val="00D171CA"/>
    <w:rsid w:val="00D17207"/>
    <w:rsid w:val="00D17C01"/>
    <w:rsid w:val="00D206AC"/>
    <w:rsid w:val="00D20E82"/>
    <w:rsid w:val="00D210BF"/>
    <w:rsid w:val="00D21D8A"/>
    <w:rsid w:val="00D22041"/>
    <w:rsid w:val="00D22AFB"/>
    <w:rsid w:val="00D22CE6"/>
    <w:rsid w:val="00D22DEE"/>
    <w:rsid w:val="00D231F4"/>
    <w:rsid w:val="00D23439"/>
    <w:rsid w:val="00D23593"/>
    <w:rsid w:val="00D24259"/>
    <w:rsid w:val="00D244D1"/>
    <w:rsid w:val="00D2470D"/>
    <w:rsid w:val="00D24C12"/>
    <w:rsid w:val="00D24D48"/>
    <w:rsid w:val="00D252BB"/>
    <w:rsid w:val="00D25955"/>
    <w:rsid w:val="00D259F9"/>
    <w:rsid w:val="00D25A42"/>
    <w:rsid w:val="00D25B2B"/>
    <w:rsid w:val="00D25DFC"/>
    <w:rsid w:val="00D27211"/>
    <w:rsid w:val="00D27542"/>
    <w:rsid w:val="00D305F8"/>
    <w:rsid w:val="00D309E8"/>
    <w:rsid w:val="00D311B9"/>
    <w:rsid w:val="00D31644"/>
    <w:rsid w:val="00D31BD2"/>
    <w:rsid w:val="00D32542"/>
    <w:rsid w:val="00D32841"/>
    <w:rsid w:val="00D33C29"/>
    <w:rsid w:val="00D3464E"/>
    <w:rsid w:val="00D3487D"/>
    <w:rsid w:val="00D34F15"/>
    <w:rsid w:val="00D353D3"/>
    <w:rsid w:val="00D362D4"/>
    <w:rsid w:val="00D36802"/>
    <w:rsid w:val="00D37E3B"/>
    <w:rsid w:val="00D41128"/>
    <w:rsid w:val="00D41840"/>
    <w:rsid w:val="00D418A4"/>
    <w:rsid w:val="00D4240E"/>
    <w:rsid w:val="00D42929"/>
    <w:rsid w:val="00D433B7"/>
    <w:rsid w:val="00D435BE"/>
    <w:rsid w:val="00D43FAA"/>
    <w:rsid w:val="00D443DF"/>
    <w:rsid w:val="00D4455D"/>
    <w:rsid w:val="00D44724"/>
    <w:rsid w:val="00D44E50"/>
    <w:rsid w:val="00D4525C"/>
    <w:rsid w:val="00D45E88"/>
    <w:rsid w:val="00D466D2"/>
    <w:rsid w:val="00D46A48"/>
    <w:rsid w:val="00D46DE1"/>
    <w:rsid w:val="00D50447"/>
    <w:rsid w:val="00D50515"/>
    <w:rsid w:val="00D5128A"/>
    <w:rsid w:val="00D52F6B"/>
    <w:rsid w:val="00D53669"/>
    <w:rsid w:val="00D5391D"/>
    <w:rsid w:val="00D53EB3"/>
    <w:rsid w:val="00D548A3"/>
    <w:rsid w:val="00D55525"/>
    <w:rsid w:val="00D558E4"/>
    <w:rsid w:val="00D55F27"/>
    <w:rsid w:val="00D56ACE"/>
    <w:rsid w:val="00D56D9A"/>
    <w:rsid w:val="00D578BD"/>
    <w:rsid w:val="00D57DBB"/>
    <w:rsid w:val="00D60EEF"/>
    <w:rsid w:val="00D614BC"/>
    <w:rsid w:val="00D62954"/>
    <w:rsid w:val="00D62E8F"/>
    <w:rsid w:val="00D63003"/>
    <w:rsid w:val="00D635DF"/>
    <w:rsid w:val="00D63629"/>
    <w:rsid w:val="00D639AB"/>
    <w:rsid w:val="00D63D91"/>
    <w:rsid w:val="00D63E0A"/>
    <w:rsid w:val="00D6422D"/>
    <w:rsid w:val="00D646C4"/>
    <w:rsid w:val="00D64822"/>
    <w:rsid w:val="00D6538E"/>
    <w:rsid w:val="00D66301"/>
    <w:rsid w:val="00D66681"/>
    <w:rsid w:val="00D6694E"/>
    <w:rsid w:val="00D6747B"/>
    <w:rsid w:val="00D67C65"/>
    <w:rsid w:val="00D67F0E"/>
    <w:rsid w:val="00D70591"/>
    <w:rsid w:val="00D7196B"/>
    <w:rsid w:val="00D71DA5"/>
    <w:rsid w:val="00D71EFB"/>
    <w:rsid w:val="00D72714"/>
    <w:rsid w:val="00D729D0"/>
    <w:rsid w:val="00D731DA"/>
    <w:rsid w:val="00D74E48"/>
    <w:rsid w:val="00D75E2F"/>
    <w:rsid w:val="00D760F9"/>
    <w:rsid w:val="00D7626E"/>
    <w:rsid w:val="00D7655E"/>
    <w:rsid w:val="00D76860"/>
    <w:rsid w:val="00D76D4F"/>
    <w:rsid w:val="00D77374"/>
    <w:rsid w:val="00D7754B"/>
    <w:rsid w:val="00D778FC"/>
    <w:rsid w:val="00D77F80"/>
    <w:rsid w:val="00D8004A"/>
    <w:rsid w:val="00D803B1"/>
    <w:rsid w:val="00D808C5"/>
    <w:rsid w:val="00D81B71"/>
    <w:rsid w:val="00D82AB7"/>
    <w:rsid w:val="00D835FB"/>
    <w:rsid w:val="00D840C9"/>
    <w:rsid w:val="00D84A44"/>
    <w:rsid w:val="00D84EC4"/>
    <w:rsid w:val="00D85797"/>
    <w:rsid w:val="00D85A81"/>
    <w:rsid w:val="00D865C7"/>
    <w:rsid w:val="00D86A23"/>
    <w:rsid w:val="00D87053"/>
    <w:rsid w:val="00D87818"/>
    <w:rsid w:val="00D87BD7"/>
    <w:rsid w:val="00D90210"/>
    <w:rsid w:val="00D90BFE"/>
    <w:rsid w:val="00D91542"/>
    <w:rsid w:val="00D91745"/>
    <w:rsid w:val="00D92756"/>
    <w:rsid w:val="00D92C80"/>
    <w:rsid w:val="00D92DF8"/>
    <w:rsid w:val="00D92F74"/>
    <w:rsid w:val="00D931B9"/>
    <w:rsid w:val="00D933CC"/>
    <w:rsid w:val="00D93459"/>
    <w:rsid w:val="00D936A9"/>
    <w:rsid w:val="00D94665"/>
    <w:rsid w:val="00D94D18"/>
    <w:rsid w:val="00D9545F"/>
    <w:rsid w:val="00D9547E"/>
    <w:rsid w:val="00D95BB4"/>
    <w:rsid w:val="00D96789"/>
    <w:rsid w:val="00D96856"/>
    <w:rsid w:val="00D971F8"/>
    <w:rsid w:val="00D97229"/>
    <w:rsid w:val="00D978C2"/>
    <w:rsid w:val="00D97A20"/>
    <w:rsid w:val="00DA09BA"/>
    <w:rsid w:val="00DA0A7A"/>
    <w:rsid w:val="00DA1237"/>
    <w:rsid w:val="00DA1AB9"/>
    <w:rsid w:val="00DA3396"/>
    <w:rsid w:val="00DA35ED"/>
    <w:rsid w:val="00DA37FF"/>
    <w:rsid w:val="00DA3B96"/>
    <w:rsid w:val="00DA3FDC"/>
    <w:rsid w:val="00DA41BB"/>
    <w:rsid w:val="00DA431D"/>
    <w:rsid w:val="00DA4644"/>
    <w:rsid w:val="00DA49D8"/>
    <w:rsid w:val="00DA4CD8"/>
    <w:rsid w:val="00DA4E20"/>
    <w:rsid w:val="00DA5DC8"/>
    <w:rsid w:val="00DA5F03"/>
    <w:rsid w:val="00DA60DD"/>
    <w:rsid w:val="00DA711F"/>
    <w:rsid w:val="00DA737D"/>
    <w:rsid w:val="00DA787F"/>
    <w:rsid w:val="00DB102F"/>
    <w:rsid w:val="00DB123C"/>
    <w:rsid w:val="00DB141C"/>
    <w:rsid w:val="00DB15C4"/>
    <w:rsid w:val="00DB2A40"/>
    <w:rsid w:val="00DB417E"/>
    <w:rsid w:val="00DB4599"/>
    <w:rsid w:val="00DB657F"/>
    <w:rsid w:val="00DB677C"/>
    <w:rsid w:val="00DB69DF"/>
    <w:rsid w:val="00DB6A18"/>
    <w:rsid w:val="00DB7B33"/>
    <w:rsid w:val="00DC0E88"/>
    <w:rsid w:val="00DC1106"/>
    <w:rsid w:val="00DC18CD"/>
    <w:rsid w:val="00DC20A2"/>
    <w:rsid w:val="00DC2C3D"/>
    <w:rsid w:val="00DC2DFF"/>
    <w:rsid w:val="00DC323B"/>
    <w:rsid w:val="00DC446C"/>
    <w:rsid w:val="00DC4BAB"/>
    <w:rsid w:val="00DC4D7B"/>
    <w:rsid w:val="00DC4E0E"/>
    <w:rsid w:val="00DC5018"/>
    <w:rsid w:val="00DC65A1"/>
    <w:rsid w:val="00DC67ED"/>
    <w:rsid w:val="00DC68F0"/>
    <w:rsid w:val="00DC6E06"/>
    <w:rsid w:val="00DC6EEC"/>
    <w:rsid w:val="00DC77C1"/>
    <w:rsid w:val="00DC7922"/>
    <w:rsid w:val="00DD09E9"/>
    <w:rsid w:val="00DD116C"/>
    <w:rsid w:val="00DD1251"/>
    <w:rsid w:val="00DD134D"/>
    <w:rsid w:val="00DD1CE4"/>
    <w:rsid w:val="00DD2BC9"/>
    <w:rsid w:val="00DD311E"/>
    <w:rsid w:val="00DD37D2"/>
    <w:rsid w:val="00DD38A7"/>
    <w:rsid w:val="00DD3B67"/>
    <w:rsid w:val="00DD3BFB"/>
    <w:rsid w:val="00DD4B03"/>
    <w:rsid w:val="00DD4CFC"/>
    <w:rsid w:val="00DD4EB9"/>
    <w:rsid w:val="00DD5667"/>
    <w:rsid w:val="00DD57EA"/>
    <w:rsid w:val="00DD5975"/>
    <w:rsid w:val="00DD59AE"/>
    <w:rsid w:val="00DD5A13"/>
    <w:rsid w:val="00DD6137"/>
    <w:rsid w:val="00DD61E6"/>
    <w:rsid w:val="00DD655C"/>
    <w:rsid w:val="00DD66D1"/>
    <w:rsid w:val="00DD6D0A"/>
    <w:rsid w:val="00DD7609"/>
    <w:rsid w:val="00DD7898"/>
    <w:rsid w:val="00DE0661"/>
    <w:rsid w:val="00DE0F2E"/>
    <w:rsid w:val="00DE0FC9"/>
    <w:rsid w:val="00DE12C8"/>
    <w:rsid w:val="00DE1C76"/>
    <w:rsid w:val="00DE2153"/>
    <w:rsid w:val="00DE2325"/>
    <w:rsid w:val="00DE35BC"/>
    <w:rsid w:val="00DE3D72"/>
    <w:rsid w:val="00DE43D4"/>
    <w:rsid w:val="00DE49F5"/>
    <w:rsid w:val="00DE4A8D"/>
    <w:rsid w:val="00DE5383"/>
    <w:rsid w:val="00DE5CB1"/>
    <w:rsid w:val="00DE5D69"/>
    <w:rsid w:val="00DE62B0"/>
    <w:rsid w:val="00DE66A2"/>
    <w:rsid w:val="00DE6B5C"/>
    <w:rsid w:val="00DE753C"/>
    <w:rsid w:val="00DE77CE"/>
    <w:rsid w:val="00DF04B3"/>
    <w:rsid w:val="00DF0529"/>
    <w:rsid w:val="00DF0B7A"/>
    <w:rsid w:val="00DF0CD7"/>
    <w:rsid w:val="00DF15E4"/>
    <w:rsid w:val="00DF1DB8"/>
    <w:rsid w:val="00DF1FED"/>
    <w:rsid w:val="00DF22FE"/>
    <w:rsid w:val="00DF24F8"/>
    <w:rsid w:val="00DF277D"/>
    <w:rsid w:val="00DF381F"/>
    <w:rsid w:val="00DF4054"/>
    <w:rsid w:val="00DF440C"/>
    <w:rsid w:val="00DF49AD"/>
    <w:rsid w:val="00DF4F0C"/>
    <w:rsid w:val="00DF6FAF"/>
    <w:rsid w:val="00DF7909"/>
    <w:rsid w:val="00E00811"/>
    <w:rsid w:val="00E00A0E"/>
    <w:rsid w:val="00E012A7"/>
    <w:rsid w:val="00E01935"/>
    <w:rsid w:val="00E020F1"/>
    <w:rsid w:val="00E02C8F"/>
    <w:rsid w:val="00E02D87"/>
    <w:rsid w:val="00E02E1A"/>
    <w:rsid w:val="00E038BA"/>
    <w:rsid w:val="00E046CA"/>
    <w:rsid w:val="00E04E44"/>
    <w:rsid w:val="00E04EB9"/>
    <w:rsid w:val="00E05488"/>
    <w:rsid w:val="00E05655"/>
    <w:rsid w:val="00E05E44"/>
    <w:rsid w:val="00E05F3A"/>
    <w:rsid w:val="00E06214"/>
    <w:rsid w:val="00E06554"/>
    <w:rsid w:val="00E066D9"/>
    <w:rsid w:val="00E06D8A"/>
    <w:rsid w:val="00E07DD0"/>
    <w:rsid w:val="00E10219"/>
    <w:rsid w:val="00E104C9"/>
    <w:rsid w:val="00E10659"/>
    <w:rsid w:val="00E10670"/>
    <w:rsid w:val="00E10C1D"/>
    <w:rsid w:val="00E11A06"/>
    <w:rsid w:val="00E11C6E"/>
    <w:rsid w:val="00E125C2"/>
    <w:rsid w:val="00E12A03"/>
    <w:rsid w:val="00E12B62"/>
    <w:rsid w:val="00E12C88"/>
    <w:rsid w:val="00E132B3"/>
    <w:rsid w:val="00E133E3"/>
    <w:rsid w:val="00E141FA"/>
    <w:rsid w:val="00E14A85"/>
    <w:rsid w:val="00E14C30"/>
    <w:rsid w:val="00E14D9F"/>
    <w:rsid w:val="00E14DEE"/>
    <w:rsid w:val="00E14FC7"/>
    <w:rsid w:val="00E1566E"/>
    <w:rsid w:val="00E1619B"/>
    <w:rsid w:val="00E1625C"/>
    <w:rsid w:val="00E162C7"/>
    <w:rsid w:val="00E164AE"/>
    <w:rsid w:val="00E16631"/>
    <w:rsid w:val="00E16BED"/>
    <w:rsid w:val="00E20314"/>
    <w:rsid w:val="00E207B2"/>
    <w:rsid w:val="00E20950"/>
    <w:rsid w:val="00E20FDC"/>
    <w:rsid w:val="00E21121"/>
    <w:rsid w:val="00E21B56"/>
    <w:rsid w:val="00E21DBF"/>
    <w:rsid w:val="00E22791"/>
    <w:rsid w:val="00E227DA"/>
    <w:rsid w:val="00E22B78"/>
    <w:rsid w:val="00E22BC8"/>
    <w:rsid w:val="00E22F5F"/>
    <w:rsid w:val="00E22FEF"/>
    <w:rsid w:val="00E23F67"/>
    <w:rsid w:val="00E244D5"/>
    <w:rsid w:val="00E26ECF"/>
    <w:rsid w:val="00E26FD7"/>
    <w:rsid w:val="00E274C0"/>
    <w:rsid w:val="00E30979"/>
    <w:rsid w:val="00E30A7D"/>
    <w:rsid w:val="00E30C74"/>
    <w:rsid w:val="00E320F0"/>
    <w:rsid w:val="00E321DE"/>
    <w:rsid w:val="00E32CEB"/>
    <w:rsid w:val="00E3371A"/>
    <w:rsid w:val="00E34082"/>
    <w:rsid w:val="00E34233"/>
    <w:rsid w:val="00E34B9C"/>
    <w:rsid w:val="00E36959"/>
    <w:rsid w:val="00E37291"/>
    <w:rsid w:val="00E40000"/>
    <w:rsid w:val="00E41117"/>
    <w:rsid w:val="00E42458"/>
    <w:rsid w:val="00E426E3"/>
    <w:rsid w:val="00E449B2"/>
    <w:rsid w:val="00E44F16"/>
    <w:rsid w:val="00E45811"/>
    <w:rsid w:val="00E462C8"/>
    <w:rsid w:val="00E46A58"/>
    <w:rsid w:val="00E47340"/>
    <w:rsid w:val="00E47E4B"/>
    <w:rsid w:val="00E50534"/>
    <w:rsid w:val="00E505DB"/>
    <w:rsid w:val="00E5061F"/>
    <w:rsid w:val="00E5101A"/>
    <w:rsid w:val="00E515C5"/>
    <w:rsid w:val="00E515D1"/>
    <w:rsid w:val="00E516E3"/>
    <w:rsid w:val="00E5245D"/>
    <w:rsid w:val="00E5304F"/>
    <w:rsid w:val="00E53D7B"/>
    <w:rsid w:val="00E5412D"/>
    <w:rsid w:val="00E561F2"/>
    <w:rsid w:val="00E56F52"/>
    <w:rsid w:val="00E57350"/>
    <w:rsid w:val="00E574AB"/>
    <w:rsid w:val="00E5752B"/>
    <w:rsid w:val="00E615C8"/>
    <w:rsid w:val="00E61DF5"/>
    <w:rsid w:val="00E62A44"/>
    <w:rsid w:val="00E63826"/>
    <w:rsid w:val="00E641E0"/>
    <w:rsid w:val="00E64333"/>
    <w:rsid w:val="00E64522"/>
    <w:rsid w:val="00E645B9"/>
    <w:rsid w:val="00E64927"/>
    <w:rsid w:val="00E64A07"/>
    <w:rsid w:val="00E64B7C"/>
    <w:rsid w:val="00E64BC3"/>
    <w:rsid w:val="00E653A4"/>
    <w:rsid w:val="00E655A6"/>
    <w:rsid w:val="00E65C60"/>
    <w:rsid w:val="00E66B2E"/>
    <w:rsid w:val="00E66CF3"/>
    <w:rsid w:val="00E66E05"/>
    <w:rsid w:val="00E67035"/>
    <w:rsid w:val="00E673F6"/>
    <w:rsid w:val="00E679AD"/>
    <w:rsid w:val="00E70224"/>
    <w:rsid w:val="00E70BA4"/>
    <w:rsid w:val="00E70C90"/>
    <w:rsid w:val="00E71618"/>
    <w:rsid w:val="00E71E69"/>
    <w:rsid w:val="00E721A5"/>
    <w:rsid w:val="00E722CA"/>
    <w:rsid w:val="00E72DC5"/>
    <w:rsid w:val="00E73130"/>
    <w:rsid w:val="00E73448"/>
    <w:rsid w:val="00E73A73"/>
    <w:rsid w:val="00E74B8A"/>
    <w:rsid w:val="00E74EF2"/>
    <w:rsid w:val="00E7514B"/>
    <w:rsid w:val="00E755C8"/>
    <w:rsid w:val="00E75F4D"/>
    <w:rsid w:val="00E7692E"/>
    <w:rsid w:val="00E76B9F"/>
    <w:rsid w:val="00E76DD5"/>
    <w:rsid w:val="00E773C1"/>
    <w:rsid w:val="00E774EA"/>
    <w:rsid w:val="00E7777D"/>
    <w:rsid w:val="00E8033E"/>
    <w:rsid w:val="00E805C7"/>
    <w:rsid w:val="00E805FB"/>
    <w:rsid w:val="00E80650"/>
    <w:rsid w:val="00E806C5"/>
    <w:rsid w:val="00E80C02"/>
    <w:rsid w:val="00E81B8D"/>
    <w:rsid w:val="00E83767"/>
    <w:rsid w:val="00E84C0A"/>
    <w:rsid w:val="00E84F83"/>
    <w:rsid w:val="00E85DF9"/>
    <w:rsid w:val="00E863F9"/>
    <w:rsid w:val="00E87FA8"/>
    <w:rsid w:val="00E90B1F"/>
    <w:rsid w:val="00E91173"/>
    <w:rsid w:val="00E927C2"/>
    <w:rsid w:val="00E92980"/>
    <w:rsid w:val="00E93784"/>
    <w:rsid w:val="00E93FAE"/>
    <w:rsid w:val="00E9544B"/>
    <w:rsid w:val="00E95C0F"/>
    <w:rsid w:val="00E96CD2"/>
    <w:rsid w:val="00E97865"/>
    <w:rsid w:val="00E97F89"/>
    <w:rsid w:val="00EA15DE"/>
    <w:rsid w:val="00EA18D1"/>
    <w:rsid w:val="00EA1A09"/>
    <w:rsid w:val="00EA1DA2"/>
    <w:rsid w:val="00EA2530"/>
    <w:rsid w:val="00EA35E6"/>
    <w:rsid w:val="00EA37DF"/>
    <w:rsid w:val="00EA37E9"/>
    <w:rsid w:val="00EA3F18"/>
    <w:rsid w:val="00EA419C"/>
    <w:rsid w:val="00EA41A4"/>
    <w:rsid w:val="00EA42BE"/>
    <w:rsid w:val="00EA44B7"/>
    <w:rsid w:val="00EA483C"/>
    <w:rsid w:val="00EA4AA7"/>
    <w:rsid w:val="00EA4AE5"/>
    <w:rsid w:val="00EA5B33"/>
    <w:rsid w:val="00EA5C8C"/>
    <w:rsid w:val="00EA5E06"/>
    <w:rsid w:val="00EA62B4"/>
    <w:rsid w:val="00EA7C6C"/>
    <w:rsid w:val="00EB049E"/>
    <w:rsid w:val="00EB07B2"/>
    <w:rsid w:val="00EB0A5B"/>
    <w:rsid w:val="00EB1DE3"/>
    <w:rsid w:val="00EB288D"/>
    <w:rsid w:val="00EB377C"/>
    <w:rsid w:val="00EB4515"/>
    <w:rsid w:val="00EB4567"/>
    <w:rsid w:val="00EB48B8"/>
    <w:rsid w:val="00EB4FC0"/>
    <w:rsid w:val="00EB6434"/>
    <w:rsid w:val="00EB7E0C"/>
    <w:rsid w:val="00EC0408"/>
    <w:rsid w:val="00EC0A44"/>
    <w:rsid w:val="00EC0AF4"/>
    <w:rsid w:val="00EC10C7"/>
    <w:rsid w:val="00EC1AED"/>
    <w:rsid w:val="00EC1DD9"/>
    <w:rsid w:val="00EC1E15"/>
    <w:rsid w:val="00EC20EB"/>
    <w:rsid w:val="00EC25F8"/>
    <w:rsid w:val="00EC287A"/>
    <w:rsid w:val="00EC28A4"/>
    <w:rsid w:val="00EC30AF"/>
    <w:rsid w:val="00EC3511"/>
    <w:rsid w:val="00EC3B94"/>
    <w:rsid w:val="00EC3F75"/>
    <w:rsid w:val="00EC4BF9"/>
    <w:rsid w:val="00EC4E23"/>
    <w:rsid w:val="00EC515C"/>
    <w:rsid w:val="00EC51FA"/>
    <w:rsid w:val="00EC6014"/>
    <w:rsid w:val="00EC6272"/>
    <w:rsid w:val="00EC62C1"/>
    <w:rsid w:val="00EC6B87"/>
    <w:rsid w:val="00EC76D7"/>
    <w:rsid w:val="00EC7756"/>
    <w:rsid w:val="00ED0F36"/>
    <w:rsid w:val="00ED181E"/>
    <w:rsid w:val="00ED18EA"/>
    <w:rsid w:val="00ED22CC"/>
    <w:rsid w:val="00ED310E"/>
    <w:rsid w:val="00ED364E"/>
    <w:rsid w:val="00ED3959"/>
    <w:rsid w:val="00ED3EF8"/>
    <w:rsid w:val="00ED5650"/>
    <w:rsid w:val="00ED572D"/>
    <w:rsid w:val="00ED5FCB"/>
    <w:rsid w:val="00ED64C5"/>
    <w:rsid w:val="00ED680E"/>
    <w:rsid w:val="00ED707B"/>
    <w:rsid w:val="00ED7A0B"/>
    <w:rsid w:val="00EE0007"/>
    <w:rsid w:val="00EE016B"/>
    <w:rsid w:val="00EE033F"/>
    <w:rsid w:val="00EE0614"/>
    <w:rsid w:val="00EE1370"/>
    <w:rsid w:val="00EE1674"/>
    <w:rsid w:val="00EE1752"/>
    <w:rsid w:val="00EE1ACA"/>
    <w:rsid w:val="00EE1FFB"/>
    <w:rsid w:val="00EE2E1E"/>
    <w:rsid w:val="00EE3047"/>
    <w:rsid w:val="00EE36ED"/>
    <w:rsid w:val="00EE4597"/>
    <w:rsid w:val="00EE505B"/>
    <w:rsid w:val="00EE525B"/>
    <w:rsid w:val="00EE54AD"/>
    <w:rsid w:val="00EE5D7B"/>
    <w:rsid w:val="00EE5F64"/>
    <w:rsid w:val="00EE72E6"/>
    <w:rsid w:val="00EF06E7"/>
    <w:rsid w:val="00EF0785"/>
    <w:rsid w:val="00EF0E13"/>
    <w:rsid w:val="00EF1C19"/>
    <w:rsid w:val="00EF23A5"/>
    <w:rsid w:val="00EF2659"/>
    <w:rsid w:val="00EF4AEC"/>
    <w:rsid w:val="00EF4D56"/>
    <w:rsid w:val="00EF4E0B"/>
    <w:rsid w:val="00EF512A"/>
    <w:rsid w:val="00EF5182"/>
    <w:rsid w:val="00EF5EC2"/>
    <w:rsid w:val="00EF6486"/>
    <w:rsid w:val="00EF6864"/>
    <w:rsid w:val="00EF786E"/>
    <w:rsid w:val="00EF7B7E"/>
    <w:rsid w:val="00F00089"/>
    <w:rsid w:val="00F00A05"/>
    <w:rsid w:val="00F00D9B"/>
    <w:rsid w:val="00F013BC"/>
    <w:rsid w:val="00F01BD2"/>
    <w:rsid w:val="00F0231B"/>
    <w:rsid w:val="00F0278E"/>
    <w:rsid w:val="00F02D22"/>
    <w:rsid w:val="00F033C9"/>
    <w:rsid w:val="00F03558"/>
    <w:rsid w:val="00F037EE"/>
    <w:rsid w:val="00F0390D"/>
    <w:rsid w:val="00F03982"/>
    <w:rsid w:val="00F03D2C"/>
    <w:rsid w:val="00F04681"/>
    <w:rsid w:val="00F04EA3"/>
    <w:rsid w:val="00F06585"/>
    <w:rsid w:val="00F06616"/>
    <w:rsid w:val="00F066B1"/>
    <w:rsid w:val="00F067F8"/>
    <w:rsid w:val="00F06C99"/>
    <w:rsid w:val="00F06D53"/>
    <w:rsid w:val="00F07192"/>
    <w:rsid w:val="00F105F8"/>
    <w:rsid w:val="00F1150D"/>
    <w:rsid w:val="00F118EE"/>
    <w:rsid w:val="00F12535"/>
    <w:rsid w:val="00F1345A"/>
    <w:rsid w:val="00F134AB"/>
    <w:rsid w:val="00F13675"/>
    <w:rsid w:val="00F14F6B"/>
    <w:rsid w:val="00F15512"/>
    <w:rsid w:val="00F155BF"/>
    <w:rsid w:val="00F15D99"/>
    <w:rsid w:val="00F1633D"/>
    <w:rsid w:val="00F20C38"/>
    <w:rsid w:val="00F22259"/>
    <w:rsid w:val="00F226D2"/>
    <w:rsid w:val="00F23604"/>
    <w:rsid w:val="00F237FF"/>
    <w:rsid w:val="00F23AE7"/>
    <w:rsid w:val="00F23D0B"/>
    <w:rsid w:val="00F25ED5"/>
    <w:rsid w:val="00F26992"/>
    <w:rsid w:val="00F300C4"/>
    <w:rsid w:val="00F301A6"/>
    <w:rsid w:val="00F30314"/>
    <w:rsid w:val="00F30987"/>
    <w:rsid w:val="00F30E15"/>
    <w:rsid w:val="00F30ED8"/>
    <w:rsid w:val="00F3161F"/>
    <w:rsid w:val="00F3199D"/>
    <w:rsid w:val="00F31EBF"/>
    <w:rsid w:val="00F31F5B"/>
    <w:rsid w:val="00F32315"/>
    <w:rsid w:val="00F3251A"/>
    <w:rsid w:val="00F32632"/>
    <w:rsid w:val="00F326B2"/>
    <w:rsid w:val="00F32D29"/>
    <w:rsid w:val="00F3332D"/>
    <w:rsid w:val="00F33A77"/>
    <w:rsid w:val="00F33C10"/>
    <w:rsid w:val="00F33E36"/>
    <w:rsid w:val="00F34C81"/>
    <w:rsid w:val="00F351B7"/>
    <w:rsid w:val="00F35206"/>
    <w:rsid w:val="00F354A9"/>
    <w:rsid w:val="00F36384"/>
    <w:rsid w:val="00F36993"/>
    <w:rsid w:val="00F37544"/>
    <w:rsid w:val="00F37942"/>
    <w:rsid w:val="00F37ABC"/>
    <w:rsid w:val="00F37F1B"/>
    <w:rsid w:val="00F37FBE"/>
    <w:rsid w:val="00F4050B"/>
    <w:rsid w:val="00F414EC"/>
    <w:rsid w:val="00F41F16"/>
    <w:rsid w:val="00F42180"/>
    <w:rsid w:val="00F423D9"/>
    <w:rsid w:val="00F4353A"/>
    <w:rsid w:val="00F43662"/>
    <w:rsid w:val="00F43686"/>
    <w:rsid w:val="00F442AA"/>
    <w:rsid w:val="00F443E8"/>
    <w:rsid w:val="00F45A40"/>
    <w:rsid w:val="00F4729B"/>
    <w:rsid w:val="00F47876"/>
    <w:rsid w:val="00F50460"/>
    <w:rsid w:val="00F51CD1"/>
    <w:rsid w:val="00F51D93"/>
    <w:rsid w:val="00F51F06"/>
    <w:rsid w:val="00F5210D"/>
    <w:rsid w:val="00F53B04"/>
    <w:rsid w:val="00F53C3C"/>
    <w:rsid w:val="00F53D05"/>
    <w:rsid w:val="00F545F7"/>
    <w:rsid w:val="00F550A5"/>
    <w:rsid w:val="00F5541F"/>
    <w:rsid w:val="00F558C5"/>
    <w:rsid w:val="00F566B1"/>
    <w:rsid w:val="00F56827"/>
    <w:rsid w:val="00F56884"/>
    <w:rsid w:val="00F56F82"/>
    <w:rsid w:val="00F57686"/>
    <w:rsid w:val="00F57F78"/>
    <w:rsid w:val="00F60BFA"/>
    <w:rsid w:val="00F6106E"/>
    <w:rsid w:val="00F610A1"/>
    <w:rsid w:val="00F6182E"/>
    <w:rsid w:val="00F61A7E"/>
    <w:rsid w:val="00F62794"/>
    <w:rsid w:val="00F629A5"/>
    <w:rsid w:val="00F62D1B"/>
    <w:rsid w:val="00F62E6F"/>
    <w:rsid w:val="00F631A5"/>
    <w:rsid w:val="00F6454C"/>
    <w:rsid w:val="00F648AA"/>
    <w:rsid w:val="00F64957"/>
    <w:rsid w:val="00F64E50"/>
    <w:rsid w:val="00F65098"/>
    <w:rsid w:val="00F65A79"/>
    <w:rsid w:val="00F65D7D"/>
    <w:rsid w:val="00F67C10"/>
    <w:rsid w:val="00F67F77"/>
    <w:rsid w:val="00F7019D"/>
    <w:rsid w:val="00F70275"/>
    <w:rsid w:val="00F70306"/>
    <w:rsid w:val="00F70518"/>
    <w:rsid w:val="00F706D7"/>
    <w:rsid w:val="00F70C36"/>
    <w:rsid w:val="00F716DB"/>
    <w:rsid w:val="00F71767"/>
    <w:rsid w:val="00F71AA5"/>
    <w:rsid w:val="00F72165"/>
    <w:rsid w:val="00F723EF"/>
    <w:rsid w:val="00F72F26"/>
    <w:rsid w:val="00F73448"/>
    <w:rsid w:val="00F74155"/>
    <w:rsid w:val="00F74184"/>
    <w:rsid w:val="00F7453D"/>
    <w:rsid w:val="00F7478F"/>
    <w:rsid w:val="00F74DBE"/>
    <w:rsid w:val="00F753B9"/>
    <w:rsid w:val="00F758A8"/>
    <w:rsid w:val="00F75D81"/>
    <w:rsid w:val="00F75ED2"/>
    <w:rsid w:val="00F76199"/>
    <w:rsid w:val="00F77134"/>
    <w:rsid w:val="00F7729E"/>
    <w:rsid w:val="00F772A0"/>
    <w:rsid w:val="00F773C1"/>
    <w:rsid w:val="00F77B1B"/>
    <w:rsid w:val="00F77DE2"/>
    <w:rsid w:val="00F8011E"/>
    <w:rsid w:val="00F801F7"/>
    <w:rsid w:val="00F80B75"/>
    <w:rsid w:val="00F810C0"/>
    <w:rsid w:val="00F8114C"/>
    <w:rsid w:val="00F8133C"/>
    <w:rsid w:val="00F81E1A"/>
    <w:rsid w:val="00F82AA3"/>
    <w:rsid w:val="00F82BFA"/>
    <w:rsid w:val="00F82F3F"/>
    <w:rsid w:val="00F8335A"/>
    <w:rsid w:val="00F83476"/>
    <w:rsid w:val="00F84067"/>
    <w:rsid w:val="00F84541"/>
    <w:rsid w:val="00F84DAD"/>
    <w:rsid w:val="00F858FF"/>
    <w:rsid w:val="00F86401"/>
    <w:rsid w:val="00F86C11"/>
    <w:rsid w:val="00F86D5B"/>
    <w:rsid w:val="00F873A1"/>
    <w:rsid w:val="00F87DF8"/>
    <w:rsid w:val="00F87EF4"/>
    <w:rsid w:val="00F90471"/>
    <w:rsid w:val="00F9065A"/>
    <w:rsid w:val="00F906E4"/>
    <w:rsid w:val="00F9094A"/>
    <w:rsid w:val="00F90BBA"/>
    <w:rsid w:val="00F90BF8"/>
    <w:rsid w:val="00F90F4A"/>
    <w:rsid w:val="00F91074"/>
    <w:rsid w:val="00F91107"/>
    <w:rsid w:val="00F911E8"/>
    <w:rsid w:val="00F917EF"/>
    <w:rsid w:val="00F921F2"/>
    <w:rsid w:val="00F92539"/>
    <w:rsid w:val="00F942EF"/>
    <w:rsid w:val="00F94887"/>
    <w:rsid w:val="00F94AF3"/>
    <w:rsid w:val="00F95ED1"/>
    <w:rsid w:val="00F961C1"/>
    <w:rsid w:val="00F96546"/>
    <w:rsid w:val="00F96B24"/>
    <w:rsid w:val="00F96D8B"/>
    <w:rsid w:val="00F96E36"/>
    <w:rsid w:val="00F97AAF"/>
    <w:rsid w:val="00F97B85"/>
    <w:rsid w:val="00F97CE5"/>
    <w:rsid w:val="00FA0132"/>
    <w:rsid w:val="00FA04A0"/>
    <w:rsid w:val="00FA0E3E"/>
    <w:rsid w:val="00FA127C"/>
    <w:rsid w:val="00FA17CD"/>
    <w:rsid w:val="00FA2C98"/>
    <w:rsid w:val="00FA2D34"/>
    <w:rsid w:val="00FA3388"/>
    <w:rsid w:val="00FA420D"/>
    <w:rsid w:val="00FA474A"/>
    <w:rsid w:val="00FA602B"/>
    <w:rsid w:val="00FA6151"/>
    <w:rsid w:val="00FA61B0"/>
    <w:rsid w:val="00FA67AE"/>
    <w:rsid w:val="00FA6878"/>
    <w:rsid w:val="00FA6B8D"/>
    <w:rsid w:val="00FA7DF5"/>
    <w:rsid w:val="00FB0652"/>
    <w:rsid w:val="00FB0A8D"/>
    <w:rsid w:val="00FB1025"/>
    <w:rsid w:val="00FB1214"/>
    <w:rsid w:val="00FB1730"/>
    <w:rsid w:val="00FB17D9"/>
    <w:rsid w:val="00FB1D11"/>
    <w:rsid w:val="00FB25BD"/>
    <w:rsid w:val="00FB2C81"/>
    <w:rsid w:val="00FB3060"/>
    <w:rsid w:val="00FB3259"/>
    <w:rsid w:val="00FB3EAE"/>
    <w:rsid w:val="00FB4B4C"/>
    <w:rsid w:val="00FB635F"/>
    <w:rsid w:val="00FB69EB"/>
    <w:rsid w:val="00FB6A1B"/>
    <w:rsid w:val="00FB72F8"/>
    <w:rsid w:val="00FB7545"/>
    <w:rsid w:val="00FB79C9"/>
    <w:rsid w:val="00FC05FD"/>
    <w:rsid w:val="00FC063D"/>
    <w:rsid w:val="00FC0904"/>
    <w:rsid w:val="00FC103D"/>
    <w:rsid w:val="00FC1481"/>
    <w:rsid w:val="00FC1B9B"/>
    <w:rsid w:val="00FC1CEE"/>
    <w:rsid w:val="00FC37B5"/>
    <w:rsid w:val="00FC3DCB"/>
    <w:rsid w:val="00FC4989"/>
    <w:rsid w:val="00FC4AAD"/>
    <w:rsid w:val="00FC4E1B"/>
    <w:rsid w:val="00FC5CC6"/>
    <w:rsid w:val="00FC6248"/>
    <w:rsid w:val="00FC6BAB"/>
    <w:rsid w:val="00FC749E"/>
    <w:rsid w:val="00FC78B3"/>
    <w:rsid w:val="00FC7909"/>
    <w:rsid w:val="00FD0AF1"/>
    <w:rsid w:val="00FD0E3E"/>
    <w:rsid w:val="00FD0FBD"/>
    <w:rsid w:val="00FD1014"/>
    <w:rsid w:val="00FD11C7"/>
    <w:rsid w:val="00FD17C1"/>
    <w:rsid w:val="00FD1AD8"/>
    <w:rsid w:val="00FD2181"/>
    <w:rsid w:val="00FD273E"/>
    <w:rsid w:val="00FD4546"/>
    <w:rsid w:val="00FD46FB"/>
    <w:rsid w:val="00FD4A76"/>
    <w:rsid w:val="00FD4B69"/>
    <w:rsid w:val="00FD5148"/>
    <w:rsid w:val="00FD52BC"/>
    <w:rsid w:val="00FD59DB"/>
    <w:rsid w:val="00FD7EFE"/>
    <w:rsid w:val="00FE06F3"/>
    <w:rsid w:val="00FE123D"/>
    <w:rsid w:val="00FE14E8"/>
    <w:rsid w:val="00FE2847"/>
    <w:rsid w:val="00FE29B0"/>
    <w:rsid w:val="00FE2A73"/>
    <w:rsid w:val="00FE2D1F"/>
    <w:rsid w:val="00FE2E65"/>
    <w:rsid w:val="00FE3864"/>
    <w:rsid w:val="00FE3952"/>
    <w:rsid w:val="00FE3E9A"/>
    <w:rsid w:val="00FE4511"/>
    <w:rsid w:val="00FE47CF"/>
    <w:rsid w:val="00FE5170"/>
    <w:rsid w:val="00FE52DE"/>
    <w:rsid w:val="00FE5F29"/>
    <w:rsid w:val="00FE6846"/>
    <w:rsid w:val="00FE6A54"/>
    <w:rsid w:val="00FE6DF4"/>
    <w:rsid w:val="00FE6F39"/>
    <w:rsid w:val="00FE7A0F"/>
    <w:rsid w:val="00FE7C1E"/>
    <w:rsid w:val="00FE7F9A"/>
    <w:rsid w:val="00FF02C7"/>
    <w:rsid w:val="00FF0722"/>
    <w:rsid w:val="00FF0F9B"/>
    <w:rsid w:val="00FF0FD3"/>
    <w:rsid w:val="00FF10BE"/>
    <w:rsid w:val="00FF14A6"/>
    <w:rsid w:val="00FF1839"/>
    <w:rsid w:val="00FF215A"/>
    <w:rsid w:val="00FF26F9"/>
    <w:rsid w:val="00FF2A37"/>
    <w:rsid w:val="00FF3BDA"/>
    <w:rsid w:val="00FF45B6"/>
    <w:rsid w:val="00FF5663"/>
    <w:rsid w:val="00FF57BA"/>
    <w:rsid w:val="00FF5F50"/>
    <w:rsid w:val="00FF60AE"/>
    <w:rsid w:val="00FF684A"/>
    <w:rsid w:val="00FF71F1"/>
    <w:rsid w:val="023752AC"/>
    <w:rsid w:val="025B2DC4"/>
    <w:rsid w:val="03243209"/>
    <w:rsid w:val="042711AF"/>
    <w:rsid w:val="059B1F21"/>
    <w:rsid w:val="06252FCF"/>
    <w:rsid w:val="07BB6D51"/>
    <w:rsid w:val="080B0E60"/>
    <w:rsid w:val="09015EFE"/>
    <w:rsid w:val="09A20C96"/>
    <w:rsid w:val="09A8584A"/>
    <w:rsid w:val="09F532C3"/>
    <w:rsid w:val="0A421CC9"/>
    <w:rsid w:val="0BE3000C"/>
    <w:rsid w:val="0BF40511"/>
    <w:rsid w:val="0C0F39E3"/>
    <w:rsid w:val="0C470B90"/>
    <w:rsid w:val="0D7717CB"/>
    <w:rsid w:val="0E836AFB"/>
    <w:rsid w:val="0F347B74"/>
    <w:rsid w:val="0F3E55BE"/>
    <w:rsid w:val="0F447297"/>
    <w:rsid w:val="0F87344A"/>
    <w:rsid w:val="106D03E4"/>
    <w:rsid w:val="124F1365"/>
    <w:rsid w:val="14F54CB6"/>
    <w:rsid w:val="155425A7"/>
    <w:rsid w:val="15993014"/>
    <w:rsid w:val="15AF6EBC"/>
    <w:rsid w:val="160475A2"/>
    <w:rsid w:val="17F043BA"/>
    <w:rsid w:val="18A51D4A"/>
    <w:rsid w:val="1948592D"/>
    <w:rsid w:val="19F44BE6"/>
    <w:rsid w:val="1B2E2CFC"/>
    <w:rsid w:val="1B474304"/>
    <w:rsid w:val="1B5209C1"/>
    <w:rsid w:val="1DB7292E"/>
    <w:rsid w:val="1DBC0758"/>
    <w:rsid w:val="1EEF4690"/>
    <w:rsid w:val="20522814"/>
    <w:rsid w:val="214256FF"/>
    <w:rsid w:val="24140A0F"/>
    <w:rsid w:val="24BA2239"/>
    <w:rsid w:val="265C2F85"/>
    <w:rsid w:val="2BB348B4"/>
    <w:rsid w:val="2DD84A0E"/>
    <w:rsid w:val="31C12320"/>
    <w:rsid w:val="320F2017"/>
    <w:rsid w:val="32755BEE"/>
    <w:rsid w:val="36245220"/>
    <w:rsid w:val="36716136"/>
    <w:rsid w:val="37565F55"/>
    <w:rsid w:val="38AC762B"/>
    <w:rsid w:val="393C6ED0"/>
    <w:rsid w:val="396C7089"/>
    <w:rsid w:val="396D134E"/>
    <w:rsid w:val="398D4AE2"/>
    <w:rsid w:val="3DAF54AD"/>
    <w:rsid w:val="41362456"/>
    <w:rsid w:val="42A47894"/>
    <w:rsid w:val="42EE327C"/>
    <w:rsid w:val="433A3C4A"/>
    <w:rsid w:val="438508A7"/>
    <w:rsid w:val="43984AAA"/>
    <w:rsid w:val="45936B5D"/>
    <w:rsid w:val="46944A29"/>
    <w:rsid w:val="46C54FBC"/>
    <w:rsid w:val="479E1FBF"/>
    <w:rsid w:val="47CA18AB"/>
    <w:rsid w:val="4861155D"/>
    <w:rsid w:val="48727920"/>
    <w:rsid w:val="49EF4BD0"/>
    <w:rsid w:val="4A476883"/>
    <w:rsid w:val="4C2953FA"/>
    <w:rsid w:val="4C472D96"/>
    <w:rsid w:val="4C795D9E"/>
    <w:rsid w:val="4E496B8E"/>
    <w:rsid w:val="4EED09D8"/>
    <w:rsid w:val="5023004A"/>
    <w:rsid w:val="511839A7"/>
    <w:rsid w:val="51292021"/>
    <w:rsid w:val="526F3A1A"/>
    <w:rsid w:val="54984BE4"/>
    <w:rsid w:val="55286B48"/>
    <w:rsid w:val="560867E9"/>
    <w:rsid w:val="567C6182"/>
    <w:rsid w:val="573C7C43"/>
    <w:rsid w:val="57C55E8A"/>
    <w:rsid w:val="5B5B427A"/>
    <w:rsid w:val="5D687C74"/>
    <w:rsid w:val="5D892417"/>
    <w:rsid w:val="5E244ABD"/>
    <w:rsid w:val="5E2F405E"/>
    <w:rsid w:val="5E7D6BB2"/>
    <w:rsid w:val="5EF62DCD"/>
    <w:rsid w:val="619A2136"/>
    <w:rsid w:val="631044CE"/>
    <w:rsid w:val="63181CF5"/>
    <w:rsid w:val="64846756"/>
    <w:rsid w:val="651E0355"/>
    <w:rsid w:val="65C634F9"/>
    <w:rsid w:val="65CF408A"/>
    <w:rsid w:val="67485C05"/>
    <w:rsid w:val="67944DD9"/>
    <w:rsid w:val="68B7326E"/>
    <w:rsid w:val="6D6E487F"/>
    <w:rsid w:val="6DB84260"/>
    <w:rsid w:val="718F2D98"/>
    <w:rsid w:val="72417C85"/>
    <w:rsid w:val="733817AF"/>
    <w:rsid w:val="75243CD3"/>
    <w:rsid w:val="76A21419"/>
    <w:rsid w:val="76A93D57"/>
    <w:rsid w:val="76DD06A3"/>
    <w:rsid w:val="776E1C43"/>
    <w:rsid w:val="77842870"/>
    <w:rsid w:val="78C25DA2"/>
    <w:rsid w:val="78DA35A9"/>
    <w:rsid w:val="7A7C6425"/>
    <w:rsid w:val="7A835415"/>
    <w:rsid w:val="7B231437"/>
    <w:rsid w:val="7B814428"/>
    <w:rsid w:val="7C253A11"/>
    <w:rsid w:val="7D6D4590"/>
    <w:rsid w:val="7ECA4A65"/>
    <w:rsid w:val="7F966669"/>
    <w:rsid w:val="7FCC1B10"/>
    <w:rsid w:val="7FD55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semiHidden="0" w:name="heading 6"/>
    <w:lsdException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qFormat="1"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99"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uiPriority="99" w:name="Body Text Indent 2"/>
    <w:lsdException w:qFormat="1" w:uiPriority="99"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22" w:semiHidden="0" w:name="Strong"/>
    <w:lsdException w:unhideWhenUsed="0" w:uiPriority="20" w:semiHidden="0" w:name="Emphasis"/>
    <w:lsdException w:qFormat="1"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47"/>
    <w:qFormat/>
    <w:uiPriority w:val="0"/>
    <w:pPr>
      <w:keepNext/>
      <w:keepLines/>
      <w:pageBreakBefore/>
      <w:numPr>
        <w:ilvl w:val="0"/>
        <w:numId w:val="1"/>
      </w:numPr>
      <w:adjustRightInd w:val="0"/>
      <w:snapToGrid w:val="0"/>
      <w:spacing w:before="50" w:beforeLines="50" w:after="50" w:afterLines="50"/>
      <w:ind w:left="0" w:firstLine="0" w:firstLineChars="0"/>
      <w:outlineLvl w:val="0"/>
    </w:pPr>
    <w:rPr>
      <w:rFonts w:ascii="黑体" w:eastAsiaTheme="majorEastAsia"/>
      <w:b/>
      <w:bCs/>
      <w:snapToGrid w:val="0"/>
      <w:color w:val="000000"/>
      <w:kern w:val="18"/>
      <w:sz w:val="44"/>
      <w:szCs w:val="32"/>
    </w:rPr>
  </w:style>
  <w:style w:type="paragraph" w:styleId="3">
    <w:name w:val="heading 2"/>
    <w:basedOn w:val="1"/>
    <w:next w:val="1"/>
    <w:link w:val="48"/>
    <w:qFormat/>
    <w:uiPriority w:val="0"/>
    <w:pPr>
      <w:keepNext/>
      <w:keepLines/>
      <w:numPr>
        <w:ilvl w:val="1"/>
        <w:numId w:val="1"/>
      </w:numPr>
      <w:adjustRightInd w:val="0"/>
      <w:snapToGrid w:val="0"/>
      <w:spacing w:before="50" w:beforeLines="50" w:after="50" w:afterLines="50"/>
      <w:ind w:left="0" w:firstLine="0" w:firstLineChars="0"/>
      <w:outlineLvl w:val="1"/>
    </w:pPr>
    <w:rPr>
      <w:rFonts w:ascii="黑体" w:hAnsi="黑体" w:eastAsiaTheme="majorEastAsia"/>
      <w:b/>
      <w:bCs/>
      <w:snapToGrid w:val="0"/>
      <w:color w:val="000000"/>
      <w:kern w:val="20"/>
      <w:sz w:val="36"/>
      <w:szCs w:val="32"/>
    </w:rPr>
  </w:style>
  <w:style w:type="paragraph" w:styleId="4">
    <w:name w:val="heading 3"/>
    <w:basedOn w:val="1"/>
    <w:next w:val="1"/>
    <w:link w:val="49"/>
    <w:qFormat/>
    <w:uiPriority w:val="0"/>
    <w:pPr>
      <w:keepNext/>
      <w:keepLines/>
      <w:numPr>
        <w:ilvl w:val="2"/>
        <w:numId w:val="1"/>
      </w:numPr>
      <w:adjustRightInd w:val="0"/>
      <w:snapToGrid w:val="0"/>
      <w:ind w:left="0" w:firstLine="0" w:firstLineChars="0"/>
      <w:outlineLvl w:val="2"/>
    </w:pPr>
    <w:rPr>
      <w:rFonts w:ascii="华文楷体" w:hAnsi="黑体" w:eastAsia="楷体"/>
      <w:b/>
      <w:snapToGrid w:val="0"/>
      <w:color w:val="000000"/>
      <w:kern w:val="0"/>
      <w:sz w:val="32"/>
      <w:szCs w:val="30"/>
    </w:rPr>
  </w:style>
  <w:style w:type="paragraph" w:styleId="5">
    <w:name w:val="heading 4"/>
    <w:basedOn w:val="1"/>
    <w:next w:val="1"/>
    <w:link w:val="50"/>
    <w:qFormat/>
    <w:uiPriority w:val="0"/>
    <w:pPr>
      <w:keepNext/>
      <w:keepLines/>
      <w:numPr>
        <w:ilvl w:val="3"/>
        <w:numId w:val="1"/>
      </w:numPr>
      <w:adjustRightInd w:val="0"/>
      <w:snapToGrid w:val="0"/>
      <w:ind w:left="0" w:firstLine="0" w:firstLineChars="0"/>
      <w:outlineLvl w:val="3"/>
    </w:pPr>
    <w:rPr>
      <w:rFonts w:eastAsiaTheme="minorEastAsia"/>
      <w:b/>
      <w:bCs/>
      <w:color w:val="000000"/>
      <w:sz w:val="28"/>
      <w:szCs w:val="28"/>
    </w:rPr>
  </w:style>
  <w:style w:type="paragraph" w:styleId="6">
    <w:name w:val="heading 5"/>
    <w:basedOn w:val="1"/>
    <w:next w:val="1"/>
    <w:link w:val="92"/>
    <w:unhideWhenUsed/>
    <w:qFormat/>
    <w:uiPriority w:val="9"/>
    <w:pPr>
      <w:keepNext/>
      <w:keepLines/>
      <w:spacing w:line="240" w:lineRule="auto"/>
      <w:ind w:firstLine="0" w:firstLineChars="0"/>
      <w:jc w:val="center"/>
      <w:outlineLvl w:val="4"/>
    </w:pPr>
    <w:rPr>
      <w:bCs/>
      <w:szCs w:val="28"/>
    </w:rPr>
  </w:style>
  <w:style w:type="paragraph" w:styleId="7">
    <w:name w:val="heading 6"/>
    <w:basedOn w:val="1"/>
    <w:next w:val="1"/>
    <w:link w:val="183"/>
    <w:unhideWhenUsed/>
    <w:qFormat/>
    <w:uiPriority w:val="9"/>
    <w:pPr>
      <w:keepNext/>
      <w:keepLines/>
      <w:spacing w:beforeLines="50"/>
      <w:ind w:firstLine="0" w:firstLineChars="0"/>
      <w:jc w:val="center"/>
      <w:outlineLvl w:val="5"/>
    </w:pPr>
    <w:rPr>
      <w:rFonts w:cstheme="majorBidi"/>
      <w:b/>
      <w:bCs/>
      <w:sz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unhideWhenUsed/>
    <w:qFormat/>
    <w:uiPriority w:val="39"/>
    <w:pPr>
      <w:ind w:left="1440"/>
      <w:jc w:val="left"/>
    </w:pPr>
    <w:rPr>
      <w:rFonts w:asciiTheme="minorHAnsi" w:hAnsiTheme="minorHAnsi"/>
      <w:sz w:val="18"/>
      <w:szCs w:val="18"/>
    </w:rPr>
  </w:style>
  <w:style w:type="paragraph" w:styleId="9">
    <w:name w:val="Note Heading"/>
    <w:basedOn w:val="1"/>
    <w:next w:val="1"/>
    <w:link w:val="204"/>
    <w:qFormat/>
    <w:uiPriority w:val="0"/>
    <w:pPr>
      <w:spacing w:line="240" w:lineRule="auto"/>
      <w:ind w:firstLine="0" w:firstLineChars="0"/>
      <w:jc w:val="center"/>
    </w:pPr>
    <w:rPr>
      <w:rFonts w:ascii="宋体" w:hAnsi="Calibri"/>
      <w:sz w:val="21"/>
      <w:szCs w:val="20"/>
    </w:rPr>
  </w:style>
  <w:style w:type="paragraph" w:styleId="10">
    <w:name w:val="Normal Indent"/>
    <w:basedOn w:val="1"/>
    <w:next w:val="11"/>
    <w:link w:val="77"/>
    <w:qFormat/>
    <w:uiPriority w:val="0"/>
    <w:pPr>
      <w:spacing w:line="500" w:lineRule="exact"/>
      <w:ind w:firstLine="420" w:firstLineChars="0"/>
    </w:pPr>
    <w:rPr>
      <w:rFonts w:ascii="楷体_GB2312" w:eastAsia="楷体_GB2312"/>
      <w:sz w:val="28"/>
      <w:szCs w:val="20"/>
    </w:rPr>
  </w:style>
  <w:style w:type="paragraph" w:styleId="11">
    <w:name w:val="Body Text First Indent 2"/>
    <w:basedOn w:val="12"/>
    <w:next w:val="1"/>
    <w:qFormat/>
    <w:uiPriority w:val="0"/>
    <w:pPr>
      <w:spacing w:after="120"/>
      <w:ind w:left="420" w:leftChars="200" w:firstLine="420" w:firstLineChars="200"/>
    </w:pPr>
    <w:rPr>
      <w:szCs w:val="20"/>
    </w:rPr>
  </w:style>
  <w:style w:type="paragraph" w:styleId="12">
    <w:name w:val="Body Text Indent"/>
    <w:basedOn w:val="1"/>
    <w:next w:val="1"/>
    <w:link w:val="76"/>
    <w:qFormat/>
    <w:uiPriority w:val="0"/>
    <w:pPr>
      <w:widowControl/>
      <w:spacing w:line="500" w:lineRule="atLeast"/>
      <w:ind w:firstLine="641" w:firstLineChars="0"/>
    </w:pPr>
    <w:rPr>
      <w:rFonts w:ascii="Times" w:hAnsi="Times"/>
      <w:kern w:val="0"/>
    </w:rPr>
  </w:style>
  <w:style w:type="paragraph" w:styleId="13">
    <w:name w:val="caption"/>
    <w:basedOn w:val="1"/>
    <w:next w:val="1"/>
    <w:qFormat/>
    <w:uiPriority w:val="99"/>
    <w:pPr>
      <w:spacing w:line="560" w:lineRule="exact"/>
    </w:pPr>
    <w:rPr>
      <w:rFonts w:ascii="Arial" w:hAnsi="Arial" w:eastAsia="黑体"/>
      <w:kern w:val="0"/>
      <w:sz w:val="20"/>
    </w:rPr>
  </w:style>
  <w:style w:type="paragraph" w:styleId="14">
    <w:name w:val="Document Map"/>
    <w:basedOn w:val="1"/>
    <w:link w:val="59"/>
    <w:semiHidden/>
    <w:unhideWhenUsed/>
    <w:qFormat/>
    <w:uiPriority w:val="99"/>
    <w:rPr>
      <w:rFonts w:ascii="宋体"/>
      <w:sz w:val="18"/>
      <w:szCs w:val="18"/>
    </w:rPr>
  </w:style>
  <w:style w:type="paragraph" w:styleId="15">
    <w:name w:val="annotation text"/>
    <w:basedOn w:val="1"/>
    <w:link w:val="56"/>
    <w:unhideWhenUsed/>
    <w:qFormat/>
    <w:uiPriority w:val="0"/>
    <w:pPr>
      <w:jc w:val="left"/>
    </w:pPr>
  </w:style>
  <w:style w:type="paragraph" w:styleId="16">
    <w:name w:val="Body Text"/>
    <w:basedOn w:val="1"/>
    <w:link w:val="85"/>
    <w:qFormat/>
    <w:uiPriority w:val="0"/>
    <w:pPr>
      <w:spacing w:after="120" w:line="240" w:lineRule="auto"/>
      <w:ind w:firstLine="0" w:firstLineChars="0"/>
    </w:pPr>
    <w:rPr>
      <w:sz w:val="21"/>
    </w:rPr>
  </w:style>
  <w:style w:type="paragraph" w:styleId="17">
    <w:name w:val="Block Text"/>
    <w:basedOn w:val="1"/>
    <w:next w:val="1"/>
    <w:qFormat/>
    <w:uiPriority w:val="0"/>
    <w:pPr>
      <w:ind w:left="113" w:right="113" w:firstLine="555"/>
      <w:jc w:val="left"/>
    </w:pPr>
    <w:rPr>
      <w:sz w:val="28"/>
    </w:rPr>
  </w:style>
  <w:style w:type="paragraph" w:styleId="18">
    <w:name w:val="toc 5"/>
    <w:basedOn w:val="1"/>
    <w:next w:val="1"/>
    <w:unhideWhenUsed/>
    <w:qFormat/>
    <w:uiPriority w:val="39"/>
    <w:pPr>
      <w:ind w:left="960"/>
      <w:jc w:val="left"/>
    </w:pPr>
    <w:rPr>
      <w:rFonts w:asciiTheme="minorHAnsi" w:hAnsiTheme="minorHAnsi"/>
      <w:sz w:val="18"/>
      <w:szCs w:val="18"/>
    </w:rPr>
  </w:style>
  <w:style w:type="paragraph" w:styleId="19">
    <w:name w:val="toc 3"/>
    <w:basedOn w:val="1"/>
    <w:next w:val="1"/>
    <w:unhideWhenUsed/>
    <w:qFormat/>
    <w:uiPriority w:val="39"/>
    <w:pPr>
      <w:ind w:left="480"/>
      <w:jc w:val="left"/>
    </w:pPr>
    <w:rPr>
      <w:rFonts w:asciiTheme="minorHAnsi" w:hAnsiTheme="minorHAnsi"/>
      <w:i/>
      <w:iCs/>
      <w:sz w:val="20"/>
      <w:szCs w:val="20"/>
    </w:rPr>
  </w:style>
  <w:style w:type="paragraph" w:styleId="20">
    <w:name w:val="Plain Text"/>
    <w:basedOn w:val="1"/>
    <w:link w:val="98"/>
    <w:unhideWhenUsed/>
    <w:qFormat/>
    <w:uiPriority w:val="99"/>
    <w:rPr>
      <w:rFonts w:ascii="宋体" w:hAnsi="Courier New" w:cs="Courier New"/>
      <w:sz w:val="21"/>
      <w:szCs w:val="21"/>
    </w:rPr>
  </w:style>
  <w:style w:type="paragraph" w:styleId="21">
    <w:name w:val="toc 8"/>
    <w:basedOn w:val="1"/>
    <w:next w:val="1"/>
    <w:unhideWhenUsed/>
    <w:qFormat/>
    <w:uiPriority w:val="39"/>
    <w:pPr>
      <w:ind w:left="1680"/>
      <w:jc w:val="left"/>
    </w:pPr>
    <w:rPr>
      <w:rFonts w:asciiTheme="minorHAnsi" w:hAnsiTheme="minorHAnsi"/>
      <w:sz w:val="18"/>
      <w:szCs w:val="18"/>
    </w:rPr>
  </w:style>
  <w:style w:type="paragraph" w:styleId="22">
    <w:name w:val="Date"/>
    <w:basedOn w:val="1"/>
    <w:next w:val="1"/>
    <w:link w:val="58"/>
    <w:unhideWhenUsed/>
    <w:qFormat/>
    <w:uiPriority w:val="0"/>
    <w:pPr>
      <w:ind w:left="100" w:leftChars="2500"/>
    </w:pPr>
  </w:style>
  <w:style w:type="paragraph" w:styleId="23">
    <w:name w:val="Balloon Text"/>
    <w:basedOn w:val="1"/>
    <w:link w:val="55"/>
    <w:unhideWhenUsed/>
    <w:qFormat/>
    <w:uiPriority w:val="0"/>
    <w:rPr>
      <w:sz w:val="18"/>
      <w:szCs w:val="18"/>
    </w:rPr>
  </w:style>
  <w:style w:type="paragraph" w:styleId="24">
    <w:name w:val="footer"/>
    <w:basedOn w:val="1"/>
    <w:link w:val="60"/>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adjustRightInd w:val="0"/>
      <w:snapToGrid w:val="0"/>
      <w:spacing w:line="240" w:lineRule="auto"/>
      <w:ind w:firstLine="0" w:firstLineChars="0"/>
      <w:jc w:val="center"/>
    </w:pPr>
    <w:rPr>
      <w:color w:val="000000"/>
      <w:sz w:val="21"/>
      <w:szCs w:val="18"/>
    </w:rPr>
  </w:style>
  <w:style w:type="paragraph" w:styleId="25">
    <w:name w:val="header"/>
    <w:basedOn w:val="1"/>
    <w:link w:val="61"/>
    <w:unhideWhenUsed/>
    <w:qFormat/>
    <w:uiPriority w:val="99"/>
    <w:pPr>
      <w:pBdr>
        <w:bottom w:val="single" w:color="auto" w:sz="6" w:space="1"/>
      </w:pBdr>
      <w:tabs>
        <w:tab w:val="center" w:pos="4153"/>
        <w:tab w:val="right" w:pos="8306"/>
      </w:tabs>
      <w:adjustRightInd w:val="0"/>
      <w:snapToGrid w:val="0"/>
      <w:spacing w:line="240" w:lineRule="auto"/>
      <w:ind w:firstLine="0" w:firstLineChars="0"/>
      <w:jc w:val="center"/>
    </w:pPr>
    <w:rPr>
      <w:rFonts w:eastAsia="华文行楷"/>
      <w:color w:val="000000"/>
      <w:sz w:val="18"/>
      <w:szCs w:val="18"/>
    </w:rPr>
  </w:style>
  <w:style w:type="paragraph" w:styleId="26">
    <w:name w:val="toc 1"/>
    <w:basedOn w:val="1"/>
    <w:next w:val="1"/>
    <w:unhideWhenUsed/>
    <w:qFormat/>
    <w:uiPriority w:val="39"/>
    <w:pPr>
      <w:spacing w:before="120" w:after="120"/>
      <w:jc w:val="left"/>
    </w:pPr>
    <w:rPr>
      <w:rFonts w:asciiTheme="minorHAnsi" w:hAnsiTheme="minorHAnsi"/>
      <w:b/>
      <w:bCs/>
      <w:caps/>
      <w:sz w:val="20"/>
      <w:szCs w:val="20"/>
    </w:rPr>
  </w:style>
  <w:style w:type="paragraph" w:styleId="27">
    <w:name w:val="toc 4"/>
    <w:basedOn w:val="1"/>
    <w:next w:val="1"/>
    <w:unhideWhenUsed/>
    <w:qFormat/>
    <w:uiPriority w:val="39"/>
    <w:pPr>
      <w:ind w:left="720"/>
      <w:jc w:val="left"/>
    </w:pPr>
    <w:rPr>
      <w:rFonts w:asciiTheme="minorHAnsi" w:hAnsiTheme="minorHAnsi"/>
      <w:sz w:val="18"/>
      <w:szCs w:val="18"/>
    </w:rPr>
  </w:style>
  <w:style w:type="paragraph" w:styleId="28">
    <w:name w:val="Subtitle"/>
    <w:basedOn w:val="1"/>
    <w:next w:val="1"/>
    <w:qFormat/>
    <w:uiPriority w:val="11"/>
    <w:pPr>
      <w:spacing w:line="120" w:lineRule="atLeast"/>
      <w:ind w:firstLine="0" w:firstLineChars="0"/>
      <w:jc w:val="center"/>
    </w:pPr>
    <w:rPr>
      <w:bCs/>
      <w:kern w:val="28"/>
      <w:sz w:val="21"/>
      <w:szCs w:val="32"/>
    </w:rPr>
  </w:style>
  <w:style w:type="paragraph" w:styleId="29">
    <w:name w:val="List"/>
    <w:basedOn w:val="1"/>
    <w:semiHidden/>
    <w:unhideWhenUsed/>
    <w:qFormat/>
    <w:uiPriority w:val="99"/>
    <w:pPr>
      <w:ind w:left="200" w:hanging="200" w:hangingChars="200"/>
      <w:contextualSpacing/>
    </w:pPr>
  </w:style>
  <w:style w:type="paragraph" w:styleId="30">
    <w:name w:val="toc 6"/>
    <w:basedOn w:val="1"/>
    <w:next w:val="1"/>
    <w:unhideWhenUsed/>
    <w:qFormat/>
    <w:uiPriority w:val="39"/>
    <w:pPr>
      <w:ind w:left="1200"/>
      <w:jc w:val="left"/>
    </w:pPr>
    <w:rPr>
      <w:rFonts w:asciiTheme="minorHAnsi" w:hAnsiTheme="minorHAnsi"/>
      <w:sz w:val="18"/>
      <w:szCs w:val="18"/>
    </w:rPr>
  </w:style>
  <w:style w:type="paragraph" w:styleId="31">
    <w:name w:val="Body Text Indent 3"/>
    <w:basedOn w:val="1"/>
    <w:link w:val="90"/>
    <w:unhideWhenUsed/>
    <w:qFormat/>
    <w:uiPriority w:val="99"/>
    <w:pPr>
      <w:spacing w:after="120"/>
      <w:ind w:left="420" w:leftChars="200"/>
    </w:pPr>
    <w:rPr>
      <w:sz w:val="16"/>
      <w:szCs w:val="16"/>
    </w:rPr>
  </w:style>
  <w:style w:type="paragraph" w:styleId="32">
    <w:name w:val="toc 2"/>
    <w:basedOn w:val="1"/>
    <w:next w:val="1"/>
    <w:unhideWhenUsed/>
    <w:qFormat/>
    <w:uiPriority w:val="39"/>
    <w:pPr>
      <w:ind w:left="240"/>
      <w:jc w:val="left"/>
    </w:pPr>
    <w:rPr>
      <w:rFonts w:asciiTheme="minorHAnsi" w:hAnsiTheme="minorHAnsi"/>
      <w:smallCaps/>
      <w:sz w:val="20"/>
      <w:szCs w:val="20"/>
    </w:rPr>
  </w:style>
  <w:style w:type="paragraph" w:styleId="33">
    <w:name w:val="toc 9"/>
    <w:basedOn w:val="1"/>
    <w:next w:val="1"/>
    <w:unhideWhenUsed/>
    <w:qFormat/>
    <w:uiPriority w:val="39"/>
    <w:pPr>
      <w:ind w:left="1920"/>
      <w:jc w:val="left"/>
    </w:pPr>
    <w:rPr>
      <w:rFonts w:asciiTheme="minorHAnsi" w:hAnsiTheme="minorHAnsi"/>
      <w:sz w:val="18"/>
      <w:szCs w:val="18"/>
    </w:rPr>
  </w:style>
  <w:style w:type="paragraph" w:styleId="34">
    <w:name w:val="Normal (Web)"/>
    <w:basedOn w:val="1"/>
    <w:qFormat/>
    <w:uiPriority w:val="0"/>
    <w:pPr>
      <w:widowControl/>
      <w:spacing w:before="100" w:beforeAutospacing="1" w:after="100" w:afterAutospacing="1"/>
      <w:jc w:val="left"/>
    </w:pPr>
    <w:rPr>
      <w:rFonts w:ascii="宋体"/>
      <w:kern w:val="0"/>
      <w:sz w:val="24"/>
      <w:szCs w:val="24"/>
    </w:rPr>
  </w:style>
  <w:style w:type="paragraph" w:styleId="35">
    <w:name w:val="Title"/>
    <w:basedOn w:val="1"/>
    <w:next w:val="1"/>
    <w:qFormat/>
    <w:uiPriority w:val="10"/>
    <w:pPr>
      <w:spacing w:before="120"/>
      <w:ind w:firstLine="0" w:firstLineChars="0"/>
      <w:jc w:val="center"/>
    </w:pPr>
    <w:rPr>
      <w:rFonts w:cstheme="majorBidi"/>
      <w:b/>
      <w:bCs/>
      <w:sz w:val="21"/>
      <w:szCs w:val="32"/>
    </w:rPr>
  </w:style>
  <w:style w:type="paragraph" w:styleId="36">
    <w:name w:val="annotation subject"/>
    <w:basedOn w:val="15"/>
    <w:next w:val="15"/>
    <w:link w:val="57"/>
    <w:unhideWhenUsed/>
    <w:qFormat/>
    <w:uiPriority w:val="0"/>
    <w:rPr>
      <w:b/>
      <w:bCs/>
    </w:rPr>
  </w:style>
  <w:style w:type="paragraph" w:styleId="37">
    <w:name w:val="Body Text First Indent"/>
    <w:basedOn w:val="16"/>
    <w:link w:val="231"/>
    <w:semiHidden/>
    <w:unhideWhenUsed/>
    <w:qFormat/>
    <w:uiPriority w:val="99"/>
    <w:pPr>
      <w:spacing w:line="360" w:lineRule="auto"/>
      <w:ind w:firstLine="420" w:firstLineChars="100"/>
    </w:pPr>
    <w:rPr>
      <w:sz w:val="24"/>
    </w:rPr>
  </w:style>
  <w:style w:type="table" w:styleId="39">
    <w:name w:val="Table Grid"/>
    <w:basedOn w:val="38"/>
    <w:qFormat/>
    <w:uiPriority w:val="0"/>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
  </w:style>
  <w:style w:type="character" w:styleId="41">
    <w:name w:val="Strong"/>
    <w:qFormat/>
    <w:uiPriority w:val="22"/>
    <w:rPr>
      <w:b/>
      <w:bCs/>
    </w:rPr>
  </w:style>
  <w:style w:type="character" w:styleId="42">
    <w:name w:val="page number"/>
    <w:basedOn w:val="40"/>
    <w:qFormat/>
    <w:uiPriority w:val="0"/>
    <w:rPr>
      <w:sz w:val="21"/>
    </w:rPr>
  </w:style>
  <w:style w:type="character" w:styleId="43">
    <w:name w:val="FollowedHyperlink"/>
    <w:basedOn w:val="40"/>
    <w:semiHidden/>
    <w:unhideWhenUsed/>
    <w:qFormat/>
    <w:uiPriority w:val="99"/>
    <w:rPr>
      <w:color w:val="800080" w:themeColor="followedHyperlink"/>
      <w:u w:val="single"/>
      <w14:textFill>
        <w14:solidFill>
          <w14:schemeClr w14:val="folHlink"/>
        </w14:solidFill>
      </w14:textFill>
    </w:rPr>
  </w:style>
  <w:style w:type="character" w:styleId="44">
    <w:name w:val="line number"/>
    <w:basedOn w:val="40"/>
    <w:semiHidden/>
    <w:unhideWhenUsed/>
    <w:qFormat/>
    <w:uiPriority w:val="99"/>
  </w:style>
  <w:style w:type="character" w:styleId="45">
    <w:name w:val="Hyperlink"/>
    <w:basedOn w:val="40"/>
    <w:unhideWhenUsed/>
    <w:qFormat/>
    <w:uiPriority w:val="99"/>
    <w:rPr>
      <w:color w:val="0000FF"/>
      <w:u w:val="single"/>
    </w:rPr>
  </w:style>
  <w:style w:type="character" w:styleId="46">
    <w:name w:val="annotation reference"/>
    <w:basedOn w:val="40"/>
    <w:unhideWhenUsed/>
    <w:qFormat/>
    <w:uiPriority w:val="0"/>
    <w:rPr>
      <w:sz w:val="21"/>
      <w:szCs w:val="21"/>
    </w:rPr>
  </w:style>
  <w:style w:type="character" w:customStyle="1" w:styleId="47">
    <w:name w:val="标题 1 字符"/>
    <w:basedOn w:val="40"/>
    <w:link w:val="2"/>
    <w:qFormat/>
    <w:uiPriority w:val="0"/>
    <w:rPr>
      <w:rFonts w:ascii="黑体" w:hAnsi="Times New Roman" w:eastAsiaTheme="majorEastAsia"/>
      <w:b/>
      <w:bCs/>
      <w:snapToGrid w:val="0"/>
      <w:color w:val="000000"/>
      <w:kern w:val="18"/>
      <w:sz w:val="44"/>
      <w:szCs w:val="32"/>
    </w:rPr>
  </w:style>
  <w:style w:type="character" w:customStyle="1" w:styleId="48">
    <w:name w:val="标题 2 字符"/>
    <w:basedOn w:val="40"/>
    <w:link w:val="3"/>
    <w:qFormat/>
    <w:uiPriority w:val="0"/>
    <w:rPr>
      <w:rFonts w:ascii="黑体" w:hAnsi="黑体" w:eastAsiaTheme="majorEastAsia"/>
      <w:b/>
      <w:bCs/>
      <w:snapToGrid w:val="0"/>
      <w:color w:val="000000"/>
      <w:kern w:val="20"/>
      <w:sz w:val="36"/>
      <w:szCs w:val="32"/>
    </w:rPr>
  </w:style>
  <w:style w:type="character" w:customStyle="1" w:styleId="49">
    <w:name w:val="标题 3 字符"/>
    <w:basedOn w:val="40"/>
    <w:link w:val="4"/>
    <w:qFormat/>
    <w:uiPriority w:val="0"/>
    <w:rPr>
      <w:rFonts w:ascii="华文楷体" w:hAnsi="黑体" w:eastAsia="楷体"/>
      <w:b/>
      <w:snapToGrid w:val="0"/>
      <w:color w:val="000000"/>
      <w:sz w:val="32"/>
      <w:szCs w:val="30"/>
    </w:rPr>
  </w:style>
  <w:style w:type="character" w:customStyle="1" w:styleId="50">
    <w:name w:val="标题 4 字符"/>
    <w:basedOn w:val="40"/>
    <w:link w:val="5"/>
    <w:qFormat/>
    <w:uiPriority w:val="0"/>
    <w:rPr>
      <w:rFonts w:ascii="Times New Roman" w:hAnsi="Times New Roman" w:eastAsiaTheme="minorEastAsia"/>
      <w:b/>
      <w:bCs/>
      <w:color w:val="000000"/>
      <w:kern w:val="2"/>
      <w:sz w:val="28"/>
      <w:szCs w:val="28"/>
    </w:rPr>
  </w:style>
  <w:style w:type="paragraph" w:customStyle="1" w:styleId="51">
    <w:name w:val="表格"/>
    <w:basedOn w:val="1"/>
    <w:link w:val="65"/>
    <w:qFormat/>
    <w:uiPriority w:val="0"/>
    <w:pPr>
      <w:pBdr>
        <w:top w:val="single" w:color="auto" w:sz="12" w:space="1"/>
        <w:bottom w:val="single" w:color="auto" w:sz="12" w:space="1"/>
      </w:pBdr>
      <w:adjustRightInd w:val="0"/>
      <w:snapToGrid w:val="0"/>
      <w:spacing w:line="240" w:lineRule="auto"/>
      <w:ind w:firstLine="0" w:firstLineChars="0"/>
      <w:jc w:val="center"/>
    </w:pPr>
    <w:rPr>
      <w:color w:val="000000"/>
      <w:sz w:val="21"/>
      <w:szCs w:val="21"/>
    </w:rPr>
  </w:style>
  <w:style w:type="paragraph" w:customStyle="1" w:styleId="52">
    <w:name w:val="表头"/>
    <w:basedOn w:val="1"/>
    <w:link w:val="66"/>
    <w:qFormat/>
    <w:uiPriority w:val="0"/>
    <w:pPr>
      <w:ind w:firstLine="0" w:firstLineChars="0"/>
      <w:jc w:val="center"/>
    </w:pPr>
    <w:rPr>
      <w:rFonts w:eastAsiaTheme="majorEastAsia"/>
    </w:rPr>
  </w:style>
  <w:style w:type="paragraph" w:customStyle="1" w:styleId="53">
    <w:name w:val="基准页眉样式"/>
    <w:basedOn w:val="1"/>
    <w:semiHidden/>
    <w:qFormat/>
    <w:uiPriority w:val="0"/>
    <w:pPr>
      <w:spacing w:line="400" w:lineRule="exact"/>
      <w:jc w:val="center"/>
    </w:pPr>
    <w:rPr>
      <w:rFonts w:ascii="Calibri" w:hAnsi="Calibri"/>
      <w:color w:val="000000"/>
      <w:szCs w:val="21"/>
    </w:rPr>
  </w:style>
  <w:style w:type="paragraph" w:styleId="54">
    <w:name w:val="List Paragraph"/>
    <w:basedOn w:val="1"/>
    <w:qFormat/>
    <w:uiPriority w:val="99"/>
    <w:pPr>
      <w:ind w:firstLine="420"/>
    </w:pPr>
  </w:style>
  <w:style w:type="character" w:customStyle="1" w:styleId="55">
    <w:name w:val="批注框文本 字符"/>
    <w:basedOn w:val="40"/>
    <w:link w:val="23"/>
    <w:qFormat/>
    <w:uiPriority w:val="0"/>
    <w:rPr>
      <w:rFonts w:ascii="Times New Roman" w:hAnsi="Times New Roman" w:eastAsia="宋体" w:cs="Times New Roman"/>
      <w:sz w:val="18"/>
      <w:szCs w:val="18"/>
    </w:rPr>
  </w:style>
  <w:style w:type="character" w:customStyle="1" w:styleId="56">
    <w:name w:val="批注文字 字符"/>
    <w:basedOn w:val="40"/>
    <w:link w:val="15"/>
    <w:qFormat/>
    <w:uiPriority w:val="0"/>
    <w:rPr>
      <w:rFonts w:ascii="Times New Roman" w:hAnsi="Times New Roman" w:eastAsia="宋体" w:cs="Times New Roman"/>
      <w:sz w:val="24"/>
      <w:szCs w:val="24"/>
    </w:rPr>
  </w:style>
  <w:style w:type="character" w:customStyle="1" w:styleId="57">
    <w:name w:val="批注主题 字符"/>
    <w:basedOn w:val="56"/>
    <w:link w:val="36"/>
    <w:qFormat/>
    <w:uiPriority w:val="0"/>
    <w:rPr>
      <w:rFonts w:ascii="Times New Roman" w:hAnsi="Times New Roman" w:eastAsia="宋体" w:cs="Times New Roman"/>
      <w:b/>
      <w:bCs/>
      <w:sz w:val="24"/>
      <w:szCs w:val="24"/>
    </w:rPr>
  </w:style>
  <w:style w:type="character" w:customStyle="1" w:styleId="58">
    <w:name w:val="日期 字符"/>
    <w:basedOn w:val="40"/>
    <w:link w:val="22"/>
    <w:qFormat/>
    <w:uiPriority w:val="0"/>
    <w:rPr>
      <w:rFonts w:ascii="Times New Roman" w:hAnsi="Times New Roman" w:eastAsia="宋体" w:cs="Times New Roman"/>
      <w:sz w:val="24"/>
      <w:szCs w:val="24"/>
    </w:rPr>
  </w:style>
  <w:style w:type="character" w:customStyle="1" w:styleId="59">
    <w:name w:val="文档结构图 字符"/>
    <w:basedOn w:val="40"/>
    <w:link w:val="14"/>
    <w:semiHidden/>
    <w:qFormat/>
    <w:uiPriority w:val="99"/>
    <w:rPr>
      <w:rFonts w:ascii="宋体" w:hAnsi="Times New Roman" w:eastAsia="宋体" w:cs="Times New Roman"/>
      <w:sz w:val="18"/>
      <w:szCs w:val="18"/>
    </w:rPr>
  </w:style>
  <w:style w:type="character" w:customStyle="1" w:styleId="60">
    <w:name w:val="页脚 字符"/>
    <w:basedOn w:val="40"/>
    <w:link w:val="24"/>
    <w:qFormat/>
    <w:uiPriority w:val="99"/>
    <w:rPr>
      <w:rFonts w:ascii="Times New Roman" w:hAnsi="Times New Roman" w:eastAsia="宋体"/>
      <w:color w:val="000000"/>
      <w:kern w:val="2"/>
      <w:sz w:val="21"/>
      <w:szCs w:val="18"/>
    </w:rPr>
  </w:style>
  <w:style w:type="character" w:customStyle="1" w:styleId="61">
    <w:name w:val="页眉 字符"/>
    <w:basedOn w:val="40"/>
    <w:link w:val="25"/>
    <w:qFormat/>
    <w:uiPriority w:val="99"/>
    <w:rPr>
      <w:rFonts w:ascii="Times New Roman" w:hAnsi="Times New Roman" w:eastAsia="华文行楷" w:cs="Times New Roman"/>
      <w:color w:val="000000"/>
      <w:sz w:val="18"/>
      <w:szCs w:val="18"/>
    </w:rPr>
  </w:style>
  <w:style w:type="character" w:styleId="62">
    <w:name w:val="Placeholder Text"/>
    <w:basedOn w:val="40"/>
    <w:semiHidden/>
    <w:qFormat/>
    <w:uiPriority w:val="99"/>
    <w:rPr>
      <w:color w:val="808080"/>
    </w:rPr>
  </w:style>
  <w:style w:type="paragraph" w:customStyle="1" w:styleId="63">
    <w:name w:val="样式 样式 样式 样式 样式 样式 样式 正文缩进 + 首行缩进:  2 字符1 + 首行缩进:  2 字符1 + 四号 + 首..."/>
    <w:basedOn w:val="1"/>
    <w:qFormat/>
    <w:uiPriority w:val="0"/>
    <w:pPr>
      <w:widowControl/>
      <w:adjustRightInd w:val="0"/>
      <w:snapToGrid w:val="0"/>
      <w:spacing w:line="520" w:lineRule="exact"/>
      <w:ind w:firstLine="565" w:firstLineChars="191"/>
    </w:pPr>
    <w:rPr>
      <w:rFonts w:ascii="仿宋_GB2312" w:eastAsia="仿宋_GB2312" w:cs="宋体"/>
      <w:spacing w:val="8"/>
      <w:kern w:val="0"/>
      <w:sz w:val="28"/>
      <w:szCs w:val="20"/>
      <w:shd w:val="clear" w:color="auto" w:fill="FFFFFF"/>
    </w:rPr>
  </w:style>
  <w:style w:type="paragraph" w:customStyle="1" w:styleId="64">
    <w:name w:val="M表格竖"/>
    <w:basedOn w:val="1"/>
    <w:qFormat/>
    <w:uiPriority w:val="0"/>
    <w:pPr>
      <w:spacing w:line="240" w:lineRule="auto"/>
      <w:ind w:firstLine="0" w:firstLineChars="0"/>
      <w:jc w:val="center"/>
    </w:pPr>
    <w:rPr>
      <w:sz w:val="18"/>
      <w:szCs w:val="18"/>
    </w:rPr>
  </w:style>
  <w:style w:type="character" w:customStyle="1" w:styleId="65">
    <w:name w:val="表格 Char"/>
    <w:basedOn w:val="40"/>
    <w:link w:val="51"/>
    <w:qFormat/>
    <w:uiPriority w:val="0"/>
    <w:rPr>
      <w:rFonts w:ascii="Times New Roman" w:hAnsi="Times New Roman"/>
      <w:color w:val="000000"/>
      <w:kern w:val="2"/>
      <w:sz w:val="21"/>
      <w:szCs w:val="21"/>
    </w:rPr>
  </w:style>
  <w:style w:type="character" w:customStyle="1" w:styleId="66">
    <w:name w:val="表头 Char Char"/>
    <w:link w:val="52"/>
    <w:qFormat/>
    <w:locked/>
    <w:uiPriority w:val="0"/>
    <w:rPr>
      <w:rFonts w:ascii="Times New Roman" w:hAnsi="Times New Roman" w:eastAsiaTheme="majorEastAsia"/>
      <w:kern w:val="2"/>
      <w:sz w:val="24"/>
      <w:szCs w:val="24"/>
    </w:rPr>
  </w:style>
  <w:style w:type="character" w:customStyle="1" w:styleId="67">
    <w:name w:val="111111正文 Char Char"/>
    <w:link w:val="68"/>
    <w:qFormat/>
    <w:uiPriority w:val="0"/>
    <w:rPr>
      <w:kern w:val="2"/>
      <w:sz w:val="24"/>
      <w:szCs w:val="24"/>
    </w:rPr>
  </w:style>
  <w:style w:type="paragraph" w:customStyle="1" w:styleId="68">
    <w:name w:val="111111正文"/>
    <w:basedOn w:val="1"/>
    <w:link w:val="67"/>
    <w:qFormat/>
    <w:uiPriority w:val="0"/>
    <w:rPr>
      <w:rFonts w:ascii="Calibri" w:hAnsi="Calibri"/>
    </w:rPr>
  </w:style>
  <w:style w:type="character" w:customStyle="1" w:styleId="69">
    <w:name w:val="新正文 Char"/>
    <w:link w:val="70"/>
    <w:qFormat/>
    <w:uiPriority w:val="0"/>
    <w:rPr>
      <w:kern w:val="2"/>
      <w:sz w:val="24"/>
      <w:szCs w:val="24"/>
    </w:rPr>
  </w:style>
  <w:style w:type="paragraph" w:customStyle="1" w:styleId="70">
    <w:name w:val="新正文"/>
    <w:basedOn w:val="1"/>
    <w:link w:val="69"/>
    <w:qFormat/>
    <w:uiPriority w:val="0"/>
    <w:pPr>
      <w:tabs>
        <w:tab w:val="left" w:pos="8295"/>
      </w:tabs>
    </w:pPr>
    <w:rPr>
      <w:rFonts w:ascii="Calibri" w:hAnsi="Calibri"/>
    </w:rPr>
  </w:style>
  <w:style w:type="paragraph" w:customStyle="1" w:styleId="71">
    <w:name w:val="表格15"/>
    <w:basedOn w:val="1"/>
    <w:link w:val="72"/>
    <w:qFormat/>
    <w:uiPriority w:val="0"/>
    <w:pPr>
      <w:adjustRightInd w:val="0"/>
      <w:snapToGrid w:val="0"/>
      <w:spacing w:line="300" w:lineRule="exact"/>
      <w:ind w:firstLine="0" w:firstLineChars="0"/>
      <w:jc w:val="center"/>
      <w:textAlignment w:val="baseline"/>
    </w:pPr>
    <w:rPr>
      <w:rFonts w:ascii="宋体"/>
      <w:kern w:val="0"/>
      <w:sz w:val="21"/>
      <w:szCs w:val="28"/>
    </w:rPr>
  </w:style>
  <w:style w:type="character" w:customStyle="1" w:styleId="72">
    <w:name w:val="表格15 Char"/>
    <w:link w:val="71"/>
    <w:qFormat/>
    <w:uiPriority w:val="0"/>
    <w:rPr>
      <w:rFonts w:ascii="宋体" w:hAnsi="Times New Roman"/>
      <w:sz w:val="21"/>
      <w:szCs w:val="28"/>
    </w:rPr>
  </w:style>
  <w:style w:type="character" w:customStyle="1" w:styleId="73">
    <w:name w:val="fu正文 Char"/>
    <w:basedOn w:val="40"/>
    <w:link w:val="74"/>
    <w:qFormat/>
    <w:uiPriority w:val="0"/>
    <w:rPr>
      <w:rFonts w:ascii="宋体" w:hAnsi="宋体"/>
      <w:color w:val="000000"/>
      <w:kern w:val="2"/>
      <w:sz w:val="24"/>
      <w:szCs w:val="24"/>
    </w:rPr>
  </w:style>
  <w:style w:type="paragraph" w:customStyle="1" w:styleId="74">
    <w:name w:val="fu正文"/>
    <w:basedOn w:val="1"/>
    <w:link w:val="73"/>
    <w:qFormat/>
    <w:uiPriority w:val="0"/>
    <w:rPr>
      <w:rFonts w:ascii="宋体" w:hAnsi="宋体"/>
      <w:color w:val="000000"/>
    </w:rPr>
  </w:style>
  <w:style w:type="character" w:customStyle="1" w:styleId="75">
    <w:name w:val="正文文本缩进 Char"/>
    <w:basedOn w:val="40"/>
    <w:semiHidden/>
    <w:qFormat/>
    <w:uiPriority w:val="99"/>
    <w:rPr>
      <w:rFonts w:ascii="Times New Roman" w:hAnsi="Times New Roman"/>
      <w:kern w:val="2"/>
      <w:sz w:val="24"/>
      <w:szCs w:val="24"/>
    </w:rPr>
  </w:style>
  <w:style w:type="character" w:customStyle="1" w:styleId="76">
    <w:name w:val="正文文本缩进 字符"/>
    <w:basedOn w:val="40"/>
    <w:link w:val="12"/>
    <w:qFormat/>
    <w:uiPriority w:val="0"/>
    <w:rPr>
      <w:rFonts w:ascii="Times" w:hAnsi="Times"/>
      <w:sz w:val="24"/>
      <w:szCs w:val="24"/>
    </w:rPr>
  </w:style>
  <w:style w:type="character" w:customStyle="1" w:styleId="77">
    <w:name w:val="正文缩进 字符"/>
    <w:link w:val="10"/>
    <w:qFormat/>
    <w:uiPriority w:val="0"/>
    <w:rPr>
      <w:rFonts w:ascii="楷体_GB2312" w:hAnsi="Times New Roman" w:eastAsia="楷体_GB2312"/>
      <w:kern w:val="2"/>
      <w:sz w:val="28"/>
    </w:rPr>
  </w:style>
  <w:style w:type="paragraph" w:styleId="78">
    <w:name w:val="No Spacing"/>
    <w:basedOn w:val="1"/>
    <w:link w:val="79"/>
    <w:qFormat/>
    <w:uiPriority w:val="1"/>
    <w:pPr>
      <w:spacing w:afterLines="50"/>
      <w:jc w:val="center"/>
    </w:pPr>
    <w:rPr>
      <w:b/>
      <w:sz w:val="21"/>
      <w:szCs w:val="22"/>
    </w:rPr>
  </w:style>
  <w:style w:type="character" w:customStyle="1" w:styleId="79">
    <w:name w:val="无间隔 字符"/>
    <w:link w:val="78"/>
    <w:qFormat/>
    <w:uiPriority w:val="1"/>
    <w:rPr>
      <w:rFonts w:ascii="Times New Roman" w:hAnsi="Times New Roman"/>
      <w:b/>
      <w:kern w:val="2"/>
      <w:sz w:val="21"/>
      <w:szCs w:val="22"/>
    </w:rPr>
  </w:style>
  <w:style w:type="paragraph" w:customStyle="1" w:styleId="80">
    <w:name w:val="M正文"/>
    <w:basedOn w:val="1"/>
    <w:link w:val="105"/>
    <w:qFormat/>
    <w:uiPriority w:val="0"/>
    <w:rPr>
      <w:szCs w:val="21"/>
    </w:rPr>
  </w:style>
  <w:style w:type="paragraph" w:customStyle="1" w:styleId="81">
    <w:name w:val="样式 四号 首行缩进:  2 字符"/>
    <w:basedOn w:val="1"/>
    <w:qFormat/>
    <w:uiPriority w:val="0"/>
    <w:pPr>
      <w:spacing w:line="480" w:lineRule="atLeast"/>
    </w:pPr>
    <w:rPr>
      <w:szCs w:val="20"/>
    </w:rPr>
  </w:style>
  <w:style w:type="paragraph" w:customStyle="1" w:styleId="82">
    <w:name w:val="图4.1"/>
    <w:basedOn w:val="1"/>
    <w:semiHidden/>
    <w:qFormat/>
    <w:uiPriority w:val="0"/>
    <w:pPr>
      <w:widowControl/>
      <w:numPr>
        <w:ilvl w:val="0"/>
        <w:numId w:val="2"/>
      </w:numPr>
      <w:snapToGrid w:val="0"/>
      <w:ind w:firstLine="0" w:firstLineChars="0"/>
      <w:jc w:val="left"/>
    </w:pPr>
    <w:rPr>
      <w:rFonts w:eastAsia="黑体" w:cs="Times"/>
      <w:kern w:val="0"/>
    </w:rPr>
  </w:style>
  <w:style w:type="paragraph" w:customStyle="1" w:styleId="83">
    <w:name w:val="p0"/>
    <w:basedOn w:val="1"/>
    <w:qFormat/>
    <w:uiPriority w:val="0"/>
    <w:pPr>
      <w:widowControl/>
      <w:spacing w:line="240" w:lineRule="auto"/>
      <w:ind w:firstLine="0" w:firstLineChars="0"/>
    </w:pPr>
    <w:rPr>
      <w:kern w:val="0"/>
      <w:sz w:val="21"/>
      <w:szCs w:val="21"/>
    </w:rPr>
  </w:style>
  <w:style w:type="character" w:customStyle="1" w:styleId="84">
    <w:name w:val="正文文本 Char"/>
    <w:basedOn w:val="40"/>
    <w:semiHidden/>
    <w:qFormat/>
    <w:uiPriority w:val="99"/>
    <w:rPr>
      <w:rFonts w:ascii="Times New Roman" w:hAnsi="Times New Roman"/>
      <w:kern w:val="2"/>
      <w:sz w:val="24"/>
      <w:szCs w:val="24"/>
    </w:rPr>
  </w:style>
  <w:style w:type="character" w:customStyle="1" w:styleId="85">
    <w:name w:val="正文文本 字符"/>
    <w:basedOn w:val="40"/>
    <w:link w:val="16"/>
    <w:qFormat/>
    <w:uiPriority w:val="0"/>
    <w:rPr>
      <w:rFonts w:ascii="Times New Roman" w:hAnsi="Times New Roman"/>
      <w:kern w:val="2"/>
      <w:sz w:val="21"/>
      <w:szCs w:val="24"/>
    </w:rPr>
  </w:style>
  <w:style w:type="character" w:customStyle="1" w:styleId="86">
    <w:name w:val="页眉 Char1"/>
    <w:basedOn w:val="40"/>
    <w:qFormat/>
    <w:uiPriority w:val="99"/>
    <w:rPr>
      <w:kern w:val="2"/>
      <w:sz w:val="18"/>
      <w:szCs w:val="18"/>
    </w:rPr>
  </w:style>
  <w:style w:type="paragraph" w:customStyle="1" w:styleId="87">
    <w:name w:val="cardlist-value"/>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88">
    <w:name w:val="正文格式"/>
    <w:basedOn w:val="1"/>
    <w:link w:val="89"/>
    <w:qFormat/>
    <w:uiPriority w:val="0"/>
    <w:pPr>
      <w:ind w:firstLine="544"/>
    </w:pPr>
    <w:rPr>
      <w:rFonts w:cs="宋体"/>
    </w:rPr>
  </w:style>
  <w:style w:type="character" w:customStyle="1" w:styleId="89">
    <w:name w:val="正文格式 Char"/>
    <w:link w:val="88"/>
    <w:qFormat/>
    <w:uiPriority w:val="0"/>
    <w:rPr>
      <w:rFonts w:ascii="Times New Roman" w:hAnsi="Times New Roman" w:cs="宋体"/>
      <w:kern w:val="2"/>
      <w:sz w:val="24"/>
      <w:szCs w:val="24"/>
    </w:rPr>
  </w:style>
  <w:style w:type="character" w:customStyle="1" w:styleId="90">
    <w:name w:val="正文文本缩进 3 字符"/>
    <w:basedOn w:val="40"/>
    <w:link w:val="31"/>
    <w:qFormat/>
    <w:uiPriority w:val="99"/>
    <w:rPr>
      <w:rFonts w:ascii="Times New Roman" w:hAnsi="Times New Roman"/>
      <w:kern w:val="2"/>
      <w:sz w:val="16"/>
      <w:szCs w:val="16"/>
    </w:rPr>
  </w:style>
  <w:style w:type="paragraph" w:customStyle="1" w:styleId="91">
    <w:name w:val="0"/>
    <w:basedOn w:val="1"/>
    <w:qFormat/>
    <w:uiPriority w:val="0"/>
    <w:pPr>
      <w:snapToGrid w:val="0"/>
      <w:spacing w:line="336" w:lineRule="auto"/>
      <w:ind w:firstLine="0"/>
    </w:pPr>
    <w:rPr>
      <w:rFonts w:hint="eastAsia"/>
      <w:szCs w:val="20"/>
    </w:rPr>
  </w:style>
  <w:style w:type="character" w:customStyle="1" w:styleId="92">
    <w:name w:val="标题 5 字符"/>
    <w:basedOn w:val="40"/>
    <w:link w:val="6"/>
    <w:qFormat/>
    <w:uiPriority w:val="9"/>
    <w:rPr>
      <w:rFonts w:ascii="Times New Roman" w:hAnsi="Times New Roman" w:eastAsia="宋体"/>
      <w:bCs/>
      <w:kern w:val="2"/>
      <w:sz w:val="24"/>
      <w:szCs w:val="28"/>
    </w:rPr>
  </w:style>
  <w:style w:type="paragraph" w:customStyle="1" w:styleId="93">
    <w:name w:val="样式5"/>
    <w:basedOn w:val="1"/>
    <w:link w:val="94"/>
    <w:qFormat/>
    <w:uiPriority w:val="0"/>
    <w:pPr>
      <w:snapToGrid w:val="0"/>
      <w:ind w:firstLine="510" w:firstLineChars="0"/>
    </w:pPr>
  </w:style>
  <w:style w:type="character" w:customStyle="1" w:styleId="94">
    <w:name w:val="样式5 Char2"/>
    <w:basedOn w:val="40"/>
    <w:link w:val="93"/>
    <w:qFormat/>
    <w:uiPriority w:val="0"/>
    <w:rPr>
      <w:rFonts w:ascii="Times New Roman" w:hAnsi="Times New Roman"/>
      <w:kern w:val="2"/>
      <w:sz w:val="24"/>
      <w:szCs w:val="24"/>
    </w:rPr>
  </w:style>
  <w:style w:type="paragraph" w:customStyle="1" w:styleId="95">
    <w:name w:val="正文王"/>
    <w:basedOn w:val="20"/>
    <w:link w:val="96"/>
    <w:qFormat/>
    <w:uiPriority w:val="0"/>
    <w:pPr>
      <w:spacing w:line="440" w:lineRule="exact"/>
      <w:ind w:firstLine="0" w:firstLineChars="0"/>
    </w:pPr>
    <w:rPr>
      <w:rFonts w:ascii="Arial" w:hAnsi="Arial" w:cs="Times New Roman"/>
      <w:kern w:val="0"/>
      <w:sz w:val="24"/>
      <w:szCs w:val="24"/>
    </w:rPr>
  </w:style>
  <w:style w:type="character" w:customStyle="1" w:styleId="96">
    <w:name w:val="正文王 Char"/>
    <w:link w:val="95"/>
    <w:qFormat/>
    <w:uiPriority w:val="0"/>
    <w:rPr>
      <w:rFonts w:ascii="Arial" w:hAnsi="Arial"/>
      <w:sz w:val="24"/>
      <w:szCs w:val="24"/>
    </w:rPr>
  </w:style>
  <w:style w:type="paragraph" w:customStyle="1" w:styleId="97">
    <w:name w:val="Char Char Char1 Char"/>
    <w:basedOn w:val="1"/>
    <w:next w:val="1"/>
    <w:qFormat/>
    <w:uiPriority w:val="0"/>
    <w:rPr>
      <w:rFonts w:ascii="宋体" w:hAnsi="宋体" w:cs="宋体"/>
    </w:rPr>
  </w:style>
  <w:style w:type="character" w:customStyle="1" w:styleId="98">
    <w:name w:val="纯文本 字符"/>
    <w:basedOn w:val="40"/>
    <w:link w:val="20"/>
    <w:qFormat/>
    <w:uiPriority w:val="99"/>
    <w:rPr>
      <w:rFonts w:ascii="宋体" w:hAnsi="Courier New" w:cs="Courier New"/>
      <w:kern w:val="2"/>
      <w:sz w:val="21"/>
      <w:szCs w:val="21"/>
    </w:rPr>
  </w:style>
  <w:style w:type="paragraph" w:customStyle="1" w:styleId="99">
    <w:name w:val="正文--------"/>
    <w:basedOn w:val="1"/>
    <w:link w:val="100"/>
    <w:qFormat/>
    <w:uiPriority w:val="0"/>
    <w:pPr>
      <w:spacing w:line="460" w:lineRule="exact"/>
      <w:ind w:firstLine="480"/>
      <w:jc w:val="left"/>
    </w:pPr>
    <w:rPr>
      <w:kern w:val="0"/>
      <w:szCs w:val="20"/>
    </w:rPr>
  </w:style>
  <w:style w:type="character" w:customStyle="1" w:styleId="100">
    <w:name w:val="正文-------- Char"/>
    <w:link w:val="99"/>
    <w:qFormat/>
    <w:uiPriority w:val="0"/>
    <w:rPr>
      <w:rFonts w:ascii="Times New Roman" w:hAnsi="Times New Roman"/>
      <w:sz w:val="24"/>
    </w:rPr>
  </w:style>
  <w:style w:type="paragraph" w:customStyle="1" w:styleId="101">
    <w:name w:val="环评正文"/>
    <w:basedOn w:val="1"/>
    <w:link w:val="102"/>
    <w:qFormat/>
    <w:uiPriority w:val="0"/>
    <w:pPr>
      <w:adjustRightInd w:val="0"/>
      <w:snapToGrid w:val="0"/>
      <w:spacing w:line="520" w:lineRule="exact"/>
      <w:ind w:firstLine="480"/>
    </w:pPr>
    <w:rPr>
      <w:iCs/>
      <w:kern w:val="0"/>
    </w:rPr>
  </w:style>
  <w:style w:type="character" w:customStyle="1" w:styleId="102">
    <w:name w:val="环评正文 Char"/>
    <w:link w:val="101"/>
    <w:qFormat/>
    <w:uiPriority w:val="0"/>
    <w:rPr>
      <w:rFonts w:ascii="Times New Roman" w:hAnsi="Times New Roman"/>
      <w:iCs/>
      <w:sz w:val="24"/>
      <w:szCs w:val="24"/>
    </w:rPr>
  </w:style>
  <w:style w:type="paragraph" w:customStyle="1" w:styleId="103">
    <w:name w:val="表格文字"/>
    <w:basedOn w:val="1"/>
    <w:link w:val="104"/>
    <w:qFormat/>
    <w:uiPriority w:val="0"/>
    <w:pPr>
      <w:adjustRightInd w:val="0"/>
      <w:snapToGrid w:val="0"/>
      <w:spacing w:line="240" w:lineRule="auto"/>
      <w:ind w:firstLine="0" w:firstLineChars="0"/>
      <w:jc w:val="center"/>
    </w:pPr>
    <w:rPr>
      <w:kern w:val="0"/>
      <w:sz w:val="21"/>
      <w:szCs w:val="20"/>
    </w:rPr>
  </w:style>
  <w:style w:type="character" w:customStyle="1" w:styleId="104">
    <w:name w:val="表格文字 Char"/>
    <w:link w:val="103"/>
    <w:qFormat/>
    <w:uiPriority w:val="0"/>
    <w:rPr>
      <w:rFonts w:ascii="Times New Roman" w:hAnsi="Times New Roman"/>
      <w:sz w:val="21"/>
    </w:rPr>
  </w:style>
  <w:style w:type="character" w:customStyle="1" w:styleId="105">
    <w:name w:val="M正文 Char"/>
    <w:link w:val="80"/>
    <w:qFormat/>
    <w:uiPriority w:val="0"/>
    <w:rPr>
      <w:rFonts w:ascii="Times New Roman" w:hAnsi="Times New Roman"/>
      <w:kern w:val="2"/>
      <w:sz w:val="24"/>
      <w:szCs w:val="21"/>
    </w:rPr>
  </w:style>
  <w:style w:type="paragraph" w:customStyle="1" w:styleId="106">
    <w:name w:val="M表头"/>
    <w:basedOn w:val="1"/>
    <w:next w:val="1"/>
    <w:qFormat/>
    <w:uiPriority w:val="99"/>
    <w:pPr>
      <w:spacing w:beforeLines="70"/>
      <w:ind w:firstLine="0" w:firstLineChars="0"/>
      <w:jc w:val="center"/>
    </w:pPr>
    <w:rPr>
      <w:rFonts w:eastAsia="黑体"/>
      <w:bCs/>
      <w:szCs w:val="21"/>
    </w:rPr>
  </w:style>
  <w:style w:type="character" w:customStyle="1" w:styleId="107">
    <w:name w:val="样式 正文1 + 首行缩进:  2 字符 Char"/>
    <w:basedOn w:val="40"/>
    <w:link w:val="108"/>
    <w:qFormat/>
    <w:uiPriority w:val="0"/>
    <w:rPr>
      <w:rFonts w:cs="宋体"/>
      <w:kern w:val="2"/>
      <w:sz w:val="24"/>
      <w:szCs w:val="24"/>
    </w:rPr>
  </w:style>
  <w:style w:type="paragraph" w:customStyle="1" w:styleId="108">
    <w:name w:val="样式 正文1 + 首行缩进:  2 字符"/>
    <w:basedOn w:val="109"/>
    <w:link w:val="107"/>
    <w:qFormat/>
    <w:uiPriority w:val="0"/>
    <w:pPr>
      <w:keepNext/>
    </w:pPr>
    <w:rPr>
      <w:rFonts w:ascii="Calibri" w:hAnsi="Calibri" w:cs="宋体"/>
    </w:rPr>
  </w:style>
  <w:style w:type="paragraph" w:customStyle="1" w:styleId="109">
    <w:name w:val="正文1"/>
    <w:link w:val="11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10">
    <w:name w:val="Char Char Char Char Char Char Char Char Char"/>
    <w:basedOn w:val="1"/>
    <w:qFormat/>
    <w:uiPriority w:val="0"/>
    <w:pPr>
      <w:widowControl/>
      <w:spacing w:after="160" w:line="240" w:lineRule="exact"/>
      <w:ind w:firstLine="0" w:firstLineChars="0"/>
      <w:jc w:val="left"/>
    </w:pPr>
    <w:rPr>
      <w:rFonts w:ascii="Verdana" w:hAnsi="Verdana" w:eastAsia="仿宋_GB2312"/>
      <w:kern w:val="0"/>
      <w:szCs w:val="20"/>
      <w:lang w:eastAsia="en-US"/>
    </w:rPr>
  </w:style>
  <w:style w:type="character" w:customStyle="1" w:styleId="111">
    <w:name w:val="正文1 Char"/>
    <w:link w:val="109"/>
    <w:qFormat/>
    <w:uiPriority w:val="0"/>
    <w:rPr>
      <w:rFonts w:ascii="宋体" w:hAnsi="Times New Roman"/>
      <w:sz w:val="24"/>
    </w:rPr>
  </w:style>
  <w:style w:type="character" w:customStyle="1" w:styleId="112">
    <w:name w:val="正文样式1 Char1"/>
    <w:link w:val="113"/>
    <w:qFormat/>
    <w:uiPriority w:val="0"/>
    <w:rPr>
      <w:rFonts w:ascii="宋体" w:hAnsi="Courier New" w:cs="Courier New"/>
      <w:sz w:val="24"/>
      <w:szCs w:val="21"/>
    </w:rPr>
  </w:style>
  <w:style w:type="paragraph" w:customStyle="1" w:styleId="113">
    <w:name w:val="正文样式1"/>
    <w:basedOn w:val="20"/>
    <w:link w:val="112"/>
    <w:qFormat/>
    <w:uiPriority w:val="0"/>
    <w:pPr>
      <w:widowControl/>
      <w:ind w:firstLine="560"/>
      <w:jc w:val="left"/>
    </w:pPr>
    <w:rPr>
      <w:kern w:val="0"/>
      <w:sz w:val="24"/>
    </w:rPr>
  </w:style>
  <w:style w:type="paragraph" w:customStyle="1" w:styleId="114">
    <w:name w:val="-"/>
    <w:basedOn w:val="1"/>
    <w:qFormat/>
    <w:uiPriority w:val="0"/>
    <w:pPr>
      <w:widowControl/>
      <w:spacing w:before="100" w:beforeAutospacing="1" w:after="100" w:afterAutospacing="1"/>
      <w:ind w:firstLine="420"/>
    </w:pPr>
    <w:rPr>
      <w:rFonts w:ascii="宋体" w:hAnsi="宋体"/>
      <w:kern w:val="0"/>
    </w:rPr>
  </w:style>
  <w:style w:type="paragraph" w:customStyle="1" w:styleId="115">
    <w:name w:val="Char2 Char Char Char Char Char Char Char Char Char"/>
    <w:basedOn w:val="1"/>
    <w:qFormat/>
    <w:uiPriority w:val="0"/>
    <w:pPr>
      <w:spacing w:line="240" w:lineRule="auto"/>
      <w:ind w:firstLine="0" w:firstLineChars="0"/>
    </w:pPr>
    <w:rPr>
      <w:sz w:val="21"/>
    </w:rPr>
  </w:style>
  <w:style w:type="character" w:customStyle="1" w:styleId="116">
    <w:name w:val="1表内容 Char"/>
    <w:link w:val="117"/>
    <w:qFormat/>
    <w:uiPriority w:val="0"/>
    <w:rPr>
      <w:szCs w:val="24"/>
    </w:rPr>
  </w:style>
  <w:style w:type="paragraph" w:customStyle="1" w:styleId="117">
    <w:name w:val="1表内容"/>
    <w:basedOn w:val="1"/>
    <w:link w:val="116"/>
    <w:qFormat/>
    <w:uiPriority w:val="0"/>
    <w:pPr>
      <w:tabs>
        <w:tab w:val="left" w:pos="0"/>
        <w:tab w:val="left" w:pos="7012"/>
      </w:tabs>
      <w:autoSpaceDE w:val="0"/>
      <w:autoSpaceDN w:val="0"/>
      <w:spacing w:line="240" w:lineRule="auto"/>
      <w:ind w:firstLine="0" w:firstLineChars="0"/>
      <w:jc w:val="center"/>
    </w:pPr>
    <w:rPr>
      <w:rFonts w:ascii="Calibri" w:hAnsi="Calibri"/>
      <w:kern w:val="0"/>
      <w:sz w:val="20"/>
    </w:rPr>
  </w:style>
  <w:style w:type="character" w:customStyle="1" w:styleId="118">
    <w:name w:val="font51"/>
    <w:qFormat/>
    <w:uiPriority w:val="0"/>
    <w:rPr>
      <w:rFonts w:hint="default" w:ascii="Times New Roman" w:hAnsi="Times New Roman" w:cs="Times New Roman"/>
      <w:color w:val="auto"/>
      <w:sz w:val="18"/>
      <w:szCs w:val="18"/>
    </w:rPr>
  </w:style>
  <w:style w:type="character" w:customStyle="1" w:styleId="119">
    <w:name w:val="font161"/>
    <w:basedOn w:val="40"/>
    <w:qFormat/>
    <w:uiPriority w:val="0"/>
    <w:rPr>
      <w:rFonts w:ascii="Arial" w:hAnsi="Arial" w:cs="Arial"/>
      <w:color w:val="000000"/>
      <w:sz w:val="20"/>
      <w:szCs w:val="20"/>
      <w:u w:val="none"/>
    </w:rPr>
  </w:style>
  <w:style w:type="character" w:customStyle="1" w:styleId="120">
    <w:name w:val="font151"/>
    <w:basedOn w:val="40"/>
    <w:qFormat/>
    <w:uiPriority w:val="0"/>
    <w:rPr>
      <w:rFonts w:hint="default" w:ascii="Times New Roman" w:hAnsi="Times New Roman" w:cs="Times New Roman"/>
      <w:color w:val="000000"/>
      <w:sz w:val="20"/>
      <w:szCs w:val="20"/>
      <w:u w:val="none"/>
      <w:vertAlign w:val="superscript"/>
    </w:rPr>
  </w:style>
  <w:style w:type="character" w:customStyle="1" w:styleId="121">
    <w:name w:val="font112"/>
    <w:basedOn w:val="40"/>
    <w:qFormat/>
    <w:uiPriority w:val="0"/>
    <w:rPr>
      <w:rFonts w:hint="eastAsia" w:ascii="宋体" w:hAnsi="宋体" w:eastAsia="宋体" w:cs="宋体"/>
      <w:color w:val="000000"/>
      <w:sz w:val="20"/>
      <w:szCs w:val="20"/>
      <w:u w:val="none"/>
    </w:rPr>
  </w:style>
  <w:style w:type="character" w:customStyle="1" w:styleId="122">
    <w:name w:val="页脚 Char1"/>
    <w:qFormat/>
    <w:uiPriority w:val="0"/>
    <w:rPr>
      <w:kern w:val="2"/>
      <w:sz w:val="18"/>
      <w:szCs w:val="18"/>
    </w:rPr>
  </w:style>
  <w:style w:type="character" w:customStyle="1" w:styleId="123">
    <w:name w:val="样式 宋体 小四 黑色 行距: 1.5 倍行距 Char1"/>
    <w:link w:val="124"/>
    <w:qFormat/>
    <w:uiPriority w:val="0"/>
    <w:rPr>
      <w:rFonts w:ascii="宋体" w:hAnsi="宋体"/>
      <w:color w:val="000000"/>
      <w:sz w:val="24"/>
    </w:rPr>
  </w:style>
  <w:style w:type="paragraph" w:customStyle="1" w:styleId="124">
    <w:name w:val="样式 宋体 小四 黑色 行距: 1.5 倍行距"/>
    <w:basedOn w:val="1"/>
    <w:link w:val="123"/>
    <w:qFormat/>
    <w:uiPriority w:val="0"/>
    <w:pPr>
      <w:ind w:firstLine="480"/>
    </w:pPr>
    <w:rPr>
      <w:rFonts w:ascii="宋体" w:hAnsi="宋体"/>
      <w:color w:val="000000"/>
      <w:kern w:val="0"/>
      <w:szCs w:val="20"/>
    </w:rPr>
  </w:style>
  <w:style w:type="character" w:customStyle="1" w:styleId="125">
    <w:name w:val="font111"/>
    <w:qFormat/>
    <w:uiPriority w:val="0"/>
    <w:rPr>
      <w:rFonts w:hint="eastAsia" w:ascii="宋体" w:hAnsi="宋体" w:eastAsia="宋体" w:cs="宋体"/>
      <w:b/>
      <w:color w:val="000000"/>
      <w:sz w:val="21"/>
      <w:szCs w:val="21"/>
      <w:u w:val="none"/>
    </w:rPr>
  </w:style>
  <w:style w:type="character" w:customStyle="1" w:styleId="126">
    <w:name w:val="font141"/>
    <w:basedOn w:val="40"/>
    <w:qFormat/>
    <w:uiPriority w:val="0"/>
    <w:rPr>
      <w:rFonts w:hint="default" w:ascii="Times New Roman" w:hAnsi="Times New Roman" w:cs="Times New Roman"/>
      <w:color w:val="000000"/>
      <w:sz w:val="20"/>
      <w:szCs w:val="20"/>
      <w:u w:val="none"/>
      <w:vertAlign w:val="superscript"/>
    </w:rPr>
  </w:style>
  <w:style w:type="character" w:customStyle="1" w:styleId="127">
    <w:name w:val="font41"/>
    <w:qFormat/>
    <w:uiPriority w:val="0"/>
    <w:rPr>
      <w:rFonts w:hint="default" w:ascii="Times New Roman" w:hAnsi="Times New Roman" w:cs="Times New Roman"/>
      <w:color w:val="000000"/>
      <w:sz w:val="20"/>
      <w:szCs w:val="20"/>
      <w:u w:val="none"/>
    </w:rPr>
  </w:style>
  <w:style w:type="character" w:customStyle="1" w:styleId="128">
    <w:name w:val="font81"/>
    <w:qFormat/>
    <w:uiPriority w:val="0"/>
    <w:rPr>
      <w:rFonts w:hint="eastAsia" w:ascii="宋体" w:hAnsi="宋体" w:eastAsia="宋体" w:cs="宋体"/>
      <w:color w:val="auto"/>
      <w:sz w:val="20"/>
      <w:szCs w:val="20"/>
    </w:rPr>
  </w:style>
  <w:style w:type="character" w:customStyle="1" w:styleId="129">
    <w:name w:val="font101"/>
    <w:qFormat/>
    <w:uiPriority w:val="0"/>
    <w:rPr>
      <w:rFonts w:hint="eastAsia" w:ascii="宋体" w:hAnsi="宋体" w:eastAsia="宋体" w:cs="宋体"/>
      <w:color w:val="000000"/>
      <w:sz w:val="18"/>
      <w:szCs w:val="18"/>
      <w:u w:val="none"/>
    </w:rPr>
  </w:style>
  <w:style w:type="character" w:customStyle="1" w:styleId="130">
    <w:name w:val="font11"/>
    <w:qFormat/>
    <w:uiPriority w:val="0"/>
    <w:rPr>
      <w:rFonts w:hint="eastAsia" w:ascii="宋体" w:hAnsi="宋体" w:eastAsia="宋体" w:cs="宋体"/>
      <w:color w:val="000000"/>
      <w:sz w:val="20"/>
      <w:szCs w:val="20"/>
      <w:u w:val="none"/>
    </w:rPr>
  </w:style>
  <w:style w:type="character" w:customStyle="1" w:styleId="131">
    <w:name w:val="font91"/>
    <w:qFormat/>
    <w:uiPriority w:val="0"/>
    <w:rPr>
      <w:rFonts w:hint="default" w:ascii="Times New Roman" w:hAnsi="Times New Roman" w:cs="Times New Roman"/>
      <w:color w:val="auto"/>
      <w:sz w:val="20"/>
      <w:szCs w:val="20"/>
    </w:rPr>
  </w:style>
  <w:style w:type="character" w:customStyle="1" w:styleId="132">
    <w:name w:val="font131"/>
    <w:qFormat/>
    <w:uiPriority w:val="0"/>
    <w:rPr>
      <w:rFonts w:hint="eastAsia" w:ascii="宋体" w:hAnsi="宋体" w:eastAsia="宋体" w:cs="宋体"/>
      <w:b/>
      <w:color w:val="000000"/>
      <w:sz w:val="20"/>
      <w:szCs w:val="20"/>
      <w:u w:val="none"/>
    </w:rPr>
  </w:style>
  <w:style w:type="character" w:customStyle="1" w:styleId="133">
    <w:name w:val="font61"/>
    <w:qFormat/>
    <w:uiPriority w:val="0"/>
    <w:rPr>
      <w:rFonts w:hint="eastAsia" w:ascii="宋体" w:hAnsi="宋体" w:eastAsia="宋体" w:cs="宋体"/>
      <w:color w:val="auto"/>
      <w:sz w:val="18"/>
      <w:szCs w:val="18"/>
    </w:rPr>
  </w:style>
  <w:style w:type="character" w:customStyle="1" w:styleId="134">
    <w:name w:val="font71"/>
    <w:qFormat/>
    <w:uiPriority w:val="0"/>
    <w:rPr>
      <w:rFonts w:hint="default" w:ascii="Times New Roman" w:hAnsi="Times New Roman" w:cs="Times New Roman"/>
      <w:color w:val="auto"/>
      <w:sz w:val="20"/>
      <w:szCs w:val="20"/>
    </w:rPr>
  </w:style>
  <w:style w:type="character" w:customStyle="1" w:styleId="135">
    <w:name w:val="font21"/>
    <w:qFormat/>
    <w:uiPriority w:val="0"/>
    <w:rPr>
      <w:rFonts w:hint="eastAsia" w:ascii="宋体" w:hAnsi="宋体" w:eastAsia="宋体" w:cs="宋体"/>
      <w:color w:val="000000"/>
      <w:sz w:val="21"/>
      <w:szCs w:val="21"/>
      <w:u w:val="none"/>
    </w:rPr>
  </w:style>
  <w:style w:type="character" w:customStyle="1" w:styleId="136">
    <w:name w:val="font01"/>
    <w:qFormat/>
    <w:uiPriority w:val="0"/>
    <w:rPr>
      <w:rFonts w:hint="default" w:ascii="Times New Roman" w:hAnsi="Times New Roman" w:cs="Times New Roman"/>
      <w:color w:val="000000"/>
      <w:sz w:val="20"/>
      <w:szCs w:val="20"/>
      <w:u w:val="none"/>
    </w:rPr>
  </w:style>
  <w:style w:type="character" w:customStyle="1" w:styleId="137">
    <w:name w:val="font121"/>
    <w:qFormat/>
    <w:uiPriority w:val="0"/>
    <w:rPr>
      <w:rFonts w:hint="eastAsia" w:ascii="宋体" w:hAnsi="宋体" w:eastAsia="宋体" w:cs="宋体"/>
      <w:color w:val="000000"/>
      <w:sz w:val="20"/>
      <w:szCs w:val="20"/>
      <w:u w:val="none"/>
    </w:rPr>
  </w:style>
  <w:style w:type="character" w:customStyle="1" w:styleId="138">
    <w:name w:val="font31"/>
    <w:qFormat/>
    <w:uiPriority w:val="0"/>
    <w:rPr>
      <w:rFonts w:hint="default" w:ascii="Times New Roman" w:hAnsi="Times New Roman" w:cs="Times New Roman"/>
      <w:color w:val="000000"/>
      <w:sz w:val="20"/>
      <w:szCs w:val="20"/>
      <w:u w:val="none"/>
    </w:rPr>
  </w:style>
  <w:style w:type="paragraph" w:customStyle="1" w:styleId="139">
    <w:name w:val="Char Char1 Char Char Char Char Char Char Char Char Char Char Char Char Char Char Char Char Char Char Char Char1 Char"/>
    <w:basedOn w:val="1"/>
    <w:qFormat/>
    <w:uiPriority w:val="0"/>
    <w:rPr>
      <w:rFonts w:ascii="宋体" w:hAnsi="宋体" w:cs="宋体"/>
    </w:rPr>
  </w:style>
  <w:style w:type="paragraph" w:customStyle="1" w:styleId="140">
    <w:name w:val="默认段落字体 Para Char Char Char Char Char Char Char Char Char Char"/>
    <w:basedOn w:val="4"/>
    <w:qFormat/>
    <w:uiPriority w:val="0"/>
    <w:pPr>
      <w:numPr>
        <w:ilvl w:val="0"/>
        <w:numId w:val="0"/>
      </w:numPr>
      <w:tabs>
        <w:tab w:val="left" w:pos="360"/>
        <w:tab w:val="left" w:pos="900"/>
      </w:tabs>
      <w:adjustRightInd/>
      <w:spacing w:before="120" w:after="120"/>
      <w:ind w:left="542" w:leftChars="-12" w:firstLine="200" w:firstLineChars="200"/>
      <w:jc w:val="left"/>
    </w:pPr>
    <w:rPr>
      <w:rFonts w:ascii="Times New Roman" w:hAnsi="Times New Roman" w:eastAsia="宋体"/>
      <w:bCs/>
      <w:snapToGrid/>
      <w:color w:val="auto"/>
      <w:kern w:val="2"/>
      <w:szCs w:val="32"/>
    </w:rPr>
  </w:style>
  <w:style w:type="character" w:customStyle="1" w:styleId="141">
    <w:name w:val="页脚 Char2"/>
    <w:basedOn w:val="40"/>
    <w:semiHidden/>
    <w:qFormat/>
    <w:uiPriority w:val="99"/>
    <w:rPr>
      <w:kern w:val="2"/>
      <w:sz w:val="18"/>
      <w:szCs w:val="18"/>
    </w:rPr>
  </w:style>
  <w:style w:type="paragraph" w:customStyle="1" w:styleId="142">
    <w:name w:val="Char Char"/>
    <w:basedOn w:val="1"/>
    <w:qFormat/>
    <w:uiPriority w:val="0"/>
    <w:pPr>
      <w:tabs>
        <w:tab w:val="left" w:pos="0"/>
      </w:tabs>
      <w:spacing w:line="240" w:lineRule="auto"/>
      <w:ind w:firstLine="0" w:firstLineChars="0"/>
    </w:pPr>
    <w:rPr>
      <w:sz w:val="21"/>
      <w:szCs w:val="21"/>
    </w:rPr>
  </w:style>
  <w:style w:type="paragraph" w:customStyle="1" w:styleId="143">
    <w:name w:val="默认段落字体 Para Char Char Char Char"/>
    <w:basedOn w:val="1"/>
    <w:qFormat/>
    <w:uiPriority w:val="0"/>
    <w:pPr>
      <w:spacing w:line="240" w:lineRule="auto"/>
      <w:ind w:firstLine="0" w:firstLineChars="0"/>
    </w:pPr>
    <w:rPr>
      <w:sz w:val="21"/>
    </w:rPr>
  </w:style>
  <w:style w:type="paragraph" w:customStyle="1" w:styleId="144">
    <w:name w:val="Char Char Char Char"/>
    <w:basedOn w:val="1"/>
    <w:qFormat/>
    <w:uiPriority w:val="0"/>
    <w:pPr>
      <w:widowControl/>
      <w:spacing w:after="160" w:line="240" w:lineRule="exact"/>
      <w:ind w:firstLine="0" w:firstLineChars="0"/>
      <w:jc w:val="left"/>
    </w:pPr>
    <w:rPr>
      <w:sz w:val="21"/>
    </w:rPr>
  </w:style>
  <w:style w:type="character" w:customStyle="1" w:styleId="145">
    <w:name w:val="样式 样式5 + 首行缩进:  2 字符 Char"/>
    <w:link w:val="146"/>
    <w:qFormat/>
    <w:uiPriority w:val="0"/>
    <w:rPr>
      <w:rFonts w:cs="宋体"/>
      <w:snapToGrid w:val="0"/>
      <w:color w:val="000000"/>
      <w:sz w:val="24"/>
    </w:rPr>
  </w:style>
  <w:style w:type="paragraph" w:customStyle="1" w:styleId="146">
    <w:name w:val="样式 样式5 + 首行缩进:  2 字符"/>
    <w:basedOn w:val="93"/>
    <w:link w:val="145"/>
    <w:qFormat/>
    <w:uiPriority w:val="0"/>
    <w:pPr>
      <w:keepNext/>
      <w:snapToGrid/>
      <w:ind w:firstLine="200" w:firstLineChars="200"/>
    </w:pPr>
    <w:rPr>
      <w:rFonts w:ascii="Calibri" w:hAnsi="Calibri" w:cs="宋体"/>
      <w:snapToGrid w:val="0"/>
      <w:color w:val="000000"/>
      <w:kern w:val="0"/>
      <w:szCs w:val="20"/>
    </w:rPr>
  </w:style>
  <w:style w:type="character" w:customStyle="1" w:styleId="147">
    <w:name w:val="样式 四号 加粗 黑色 段前: 7.8 磅 段后: 7.8 磅 Char"/>
    <w:link w:val="148"/>
    <w:qFormat/>
    <w:uiPriority w:val="0"/>
    <w:rPr>
      <w:rFonts w:cs="宋体"/>
      <w:b/>
      <w:bCs/>
      <w:color w:val="000000"/>
      <w:kern w:val="2"/>
      <w:sz w:val="28"/>
    </w:rPr>
  </w:style>
  <w:style w:type="paragraph" w:customStyle="1" w:styleId="148">
    <w:name w:val="样式 四号 加粗 黑色 段前: 7.8 磅 段后: 7.8 磅"/>
    <w:basedOn w:val="1"/>
    <w:link w:val="147"/>
    <w:qFormat/>
    <w:uiPriority w:val="0"/>
    <w:pPr>
      <w:keepNext/>
      <w:keepLines/>
      <w:spacing w:before="120" w:after="120" w:line="240" w:lineRule="auto"/>
      <w:ind w:firstLine="0" w:firstLineChars="0"/>
      <w:outlineLvl w:val="2"/>
    </w:pPr>
    <w:rPr>
      <w:rFonts w:ascii="Calibri" w:hAnsi="Calibri" w:cs="宋体"/>
      <w:b/>
      <w:bCs/>
      <w:color w:val="000000"/>
      <w:sz w:val="28"/>
      <w:szCs w:val="20"/>
    </w:rPr>
  </w:style>
  <w:style w:type="character" w:customStyle="1" w:styleId="149">
    <w:name w:val="龙0正文 Char"/>
    <w:link w:val="150"/>
    <w:qFormat/>
    <w:uiPriority w:val="0"/>
    <w:rPr>
      <w:rFonts w:ascii="宋体" w:hAnsi="宋体"/>
      <w:sz w:val="24"/>
      <w:szCs w:val="24"/>
    </w:rPr>
  </w:style>
  <w:style w:type="paragraph" w:customStyle="1" w:styleId="150">
    <w:name w:val="龙0正文"/>
    <w:basedOn w:val="1"/>
    <w:link w:val="149"/>
    <w:qFormat/>
    <w:uiPriority w:val="0"/>
    <w:pPr>
      <w:tabs>
        <w:tab w:val="left" w:pos="0"/>
        <w:tab w:val="left" w:pos="7012"/>
      </w:tabs>
      <w:autoSpaceDE w:val="0"/>
      <w:autoSpaceDN w:val="0"/>
    </w:pPr>
    <w:rPr>
      <w:rFonts w:ascii="宋体" w:hAnsi="宋体"/>
      <w:kern w:val="0"/>
    </w:rPr>
  </w:style>
  <w:style w:type="paragraph" w:customStyle="1" w:styleId="151">
    <w:name w:val="样式 表文字 + 字符缩放: 90%"/>
    <w:basedOn w:val="1"/>
    <w:qFormat/>
    <w:uiPriority w:val="0"/>
    <w:pPr>
      <w:keepNext/>
      <w:adjustRightInd w:val="0"/>
      <w:spacing w:line="240" w:lineRule="exact"/>
      <w:ind w:left="-50" w:leftChars="-50" w:right="-50" w:rightChars="-50" w:firstLine="0" w:firstLineChars="0"/>
      <w:jc w:val="center"/>
      <w:textAlignment w:val="baseline"/>
    </w:pPr>
    <w:rPr>
      <w:rFonts w:cs="宋体"/>
      <w:kern w:val="0"/>
      <w:sz w:val="18"/>
      <w:szCs w:val="18"/>
    </w:rPr>
  </w:style>
  <w:style w:type="paragraph" w:customStyle="1" w:styleId="152">
    <w:name w:val="Char2 Char Char Char Char Char Char Char Char Char1"/>
    <w:basedOn w:val="1"/>
    <w:qFormat/>
    <w:uiPriority w:val="0"/>
    <w:pPr>
      <w:spacing w:line="240" w:lineRule="auto"/>
      <w:ind w:firstLine="0" w:firstLineChars="0"/>
    </w:pPr>
    <w:rPr>
      <w:sz w:val="21"/>
    </w:rPr>
  </w:style>
  <w:style w:type="paragraph" w:customStyle="1" w:styleId="153">
    <w:name w:val="Default"/>
    <w:qFormat/>
    <w:uiPriority w:val="0"/>
    <w:pPr>
      <w:widowControl w:val="0"/>
      <w:autoSpaceDE w:val="0"/>
      <w:autoSpaceDN w:val="0"/>
      <w:adjustRightInd w:val="0"/>
      <w:jc w:val="both"/>
    </w:pPr>
    <w:rPr>
      <w:rFonts w:ascii="宋体" w:hAnsi="Times New Roman" w:eastAsia="宋体" w:cs="宋体"/>
      <w:color w:val="000000"/>
      <w:sz w:val="24"/>
      <w:szCs w:val="24"/>
      <w:lang w:val="en-US" w:eastAsia="zh-CN" w:bidi="ar-SA"/>
    </w:rPr>
  </w:style>
  <w:style w:type="character" w:customStyle="1" w:styleId="154">
    <w:name w:val="样式 正文缩进表正文正文非缩进 + 首行缩进:  2 字符 Char"/>
    <w:link w:val="155"/>
    <w:qFormat/>
    <w:uiPriority w:val="0"/>
    <w:rPr>
      <w:kern w:val="2"/>
      <w:sz w:val="24"/>
    </w:rPr>
  </w:style>
  <w:style w:type="paragraph" w:customStyle="1" w:styleId="155">
    <w:name w:val="样式 正文缩进表正文正文非缩进 + 首行缩进:  2 字符"/>
    <w:basedOn w:val="10"/>
    <w:link w:val="154"/>
    <w:qFormat/>
    <w:uiPriority w:val="0"/>
    <w:pPr>
      <w:spacing w:line="420" w:lineRule="exact"/>
      <w:ind w:firstLine="480"/>
      <w:jc w:val="left"/>
    </w:pPr>
    <w:rPr>
      <w:rFonts w:ascii="Calibri" w:hAnsi="Calibri" w:eastAsia="宋体"/>
      <w:sz w:val="24"/>
    </w:rPr>
  </w:style>
  <w:style w:type="paragraph" w:customStyle="1" w:styleId="156">
    <w:name w:val="1表格"/>
    <w:basedOn w:val="1"/>
    <w:qFormat/>
    <w:uiPriority w:val="0"/>
    <w:pPr>
      <w:spacing w:line="160" w:lineRule="atLeast"/>
      <w:ind w:firstLine="0" w:firstLineChars="0"/>
      <w:jc w:val="center"/>
    </w:pPr>
    <w:rPr>
      <w:rFonts w:eastAsia="仿宋_GB2312"/>
      <w:sz w:val="21"/>
      <w:szCs w:val="20"/>
    </w:rPr>
  </w:style>
  <w:style w:type="paragraph" w:customStyle="1" w:styleId="157">
    <w:name w:val="表"/>
    <w:basedOn w:val="1"/>
    <w:next w:val="1"/>
    <w:qFormat/>
    <w:uiPriority w:val="0"/>
    <w:pPr>
      <w:adjustRightInd w:val="0"/>
      <w:spacing w:before="120" w:line="240" w:lineRule="auto"/>
      <w:ind w:firstLine="0" w:firstLineChars="0"/>
      <w:jc w:val="center"/>
    </w:pPr>
    <w:rPr>
      <w:kern w:val="0"/>
      <w:sz w:val="21"/>
      <w:szCs w:val="20"/>
    </w:rPr>
  </w:style>
  <w:style w:type="paragraph" w:customStyle="1" w:styleId="158">
    <w:name w:val="Char2 Char Char Char Char Char Char Char Char Char2"/>
    <w:basedOn w:val="1"/>
    <w:qFormat/>
    <w:uiPriority w:val="0"/>
    <w:pPr>
      <w:spacing w:line="240" w:lineRule="auto"/>
      <w:ind w:firstLine="0" w:firstLineChars="0"/>
    </w:pPr>
    <w:rPr>
      <w:sz w:val="21"/>
    </w:rPr>
  </w:style>
  <w:style w:type="paragraph" w:customStyle="1" w:styleId="159">
    <w:name w:val="正文2"/>
    <w:qFormat/>
    <w:uiPriority w:val="0"/>
    <w:pPr>
      <w:widowControl w:val="0"/>
      <w:adjustRightInd w:val="0"/>
      <w:spacing w:line="360" w:lineRule="atLeast"/>
    </w:pPr>
    <w:rPr>
      <w:rFonts w:ascii="宋体" w:hAnsi="Times New Roman" w:eastAsia="宋体" w:cs="Times New Roman"/>
      <w:sz w:val="24"/>
      <w:lang w:val="en-US" w:eastAsia="zh-CN" w:bidi="ar-SA"/>
    </w:rPr>
  </w:style>
  <w:style w:type="paragraph" w:customStyle="1" w:styleId="160">
    <w:name w:val="M表格"/>
    <w:basedOn w:val="51"/>
    <w:link w:val="161"/>
    <w:qFormat/>
    <w:uiPriority w:val="0"/>
    <w:pPr>
      <w:pBdr>
        <w:top w:val="none" w:color="auto" w:sz="0" w:space="0"/>
        <w:bottom w:val="none" w:color="auto" w:sz="0" w:space="0"/>
      </w:pBdr>
      <w:spacing w:line="240" w:lineRule="atLeast"/>
    </w:pPr>
  </w:style>
  <w:style w:type="character" w:customStyle="1" w:styleId="161">
    <w:name w:val="M表格 Char"/>
    <w:link w:val="160"/>
    <w:qFormat/>
    <w:uiPriority w:val="0"/>
    <w:rPr>
      <w:rFonts w:ascii="Times New Roman" w:hAnsi="Times New Roman"/>
      <w:color w:val="000000"/>
      <w:kern w:val="2"/>
      <w:sz w:val="21"/>
      <w:szCs w:val="21"/>
    </w:rPr>
  </w:style>
  <w:style w:type="paragraph" w:customStyle="1" w:styleId="162">
    <w:name w:val="样式2"/>
    <w:basedOn w:val="1"/>
    <w:qFormat/>
    <w:uiPriority w:val="0"/>
    <w:pPr>
      <w:autoSpaceDE w:val="0"/>
      <w:autoSpaceDN w:val="0"/>
      <w:adjustRightInd w:val="0"/>
      <w:snapToGrid w:val="0"/>
      <w:ind w:firstLine="0" w:firstLineChars="0"/>
      <w:jc w:val="center"/>
      <w:textAlignment w:val="baseline"/>
    </w:pPr>
    <w:rPr>
      <w:kern w:val="0"/>
      <w:sz w:val="21"/>
      <w:szCs w:val="21"/>
    </w:rPr>
  </w:style>
  <w:style w:type="paragraph" w:customStyle="1" w:styleId="163">
    <w:name w:val="表格标题"/>
    <w:qFormat/>
    <w:uiPriority w:val="0"/>
    <w:pPr>
      <w:adjustRightInd w:val="0"/>
      <w:snapToGrid w:val="0"/>
      <w:spacing w:line="520" w:lineRule="exact"/>
      <w:ind w:firstLine="880" w:firstLineChars="200"/>
      <w:jc w:val="both"/>
    </w:pPr>
    <w:rPr>
      <w:rFonts w:ascii="Times New Roman" w:hAnsi="Times New Roman" w:eastAsia="黑体" w:cs="Times New Roman"/>
      <w:sz w:val="24"/>
      <w:szCs w:val="24"/>
      <w:lang w:val="en-US" w:eastAsia="zh-CN" w:bidi="ar-SA"/>
    </w:rPr>
  </w:style>
  <w:style w:type="character" w:customStyle="1" w:styleId="164">
    <w:name w:val="[1]正文 Char Char"/>
    <w:link w:val="165"/>
    <w:qFormat/>
    <w:uiPriority w:val="0"/>
    <w:rPr>
      <w:rFonts w:ascii="Times New Roman" w:hAnsi="Times New Roman"/>
      <w:sz w:val="24"/>
      <w:szCs w:val="28"/>
    </w:rPr>
  </w:style>
  <w:style w:type="paragraph" w:customStyle="1" w:styleId="165">
    <w:name w:val="[1]正文"/>
    <w:basedOn w:val="1"/>
    <w:link w:val="164"/>
    <w:qFormat/>
    <w:uiPriority w:val="0"/>
    <w:pPr>
      <w:widowControl/>
      <w:adjustRightInd w:val="0"/>
      <w:snapToGrid w:val="0"/>
    </w:pPr>
    <w:rPr>
      <w:kern w:val="0"/>
      <w:szCs w:val="28"/>
    </w:rPr>
  </w:style>
  <w:style w:type="paragraph" w:customStyle="1" w:styleId="166">
    <w:name w:val="6表头"/>
    <w:next w:val="1"/>
    <w:qFormat/>
    <w:uiPriority w:val="0"/>
    <w:pPr>
      <w:widowControl w:val="0"/>
      <w:spacing w:line="520" w:lineRule="exact"/>
      <w:ind w:firstLine="200" w:firstLineChars="200"/>
    </w:pPr>
    <w:rPr>
      <w:rFonts w:ascii="Times New Roman" w:hAnsi="Times New Roman" w:eastAsia="黑体" w:cs="Times New Roman"/>
      <w:kern w:val="2"/>
      <w:sz w:val="24"/>
      <w:szCs w:val="22"/>
      <w:lang w:val="en-US" w:eastAsia="zh-CN" w:bidi="ar-SA"/>
    </w:rPr>
  </w:style>
  <w:style w:type="paragraph" w:customStyle="1" w:styleId="167">
    <w:name w:val="表格内"/>
    <w:basedOn w:val="16"/>
    <w:qFormat/>
    <w:uiPriority w:val="0"/>
    <w:pPr>
      <w:snapToGrid w:val="0"/>
      <w:spacing w:after="0" w:line="360" w:lineRule="exact"/>
      <w:jc w:val="center"/>
    </w:pPr>
    <w:rPr>
      <w:spacing w:val="10"/>
      <w:szCs w:val="21"/>
    </w:rPr>
  </w:style>
  <w:style w:type="paragraph" w:customStyle="1" w:styleId="168">
    <w:name w:val="5正文"/>
    <w:link w:val="171"/>
    <w:qFormat/>
    <w:uiPriority w:val="0"/>
    <w:pPr>
      <w:widowControl w:val="0"/>
      <w:spacing w:line="520" w:lineRule="exact"/>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69">
    <w:name w:val="_Style 4"/>
    <w:basedOn w:val="1"/>
    <w:next w:val="1"/>
    <w:qFormat/>
    <w:uiPriority w:val="0"/>
    <w:pPr>
      <w:adjustRightInd w:val="0"/>
      <w:snapToGrid w:val="0"/>
      <w:spacing w:line="360" w:lineRule="exact"/>
      <w:ind w:firstLine="880"/>
      <w:jc w:val="center"/>
    </w:pPr>
    <w:rPr>
      <w:rFonts w:eastAsia="Times New Roman"/>
      <w:iCs/>
      <w:color w:val="000000"/>
      <w:szCs w:val="21"/>
      <w:lang w:val="zh-CN"/>
    </w:rPr>
  </w:style>
  <w:style w:type="paragraph" w:customStyle="1" w:styleId="170">
    <w:name w:val="正文段首"/>
    <w:basedOn w:val="168"/>
    <w:link w:val="172"/>
    <w:qFormat/>
    <w:uiPriority w:val="0"/>
    <w:pPr>
      <w:spacing w:line="360" w:lineRule="auto"/>
    </w:pPr>
  </w:style>
  <w:style w:type="character" w:customStyle="1" w:styleId="171">
    <w:name w:val="5正文 Char"/>
    <w:basedOn w:val="40"/>
    <w:link w:val="168"/>
    <w:qFormat/>
    <w:uiPriority w:val="0"/>
    <w:rPr>
      <w:rFonts w:ascii="Times New Roman" w:hAnsi="Times New Roman"/>
      <w:kern w:val="2"/>
      <w:sz w:val="24"/>
      <w:szCs w:val="22"/>
    </w:rPr>
  </w:style>
  <w:style w:type="character" w:customStyle="1" w:styleId="172">
    <w:name w:val="正文段首 Char"/>
    <w:basedOn w:val="171"/>
    <w:link w:val="170"/>
    <w:qFormat/>
    <w:uiPriority w:val="0"/>
    <w:rPr>
      <w:rFonts w:ascii="Times New Roman" w:hAnsi="Times New Roman"/>
      <w:kern w:val="2"/>
      <w:sz w:val="24"/>
      <w:szCs w:val="22"/>
    </w:rPr>
  </w:style>
  <w:style w:type="paragraph" w:customStyle="1" w:styleId="173">
    <w:name w:val="表格内容"/>
    <w:basedOn w:val="10"/>
    <w:link w:val="181"/>
    <w:qFormat/>
    <w:uiPriority w:val="0"/>
    <w:pPr>
      <w:adjustRightInd w:val="0"/>
      <w:snapToGrid w:val="0"/>
      <w:spacing w:line="240" w:lineRule="auto"/>
      <w:ind w:firstLine="0"/>
      <w:jc w:val="center"/>
    </w:pPr>
    <w:rPr>
      <w:color w:val="000000"/>
      <w:sz w:val="21"/>
      <w:szCs w:val="18"/>
    </w:rPr>
  </w:style>
  <w:style w:type="character" w:customStyle="1" w:styleId="174">
    <w:name w:val="样式 正文(首行缩进) + 首行缩进:  1.55 厘米 Char"/>
    <w:basedOn w:val="40"/>
    <w:link w:val="175"/>
    <w:qFormat/>
    <w:uiPriority w:val="0"/>
    <w:rPr>
      <w:rFonts w:cs="宋体"/>
      <w:sz w:val="24"/>
    </w:rPr>
  </w:style>
  <w:style w:type="paragraph" w:customStyle="1" w:styleId="175">
    <w:name w:val="样式 正文(首行缩进) + 首行缩进:  1.55 厘米"/>
    <w:basedOn w:val="1"/>
    <w:link w:val="174"/>
    <w:qFormat/>
    <w:uiPriority w:val="0"/>
    <w:pPr>
      <w:jc w:val="left"/>
    </w:pPr>
    <w:rPr>
      <w:rFonts w:ascii="Calibri" w:hAnsi="Calibri" w:cs="宋体"/>
      <w:kern w:val="0"/>
      <w:szCs w:val="20"/>
    </w:rPr>
  </w:style>
  <w:style w:type="paragraph" w:customStyle="1" w:styleId="176">
    <w:name w:val="法规"/>
    <w:basedOn w:val="1"/>
    <w:qFormat/>
    <w:uiPriority w:val="0"/>
    <w:pPr>
      <w:tabs>
        <w:tab w:val="left" w:pos="400"/>
      </w:tabs>
      <w:adjustRightInd w:val="0"/>
      <w:snapToGrid w:val="0"/>
      <w:spacing w:line="440" w:lineRule="exact"/>
      <w:ind w:firstLine="400" w:firstLineChars="0"/>
    </w:pPr>
    <w:rPr>
      <w:sz w:val="25"/>
      <w:szCs w:val="20"/>
    </w:rPr>
  </w:style>
  <w:style w:type="paragraph" w:customStyle="1" w:styleId="177">
    <w:name w:val="正文缩进1"/>
    <w:basedOn w:val="1"/>
    <w:qFormat/>
    <w:uiPriority w:val="0"/>
    <w:pPr>
      <w:adjustRightInd w:val="0"/>
      <w:snapToGrid w:val="0"/>
      <w:spacing w:line="240" w:lineRule="auto"/>
      <w:ind w:firstLine="420" w:firstLineChars="0"/>
    </w:pPr>
    <w:rPr>
      <w:rFonts w:ascii="Calibri" w:hAnsi="Calibri"/>
      <w:szCs w:val="22"/>
    </w:rPr>
  </w:style>
  <w:style w:type="paragraph" w:customStyle="1" w:styleId="178">
    <w:name w:val="表内式样"/>
    <w:qFormat/>
    <w:uiPriority w:val="0"/>
    <w:pPr>
      <w:tabs>
        <w:tab w:val="left" w:pos="3555"/>
      </w:tabs>
      <w:adjustRightInd w:val="0"/>
      <w:snapToGrid w:val="0"/>
      <w:jc w:val="center"/>
    </w:pPr>
    <w:rPr>
      <w:rFonts w:ascii="Times New Roman" w:hAnsi="Times New Roman" w:eastAsia="宋体" w:cs="Times New Roman"/>
      <w:kern w:val="2"/>
      <w:szCs w:val="24"/>
      <w:lang w:val="en-US" w:eastAsia="zh-CN" w:bidi="ar-SA"/>
    </w:rPr>
  </w:style>
  <w:style w:type="character" w:customStyle="1" w:styleId="179">
    <w:name w:val="表格文字 Char Char"/>
    <w:qFormat/>
    <w:uiPriority w:val="0"/>
    <w:rPr>
      <w:kern w:val="2"/>
      <w:sz w:val="21"/>
    </w:rPr>
  </w:style>
  <w:style w:type="paragraph" w:customStyle="1" w:styleId="180">
    <w:name w:val="列出段落11"/>
    <w:basedOn w:val="1"/>
    <w:qFormat/>
    <w:uiPriority w:val="0"/>
    <w:pPr>
      <w:adjustRightInd w:val="0"/>
      <w:snapToGrid w:val="0"/>
      <w:spacing w:line="240" w:lineRule="auto"/>
      <w:ind w:firstLine="880"/>
    </w:pPr>
  </w:style>
  <w:style w:type="character" w:customStyle="1" w:styleId="181">
    <w:name w:val="表格内容 Char"/>
    <w:link w:val="173"/>
    <w:qFormat/>
    <w:uiPriority w:val="0"/>
    <w:rPr>
      <w:rFonts w:ascii="Times New Roman" w:hAnsi="Times New Roman"/>
      <w:color w:val="000000"/>
      <w:kern w:val="2"/>
      <w:sz w:val="21"/>
      <w:szCs w:val="18"/>
    </w:rPr>
  </w:style>
  <w:style w:type="paragraph" w:customStyle="1" w:styleId="182">
    <w:name w:val="TOC 标题1"/>
    <w:basedOn w:val="2"/>
    <w:next w:val="1"/>
    <w:unhideWhenUsed/>
    <w:qFormat/>
    <w:uiPriority w:val="39"/>
    <w:pPr>
      <w:pageBreakBefore w:val="0"/>
      <w:widowControl/>
      <w:numPr>
        <w:numId w:val="0"/>
      </w:numPr>
      <w:adjustRightInd/>
      <w:snapToGrid/>
      <w:spacing w:beforeLines="0" w:afterLines="0" w:line="276" w:lineRule="auto"/>
      <w:jc w:val="left"/>
      <w:outlineLvl w:val="9"/>
    </w:pPr>
    <w:rPr>
      <w:rFonts w:asciiTheme="majorHAnsi" w:hAnsiTheme="majorHAnsi" w:cstheme="majorBidi"/>
      <w:snapToGrid/>
      <w:color w:val="376092" w:themeColor="accent1" w:themeShade="BF"/>
      <w:kern w:val="0"/>
      <w:sz w:val="28"/>
      <w:szCs w:val="28"/>
    </w:rPr>
  </w:style>
  <w:style w:type="character" w:customStyle="1" w:styleId="183">
    <w:name w:val="标题 6 字符"/>
    <w:basedOn w:val="40"/>
    <w:link w:val="7"/>
    <w:qFormat/>
    <w:uiPriority w:val="9"/>
    <w:rPr>
      <w:rFonts w:ascii="Times New Roman" w:hAnsi="Times New Roman" w:cstheme="majorBidi"/>
      <w:b/>
      <w:bCs/>
      <w:kern w:val="2"/>
      <w:sz w:val="21"/>
      <w:szCs w:val="24"/>
    </w:rPr>
  </w:style>
  <w:style w:type="paragraph" w:customStyle="1" w:styleId="184">
    <w:name w:val="表头格式"/>
    <w:basedOn w:val="1"/>
    <w:qFormat/>
    <w:uiPriority w:val="0"/>
    <w:pPr>
      <w:spacing w:beforeLines="50"/>
      <w:ind w:firstLine="0" w:firstLineChars="0"/>
      <w:jc w:val="center"/>
    </w:pPr>
    <w:rPr>
      <w:b/>
      <w:sz w:val="21"/>
    </w:rPr>
  </w:style>
  <w:style w:type="character" w:customStyle="1" w:styleId="185">
    <w:name w:val="fontstyle01"/>
    <w:basedOn w:val="40"/>
    <w:qFormat/>
    <w:uiPriority w:val="0"/>
    <w:rPr>
      <w:rFonts w:hint="eastAsia" w:ascii="宋体" w:hAnsi="宋体" w:eastAsia="宋体"/>
      <w:color w:val="000000"/>
      <w:sz w:val="24"/>
      <w:szCs w:val="24"/>
    </w:rPr>
  </w:style>
  <w:style w:type="character" w:customStyle="1" w:styleId="186">
    <w:name w:val="样式5 Char"/>
    <w:qFormat/>
    <w:uiPriority w:val="0"/>
    <w:rPr>
      <w:kern w:val="2"/>
      <w:sz w:val="24"/>
      <w:szCs w:val="24"/>
    </w:rPr>
  </w:style>
  <w:style w:type="paragraph" w:customStyle="1" w:styleId="187">
    <w:name w:val="dxj正文"/>
    <w:basedOn w:val="1"/>
    <w:link w:val="188"/>
    <w:qFormat/>
    <w:uiPriority w:val="0"/>
    <w:rPr>
      <w:lang w:val="zh-CN"/>
    </w:rPr>
  </w:style>
  <w:style w:type="character" w:customStyle="1" w:styleId="188">
    <w:name w:val="dxj正文 Char"/>
    <w:link w:val="187"/>
    <w:qFormat/>
    <w:uiPriority w:val="0"/>
    <w:rPr>
      <w:rFonts w:ascii="Times New Roman" w:hAnsi="Times New Roman"/>
      <w:kern w:val="2"/>
      <w:sz w:val="24"/>
      <w:szCs w:val="24"/>
      <w:lang w:val="zh-CN"/>
    </w:rPr>
  </w:style>
  <w:style w:type="paragraph" w:customStyle="1" w:styleId="189">
    <w:name w:val="样式 样式 宋体 四号 行距: 固定值 27 磅 + 首行缩进:  2 字符"/>
    <w:basedOn w:val="1"/>
    <w:qFormat/>
    <w:uiPriority w:val="0"/>
    <w:pPr>
      <w:adjustRightInd w:val="0"/>
      <w:snapToGrid w:val="0"/>
      <w:spacing w:line="520" w:lineRule="exact"/>
      <w:ind w:firstLine="880"/>
    </w:pPr>
    <w:rPr>
      <w:rFonts w:ascii="仿宋_GB2312" w:eastAsia="仿宋_GB2312" w:cs="仿宋_GB2312"/>
      <w:szCs w:val="20"/>
    </w:rPr>
  </w:style>
  <w:style w:type="table" w:customStyle="1" w:styleId="190">
    <w:name w:val="灰度表格12"/>
    <w:basedOn w:val="3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1">
    <w:name w:val="表名"/>
    <w:basedOn w:val="1"/>
    <w:qFormat/>
    <w:uiPriority w:val="0"/>
    <w:pPr>
      <w:widowControl/>
      <w:overflowPunct w:val="0"/>
      <w:snapToGrid w:val="0"/>
      <w:spacing w:before="50" w:beforeLines="50"/>
      <w:ind w:firstLine="0" w:firstLineChars="0"/>
      <w:jc w:val="center"/>
      <w:textAlignment w:val="baseline"/>
    </w:pPr>
    <w:rPr>
      <w:rFonts w:cs="宋体"/>
      <w:b/>
      <w:kern w:val="0"/>
      <w:sz w:val="21"/>
      <w:szCs w:val="20"/>
    </w:rPr>
  </w:style>
  <w:style w:type="character" w:customStyle="1" w:styleId="192">
    <w:name w:val="M正文 Char Char"/>
    <w:qFormat/>
    <w:uiPriority w:val="0"/>
    <w:rPr>
      <w:kern w:val="2"/>
      <w:sz w:val="24"/>
      <w:szCs w:val="21"/>
    </w:rPr>
  </w:style>
  <w:style w:type="paragraph" w:customStyle="1" w:styleId="193">
    <w:name w:val="图名"/>
    <w:basedOn w:val="1"/>
    <w:qFormat/>
    <w:uiPriority w:val="0"/>
    <w:pPr>
      <w:widowControl/>
      <w:adjustRightInd w:val="0"/>
      <w:snapToGrid w:val="0"/>
      <w:spacing w:after="50" w:afterLines="50"/>
      <w:ind w:firstLine="0" w:firstLineChars="0"/>
      <w:jc w:val="center"/>
    </w:pPr>
    <w:rPr>
      <w:rFonts w:cs="宋体"/>
      <w:b/>
      <w:kern w:val="0"/>
      <w:sz w:val="21"/>
    </w:rPr>
  </w:style>
  <w:style w:type="paragraph" w:customStyle="1" w:styleId="194">
    <w:name w:val="xl101"/>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16"/>
      <w:szCs w:val="16"/>
    </w:rPr>
  </w:style>
  <w:style w:type="paragraph" w:customStyle="1" w:styleId="195">
    <w:name w:val="表1"/>
    <w:next w:val="1"/>
    <w:qFormat/>
    <w:uiPriority w:val="0"/>
    <w:pPr>
      <w:adjustRightInd w:val="0"/>
      <w:snapToGrid w:val="0"/>
      <w:jc w:val="center"/>
    </w:pPr>
    <w:rPr>
      <w:rFonts w:ascii="Times New Roman" w:hAnsi="Times New Roman" w:eastAsia="宋体" w:cs="Times New Roman"/>
      <w:sz w:val="21"/>
      <w:lang w:val="en-US" w:eastAsia="zh-CN" w:bidi="ar-SA"/>
    </w:rPr>
  </w:style>
  <w:style w:type="character" w:customStyle="1" w:styleId="196">
    <w:name w:val="表文字xxxxxxxx Char Char"/>
    <w:link w:val="197"/>
    <w:qFormat/>
    <w:uiPriority w:val="0"/>
    <w:rPr>
      <w:sz w:val="21"/>
      <w:szCs w:val="21"/>
    </w:rPr>
  </w:style>
  <w:style w:type="paragraph" w:customStyle="1" w:styleId="197">
    <w:name w:val="表文字xxxxxxxx"/>
    <w:basedOn w:val="1"/>
    <w:link w:val="196"/>
    <w:qFormat/>
    <w:uiPriority w:val="0"/>
    <w:pPr>
      <w:widowControl/>
      <w:topLinePunct/>
      <w:adjustRightInd w:val="0"/>
      <w:spacing w:line="360" w:lineRule="exact"/>
      <w:ind w:firstLine="0" w:firstLineChars="0"/>
      <w:jc w:val="left"/>
      <w:textAlignment w:val="baseline"/>
    </w:pPr>
    <w:rPr>
      <w:rFonts w:ascii="Calibri" w:hAnsi="Calibri"/>
      <w:kern w:val="0"/>
      <w:sz w:val="21"/>
      <w:szCs w:val="21"/>
    </w:rPr>
  </w:style>
  <w:style w:type="paragraph" w:customStyle="1" w:styleId="198">
    <w:name w:val="表中文字"/>
    <w:basedOn w:val="1"/>
    <w:qFormat/>
    <w:uiPriority w:val="0"/>
    <w:pPr>
      <w:widowControl/>
      <w:spacing w:line="240" w:lineRule="auto"/>
      <w:ind w:firstLine="0" w:firstLineChars="0"/>
      <w:jc w:val="center"/>
    </w:pPr>
    <w:rPr>
      <w:rFonts w:ascii="宋体" w:hAnsi="宋体" w:cs="宋体"/>
      <w:kern w:val="0"/>
      <w:szCs w:val="20"/>
    </w:rPr>
  </w:style>
  <w:style w:type="paragraph" w:customStyle="1" w:styleId="199">
    <w:name w:val="字元 字元"/>
    <w:basedOn w:val="1"/>
    <w:qFormat/>
    <w:uiPriority w:val="0"/>
  </w:style>
  <w:style w:type="character" w:customStyle="1" w:styleId="200">
    <w:name w:val="白正文 Char Char"/>
    <w:link w:val="201"/>
    <w:qFormat/>
    <w:uiPriority w:val="0"/>
    <w:rPr>
      <w:rFonts w:ascii="宋体" w:hAnsi="宋体"/>
      <w:color w:val="000000"/>
      <w:kern w:val="2"/>
      <w:sz w:val="24"/>
      <w:szCs w:val="24"/>
    </w:rPr>
  </w:style>
  <w:style w:type="paragraph" w:customStyle="1" w:styleId="201">
    <w:name w:val="白正文"/>
    <w:basedOn w:val="1"/>
    <w:link w:val="200"/>
    <w:qFormat/>
    <w:uiPriority w:val="0"/>
    <w:rPr>
      <w:rFonts w:ascii="宋体" w:hAnsi="宋体"/>
      <w:color w:val="000000"/>
    </w:rPr>
  </w:style>
  <w:style w:type="character" w:customStyle="1" w:styleId="202">
    <w:name w:val="表格1 Char"/>
    <w:basedOn w:val="40"/>
    <w:link w:val="203"/>
    <w:qFormat/>
    <w:uiPriority w:val="0"/>
    <w:rPr>
      <w:rFonts w:ascii="宋体"/>
      <w:sz w:val="24"/>
    </w:rPr>
  </w:style>
  <w:style w:type="paragraph" w:customStyle="1" w:styleId="203">
    <w:name w:val="表格1"/>
    <w:basedOn w:val="1"/>
    <w:next w:val="1"/>
    <w:link w:val="202"/>
    <w:qFormat/>
    <w:uiPriority w:val="0"/>
    <w:pPr>
      <w:ind w:firstLine="0" w:firstLineChars="0"/>
      <w:jc w:val="center"/>
    </w:pPr>
    <w:rPr>
      <w:rFonts w:ascii="宋体" w:hAnsi="Calibri"/>
      <w:kern w:val="0"/>
      <w:szCs w:val="20"/>
    </w:rPr>
  </w:style>
  <w:style w:type="character" w:customStyle="1" w:styleId="204">
    <w:name w:val="注释标题 字符"/>
    <w:basedOn w:val="40"/>
    <w:link w:val="9"/>
    <w:qFormat/>
    <w:uiPriority w:val="0"/>
    <w:rPr>
      <w:rFonts w:ascii="宋体"/>
      <w:kern w:val="2"/>
      <w:sz w:val="21"/>
    </w:rPr>
  </w:style>
  <w:style w:type="paragraph" w:customStyle="1" w:styleId="205">
    <w:name w:val="font5"/>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sz w:val="16"/>
      <w:szCs w:val="16"/>
    </w:rPr>
  </w:style>
  <w:style w:type="paragraph" w:customStyle="1" w:styleId="206">
    <w:name w:val="font6"/>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207">
    <w:name w:val="font7"/>
    <w:basedOn w:val="1"/>
    <w:qFormat/>
    <w:uiPriority w:val="0"/>
    <w:pPr>
      <w:widowControl/>
      <w:spacing w:before="100" w:beforeAutospacing="1" w:after="100" w:afterAutospacing="1" w:line="240" w:lineRule="auto"/>
      <w:ind w:firstLine="0" w:firstLineChars="0"/>
      <w:jc w:val="left"/>
    </w:pPr>
    <w:rPr>
      <w:rFonts w:ascii="Courier New" w:hAnsi="Courier New" w:cs="Courier New"/>
      <w:color w:val="000000"/>
      <w:kern w:val="0"/>
    </w:rPr>
  </w:style>
  <w:style w:type="paragraph" w:customStyle="1" w:styleId="208">
    <w:name w:val="font8"/>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209">
    <w:name w:val="font9"/>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210">
    <w:name w:val="xl65"/>
    <w:basedOn w:val="1"/>
    <w:qFormat/>
    <w:uiPriority w:val="0"/>
    <w:pPr>
      <w:widowControl/>
      <w:spacing w:before="100" w:beforeAutospacing="1" w:after="100" w:afterAutospacing="1" w:line="240" w:lineRule="auto"/>
      <w:ind w:firstLine="0" w:firstLineChars="0"/>
      <w:jc w:val="center"/>
    </w:pPr>
    <w:rPr>
      <w:rFonts w:ascii="宋体" w:hAnsi="宋体" w:cs="宋体"/>
      <w:kern w:val="0"/>
    </w:rPr>
  </w:style>
  <w:style w:type="paragraph" w:customStyle="1" w:styleId="211">
    <w:name w:val="xl66"/>
    <w:basedOn w:val="1"/>
    <w:qFormat/>
    <w:uiPriority w:val="0"/>
    <w:pPr>
      <w:widowControl/>
      <w:spacing w:before="100" w:beforeAutospacing="1" w:after="100" w:afterAutospacing="1" w:line="240" w:lineRule="auto"/>
      <w:ind w:firstLine="0" w:firstLineChars="0"/>
      <w:jc w:val="left"/>
      <w:textAlignment w:val="top"/>
    </w:pPr>
    <w:rPr>
      <w:rFonts w:ascii="宋体" w:hAnsi="宋体" w:cs="宋体"/>
      <w:kern w:val="0"/>
    </w:rPr>
  </w:style>
  <w:style w:type="paragraph" w:customStyle="1" w:styleId="212">
    <w:name w:val="xl67"/>
    <w:basedOn w:val="1"/>
    <w:qFormat/>
    <w:uiPriority w:val="0"/>
    <w:pPr>
      <w:widowControl/>
      <w:shd w:val="clear" w:color="FFFFFF" w:fill="CCE8CF"/>
      <w:spacing w:before="100" w:beforeAutospacing="1" w:after="100" w:afterAutospacing="1" w:line="240" w:lineRule="auto"/>
      <w:ind w:firstLine="0" w:firstLineChars="0"/>
      <w:jc w:val="center"/>
    </w:pPr>
    <w:rPr>
      <w:rFonts w:ascii="宋体" w:hAnsi="宋体" w:cs="宋体"/>
      <w:kern w:val="0"/>
    </w:rPr>
  </w:style>
  <w:style w:type="paragraph" w:customStyle="1" w:styleId="213">
    <w:name w:val="xl68"/>
    <w:basedOn w:val="1"/>
    <w:qFormat/>
    <w:uiPriority w:val="0"/>
    <w:pPr>
      <w:widowControl/>
      <w:pBdr>
        <w:top w:val="single" w:color="000000" w:sz="4" w:space="0"/>
        <w:left w:val="single" w:color="000000" w:sz="4" w:space="0"/>
        <w:right w:val="single" w:color="000000" w:sz="4" w:space="0"/>
      </w:pBdr>
      <w:shd w:val="clear" w:color="FFFFFF" w:fill="CCE8CF"/>
      <w:spacing w:before="100" w:beforeAutospacing="1" w:after="100" w:afterAutospacing="1" w:line="240" w:lineRule="auto"/>
      <w:ind w:firstLine="0" w:firstLineChars="0"/>
      <w:jc w:val="center"/>
    </w:pPr>
    <w:rPr>
      <w:rFonts w:ascii="宋体" w:hAnsi="宋体" w:cs="宋体"/>
      <w:kern w:val="0"/>
    </w:rPr>
  </w:style>
  <w:style w:type="paragraph" w:customStyle="1" w:styleId="214">
    <w:name w:val="xl69"/>
    <w:basedOn w:val="1"/>
    <w:qFormat/>
    <w:uiPriority w:val="0"/>
    <w:pPr>
      <w:widowControl/>
      <w:pBdr>
        <w:top w:val="single" w:color="000000" w:sz="4" w:space="0"/>
        <w:left w:val="single" w:color="000000" w:sz="4" w:space="0"/>
        <w:right w:val="single" w:color="000000"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21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21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217">
    <w:name w:val="xl72"/>
    <w:basedOn w:val="1"/>
    <w:qFormat/>
    <w:uiPriority w:val="0"/>
    <w:pPr>
      <w:widowControl/>
      <w:pBdr>
        <w:top w:val="single" w:color="auto" w:sz="4" w:space="0"/>
        <w:left w:val="single" w:color="auto" w:sz="4" w:space="0"/>
        <w:bottom w:val="single" w:color="auto" w:sz="4" w:space="0"/>
        <w:right w:val="single" w:color="auto" w:sz="4" w:space="0"/>
      </w:pBdr>
      <w:shd w:val="clear" w:color="FFFFFF" w:fill="CCE8CF"/>
      <w:spacing w:before="100" w:beforeAutospacing="1" w:after="100" w:afterAutospacing="1" w:line="240" w:lineRule="auto"/>
      <w:ind w:firstLine="0" w:firstLineChars="0"/>
      <w:jc w:val="center"/>
    </w:pPr>
    <w:rPr>
      <w:rFonts w:ascii="宋体" w:hAnsi="宋体" w:cs="宋体"/>
      <w:kern w:val="0"/>
    </w:rPr>
  </w:style>
  <w:style w:type="paragraph" w:customStyle="1" w:styleId="21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top"/>
    </w:pPr>
    <w:rPr>
      <w:rFonts w:ascii="宋体" w:hAnsi="宋体" w:cs="宋体"/>
      <w:kern w:val="0"/>
    </w:rPr>
  </w:style>
  <w:style w:type="paragraph" w:customStyle="1" w:styleId="21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top"/>
    </w:pPr>
    <w:rPr>
      <w:rFonts w:ascii="宋体" w:hAnsi="宋体" w:cs="宋体"/>
      <w:kern w:val="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top"/>
    </w:pPr>
    <w:rPr>
      <w:rFonts w:ascii="宋体" w:hAnsi="宋体" w:cs="宋体"/>
      <w:kern w:val="0"/>
    </w:rPr>
  </w:style>
  <w:style w:type="paragraph" w:customStyle="1" w:styleId="221">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22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223">
    <w:name w:val="xl78"/>
    <w:basedOn w:val="1"/>
    <w:qFormat/>
    <w:uiPriority w:val="0"/>
    <w:pPr>
      <w:widowControl/>
      <w:pBdr>
        <w:top w:val="single" w:color="auto" w:sz="4" w:space="0"/>
        <w:left w:val="single" w:color="auto" w:sz="4" w:space="0"/>
        <w:bottom w:val="single" w:color="auto" w:sz="4" w:space="0"/>
        <w:right w:val="single" w:color="auto" w:sz="4" w:space="0"/>
      </w:pBdr>
      <w:shd w:val="clear" w:color="FFFFFF" w:fill="CCE8CF"/>
      <w:spacing w:before="100" w:beforeAutospacing="1" w:after="100" w:afterAutospacing="1" w:line="240" w:lineRule="auto"/>
      <w:ind w:firstLine="0" w:firstLineChars="0"/>
      <w:jc w:val="center"/>
    </w:pPr>
    <w:rPr>
      <w:rFonts w:ascii="宋体" w:hAnsi="宋体" w:cs="宋体"/>
      <w:kern w:val="0"/>
    </w:rPr>
  </w:style>
  <w:style w:type="paragraph" w:customStyle="1" w:styleId="224">
    <w:name w:val="xl79"/>
    <w:basedOn w:val="1"/>
    <w:qFormat/>
    <w:uiPriority w:val="0"/>
    <w:pPr>
      <w:widowControl/>
      <w:pBdr>
        <w:top w:val="single" w:color="000000" w:sz="4" w:space="0"/>
        <w:left w:val="single" w:color="000000" w:sz="4" w:space="0"/>
        <w:right w:val="single" w:color="000000" w:sz="4" w:space="0"/>
      </w:pBdr>
      <w:spacing w:before="100" w:beforeAutospacing="1" w:after="100" w:afterAutospacing="1" w:line="240" w:lineRule="auto"/>
      <w:ind w:firstLine="0" w:firstLineChars="0"/>
      <w:jc w:val="center"/>
    </w:pPr>
    <w:rPr>
      <w:rFonts w:ascii="宋体" w:hAnsi="宋体" w:cs="宋体"/>
      <w:kern w:val="0"/>
    </w:rPr>
  </w:style>
  <w:style w:type="table" w:customStyle="1" w:styleId="225">
    <w:name w:val="网格型1"/>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
    <w:name w:val="网格型2"/>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7">
    <w:name w:val="正式表格 Char"/>
    <w:link w:val="228"/>
    <w:qFormat/>
    <w:locked/>
    <w:uiPriority w:val="0"/>
    <w:rPr>
      <w:kern w:val="2"/>
      <w:sz w:val="21"/>
      <w:szCs w:val="24"/>
    </w:rPr>
  </w:style>
  <w:style w:type="paragraph" w:customStyle="1" w:styleId="228">
    <w:name w:val="正式表格"/>
    <w:basedOn w:val="1"/>
    <w:link w:val="227"/>
    <w:qFormat/>
    <w:uiPriority w:val="0"/>
    <w:pPr>
      <w:spacing w:line="240" w:lineRule="atLeast"/>
      <w:ind w:firstLine="0" w:firstLineChars="0"/>
      <w:contextualSpacing/>
      <w:jc w:val="center"/>
    </w:pPr>
    <w:rPr>
      <w:rFonts w:ascii="Calibri" w:hAnsi="Calibri"/>
      <w:sz w:val="21"/>
    </w:rPr>
  </w:style>
  <w:style w:type="character" w:customStyle="1" w:styleId="229">
    <w:name w:val="yyp Char"/>
    <w:basedOn w:val="40"/>
    <w:link w:val="230"/>
    <w:qFormat/>
    <w:locked/>
    <w:uiPriority w:val="0"/>
    <w:rPr>
      <w:kern w:val="2"/>
      <w:sz w:val="24"/>
      <w:szCs w:val="24"/>
    </w:rPr>
  </w:style>
  <w:style w:type="paragraph" w:customStyle="1" w:styleId="230">
    <w:name w:val="yyp"/>
    <w:basedOn w:val="37"/>
    <w:link w:val="229"/>
    <w:qFormat/>
    <w:uiPriority w:val="0"/>
    <w:pPr>
      <w:ind w:firstLine="480" w:firstLineChars="200"/>
    </w:pPr>
    <w:rPr>
      <w:rFonts w:ascii="Calibri" w:hAnsi="Calibri"/>
    </w:rPr>
  </w:style>
  <w:style w:type="character" w:customStyle="1" w:styleId="231">
    <w:name w:val="正文文本首行缩进 字符"/>
    <w:basedOn w:val="85"/>
    <w:link w:val="37"/>
    <w:semiHidden/>
    <w:qFormat/>
    <w:uiPriority w:val="99"/>
    <w:rPr>
      <w:rFonts w:ascii="Times New Roman" w:hAnsi="Times New Roman"/>
      <w:kern w:val="2"/>
      <w:sz w:val="24"/>
      <w:szCs w:val="24"/>
    </w:rPr>
  </w:style>
  <w:style w:type="paragraph" w:customStyle="1" w:styleId="232">
    <w:name w:val="TIE-表格内容"/>
    <w:basedOn w:val="1"/>
    <w:qFormat/>
    <w:uiPriority w:val="0"/>
    <w:pPr>
      <w:topLinePunct/>
      <w:autoSpaceDE w:val="0"/>
      <w:spacing w:line="240" w:lineRule="auto"/>
      <w:ind w:firstLine="0" w:firstLineChars="0"/>
      <w:jc w:val="center"/>
      <w:textAlignment w:val="center"/>
    </w:pPr>
    <w:rPr>
      <w:sz w:val="21"/>
      <w:szCs w:val="21"/>
    </w:rPr>
  </w:style>
  <w:style w:type="character" w:customStyle="1" w:styleId="233">
    <w:name w:val="x正文 Char"/>
    <w:link w:val="234"/>
    <w:qFormat/>
    <w:uiPriority w:val="0"/>
    <w:rPr>
      <w:rFonts w:hAnsi="宋体"/>
      <w:snapToGrid w:val="0"/>
      <w:sz w:val="24"/>
      <w:szCs w:val="21"/>
    </w:rPr>
  </w:style>
  <w:style w:type="paragraph" w:customStyle="1" w:styleId="234">
    <w:name w:val="x正文"/>
    <w:basedOn w:val="70"/>
    <w:link w:val="233"/>
    <w:qFormat/>
    <w:uiPriority w:val="0"/>
    <w:pPr>
      <w:tabs>
        <w:tab w:val="clear" w:pos="8295"/>
      </w:tabs>
      <w:spacing w:line="440" w:lineRule="exact"/>
      <w:ind w:firstLine="480"/>
    </w:pPr>
    <w:rPr>
      <w:rFonts w:hAnsi="宋体"/>
      <w:snapToGrid w:val="0"/>
      <w:kern w:val="0"/>
      <w:szCs w:val="21"/>
    </w:rPr>
  </w:style>
  <w:style w:type="paragraph" w:customStyle="1" w:styleId="235">
    <w:name w:val="表格02"/>
    <w:basedOn w:val="1"/>
    <w:qFormat/>
    <w:uiPriority w:val="0"/>
    <w:pPr>
      <w:spacing w:line="400" w:lineRule="exact"/>
      <w:ind w:firstLine="0" w:firstLineChars="0"/>
      <w:jc w:val="center"/>
    </w:pPr>
    <w:rPr>
      <w:rFonts w:ascii="宋体"/>
      <w:snapToGrid w:val="0"/>
      <w:kern w:val="0"/>
      <w:szCs w:val="20"/>
      <w:lang w:val="en-GB"/>
    </w:rPr>
  </w:style>
  <w:style w:type="paragraph" w:customStyle="1" w:styleId="236">
    <w:name w:val="_Style 30"/>
    <w:basedOn w:val="1"/>
    <w:qFormat/>
    <w:uiPriority w:val="0"/>
    <w:pPr>
      <w:spacing w:line="240" w:lineRule="auto"/>
      <w:ind w:firstLine="0" w:firstLineChars="0"/>
    </w:pPr>
    <w:rPr>
      <w:sz w:val="21"/>
    </w:rPr>
  </w:style>
  <w:style w:type="table" w:customStyle="1" w:styleId="237">
    <w:name w:val="网格型3"/>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
    <w:name w:val="网格型4"/>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
    <w:name w:val="灰度表格1"/>
    <w:basedOn w:val="38"/>
    <w:qFormat/>
    <w:uiPriority w:val="0"/>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
  </w:style>
  <w:style w:type="paragraph" w:customStyle="1" w:styleId="240">
    <w:name w:val="报告正文"/>
    <w:basedOn w:val="1"/>
    <w:qFormat/>
    <w:uiPriority w:val="0"/>
    <w:pPr>
      <w:ind w:firstLine="600"/>
    </w:pPr>
    <w:rPr>
      <w:rFonts w:ascii="宋体" w:eastAsia="楷体_GB2312"/>
      <w:bCs/>
      <w:kern w:val="0"/>
      <w:sz w:val="30"/>
    </w:rPr>
  </w:style>
  <w:style w:type="character" w:customStyle="1" w:styleId="241">
    <w:name w:val="正文文本_"/>
    <w:basedOn w:val="40"/>
    <w:qFormat/>
    <w:uiPriority w:val="0"/>
    <w:rPr>
      <w:rFonts w:ascii="MingLiU" w:hAnsi="MingLiU" w:eastAsia="MingLiU" w:cs="MingLiU"/>
      <w:spacing w:val="30"/>
      <w:sz w:val="44"/>
      <w:szCs w:val="44"/>
      <w:shd w:val="clear" w:color="auto" w:fill="FFFFFF"/>
    </w:rPr>
  </w:style>
  <w:style w:type="character" w:customStyle="1" w:styleId="242">
    <w:name w:val="正文文本 + 16 pt"/>
    <w:basedOn w:val="241"/>
    <w:qFormat/>
    <w:uiPriority w:val="0"/>
    <w:rPr>
      <w:rFonts w:ascii="MingLiU" w:hAnsi="MingLiU" w:eastAsia="MingLiU" w:cs="MingLiU"/>
      <w:color w:val="000000"/>
      <w:spacing w:val="30"/>
      <w:w w:val="100"/>
      <w:position w:val="0"/>
      <w:sz w:val="32"/>
      <w:szCs w:val="32"/>
      <w:shd w:val="clear" w:color="auto" w:fill="FFFFFF"/>
      <w:lang w:val="zh-TW"/>
    </w:rPr>
  </w:style>
  <w:style w:type="character" w:customStyle="1" w:styleId="243">
    <w:name w:val="正文文本 + Times New Roman"/>
    <w:basedOn w:val="241"/>
    <w:qFormat/>
    <w:uiPriority w:val="0"/>
    <w:rPr>
      <w:rFonts w:ascii="Times New Roman" w:hAnsi="Times New Roman" w:eastAsia="Times New Roman" w:cs="Times New Roman"/>
      <w:color w:val="000000"/>
      <w:spacing w:val="10"/>
      <w:w w:val="100"/>
      <w:position w:val="0"/>
      <w:sz w:val="32"/>
      <w:szCs w:val="32"/>
      <w:shd w:val="clear" w:color="auto" w:fill="FFFFFF"/>
      <w:lang w:val="en-US"/>
    </w:rPr>
  </w:style>
  <w:style w:type="character" w:customStyle="1" w:styleId="244">
    <w:name w:val="环评正文2 Char"/>
    <w:basedOn w:val="40"/>
    <w:link w:val="245"/>
    <w:qFormat/>
    <w:uiPriority w:val="0"/>
    <w:rPr>
      <w:rFonts w:ascii="宋体" w:hAnsi="宋体" w:eastAsia="仿宋_GB2312"/>
      <w:color w:val="000000"/>
      <w:kern w:val="16"/>
      <w:sz w:val="24"/>
      <w:szCs w:val="24"/>
    </w:rPr>
  </w:style>
  <w:style w:type="paragraph" w:customStyle="1" w:styleId="245">
    <w:name w:val="环评正文2"/>
    <w:basedOn w:val="1"/>
    <w:link w:val="244"/>
    <w:qFormat/>
    <w:uiPriority w:val="0"/>
    <w:rPr>
      <w:rFonts w:ascii="宋体" w:hAnsi="宋体" w:eastAsia="仿宋_GB2312"/>
      <w:color w:val="000000"/>
      <w:kern w:val="16"/>
    </w:rPr>
  </w:style>
  <w:style w:type="paragraph" w:customStyle="1" w:styleId="246">
    <w:name w:val="表格内的字"/>
    <w:basedOn w:val="247"/>
    <w:qFormat/>
    <w:uiPriority w:val="0"/>
  </w:style>
  <w:style w:type="paragraph" w:customStyle="1" w:styleId="247">
    <w:name w:val="表格的字"/>
    <w:basedOn w:val="1"/>
    <w:qFormat/>
    <w:uiPriority w:val="0"/>
    <w:pPr>
      <w:spacing w:line="240" w:lineRule="auto"/>
      <w:ind w:firstLine="0" w:firstLineChars="0"/>
      <w:jc w:val="center"/>
    </w:pPr>
    <w:rPr>
      <w:sz w:val="21"/>
    </w:rPr>
  </w:style>
  <w:style w:type="paragraph" w:customStyle="1" w:styleId="248">
    <w:name w:val="样式，标题 3"/>
    <w:basedOn w:val="1"/>
    <w:qFormat/>
    <w:uiPriority w:val="0"/>
    <w:pPr>
      <w:keepNext/>
      <w:keepLines/>
      <w:spacing w:beforeLines="50" w:afterLines="50"/>
      <w:outlineLvl w:val="2"/>
    </w:pPr>
    <w:rPr>
      <w:rFonts w:eastAsia="黑体"/>
      <w:kern w:val="0"/>
      <w:sz w:val="28"/>
    </w:rPr>
  </w:style>
  <w:style w:type="paragraph" w:customStyle="1" w:styleId="249">
    <w:name w:val="Table Text"/>
    <w:basedOn w:val="1"/>
    <w:semiHidden/>
    <w:qFormat/>
    <w:uiPriority w:val="0"/>
    <w:rPr>
      <w:rFonts w:eastAsia="Times New Roman"/>
      <w:sz w:val="18"/>
      <w:szCs w:val="18"/>
      <w:lang w:eastAsia="en-US"/>
    </w:rPr>
  </w:style>
  <w:style w:type="table" w:customStyle="1" w:styleId="250">
    <w:name w:val="Table Normal"/>
    <w:semiHidden/>
    <w:unhideWhenUsed/>
    <w:qFormat/>
    <w:uiPriority w:val="0"/>
    <w:tblPr>
      <w:tblCellMar>
        <w:top w:w="0" w:type="dxa"/>
        <w:left w:w="0" w:type="dxa"/>
        <w:bottom w:w="0" w:type="dxa"/>
        <w:right w:w="0" w:type="dxa"/>
      </w:tblCellMar>
    </w:tblPr>
  </w:style>
  <w:style w:type="table" w:customStyle="1" w:styleId="251">
    <w:name w:val="灰度表格7"/>
    <w:basedOn w:val="38"/>
    <w:qFormat/>
    <w:uiPriority w:val="0"/>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
  </w:style>
  <w:style w:type="table" w:customStyle="1" w:styleId="252">
    <w:name w:val="网格型2221"/>
    <w:basedOn w:val="38"/>
    <w:qFormat/>
    <w:uiPriority w:val="0"/>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
  </w:style>
  <w:style w:type="paragraph" w:customStyle="1" w:styleId="253">
    <w:name w:val="样式 正文wjh + 首行缩进:  0.99 厘米 段前: 18 磅"/>
    <w:basedOn w:val="1"/>
    <w:qFormat/>
    <w:uiPriority w:val="0"/>
    <w:pPr>
      <w:ind w:firstLine="561"/>
      <w:jc w:val="left"/>
    </w:pPr>
    <w:rPr>
      <w:rFonts w:ascii="Calibri" w:hAnsi="Calibri" w:cs="宋体"/>
      <w:szCs w:val="20"/>
    </w:rPr>
  </w:style>
  <w:style w:type="table" w:customStyle="1" w:styleId="254">
    <w:name w:val="灰度表格121"/>
    <w:basedOn w:val="38"/>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5">
    <w:name w:val="正文固定格式"/>
    <w:basedOn w:val="1"/>
    <w:qFormat/>
    <w:uiPriority w:val="0"/>
    <w:pPr>
      <w:spacing w:line="500" w:lineRule="exact"/>
      <w:ind w:firstLine="200" w:firstLineChars="200"/>
    </w:pPr>
    <w:rPr>
      <w:rFonts w:cs="宋体"/>
      <w:sz w:val="24"/>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72.jpeg"/><Relationship Id="rId98" Type="http://schemas.openxmlformats.org/officeDocument/2006/relationships/image" Target="media/image71.jpe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jpeg"/><Relationship Id="rId94" Type="http://schemas.openxmlformats.org/officeDocument/2006/relationships/image" Target="media/image67.png"/><Relationship Id="rId93" Type="http://schemas.openxmlformats.org/officeDocument/2006/relationships/image" Target="media/image66.jpeg"/><Relationship Id="rId92" Type="http://schemas.openxmlformats.org/officeDocument/2006/relationships/image" Target="media/image65.jpeg"/><Relationship Id="rId91" Type="http://schemas.openxmlformats.org/officeDocument/2006/relationships/image" Target="media/image64.jpe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jpe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jpeg"/><Relationship Id="rId8" Type="http://schemas.openxmlformats.org/officeDocument/2006/relationships/footer" Target="footer1.xml"/><Relationship Id="rId79" Type="http://schemas.openxmlformats.org/officeDocument/2006/relationships/image" Target="media/image52.wmf"/><Relationship Id="rId78" Type="http://schemas.openxmlformats.org/officeDocument/2006/relationships/image" Target="media/image51.wmf"/><Relationship Id="rId77" Type="http://schemas.openxmlformats.org/officeDocument/2006/relationships/image" Target="media/image50.jpeg"/><Relationship Id="rId76" Type="http://schemas.openxmlformats.org/officeDocument/2006/relationships/image" Target="media/image49.wmf"/><Relationship Id="rId75" Type="http://schemas.openxmlformats.org/officeDocument/2006/relationships/image" Target="media/image48.wmf"/><Relationship Id="rId74" Type="http://schemas.openxmlformats.org/officeDocument/2006/relationships/image" Target="media/image47.wmf"/><Relationship Id="rId73" Type="http://schemas.openxmlformats.org/officeDocument/2006/relationships/image" Target="media/image46.wmf"/><Relationship Id="rId72" Type="http://schemas.openxmlformats.org/officeDocument/2006/relationships/image" Target="media/image45.wmf"/><Relationship Id="rId71" Type="http://schemas.openxmlformats.org/officeDocument/2006/relationships/image" Target="media/image44.wmf"/><Relationship Id="rId70" Type="http://schemas.openxmlformats.org/officeDocument/2006/relationships/image" Target="media/image43.wmf"/><Relationship Id="rId7" Type="http://schemas.openxmlformats.org/officeDocument/2006/relationships/header" Target="header3.xml"/><Relationship Id="rId69" Type="http://schemas.openxmlformats.org/officeDocument/2006/relationships/image" Target="media/image42.wmf"/><Relationship Id="rId68" Type="http://schemas.openxmlformats.org/officeDocument/2006/relationships/image" Target="media/image41.wmf"/><Relationship Id="rId67" Type="http://schemas.openxmlformats.org/officeDocument/2006/relationships/image" Target="media/image40.wmf"/><Relationship Id="rId66" Type="http://schemas.openxmlformats.org/officeDocument/2006/relationships/oleObject" Target="embeddings/oleObject3.bin"/><Relationship Id="rId65" Type="http://schemas.openxmlformats.org/officeDocument/2006/relationships/image" Target="media/image39.jpeg"/><Relationship Id="rId64" Type="http://schemas.openxmlformats.org/officeDocument/2006/relationships/image" Target="media/image38.jpeg"/><Relationship Id="rId63" Type="http://schemas.openxmlformats.org/officeDocument/2006/relationships/image" Target="media/image37.png"/><Relationship Id="rId62" Type="http://schemas.openxmlformats.org/officeDocument/2006/relationships/image" Target="media/image36.png"/><Relationship Id="rId61" Type="http://schemas.openxmlformats.org/officeDocument/2006/relationships/image" Target="media/image35.wmf"/><Relationship Id="rId60" Type="http://schemas.openxmlformats.org/officeDocument/2006/relationships/oleObject" Target="embeddings/oleObject2.bin"/><Relationship Id="rId6" Type="http://schemas.openxmlformats.org/officeDocument/2006/relationships/header" Target="header2.xml"/><Relationship Id="rId59" Type="http://schemas.openxmlformats.org/officeDocument/2006/relationships/image" Target="media/image34.jpeg"/><Relationship Id="rId58" Type="http://schemas.openxmlformats.org/officeDocument/2006/relationships/image" Target="media/image33.jpeg"/><Relationship Id="rId57" Type="http://schemas.openxmlformats.org/officeDocument/2006/relationships/image" Target="media/image32.jpe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header" Target="header1.xml"/><Relationship Id="rId49" Type="http://schemas.openxmlformats.org/officeDocument/2006/relationships/image" Target="media/image24.png"/><Relationship Id="rId48" Type="http://schemas.openxmlformats.org/officeDocument/2006/relationships/image" Target="media/image23.png"/><Relationship Id="rId47" Type="http://schemas.openxmlformats.org/officeDocument/2006/relationships/image" Target="media/image22.png"/><Relationship Id="rId46" Type="http://schemas.openxmlformats.org/officeDocument/2006/relationships/image" Target="media/image21.jpeg"/><Relationship Id="rId45" Type="http://schemas.openxmlformats.org/officeDocument/2006/relationships/image" Target="media/image20.jpeg"/><Relationship Id="rId44" Type="http://schemas.openxmlformats.org/officeDocument/2006/relationships/image" Target="media/image19.jpeg"/><Relationship Id="rId43" Type="http://schemas.openxmlformats.org/officeDocument/2006/relationships/image" Target="media/image18.jpeg"/><Relationship Id="rId42" Type="http://schemas.openxmlformats.org/officeDocument/2006/relationships/image" Target="media/image17.jpeg"/><Relationship Id="rId41" Type="http://schemas.openxmlformats.org/officeDocument/2006/relationships/image" Target="media/image16.jpeg"/><Relationship Id="rId40" Type="http://schemas.openxmlformats.org/officeDocument/2006/relationships/image" Target="media/image15.jpeg"/><Relationship Id="rId4" Type="http://schemas.openxmlformats.org/officeDocument/2006/relationships/endnotes" Target="endnotes.xml"/><Relationship Id="rId39" Type="http://schemas.openxmlformats.org/officeDocument/2006/relationships/image" Target="media/image14.jpeg"/><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jpe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png"/><Relationship Id="rId32" Type="http://schemas.openxmlformats.org/officeDocument/2006/relationships/image" Target="media/image7.png"/><Relationship Id="rId31" Type="http://schemas.openxmlformats.org/officeDocument/2006/relationships/image" Target="media/image6.wmf"/><Relationship Id="rId30" Type="http://schemas.openxmlformats.org/officeDocument/2006/relationships/oleObject" Target="embeddings/oleObject1.bin"/><Relationship Id="rId3" Type="http://schemas.openxmlformats.org/officeDocument/2006/relationships/footnotes" Target="footnotes.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jpeg"/><Relationship Id="rId25" Type="http://schemas.openxmlformats.org/officeDocument/2006/relationships/image" Target="media/image1.emf"/><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8" Type="http://schemas.openxmlformats.org/officeDocument/2006/relationships/fontTable" Target="fontTable.xml"/><Relationship Id="rId107" Type="http://schemas.openxmlformats.org/officeDocument/2006/relationships/customXml" Target="../customXml/item2.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F74E38-D5FF-4833-BDB1-FFC2E545D8BB}">
  <ds:schemaRefs/>
</ds:datastoreItem>
</file>

<file path=docProps/app.xml><?xml version="1.0" encoding="utf-8"?>
<Properties xmlns="http://schemas.openxmlformats.org/officeDocument/2006/extended-properties" xmlns:vt="http://schemas.openxmlformats.org/officeDocument/2006/docPropsVTypes">
  <Template>Normal</Template>
  <Company>EIA</Company>
  <Pages>218</Pages>
  <Words>125696</Words>
  <Characters>143565</Characters>
  <Lines>1190</Lines>
  <Paragraphs>335</Paragraphs>
  <TotalTime>0</TotalTime>
  <ScaleCrop>false</ScaleCrop>
  <LinksUpToDate>false</LinksUpToDate>
  <CharactersWithSpaces>145498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2020-04-07T08:12:00Z</dcterms:created>
  <dc:creator>User</dc:creator>
  <cp:lastModifiedBy>闫佳慧</cp:lastModifiedBy>
  <cp:lastPrinted>2019-12-31T04:51:00Z</cp:lastPrinted>
  <dcterms:modified xsi:type="dcterms:W3CDTF">2023-12-25T03:11:09Z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478F899C296540B890D84AD6AEFD4FCB_13</vt:lpwstr>
  </property>
</Properties>
</file>